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8.png" ContentType="image/png"/>
  <Override PartName="/word/media/rId29.png" ContentType="image/png"/>
  <Override PartName="/word/media/rId88.png" ContentType="image/png"/>
  <Override PartName="/word/media/rId105.png" ContentType="image/png"/>
  <Override PartName="/word/media/rId83.png" ContentType="image/png"/>
  <Override PartName="/word/media/rId126.png" ContentType="image/png"/>
  <Override PartName="/word/media/rId170.png" ContentType="image/png"/>
  <Override PartName="/word/media/rId261.png" ContentType="image/png"/>
  <Override PartName="/word/media/rId243.png" ContentType="image/png"/>
  <Override PartName="/word/media/rId372.png" ContentType="image/png"/>
  <Override PartName="/word/media/rId332.png" ContentType="image/png"/>
  <Override PartName="/word/media/rId472.png" ContentType="image/png"/>
  <Override PartName="/word/media/rId445.png" ContentType="image/png"/>
  <Override PartName="/word/media/rId504.png" ContentType="image/png"/>
  <Override PartName="/word/media/rId532.png" ContentType="image/png"/>
  <Override PartName="/word/media/rId576.png" ContentType="image/png"/>
  <Override PartName="/word/media/rId607.png" ContentType="image/png"/>
  <Override PartName="/word/media/rId633.png" ContentType="image/png"/>
  <Override PartName="/word/media/rId627.png" ContentType="image/png"/>
  <Override PartName="/word/media/rId702.png" ContentType="image/png"/>
  <Override PartName="/word/media/rId741.png" ContentType="image/png"/>
  <Override PartName="/word/media/rId825.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08 — DNS, DHCP &amp; IPAM</w:t>
      </w:r>
    </w:p>
    <w:p>
      <w:pPr>
        <w:pStyle w:val="Subtitle"/>
      </w:pPr>
      <w:r>
        <w:t xml:space="preserve">Governing DNS, DHCP and IPAM as the hybrid multi-cloud control plane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1015" w:history="1">
            <w:r>
              <w:t xml:space="preserve">Book 08 — DNS, DHCP &amp; IPAM: The Hybrid Multi-Cloud Control Plane</w:t>
            </w:r>
          </w:hyperlink>
        </w:p>
        <w:p>
          <w:pPr>
            <w:pStyle w:val="TOC2"/>
          </w:pPr>
          <w:hyperlink w:anchor="_Toc00001016" w:history="1">
            <w:r>
              <w:t xml:space="preserve">Status — draft book</w:t>
            </w:r>
          </w:hyperlink>
        </w:p>
        <w:p>
          <w:pPr>
            <w:pStyle w:val="TOC2"/>
          </w:pPr>
          <w:hyperlink w:anchor="_Toc00001017" w:history="1">
            <w:r>
              <w:t xml:space="preserve">Why, what, who, how</w:t>
            </w:r>
          </w:hyperlink>
        </w:p>
        <w:p>
          <w:pPr>
            <w:pStyle w:val="TOC2"/>
          </w:pPr>
          <w:hyperlink w:anchor="_Toc00001018" w:history="1">
            <w:r>
              <w:t xml:space="preserve">The canonical sequence</w:t>
            </w:r>
          </w:hyperlink>
        </w:p>
        <w:p>
          <w:pPr>
            <w:pStyle w:val="TOC2"/>
          </w:pPr>
          <w:hyperlink w:anchor="_Toc00001019" w:history="1">
            <w:r>
              <w:t xml:space="preserve">Reading paths</w:t>
            </w:r>
          </w:hyperlink>
        </w:p>
        <w:p>
          <w:pPr>
            <w:pStyle w:val="TOC2"/>
          </w:pPr>
          <w:hyperlink w:anchor="_Toc00001020" w:history="1">
            <w:r>
              <w:t xml:space="preserve">Where this book sits in the workbook</w:t>
            </w:r>
          </w:hyperlink>
        </w:p>
        <w:p>
          <w:pPr>
            <w:pStyle w:val="TOC1"/>
          </w:pPr>
          <w:hyperlink w:anchor="_Toc00001021" w:history="1">
            <w:r>
              <w:t xml:space="preserve">Chapter 01 — DNS Is Now the Control Plane</w:t>
            </w:r>
          </w:hyperlink>
        </w:p>
        <w:p>
          <w:pPr>
            <w:pStyle w:val="TOC2"/>
          </w:pPr>
          <w:hyperlink w:anchor="_Toc00001022" w:history="1">
            <w:r>
              <w:t xml:space="preserve">In this chapter</w:t>
            </w:r>
          </w:hyperlink>
        </w:p>
        <w:p>
          <w:pPr>
            <w:pStyle w:val="TOC2"/>
          </w:pPr>
          <w:hyperlink w:anchor="_Toc00001023" w:history="1">
            <w:r>
              <w:t xml:space="preserve">Why DNS is now the control plane</w:t>
            </w:r>
          </w:hyperlink>
        </w:p>
        <w:p>
          <w:pPr>
            <w:pStyle w:val="TOC2"/>
          </w:pPr>
          <w:hyperlink w:anchor="_Toc00001024" w:history="1">
            <w:r>
              <w:t xml:space="preserve">The case in one paragraph</w:t>
            </w:r>
          </w:hyperlink>
        </w:p>
        <w:p>
          <w:pPr>
            <w:pStyle w:val="TOC2"/>
          </w:pPr>
          <w:hyperlink w:anchor="_Toc00001025" w:history="1">
            <w:r>
              <w:t xml:space="preserve">For decision makers</w:t>
            </w:r>
          </w:hyperlink>
        </w:p>
        <w:p>
          <w:pPr>
            <w:pStyle w:val="TOC2"/>
          </w:pPr>
          <w:hyperlink w:anchor="_Toc00001026" w:history="1">
            <w:r>
              <w:t xml:space="preserve">What DNS was designed to do</w:t>
            </w:r>
          </w:hyperlink>
        </w:p>
        <w:p>
          <w:pPr>
            <w:pStyle w:val="TOC2"/>
          </w:pPr>
          <w:hyperlink w:anchor="_Toc00001027" w:history="1">
            <w:r>
              <w:t xml:space="preserve">What DNS has become</w:t>
            </w:r>
          </w:hyperlink>
        </w:p>
        <w:p>
          <w:pPr>
            <w:pStyle w:val="TOC2"/>
          </w:pPr>
          <w:hyperlink w:anchor="_Toc00001028" w:history="1">
            <w:r>
              <w:t xml:space="preserve">Three DNS perspectives under one control plane</w:t>
            </w:r>
          </w:hyperlink>
        </w:p>
        <w:p>
          <w:pPr>
            <w:pStyle w:val="TOC2"/>
          </w:pPr>
          <w:hyperlink w:anchor="_Toc00001029" w:history="1">
            <w:r>
              <w:t xml:space="preserve">The fragmented landscape</w:t>
            </w:r>
          </w:hyperlink>
        </w:p>
        <w:p>
          <w:pPr>
            <w:pStyle w:val="TOC2"/>
          </w:pPr>
          <w:hyperlink w:anchor="_Toc00001030" w:history="1">
            <w:r>
              <w:t xml:space="preserve">The management burden of independence</w:t>
            </w:r>
          </w:hyperlink>
        </w:p>
        <w:p>
          <w:pPr>
            <w:pStyle w:val="TOC2"/>
          </w:pPr>
          <w:hyperlink w:anchor="_Toc00001031" w:history="1">
            <w:r>
              <w:t xml:space="preserve">Hybrid cloud IPAM and DHCP</w:t>
            </w:r>
          </w:hyperlink>
        </w:p>
        <w:p>
          <w:pPr>
            <w:pStyle w:val="TOC2"/>
          </w:pPr>
          <w:hyperlink w:anchor="_Toc00001032" w:history="1">
            <w:r>
              <w:t xml:space="preserve">What this chapter establishes</w:t>
            </w:r>
          </w:hyperlink>
        </w:p>
        <w:p>
          <w:pPr>
            <w:pStyle w:val="TOC2"/>
          </w:pPr>
          <w:hyperlink w:anchor="_Toc00001033" w:history="1">
            <w:r>
              <w:t xml:space="preserve">Continue the book</w:t>
            </w:r>
          </w:hyperlink>
        </w:p>
        <w:p>
          <w:pPr>
            <w:pStyle w:val="TOC1"/>
          </w:pPr>
          <w:hyperlink w:anchor="_Toc00001034" w:history="1">
            <w:r>
              <w:t xml:space="preserve">Chapter 02 — Split-Brain DNS: The Structural Problem</w:t>
            </w:r>
          </w:hyperlink>
        </w:p>
        <w:p>
          <w:pPr>
            <w:pStyle w:val="TOC2"/>
          </w:pPr>
          <w:hyperlink w:anchor="_Toc00001035" w:history="1">
            <w:r>
              <w:t xml:space="preserve">In this chapter</w:t>
            </w:r>
          </w:hyperlink>
        </w:p>
        <w:p>
          <w:pPr>
            <w:pStyle w:val="TOC2"/>
          </w:pPr>
          <w:hyperlink w:anchor="_Toc00001036" w:history="1">
            <w:r>
              <w:t xml:space="preserve">What split-brain DNS is</w:t>
            </w:r>
          </w:hyperlink>
        </w:p>
        <w:p>
          <w:pPr>
            <w:pStyle w:val="TOC2"/>
          </w:pPr>
          <w:hyperlink w:anchor="_Toc00001037" w:history="1">
            <w:r>
              <w:t xml:space="preserve">Private-IP split-brain: the cross-cloud case</w:t>
            </w:r>
          </w:hyperlink>
        </w:p>
        <w:p>
          <w:pPr>
            <w:pStyle w:val="TOC2"/>
          </w:pPr>
          <w:hyperlink w:anchor="_Toc00001038" w:history="1">
            <w:r>
              <w:t xml:space="preserve">Public SaaS split-brain: Microsoft 365 and the government clouds</w:t>
            </w:r>
          </w:hyperlink>
        </w:p>
        <w:p>
          <w:pPr>
            <w:pStyle w:val="TOC2"/>
          </w:pPr>
          <w:hyperlink w:anchor="_Toc00001039" w:history="1">
            <w:r>
              <w:t xml:space="preserve">Security policy split-brain: the invisible gap</w:t>
            </w:r>
          </w:hyperlink>
        </w:p>
        <w:p>
          <w:pPr>
            <w:pStyle w:val="TOC2"/>
          </w:pPr>
          <w:hyperlink w:anchor="_Toc00001040" w:history="1">
            <w:r>
              <w:t xml:space="preserve">Why process discipline can’t fix a structural problem</w:t>
            </w:r>
          </w:hyperlink>
        </w:p>
        <w:p>
          <w:pPr>
            <w:pStyle w:val="TOC2"/>
          </w:pPr>
          <w:hyperlink w:anchor="_Toc00001041" w:history="1">
            <w:r>
              <w:t xml:space="preserve">What fragmented DDI costs</w:t>
            </w:r>
          </w:hyperlink>
        </w:p>
        <w:p>
          <w:pPr>
            <w:pStyle w:val="TOC2"/>
          </w:pPr>
          <w:hyperlink w:anchor="_Toc00001042" w:history="1">
            <w:r>
              <w:t xml:space="preserve">What this chapter establishes</w:t>
            </w:r>
          </w:hyperlink>
        </w:p>
        <w:p>
          <w:pPr>
            <w:pStyle w:val="TOC2"/>
          </w:pPr>
          <w:hyperlink w:anchor="_Toc00001043" w:history="1">
            <w:r>
              <w:t xml:space="preserve">Continue the book</w:t>
            </w:r>
          </w:hyperlink>
        </w:p>
        <w:p>
          <w:pPr>
            <w:pStyle w:val="TOC1"/>
          </w:pPr>
          <w:hyperlink w:anchor="_Toc00001044" w:history="1">
            <w:r>
              <w:t xml:space="preserve">Chapter 03 — Federal Requirements: NIST SP 800-81, FedRAMP and Zero Trust</w:t>
            </w:r>
          </w:hyperlink>
        </w:p>
        <w:p>
          <w:pPr>
            <w:pStyle w:val="TOC2"/>
          </w:pPr>
          <w:hyperlink w:anchor="_Toc00001045" w:history="1">
            <w:r>
              <w:t xml:space="preserve">In this chapter</w:t>
            </w:r>
          </w:hyperlink>
        </w:p>
        <w:p>
          <w:pPr>
            <w:pStyle w:val="TOC2"/>
          </w:pPr>
          <w:hyperlink w:anchor="_Toc00001046" w:history="1">
            <w:r>
              <w:t xml:space="preserve">What the mandates say</w:t>
            </w:r>
          </w:hyperlink>
        </w:p>
        <w:p>
          <w:pPr>
            <w:pStyle w:val="TOC2"/>
          </w:pPr>
          <w:hyperlink w:anchor="_Toc00001047" w:history="1">
            <w:r>
              <w:t xml:space="preserve">NIST SP 800-81 Rev. 3: the Secure DNS Deployment Guide</w:t>
            </w:r>
          </w:hyperlink>
        </w:p>
        <w:p>
          <w:pPr>
            <w:pStyle w:val="TOC2"/>
          </w:pPr>
          <w:hyperlink w:anchor="_Toc00001048" w:history="1">
            <w:r>
              <w:t xml:space="preserve">FedRAMP and agency authorization</w:t>
            </w:r>
          </w:hyperlink>
        </w:p>
        <w:p>
          <w:pPr>
            <w:pStyle w:val="TOC2"/>
          </w:pPr>
          <w:hyperlink w:anchor="_Toc00001049" w:history="1">
            <w:r>
              <w:t xml:space="preserve">Why the timing matters now</w:t>
            </w:r>
          </w:hyperlink>
        </w:p>
        <w:p>
          <w:pPr>
            <w:pStyle w:val="TOC2"/>
          </w:pPr>
          <w:hyperlink w:anchor="_Toc00001050" w:history="1">
            <w:r>
              <w:t xml:space="preserve">Control mapping for NIST SP 800-53, FedRAMP and CISA Zero Trust</w:t>
            </w:r>
          </w:hyperlink>
        </w:p>
        <w:p>
          <w:pPr>
            <w:pStyle w:val="TOC2"/>
          </w:pPr>
          <w:hyperlink w:anchor="_Toc00001051" w:history="1">
            <w:r>
              <w:t xml:space="preserve">What this chapter establishes</w:t>
            </w:r>
          </w:hyperlink>
        </w:p>
        <w:p>
          <w:pPr>
            <w:pStyle w:val="TOC2"/>
          </w:pPr>
          <w:hyperlink w:anchor="_Toc00001052" w:history="1">
            <w:r>
              <w:t xml:space="preserve">Continue the book</w:t>
            </w:r>
          </w:hyperlink>
        </w:p>
        <w:p>
          <w:pPr>
            <w:pStyle w:val="TOC1"/>
          </w:pPr>
          <w:hyperlink w:anchor="_Toc00001053" w:history="1">
            <w:r>
              <w:t xml:space="preserve">Chapter 04 — The Active Directory DNS Departure</w:t>
            </w:r>
          </w:hyperlink>
        </w:p>
        <w:p>
          <w:pPr>
            <w:pStyle w:val="TOC2"/>
          </w:pPr>
          <w:hyperlink w:anchor="_Toc00001054" w:history="1">
            <w:r>
              <w:t xml:space="preserve">In this chapter</w:t>
            </w:r>
          </w:hyperlink>
        </w:p>
        <w:p>
          <w:pPr>
            <w:pStyle w:val="TOC2"/>
          </w:pPr>
          <w:hyperlink w:anchor="_Toc00001055" w:history="1">
            <w:r>
              <w:t xml:space="preserve">What AD-integrated DNS actually is</w:t>
            </w:r>
          </w:hyperlink>
        </w:p>
        <w:p>
          <w:pPr>
            <w:pStyle w:val="TOC2"/>
          </w:pPr>
          <w:hyperlink w:anchor="_Toc00001056" w:history="1">
            <w:r>
              <w:t xml:space="preserve">The locator records</w:t>
            </w:r>
          </w:hyperlink>
        </w:p>
        <w:p>
          <w:pPr>
            <w:pStyle w:val="TOC2"/>
          </w:pPr>
          <w:hyperlink w:anchor="_Toc00001057" w:history="1">
            <w:r>
              <w:t xml:space="preserve">Secure dynamic updates and the DHCP server</w:t>
            </w:r>
          </w:hyperlink>
        </w:p>
        <w:p>
          <w:pPr>
            <w:pStyle w:val="TOC2"/>
          </w:pPr>
          <w:hyperlink w:anchor="_Toc00001058" w:history="1">
            <w:r>
              <w:t xml:space="preserve">Illustrative, not tested against a production forest</w:t>
            </w:r>
          </w:hyperlink>
        </w:p>
        <w:p>
          <w:pPr>
            <w:pStyle w:val="TOC2"/>
          </w:pPr>
          <w:hyperlink w:anchor="_Toc00001059" w:history="1">
            <w:r>
              <w:t xml:space="preserve">What Kerberos needs from DNS on the way out</w:t>
            </w:r>
          </w:hyperlink>
        </w:p>
        <w:p>
          <w:pPr>
            <w:pStyle w:val="TOC2"/>
          </w:pPr>
          <w:hyperlink w:anchor="_Toc00001060" w:history="1">
            <w:r>
              <w:t xml:space="preserve">What Entra ID does not carry</w:t>
            </w:r>
          </w:hyperlink>
        </w:p>
        <w:p>
          <w:pPr>
            <w:pStyle w:val="TOC2"/>
          </w:pPr>
          <w:hyperlink w:anchor="_Toc00001061" w:history="1">
            <w:r>
              <w:t xml:space="preserve">What must be reprovisioned before AD leaves</w:t>
            </w:r>
          </w:hyperlink>
        </w:p>
        <w:p>
          <w:pPr>
            <w:pStyle w:val="TOC2"/>
          </w:pPr>
          <w:hyperlink w:anchor="_Toc00001062" w:history="1">
            <w:r>
              <w:t xml:space="preserve">Implications for modern Microsoft SQL Server</w:t>
            </w:r>
          </w:hyperlink>
        </w:p>
        <w:p>
          <w:pPr>
            <w:pStyle w:val="TOC2"/>
          </w:pPr>
          <w:hyperlink w:anchor="_Toc00001063" w:history="1">
            <w:r>
              <w:t xml:space="preserve">What this chapter establishes</w:t>
            </w:r>
          </w:hyperlink>
        </w:p>
        <w:p>
          <w:pPr>
            <w:pStyle w:val="TOC2"/>
          </w:pPr>
          <w:hyperlink w:anchor="_Toc00001064" w:history="1">
            <w:r>
              <w:t xml:space="preserve">Continue the book</w:t>
            </w:r>
          </w:hyperlink>
        </w:p>
        <w:p>
          <w:pPr>
            <w:pStyle w:val="TOC1"/>
          </w:pPr>
          <w:hyperlink w:anchor="_Toc00001065" w:history="1">
            <w:r>
              <w:t xml:space="preserve">Chapter 05 — Edge Interception, Encrypted DNS and Rogue DHCP</w:t>
            </w:r>
          </w:hyperlink>
        </w:p>
        <w:p>
          <w:pPr>
            <w:pStyle w:val="TOC2"/>
          </w:pPr>
          <w:hyperlink w:anchor="_Toc00001066" w:history="1">
            <w:r>
              <w:t xml:space="preserve">In this chapter</w:t>
            </w:r>
          </w:hyperlink>
        </w:p>
        <w:p>
          <w:pPr>
            <w:pStyle w:val="TOC2"/>
          </w:pPr>
          <w:hyperlink w:anchor="_Toc00001067" w:history="1">
            <w:r>
              <w:t xml:space="preserve">SD-WAN DNS interception</w:t>
            </w:r>
          </w:hyperlink>
        </w:p>
        <w:p>
          <w:pPr>
            <w:pStyle w:val="TOC2"/>
          </w:pPr>
          <w:hyperlink w:anchor="_Toc00001068" w:history="1">
            <w:r>
              <w:t xml:space="preserve">Encrypted DNS and bypass controls</w:t>
            </w:r>
          </w:hyperlink>
        </w:p>
        <w:p>
          <w:pPr>
            <w:pStyle w:val="TOC2"/>
          </w:pPr>
          <w:hyperlink w:anchor="_Toc00001069" w:history="1">
            <w:r>
              <w:t xml:space="preserve">Illustrative, not tested against a production estate</w:t>
            </w:r>
          </w:hyperlink>
        </w:p>
        <w:p>
          <w:pPr>
            <w:pStyle w:val="TOC2"/>
          </w:pPr>
          <w:hyperlink w:anchor="_Toc00001070" w:history="1">
            <w:r>
              <w:t xml:space="preserve">DHCP option 6 and rogue DHCP</w:t>
            </w:r>
          </w:hyperlink>
        </w:p>
        <w:p>
          <w:pPr>
            <w:pStyle w:val="TOC2"/>
          </w:pPr>
          <w:hyperlink w:anchor="_Toc00001071" w:history="1">
            <w:r>
              <w:t xml:space="preserve">What this chapter establishes</w:t>
            </w:r>
          </w:hyperlink>
        </w:p>
        <w:p>
          <w:pPr>
            <w:pStyle w:val="TOC2"/>
          </w:pPr>
          <w:hyperlink w:anchor="_Toc00001072" w:history="1">
            <w:r>
              <w:t xml:space="preserve">Continue the book</w:t>
            </w:r>
          </w:hyperlink>
        </w:p>
        <w:p>
          <w:pPr>
            <w:pStyle w:val="TOC1"/>
          </w:pPr>
          <w:hyperlink w:anchor="_Toc00001073" w:history="1">
            <w:r>
              <w:t xml:space="preserve">Chapter 06 — DNS Identity, Certificates and DNSSEC</w:t>
            </w:r>
          </w:hyperlink>
        </w:p>
        <w:p>
          <w:pPr>
            <w:pStyle w:val="TOC2"/>
          </w:pPr>
          <w:hyperlink w:anchor="_Toc00001074" w:history="1">
            <w:r>
              <w:t xml:space="preserve">In this chapter</w:t>
            </w:r>
          </w:hyperlink>
        </w:p>
        <w:p>
          <w:pPr>
            <w:pStyle w:val="TOC2"/>
          </w:pPr>
          <w:hyperlink w:anchor="_Toc00001075" w:history="1">
            <w:r>
              <w:t xml:space="preserve">DNS identity as the foundation for certificates, policy and tokens</w:t>
            </w:r>
          </w:hyperlink>
        </w:p>
        <w:p>
          <w:pPr>
            <w:pStyle w:val="TOC2"/>
          </w:pPr>
          <w:hyperlink w:anchor="_Toc00001076" w:history="1">
            <w:r>
              <w:t xml:space="preserve">From Kerberos to tokens: the DNS surface changes, it doesn’t shrink</w:t>
            </w:r>
          </w:hyperlink>
        </w:p>
        <w:p>
          <w:pPr>
            <w:pStyle w:val="TOC2"/>
          </w:pPr>
          <w:hyperlink w:anchor="_Toc00001077" w:history="1">
            <w:r>
              <w:t xml:space="preserve">DNS as the application surface</w:t>
            </w:r>
          </w:hyperlink>
        </w:p>
        <w:p>
          <w:pPr>
            <w:pStyle w:val="TOC2"/>
          </w:pPr>
          <w:hyperlink w:anchor="_Toc00001078" w:history="1">
            <w:r>
              <w:t xml:space="preserve">DNSSEC</w:t>
            </w:r>
          </w:hyperlink>
        </w:p>
        <w:p>
          <w:pPr>
            <w:pStyle w:val="TOC2"/>
          </w:pPr>
          <w:hyperlink w:anchor="_Toc00001079" w:history="1">
            <w:r>
              <w:t xml:space="preserve">DNSSEC on Windows Server, Azure and AWS</w:t>
            </w:r>
          </w:hyperlink>
        </w:p>
        <w:p>
          <w:pPr>
            <w:pStyle w:val="TOC2"/>
          </w:pPr>
          <w:hyperlink w:anchor="_Toc00001080" w:history="1">
            <w:r>
              <w:t xml:space="preserve">Illustrative, not tested against a production zone</w:t>
            </w:r>
          </w:hyperlink>
        </w:p>
        <w:p>
          <w:pPr>
            <w:pStyle w:val="TOC2"/>
          </w:pPr>
          <w:hyperlink w:anchor="_Toc00001081" w:history="1">
            <w:r>
              <w:t xml:space="preserve">What this chapter establishes</w:t>
            </w:r>
          </w:hyperlink>
        </w:p>
        <w:p>
          <w:pPr>
            <w:pStyle w:val="TOC2"/>
          </w:pPr>
          <w:hyperlink w:anchor="_Toc00001082" w:history="1">
            <w:r>
              <w:t xml:space="preserve">Continue the book</w:t>
            </w:r>
          </w:hyperlink>
        </w:p>
        <w:p>
          <w:pPr>
            <w:pStyle w:val="TOC1"/>
          </w:pPr>
          <w:hyperlink w:anchor="_Toc00001083" w:history="1">
            <w:r>
              <w:t xml:space="preserve">Chapter 07 — Cloud Private Endpoints, SDN and IPAM Consistency</w:t>
            </w:r>
          </w:hyperlink>
        </w:p>
        <w:p>
          <w:pPr>
            <w:pStyle w:val="TOC2"/>
          </w:pPr>
          <w:hyperlink w:anchor="_Toc00001084" w:history="1">
            <w:r>
              <w:t xml:space="preserve">In this chapter</w:t>
            </w:r>
          </w:hyperlink>
        </w:p>
        <w:p>
          <w:pPr>
            <w:pStyle w:val="TOC2"/>
          </w:pPr>
          <w:hyperlink w:anchor="_Toc00001085" w:history="1">
            <w:r>
              <w:t xml:space="preserve">How each platform implements private DNS</w:t>
            </w:r>
          </w:hyperlink>
        </w:p>
        <w:p>
          <w:pPr>
            <w:pStyle w:val="TOC2"/>
          </w:pPr>
          <w:hyperlink w:anchor="_Toc00001086" w:history="1">
            <w:r>
              <w:t xml:space="preserve">Azure DNS and private endpoints</w:t>
            </w:r>
          </w:hyperlink>
        </w:p>
        <w:p>
          <w:pPr>
            <w:pStyle w:val="TOC2"/>
          </w:pPr>
          <w:hyperlink w:anchor="_Toc00001087" w:history="1">
            <w:r>
              <w:t xml:space="preserve">SDN–IPAM consistency across cloud providers and VMware</w:t>
            </w:r>
          </w:hyperlink>
        </w:p>
        <w:p>
          <w:pPr>
            <w:pStyle w:val="TOC2"/>
          </w:pPr>
          <w:hyperlink w:anchor="_Toc00001088" w:history="1">
            <w:r>
              <w:t xml:space="preserve">IPv6 lifecycle and dual-stack considerations</w:t>
            </w:r>
          </w:hyperlink>
        </w:p>
        <w:p>
          <w:pPr>
            <w:pStyle w:val="TOC2"/>
          </w:pPr>
          <w:hyperlink w:anchor="_Toc00001089" w:history="1">
            <w:r>
              <w:t xml:space="preserve">What this chapter establishes</w:t>
            </w:r>
          </w:hyperlink>
        </w:p>
        <w:p>
          <w:pPr>
            <w:pStyle w:val="TOC2"/>
          </w:pPr>
          <w:hyperlink w:anchor="_Toc00001090" w:history="1">
            <w:r>
              <w:t xml:space="preserve">Continue the book</w:t>
            </w:r>
          </w:hyperlink>
        </w:p>
        <w:p>
          <w:pPr>
            <w:pStyle w:val="TOC1"/>
          </w:pPr>
          <w:hyperlink w:anchor="_Toc00001091" w:history="1">
            <w:r>
              <w:t xml:space="preserve">Chapter 08 — Reference Architecture and the Five Critical Decisions</w:t>
            </w:r>
          </w:hyperlink>
        </w:p>
        <w:p>
          <w:pPr>
            <w:pStyle w:val="TOC2"/>
          </w:pPr>
          <w:hyperlink w:anchor="_Toc00001092" w:history="1">
            <w:r>
              <w:t xml:space="preserve">In this chapter</w:t>
            </w:r>
          </w:hyperlink>
        </w:p>
        <w:p>
          <w:pPr>
            <w:pStyle w:val="TOC2"/>
          </w:pPr>
          <w:hyperlink w:anchor="_Toc00001093" w:history="1">
            <w:r>
              <w:t xml:space="preserve">The end-to-end resolution flow and five decisions</w:t>
            </w:r>
          </w:hyperlink>
        </w:p>
        <w:p>
          <w:pPr>
            <w:pStyle w:val="TOC2"/>
          </w:pPr>
          <w:hyperlink w:anchor="_Toc00001094" w:history="1">
            <w:r>
              <w:t xml:space="preserve">What a DDI policy plane is made of</w:t>
            </w:r>
          </w:hyperlink>
        </w:p>
        <w:p>
          <w:pPr>
            <w:pStyle w:val="TOC2"/>
          </w:pPr>
          <w:hyperlink w:anchor="_Toc00001095" w:history="1">
            <w:r>
              <w:t xml:space="preserve">Moving from per-cloud local syncs to a unified control plane</w:t>
            </w:r>
          </w:hyperlink>
        </w:p>
        <w:p>
          <w:pPr>
            <w:pStyle w:val="TOC2"/>
          </w:pPr>
          <w:hyperlink w:anchor="_Toc00001096" w:history="1">
            <w:r>
              <w:t xml:space="preserve">Commercial and federal clouds compared</w:t>
            </w:r>
          </w:hyperlink>
        </w:p>
        <w:p>
          <w:pPr>
            <w:pStyle w:val="TOC2"/>
          </w:pPr>
          <w:hyperlink w:anchor="_Toc00001097" w:history="1">
            <w:r>
              <w:t xml:space="preserve">Questions to settle with vendors</w:t>
            </w:r>
          </w:hyperlink>
        </w:p>
        <w:p>
          <w:pPr>
            <w:pStyle w:val="TOC2"/>
          </w:pPr>
          <w:hyperlink w:anchor="_Toc00001098" w:history="1">
            <w:r>
              <w:t xml:space="preserve">What this chapter establishes</w:t>
            </w:r>
          </w:hyperlink>
        </w:p>
        <w:p>
          <w:pPr>
            <w:pStyle w:val="TOC2"/>
          </w:pPr>
          <w:hyperlink w:anchor="_Toc00001099" w:history="1">
            <w:r>
              <w:t xml:space="preserve">Continue the book</w:t>
            </w:r>
          </w:hyperlink>
        </w:p>
        <w:p>
          <w:pPr>
            <w:pStyle w:val="TOC1"/>
          </w:pPr>
          <w:hyperlink w:anchor="_Toc00001100" w:history="1">
            <w:r>
              <w:t xml:space="preserve">Chapter 09 — Who Owns DNS, DHCP and IPAM</w:t>
            </w:r>
          </w:hyperlink>
        </w:p>
        <w:p>
          <w:pPr>
            <w:pStyle w:val="TOC2"/>
          </w:pPr>
          <w:hyperlink w:anchor="_Toc00001101" w:history="1">
            <w:r>
              <w:t xml:space="preserve">In this chapter</w:t>
            </w:r>
          </w:hyperlink>
        </w:p>
        <w:p>
          <w:pPr>
            <w:pStyle w:val="TOC2"/>
          </w:pPr>
          <w:hyperlink w:anchor="_Toc00001102" w:history="1">
            <w:r>
              <w:t xml:space="preserve">Where the roles come from</w:t>
            </w:r>
          </w:hyperlink>
        </w:p>
        <w:p>
          <w:pPr>
            <w:pStyle w:val="TOC2"/>
          </w:pPr>
          <w:hyperlink w:anchor="_Toc00001103" w:history="1">
            <w:r>
              <w:t xml:space="preserve">Decision rights and work are different things</w:t>
            </w:r>
          </w:hyperlink>
        </w:p>
        <w:p>
          <w:pPr>
            <w:pStyle w:val="TOC2"/>
          </w:pPr>
          <w:hyperlink w:anchor="_Toc00001104" w:history="1">
            <w:r>
              <w:t xml:space="preserve">The roles</w:t>
            </w:r>
          </w:hyperlink>
        </w:p>
        <w:p>
          <w:pPr>
            <w:pStyle w:val="TOC2"/>
          </w:pPr>
          <w:hyperlink w:anchor="_Toc00001105" w:history="1">
            <w:r>
              <w:t xml:space="preserve">The responsibility matrix</w:t>
            </w:r>
          </w:hyperlink>
        </w:p>
        <w:p>
          <w:pPr>
            <w:pStyle w:val="TOC2"/>
          </w:pPr>
          <w:hyperlink w:anchor="_Toc00001106" w:history="1">
            <w:r>
              <w:t xml:space="preserve">Record change approval</w:t>
            </w:r>
          </w:hyperlink>
        </w:p>
        <w:p>
          <w:pPr>
            <w:pStyle w:val="TOC2"/>
          </w:pPr>
          <w:hyperlink w:anchor="_Toc00001107" w:history="1">
            <w:r>
              <w:t xml:space="preserve">Roles in each system</w:t>
            </w:r>
          </w:hyperlink>
        </w:p>
        <w:p>
          <w:pPr>
            <w:pStyle w:val="TOC2"/>
          </w:pPr>
          <w:hyperlink w:anchor="_Toc00001108" w:history="1">
            <w:r>
              <w:t xml:space="preserve">What changes from AD DNS, in one table</w:t>
            </w:r>
          </w:hyperlink>
        </w:p>
        <w:p>
          <w:pPr>
            <w:pStyle w:val="TOC2"/>
          </w:pPr>
          <w:hyperlink w:anchor="_Toc00001109" w:history="1">
            <w:r>
              <w:t xml:space="preserve">Continue the book</w:t>
            </w:r>
          </w:hyperlink>
        </w:p>
        <w:p>
          <w:pPr>
            <w:pStyle w:val="TOC1"/>
          </w:pPr>
          <w:hyperlink w:anchor="_Toc00001110" w:history="1">
            <w:r>
              <w:t xml:space="preserve">Chapter 10 — The Migration Sequence</w:t>
            </w:r>
          </w:hyperlink>
        </w:p>
        <w:p>
          <w:pPr>
            <w:pStyle w:val="TOC2"/>
          </w:pPr>
          <w:hyperlink w:anchor="_Toc00001111" w:history="1">
            <w:r>
              <w:t xml:space="preserve">In this chapter</w:t>
            </w:r>
          </w:hyperlink>
        </w:p>
        <w:p>
          <w:pPr>
            <w:pStyle w:val="TOC2"/>
          </w:pPr>
          <w:hyperlink w:anchor="_Toc00001112" w:history="1">
            <w:r>
              <w:t xml:space="preserve">The six phases</w:t>
            </w:r>
          </w:hyperlink>
        </w:p>
        <w:p>
          <w:pPr>
            <w:pStyle w:val="TOC2"/>
          </w:pPr>
          <w:hyperlink w:anchor="_Toc00001113" w:history="1">
            <w:r>
              <w:t xml:space="preserve">How the operational playbook maps to the six phases</w:t>
            </w:r>
          </w:hyperlink>
        </w:p>
        <w:p>
          <w:pPr>
            <w:pStyle w:val="TOC2"/>
          </w:pPr>
          <w:hyperlink w:anchor="_Toc00001114" w:history="1">
            <w:r>
              <w:t xml:space="preserve">The cutover loop every phase repeats</w:t>
            </w:r>
          </w:hyperlink>
        </w:p>
        <w:p>
          <w:pPr>
            <w:pStyle w:val="TOC2"/>
          </w:pPr>
          <w:hyperlink w:anchor="_Toc00001115" w:history="1">
            <w:r>
              <w:t xml:space="preserve">Phase 1 — Inventory and baseline</w:t>
            </w:r>
          </w:hyperlink>
        </w:p>
        <w:p>
          <w:pPr>
            <w:pStyle w:val="TOC2"/>
          </w:pPr>
          <w:hyperlink w:anchor="_Toc00001116" w:history="1">
            <w:r>
              <w:t xml:space="preserve">Illustrative commands, not tested</w:t>
            </w:r>
          </w:hyperlink>
        </w:p>
        <w:p>
          <w:pPr>
            <w:pStyle w:val="TOC2"/>
          </w:pPr>
          <w:hyperlink w:anchor="_Toc00001117" w:history="1">
            <w:r>
              <w:t xml:space="preserve">Phase 2 — Deploy coexistence</w:t>
            </w:r>
          </w:hyperlink>
        </w:p>
        <w:p>
          <w:pPr>
            <w:pStyle w:val="TOC2"/>
          </w:pPr>
          <w:hyperlink w:anchor="_Toc00001118" w:history="1">
            <w:r>
              <w:t xml:space="preserve">Phase 3 — Migrate authority</w:t>
            </w:r>
          </w:hyperlink>
        </w:p>
        <w:p>
          <w:pPr>
            <w:pStyle w:val="TOC2"/>
          </w:pPr>
          <w:hyperlink w:anchor="_Toc00001119" w:history="1">
            <w:r>
              <w:t xml:space="preserve">Rollback can delete records in Azure Private DNS</w:t>
            </w:r>
          </w:hyperlink>
        </w:p>
        <w:p>
          <w:pPr>
            <w:pStyle w:val="TOC2"/>
          </w:pPr>
          <w:hyperlink w:anchor="_Toc00001120" w:history="1">
            <w:r>
              <w:t xml:space="preserve">Phase 4 — Cloud federation</w:t>
            </w:r>
          </w:hyperlink>
        </w:p>
        <w:p>
          <w:pPr>
            <w:pStyle w:val="TOC2"/>
          </w:pPr>
          <w:hyperlink w:anchor="_Toc00001121" w:history="1">
            <w:r>
              <w:t xml:space="preserve">Phase 5 — Decommission AD DNS and DHCP</w:t>
            </w:r>
          </w:hyperlink>
        </w:p>
        <w:p>
          <w:pPr>
            <w:pStyle w:val="TOC2"/>
          </w:pPr>
          <w:hyperlink w:anchor="_Toc00001122" w:history="1">
            <w:r>
              <w:t xml:space="preserve">Do not decommission early</w:t>
            </w:r>
          </w:hyperlink>
        </w:p>
        <w:p>
          <w:pPr>
            <w:pStyle w:val="TOC2"/>
          </w:pPr>
          <w:hyperlink w:anchor="_Toc00001123" w:history="1">
            <w:r>
              <w:t xml:space="preserve">Phase 6 — Policy and compliance hardening</w:t>
            </w:r>
          </w:hyperlink>
        </w:p>
        <w:p>
          <w:pPr>
            <w:pStyle w:val="TOC2"/>
          </w:pPr>
          <w:hyperlink w:anchor="_Toc00001124" w:history="1">
            <w:r>
              <w:t xml:space="preserve">What success looks like</w:t>
            </w:r>
          </w:hyperlink>
        </w:p>
        <w:p>
          <w:pPr>
            <w:pStyle w:val="TOC2"/>
          </w:pPr>
          <w:hyperlink w:anchor="_Toc00001125" w:history="1">
            <w:r>
              <w:t xml:space="preserve">What this chapter establishes</w:t>
            </w:r>
          </w:hyperlink>
        </w:p>
        <w:p>
          <w:pPr>
            <w:pStyle w:val="TOC2"/>
          </w:pPr>
          <w:hyperlink w:anchor="_Toc00001126" w:history="1">
            <w:r>
              <w:t xml:space="preserve">Continue the book</w:t>
            </w:r>
          </w:hyperlink>
        </w:p>
        <w:p>
          <w:pPr>
            <w:pStyle w:val="TOC1"/>
          </w:pPr>
          <w:hyperlink w:anchor="_Toc00001127" w:history="1">
            <w:r>
              <w:t xml:space="preserve">Chapter 11 — Operating the Control Plane: Delegation, Automation and Evidence</w:t>
            </w:r>
          </w:hyperlink>
        </w:p>
        <w:p>
          <w:pPr>
            <w:pStyle w:val="TOC2"/>
          </w:pPr>
          <w:hyperlink w:anchor="_Toc00001128" w:history="1">
            <w:r>
              <w:t xml:space="preserve">In this chapter</w:t>
            </w:r>
          </w:hyperlink>
        </w:p>
        <w:p>
          <w:pPr>
            <w:pStyle w:val="TOC2"/>
          </w:pPr>
          <w:hyperlink w:anchor="_Toc00001129" w:history="1">
            <w:r>
              <w:t xml:space="preserve">Delegated administration across divisions</w:t>
            </w:r>
          </w:hyperlink>
        </w:p>
        <w:p>
          <w:pPr>
            <w:pStyle w:val="TOC2"/>
          </w:pPr>
          <w:hyperlink w:anchor="_Toc00001130" w:history="1">
            <w:r>
              <w:t xml:space="preserve">Illustrative implementation</w:t>
            </w:r>
          </w:hyperlink>
        </w:p>
        <w:p>
          <w:pPr>
            <w:pStyle w:val="TOC2"/>
          </w:pPr>
          <w:hyperlink w:anchor="_Toc00001131" w:history="1">
            <w:r>
              <w:t xml:space="preserve">API and automation</w:t>
            </w:r>
          </w:hyperlink>
        </w:p>
        <w:p>
          <w:pPr>
            <w:pStyle w:val="TOC2"/>
          </w:pPr>
          <w:hyperlink w:anchor="_Toc00001132" w:history="1">
            <w:r>
              <w:t xml:space="preserve">ITSM integration</w:t>
            </w:r>
          </w:hyperlink>
        </w:p>
        <w:p>
          <w:pPr>
            <w:pStyle w:val="TOC2"/>
          </w:pPr>
          <w:hyperlink w:anchor="_Toc00001133" w:history="1">
            <w:r>
              <w:t xml:space="preserve">Certificate automation (ACME DNS-01)</w:t>
            </w:r>
          </w:hyperlink>
        </w:p>
        <w:p>
          <w:pPr>
            <w:pStyle w:val="TOC2"/>
          </w:pPr>
          <w:hyperlink w:anchor="_Toc00001134" w:history="1">
            <w:r>
              <w:t xml:space="preserve">Identity governance integration</w:t>
            </w:r>
          </w:hyperlink>
        </w:p>
        <w:p>
          <w:pPr>
            <w:pStyle w:val="TOC2"/>
          </w:pPr>
          <w:hyperlink w:anchor="_Toc00001135" w:history="1">
            <w:r>
              <w:t xml:space="preserve">Monitoring and telemetry</w:t>
            </w:r>
          </w:hyperlink>
        </w:p>
        <w:p>
          <w:pPr>
            <w:pStyle w:val="TOC2"/>
          </w:pPr>
          <w:hyperlink w:anchor="_Toc00001136" w:history="1">
            <w:r>
              <w:t xml:space="preserve">Illustrative commands, not tested</w:t>
            </w:r>
          </w:hyperlink>
        </w:p>
        <w:p>
          <w:pPr>
            <w:pStyle w:val="TOC2"/>
          </w:pPr>
          <w:hyperlink w:anchor="_Toc00001137" w:history="1">
            <w:r>
              <w:t xml:space="preserve">Troubleshooting reference</w:t>
            </w:r>
          </w:hyperlink>
        </w:p>
        <w:p>
          <w:pPr>
            <w:pStyle w:val="TOC2"/>
          </w:pPr>
          <w:hyperlink w:anchor="_Toc00001138" w:history="1">
            <w:r>
              <w:t xml:space="preserve">Compliance evidence</w:t>
            </w:r>
          </w:hyperlink>
        </w:p>
        <w:p>
          <w:pPr>
            <w:pStyle w:val="TOC2"/>
          </w:pPr>
          <w:hyperlink w:anchor="_Toc00001139" w:history="1">
            <w:r>
              <w:t xml:space="preserve">Sample evidence checklist</w:t>
            </w:r>
          </w:hyperlink>
        </w:p>
        <w:p>
          <w:pPr>
            <w:pStyle w:val="TOC2"/>
          </w:pPr>
          <w:hyperlink w:anchor="_Toc00001140" w:history="1">
            <w:r>
              <w:t xml:space="preserve">What this chapter establishes</w:t>
            </w:r>
          </w:hyperlink>
        </w:p>
        <w:p>
          <w:pPr>
            <w:pStyle w:val="TOC2"/>
          </w:pPr>
          <w:hyperlink w:anchor="_Toc00001141" w:history="1">
            <w:r>
              <w:t xml:space="preserve">Continue the book</w:t>
            </w:r>
          </w:hyperlink>
        </w:p>
        <w:p>
          <w:pPr>
            <w:pStyle w:val="TOC1"/>
          </w:pPr>
          <w:hyperlink w:anchor="_Toc00001142" w:history="1">
            <w:r>
              <w:t xml:space="preserve">Chapter 12 — Platform Selection, Cost and Residual Risk</w:t>
            </w:r>
          </w:hyperlink>
        </w:p>
        <w:p>
          <w:pPr>
            <w:pStyle w:val="TOC2"/>
          </w:pPr>
          <w:hyperlink w:anchor="_Toc00001143" w:history="1">
            <w:r>
              <w:t xml:space="preserve">In this chapter</w:t>
            </w:r>
          </w:hyperlink>
        </w:p>
        <w:p>
          <w:pPr>
            <w:pStyle w:val="TOC2"/>
          </w:pPr>
          <w:hyperlink w:anchor="_Toc00001144" w:history="1">
            <w:r>
              <w:t xml:space="preserve">Cost, staffing and success measures</w:t>
            </w:r>
          </w:hyperlink>
        </w:p>
        <w:p>
          <w:pPr>
            <w:pStyle w:val="TOC2"/>
          </w:pPr>
          <w:hyperlink w:anchor="_Toc00001145" w:history="1">
            <w:r>
              <w:t xml:space="preserve">Correction to earlier program guidance</w:t>
            </w:r>
          </w:hyperlink>
        </w:p>
        <w:p>
          <w:pPr>
            <w:pStyle w:val="TOC2"/>
          </w:pPr>
          <w:hyperlink w:anchor="_Toc00001146" w:history="1">
            <w:r>
              <w:t xml:space="preserve">Selection criteria</w:t>
            </w:r>
          </w:hyperlink>
        </w:p>
        <w:p>
          <w:pPr>
            <w:pStyle w:val="TOC2"/>
          </w:pPr>
          <w:hyperlink w:anchor="_Toc00001147" w:history="1">
            <w:r>
              <w:t xml:space="preserve">Comparing the platform models</w:t>
            </w:r>
          </w:hyperlink>
        </w:p>
        <w:p>
          <w:pPr>
            <w:pStyle w:val="TOC2"/>
          </w:pPr>
          <w:hyperlink w:anchor="_Toc00001148" w:history="1">
            <w:r>
              <w:t xml:space="preserve">Residual risk and limitations</w:t>
            </w:r>
          </w:hyperlink>
        </w:p>
        <w:p>
          <w:pPr>
            <w:pStyle w:val="TOC2"/>
          </w:pPr>
          <w:hyperlink w:anchor="_Toc00001149" w:history="1">
            <w:r>
              <w:t xml:space="preserve">Conclusion</w:t>
            </w:r>
          </w:hyperlink>
        </w:p>
        <w:p>
          <w:pPr>
            <w:pStyle w:val="TOC2"/>
          </w:pPr>
          <w:hyperlink w:anchor="_Toc00001150" w:history="1">
            <w:r>
              <w:t xml:space="preserve">Continue the book</w:t>
            </w:r>
          </w:hyperlink>
        </w:p>
        <w:p>
          <w:pPr>
            <w:pStyle w:val="TOC1"/>
          </w:pPr>
          <w:hyperlink w:anchor="_Toc00001151" w:history="1">
            <w:r>
              <w:t xml:space="preserve">Appendix A — DNS Record Types and Ecosystem Integrations</w:t>
            </w:r>
          </w:hyperlink>
        </w:p>
        <w:p>
          <w:pPr>
            <w:pStyle w:val="TOC2"/>
          </w:pPr>
          <w:hyperlink w:anchor="_Toc00001152" w:history="1">
            <w:r>
              <w:t xml:space="preserve">In this appendix</w:t>
            </w:r>
          </w:hyperlink>
        </w:p>
        <w:p>
          <w:pPr>
            <w:pStyle w:val="TOC2"/>
          </w:pPr>
          <w:hyperlink w:anchor="_Toc00001153" w:history="1">
            <w:r>
              <w:t xml:space="preserve">How to read the catalog</w:t>
            </w:r>
          </w:hyperlink>
        </w:p>
        <w:p>
          <w:pPr>
            <w:pStyle w:val="TOC2"/>
          </w:pPr>
          <w:hyperlink w:anchor="_Toc00001154" w:history="1">
            <w:r>
              <w:t xml:space="preserve">Address and alias records</w:t>
            </w:r>
          </w:hyperlink>
        </w:p>
        <w:p>
          <w:pPr>
            <w:pStyle w:val="TOC2"/>
          </w:pPr>
          <w:hyperlink w:anchor="_Toc00001155" w:history="1">
            <w:r>
              <w:t xml:space="preserve">Service discovery records</w:t>
            </w:r>
          </w:hyperlink>
        </w:p>
        <w:p>
          <w:pPr>
            <w:pStyle w:val="TOC2"/>
          </w:pPr>
          <w:hyperlink w:anchor="_Toc00001156" w:history="1">
            <w:r>
              <w:t xml:space="preserve">Certificate governance records</w:t>
            </w:r>
          </w:hyperlink>
        </w:p>
        <w:p>
          <w:pPr>
            <w:pStyle w:val="TOC2"/>
          </w:pPr>
          <w:hyperlink w:anchor="_Toc00001157" w:history="1">
            <w:r>
              <w:t xml:space="preserve">Email authentication records</w:t>
            </w:r>
          </w:hyperlink>
        </w:p>
        <w:p>
          <w:pPr>
            <w:pStyle w:val="TOC2"/>
          </w:pPr>
          <w:hyperlink w:anchor="_Toc00001158" w:history="1">
            <w:r>
              <w:t xml:space="preserve">Modern service binding records</w:t>
            </w:r>
          </w:hyperlink>
        </w:p>
        <w:p>
          <w:pPr>
            <w:pStyle w:val="TOC2"/>
          </w:pPr>
          <w:hyperlink w:anchor="_Toc00001159" w:history="1">
            <w:r>
              <w:t xml:space="preserve">DNSSEC record types</w:t>
            </w:r>
          </w:hyperlink>
        </w:p>
        <w:p>
          <w:pPr>
            <w:pStyle w:val="TOC2"/>
          </w:pPr>
          <w:hyperlink w:anchor="_Toc00001160" w:history="1">
            <w:r>
              <w:t xml:space="preserve">Security integration matrix</w:t>
            </w:r>
          </w:hyperlink>
        </w:p>
        <w:p>
          <w:pPr>
            <w:pStyle w:val="TOC2"/>
          </w:pPr>
          <w:hyperlink w:anchor="_Toc00001161" w:history="1">
            <w:r>
              <w:t xml:space="preserve">Ecosystem integrations</w:t>
            </w:r>
          </w:hyperlink>
        </w:p>
        <w:p>
          <w:pPr>
            <w:pStyle w:val="TOC2"/>
          </w:pPr>
          <w:hyperlink w:anchor="_Toc00001162" w:history="1">
            <w:r>
              <w:t xml:space="preserve">Glossary</w:t>
            </w:r>
          </w:hyperlink>
        </w:p>
        <w:p>
          <w:pPr>
            <w:pStyle w:val="TOC2"/>
          </w:pPr>
          <w:hyperlink w:anchor="_Toc00001163" w:history="1">
            <w:r>
              <w:t xml:space="preserve">Continue the book</w:t>
            </w:r>
          </w:hyperlink>
        </w:p>
        <w:p>
          <w:pPr>
            <w:pStyle w:val="TOC1"/>
          </w:pPr>
          <w:hyperlink w:anchor="_Toc00001164" w:history="1">
            <w:r>
              <w:t xml:space="preserve">Appendix B — Requirements Mapping and Sources</w:t>
            </w:r>
          </w:hyperlink>
        </w:p>
        <w:p>
          <w:pPr>
            <w:pStyle w:val="TOC2"/>
          </w:pPr>
          <w:hyperlink w:anchor="_Toc00001165" w:history="1">
            <w:r>
              <w:t xml:space="preserve">In this appendix</w:t>
            </w:r>
          </w:hyperlink>
        </w:p>
        <w:p>
          <w:pPr>
            <w:pStyle w:val="TOC2"/>
          </w:pPr>
          <w:hyperlink w:anchor="_Toc00001166" w:history="1">
            <w:r>
              <w:t xml:space="preserve">Compliance-enabling, not a compliance claim</w:t>
            </w:r>
          </w:hyperlink>
        </w:p>
        <w:p>
          <w:pPr>
            <w:pStyle w:val="TOC2"/>
          </w:pPr>
          <w:hyperlink w:anchor="_Toc00001167" w:history="1">
            <w:r>
              <w:t xml:space="preserve">Requirements mapping</w:t>
            </w:r>
          </w:hyperlink>
        </w:p>
        <w:p>
          <w:pPr>
            <w:pStyle w:val="TOC2"/>
          </w:pPr>
          <w:hyperlink w:anchor="_Toc00001168" w:history="1">
            <w:r>
              <w:t xml:space="preserve">Reading the SP 800-53 controls</w:t>
            </w:r>
          </w:hyperlink>
        </w:p>
        <w:p>
          <w:pPr>
            <w:pStyle w:val="TOC2"/>
          </w:pPr>
          <w:hyperlink w:anchor="_Toc00001169" w:history="1">
            <w:r>
              <w:t xml:space="preserve">Sources</w:t>
            </w:r>
          </w:hyperlink>
        </w:p>
        <w:p>
          <w:pPr>
            <w:pStyle w:val="TOC2"/>
          </w:pPr>
          <w:hyperlink w:anchor="_Toc00001170" w:history="1">
            <w:r>
              <w:t xml:space="preserve">Continue the book</w:t>
            </w:r>
          </w:hyperlink>
        </w:p>
        <w:p>
          <w:pPr>
            <w:pStyle w:val="TOC1"/>
          </w:pPr>
          <w:hyperlink w:anchor="_Toc00001171" w:history="1">
            <w:r>
              <w:t xml:space="preserve">Appendix C — Applicability</w:t>
            </w:r>
          </w:hyperlink>
        </w:p>
        <w:p>
          <w:pPr>
            <w:pStyle w:val="TOC2"/>
          </w:pPr>
          <w:hyperlink w:anchor="_Toc00001172" w:history="1">
            <w:r>
              <w:t xml:space="preserve">In this appendix</w:t>
            </w:r>
          </w:hyperlink>
        </w:p>
        <w:p>
          <w:pPr>
            <w:pStyle w:val="TOC2"/>
          </w:pPr>
          <w:hyperlink w:anchor="_Toc00001173" w:history="1">
            <w:r>
              <w:t xml:space="preserve">Platform facts as of October 20, 2026</w:t>
            </w:r>
          </w:hyperlink>
        </w:p>
        <w:p>
          <w:pPr>
            <w:pStyle w:val="TOC2"/>
          </w:pPr>
          <w:hyperlink w:anchor="_Toc00001174" w:history="1">
            <w:r>
              <w:t xml:space="preserve">Primary scope: commercial cloud at FedRAMP Moderate</w:t>
            </w:r>
          </w:hyperlink>
        </w:p>
        <w:p>
          <w:pPr>
            <w:pStyle w:val="TOC2"/>
          </w:pPr>
          <w:hyperlink w:anchor="_Toc00001175" w:history="1">
            <w:r>
              <w:t xml:space="preserve">GCC High, Azure Government and AWS GovCloud (US)</w:t>
            </w:r>
          </w:hyperlink>
        </w:p>
        <w:p>
          <w:pPr>
            <w:pStyle w:val="TOC2"/>
          </w:pPr>
          <w:hyperlink w:anchor="_Toc00001176" w:history="1">
            <w:r>
              <w:t xml:space="preserve">DoD (impact levels 4 and 5)</w:t>
            </w:r>
          </w:hyperlink>
        </w:p>
        <w:p>
          <w:pPr>
            <w:pStyle w:val="TOC2"/>
          </w:pPr>
          <w:hyperlink w:anchor="_Toc00001177" w:history="1">
            <w:r>
              <w:t xml:space="preserve">Air-gapped and classified networks</w:t>
            </w:r>
          </w:hyperlink>
        </w:p>
        <w:p>
          <w:pPr>
            <w:pStyle w:val="TOC2"/>
          </w:pPr>
          <w:hyperlink w:anchor="_Toc00001178" w:history="1">
            <w:r>
              <w:t xml:space="preserve">Quick reference</w:t>
            </w:r>
          </w:hyperlink>
        </w:p>
        <w:p>
          <w:pPr>
            <w:pStyle w:val="TOC2"/>
          </w:pPr>
          <w:hyperlink w:anchor="_Toc00001179" w:history="1">
            <w:r>
              <w:t xml:space="preserve">Continue the book</w:t>
            </w:r>
          </w:hyperlink>
          <w:r>
            <w:fldChar w:fldCharType="end"/>
          </w:r>
        </w:p>
      </w:sdtContent>
    </w:sdt>
    <w:bookmarkStart w:id="19" w:name="Xa2af63fa81897bb28195edced3467f89f3a317e"/>
    <w:p>
      <w:pPr>
        <w:pStyle w:val="Heading1"/>
      </w:pPr>
      <w:bookmarkStart w:id="1015" w:name="_Toc00001015"/>
      <w:r>
        <w:t xml:space="preserve">Book 08 — DNS, DHCP &amp; IPAM: The Hybrid Multi-Cloud Control Plane</w:t>
      </w:r>
      <w:bookmarkEnd w:id="1015"/>
    </w:p>
    <w:bookmarkStart w:id="10" w:name="status-draft-book"/>
    <w:p>
      <w:pPr>
        <w:pStyle w:val="Heading2"/>
      </w:pPr>
      <w:bookmarkStart w:id="1016" w:name="_Toc00001016"/>
      <w:r>
        <w:t xml:space="preserve">Status — draft book</w:t>
      </w:r>
      <w:bookmarkEnd w:id="1016"/>
    </w:p>
    <w:p>
      <w:pPr>
        <w:pStyle w:val="FirstParagraph"/>
      </w:pPr>
      <w:r>
        <w:t xml:space="preserve">This book brings together the workbook’s Next Generation DDI series, the Next Generation DNS whitepaper, the DNS Modernization Guide and the DNS record-type reference. Every external claim was checked against a primary source on October 20, 2026 and carries a footnote. The earlier pages are kept in the repository’s</w:t>
      </w:r>
      <w:r>
        <w:t xml:space="preserve"> </w:t>
      </w:r>
      <w:hyperlink r:id="rId9">
        <w:r>
          <w:rPr>
            <w:rStyle w:val="VerbatimChar"/>
          </w:rPr>
          <w:t xml:space="preserve">archive/b08-ddi/</w:t>
        </w:r>
      </w:hyperlink>
      <w:r>
        <w:t xml:space="preserve"> </w:t>
      </w:r>
      <w:r>
        <w:t xml:space="preserve">folder, and their old addresses forward to the chapters that replaced them.</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presentations/b08-ddi/</w:t>
        </w:r>
      </w:hyperlink>
      <w:r>
        <w:t xml:space="preserve">.</w:t>
      </w:r>
    </w:p>
    <w:p>
      <w:pPr>
        <w:pStyle w:val="BodyText"/>
      </w:pPr>
      <w:r>
        <w:t xml:space="preserve">DNS was designed to answer one question: what is the address for this name? In a hybrid multi-cloud agency it now does far more. It publishes private endpoints, selects SaaS front doors, enforces security policy, anchors certificate validation and defines the application surface that Zero Trust policy is written against. Most agencies still run it as a commodity utility spread across independent platforms: Active Directory DNS or an on-premises DDI grid, AWS Route 53, Azure DNS, Google Cloud DNS and VMware NSX. The result is split-brain DNS that breaks private connectivity, certificate trust and Layer 7 policy at once, and that shows up as certificate errors and access denials rather than DNS errors. This book makes the case for one authoritative DDI policy plane, and walks through who owns it, how to get there and how to run it.</w:t>
      </w:r>
    </w:p>
    <w:bookmarkStart w:id="15" w:name="why-what-who-how"/>
    <w:p>
      <w:pPr>
        <w:pStyle w:val="Heading2"/>
      </w:pPr>
      <w:bookmarkStart w:id="1017" w:name="_Toc00001017"/>
      <w:r>
        <w:t xml:space="preserve">Why, what, who, how</w:t>
      </w:r>
      <w:bookmarkEnd w:id="1017"/>
    </w:p>
    <w:p>
      <w:pPr>
        <w:pStyle w:val="CaptionedFigure"/>
      </w:pPr>
      <w:r>
        <w:drawing>
          <wp:inline>
            <wp:extent cx="5334000" cy="1838786"/>
            <wp:effectExtent b="0" l="0" r="0" t="0"/>
            <wp:docPr descr="The book’s four questions and the chapters that answer each." title="" id="13" name="Picture"/>
            <a:graphic>
              <a:graphicData uri="http://schemas.openxmlformats.org/drawingml/2006/picture">
                <pic:pic>
                  <pic:nvPicPr>
                    <pic:cNvPr descr="/home/runner/work/modernization-workbook/modernization-workbook/docs/images/diagrams/b08-ddi/png/series-00-reading-path.png" id="14" name="Picture"/>
                    <pic:cNvPicPr>
                      <a:picLocks noChangeArrowheads="1" noChangeAspect="1"/>
                    </pic:cNvPicPr>
                  </pic:nvPicPr>
                  <pic:blipFill>
                    <a:blip r:embed="rId12"/>
                    <a:stretch>
                      <a:fillRect/>
                    </a:stretch>
                  </pic:blipFill>
                  <pic:spPr bwMode="auto">
                    <a:xfrm>
                      <a:off x="0" y="0"/>
                      <a:ext cx="5334000" cy="1838786"/>
                    </a:xfrm>
                    <a:prstGeom prst="rect">
                      <a:avLst/>
                    </a:prstGeom>
                    <a:noFill/>
                    <a:ln w="9525">
                      <a:noFill/>
                      <a:headEnd/>
                      <a:tailEnd/>
                    </a:ln>
                  </pic:spPr>
                </pic:pic>
              </a:graphicData>
            </a:graphic>
          </wp:inline>
        </w:drawing>
      </w:r>
    </w:p>
    <w:p>
      <w:pPr>
        <w:pStyle w:val="ImageCaption"/>
      </w:pPr>
      <w:r>
        <w:t xml:space="preserve">The book’s four questions and the chapters that answer each.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is DNS now the control plane, why does split-brain DNS follow, and what do federal requirements demand?</w:t>
            </w:r>
          </w:p>
        </w:tc>
        <w:tc>
          <w:tcPr/>
          <w:p>
            <w:pPr>
              <w:pStyle w:val="Compact"/>
            </w:pPr>
            <w:r>
              <w:t xml:space="preserve">01, 02, 03</w:t>
            </w:r>
          </w:p>
        </w:tc>
      </w:tr>
      <w:tr>
        <w:tc>
          <w:tcPr/>
          <w:p>
            <w:pPr>
              <w:pStyle w:val="Compact"/>
            </w:pPr>
            <w:r>
              <w:rPr>
                <w:b/>
                <w:bCs/>
              </w:rPr>
              <w:t xml:space="preserve">What</w:t>
            </w:r>
          </w:p>
        </w:tc>
        <w:tc>
          <w:tcPr/>
          <w:p>
            <w:pPr>
              <w:pStyle w:val="Compact"/>
            </w:pPr>
            <w:r>
              <w:t xml:space="preserve">What the hard surfaces are, from AD DNS to cloud private endpoints, and what architecture answers them</w:t>
            </w:r>
          </w:p>
        </w:tc>
        <w:tc>
          <w:tcPr/>
          <w:p>
            <w:pPr>
              <w:pStyle w:val="Compact"/>
            </w:pPr>
            <w:r>
              <w:t xml:space="preserve">04, 05, 06, 07, 08</w:t>
            </w:r>
          </w:p>
        </w:tc>
      </w:tr>
      <w:tr>
        <w:tc>
          <w:tcPr/>
          <w:p>
            <w:pPr>
              <w:pStyle w:val="Compact"/>
            </w:pPr>
            <w:r>
              <w:rPr>
                <w:b/>
                <w:bCs/>
              </w:rPr>
              <w:t xml:space="preserve">Who</w:t>
            </w:r>
          </w:p>
        </w:tc>
        <w:tc>
          <w:tcPr/>
          <w:p>
            <w:pPr>
              <w:pStyle w:val="Compact"/>
            </w:pPr>
            <w:r>
              <w:t xml:space="preserve">Who decides and who does the work for DNS, DHCP and IPAM</w:t>
            </w:r>
          </w:p>
        </w:tc>
        <w:tc>
          <w:tcPr/>
          <w:p>
            <w:pPr>
              <w:pStyle w:val="Compact"/>
            </w:pPr>
            <w:r>
              <w:t xml:space="preserve">09</w:t>
            </w:r>
          </w:p>
        </w:tc>
      </w:tr>
      <w:tr>
        <w:tc>
          <w:tcPr/>
          <w:p>
            <w:pPr>
              <w:pStyle w:val="Compact"/>
            </w:pPr>
            <w:r>
              <w:rPr>
                <w:b/>
                <w:bCs/>
              </w:rPr>
              <w:t xml:space="preserve">How</w:t>
            </w:r>
          </w:p>
        </w:tc>
        <w:tc>
          <w:tcPr/>
          <w:p>
            <w:pPr>
              <w:pStyle w:val="Compact"/>
            </w:pPr>
            <w:r>
              <w:t xml:space="preserve">Migrate in six phases, operate and evidence the control plane, and choose a platform knowing the cost and residual risk</w:t>
            </w:r>
          </w:p>
        </w:tc>
        <w:tc>
          <w:tcPr/>
          <w:p>
            <w:pPr>
              <w:pStyle w:val="Compact"/>
            </w:pPr>
            <w:r>
              <w:t xml:space="preserve">10, 11, 12</w:t>
            </w:r>
          </w:p>
        </w:tc>
      </w:tr>
    </w:tbl>
    <w:p>
      <w:pPr>
        <w:pStyle w:val="BodyText"/>
      </w:pPr>
      <w:r>
        <w:t xml:space="preserve">Appendices: A — DNS record types and ecosystem integrations · B — Requirements mapping and sources · C — Applicability</w:t>
      </w:r>
    </w:p>
    <w:p>
      <w:pPr>
        <w:pStyle w:val="BodyText"/>
      </w:pPr>
      <w:r>
        <w:t xml:space="preserve">Start with Appendix C if you work in GCC High, DoD or an air-gapped environment. It sets out which statements in the chapters change at higher impact levels.</w:t>
      </w:r>
    </w:p>
    <w:bookmarkEnd w:id="15"/>
    <w:bookmarkStart w:id="16" w:name="the-canonical-sequence"/>
    <w:p>
      <w:pPr>
        <w:pStyle w:val="Heading2"/>
      </w:pPr>
      <w:bookmarkStart w:id="1018" w:name="_Toc00001018"/>
      <w:r>
        <w:t xml:space="preserve">The canonical sequence</w:t>
      </w:r>
      <w:bookmarkEnd w:id="1018"/>
    </w:p>
    <w:p>
      <w:pPr>
        <w:pStyle w:val="FirstParagraph"/>
      </w:pPr>
      <w:r>
        <w:t xml:space="preserve">Every chapter aligns to one sequence. It is the order in which the work is done, and the order in which evidence accumulates:</w:t>
      </w:r>
    </w:p>
    <w:p>
      <w:pPr>
        <w:pStyle w:val="BodyText"/>
      </w:pPr>
      <w:r>
        <w:rPr>
          <w:b/>
          <w:bCs/>
        </w:rPr>
        <w:t xml:space="preserve">Inventory → Coexist → Migrate authority → Federate clouds → Decommission AD DNS and DHCP → Harden and evidence</w:t>
      </w:r>
    </w:p>
    <w:p>
      <w:pPr>
        <w:pStyle w:val="BodyText"/>
      </w:pPr>
      <w:r>
        <w:t xml:space="preserve">Five configuration decisions carry most of the risk along the way. Each is settled in Chapter 08 and checked in Chapter 11:</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Decision</w:t>
            </w:r>
          </w:p>
        </w:tc>
        <w:tc>
          <w:tcPr/>
          <w:p>
            <w:pPr>
              <w:pStyle w:val="Compact"/>
            </w:pPr>
            <w:r>
              <w:t xml:space="preserve">Settled in</w:t>
            </w:r>
          </w:p>
        </w:tc>
        <w:tc>
          <w:tcPr/>
          <w:p>
            <w:pPr>
              <w:pStyle w:val="Compact"/>
            </w:pPr>
            <w:r>
              <w:t xml:space="preserve">Phase</w:t>
            </w:r>
          </w:p>
        </w:tc>
      </w:tr>
      <w:tr>
        <w:tc>
          <w:tcPr/>
          <w:p>
            <w:pPr>
              <w:pStyle w:val="Compact"/>
            </w:pPr>
            <w:r>
              <w:t xml:space="preserve">1. redirect-dns targets a network-addressable agency resolver</w:t>
            </w:r>
          </w:p>
        </w:tc>
        <w:tc>
          <w:tcPr/>
          <w:p>
            <w:pPr>
              <w:pStyle w:val="Compact"/>
            </w:pPr>
            <w:r>
              <w:t xml:space="preserve">Ch 05, Ch 08</w:t>
            </w:r>
          </w:p>
        </w:tc>
        <w:tc>
          <w:tcPr/>
          <w:p>
            <w:pPr>
              <w:pStyle w:val="Compact"/>
            </w:pPr>
            <w:r>
              <w:t xml:space="preserve">Migrate authority</w:t>
            </w:r>
          </w:p>
        </w:tc>
      </w:tr>
      <w:tr>
        <w:tc>
          <w:tcPr/>
          <w:p>
            <w:pPr>
              <w:pStyle w:val="Compact"/>
            </w:pPr>
            <w:r>
              <w:t xml:space="preserve">2. The agency resolver is the first hop; other resolvers are its forwarders</w:t>
            </w:r>
          </w:p>
        </w:tc>
        <w:tc>
          <w:tcPr/>
          <w:p>
            <w:pPr>
              <w:pStyle w:val="Compact"/>
            </w:pPr>
            <w:r>
              <w:t xml:space="preserve">Ch 05, Ch 08</w:t>
            </w:r>
          </w:p>
        </w:tc>
        <w:tc>
          <w:tcPr/>
          <w:p>
            <w:pPr>
              <w:pStyle w:val="Compact"/>
            </w:pPr>
            <w:r>
              <w:t xml:space="preserve">Migrate authority</w:t>
            </w:r>
          </w:p>
        </w:tc>
      </w:tr>
      <w:tr>
        <w:tc>
          <w:tcPr/>
          <w:p>
            <w:pPr>
              <w:pStyle w:val="Compact"/>
            </w:pPr>
            <w:r>
              <w:t xml:space="preserve">3. The policy plane holds every per-cloud conditional forwarding rule</w:t>
            </w:r>
          </w:p>
        </w:tc>
        <w:tc>
          <w:tcPr/>
          <w:p>
            <w:pPr>
              <w:pStyle w:val="Compact"/>
            </w:pPr>
            <w:r>
              <w:t xml:space="preserve">Ch 07, Ch 08</w:t>
            </w:r>
          </w:p>
        </w:tc>
        <w:tc>
          <w:tcPr/>
          <w:p>
            <w:pPr>
              <w:pStyle w:val="Compact"/>
            </w:pPr>
            <w:r>
              <w:t xml:space="preserve">Federate clouds</w:t>
            </w:r>
          </w:p>
        </w:tc>
      </w:tr>
      <w:tr>
        <w:tc>
          <w:tcPr/>
          <w:p>
            <w:pPr>
              <w:pStyle w:val="Compact"/>
            </w:pPr>
            <w:r>
              <w:t xml:space="preserve">4. AD DNS is inventoried and reprovisioned before any domain controller goes</w:t>
            </w:r>
          </w:p>
        </w:tc>
        <w:tc>
          <w:tcPr/>
          <w:p>
            <w:pPr>
              <w:pStyle w:val="Compact"/>
            </w:pPr>
            <w:r>
              <w:t xml:space="preserve">Ch 04, Ch 10</w:t>
            </w:r>
          </w:p>
        </w:tc>
        <w:tc>
          <w:tcPr/>
          <w:p>
            <w:pPr>
              <w:pStyle w:val="Compact"/>
            </w:pPr>
            <w:r>
              <w:t xml:space="preserve">Inventory, Decommission</w:t>
            </w:r>
          </w:p>
        </w:tc>
      </w:tr>
      <w:tr>
        <w:tc>
          <w:tcPr/>
          <w:p>
            <w:pPr>
              <w:pStyle w:val="Compact"/>
            </w:pPr>
            <w:r>
              <w:t xml:space="preserve">5. OCSP and CRL endpoints resolve from every origin</w:t>
            </w:r>
          </w:p>
        </w:tc>
        <w:tc>
          <w:tcPr/>
          <w:p>
            <w:pPr>
              <w:pStyle w:val="Compact"/>
            </w:pPr>
            <w:r>
              <w:t xml:space="preserve">Ch 06, Ch 08</w:t>
            </w:r>
          </w:p>
        </w:tc>
        <w:tc>
          <w:tcPr/>
          <w:p>
            <w:pPr>
              <w:pStyle w:val="Compact"/>
            </w:pPr>
            <w:r>
              <w:t xml:space="preserve">Federate clouds, Harden</w:t>
            </w:r>
          </w:p>
        </w:tc>
      </w:tr>
    </w:tbl>
    <w:bookmarkEnd w:id="16"/>
    <w:bookmarkStart w:id="17" w:name="reading-paths"/>
    <w:p>
      <w:pPr>
        <w:pStyle w:val="Heading2"/>
      </w:pPr>
      <w:bookmarkStart w:id="1019" w:name="_Toc00001019"/>
      <w:r>
        <w:t xml:space="preserve">Reading paths</w:t>
      </w:r>
      <w:bookmarkEnd w:id="1019"/>
    </w:p>
    <w:p>
      <w:pPr>
        <w:pStyle w:val="Compact"/>
        <w:numPr>
          <w:ilvl w:val="0"/>
          <w:numId w:val="1001"/>
        </w:numPr>
      </w:pPr>
      <w:r>
        <w:rPr>
          <w:b/>
          <w:bCs/>
        </w:rPr>
        <w:t xml:space="preserve">Executives (20 minutes):</w:t>
      </w:r>
      <w:r>
        <w:t xml:space="preserve"> </w:t>
      </w:r>
      <w:r>
        <w:t xml:space="preserve">Chapters 01, 03, 08 and 09, or the 15-minute presentation.</w:t>
      </w:r>
    </w:p>
    <w:p>
      <w:pPr>
        <w:pStyle w:val="Compact"/>
        <w:numPr>
          <w:ilvl w:val="0"/>
          <w:numId w:val="1001"/>
        </w:numPr>
      </w:pPr>
      <w:r>
        <w:rPr>
          <w:b/>
          <w:bCs/>
        </w:rPr>
        <w:t xml:space="preserve">Enterprise and network architects:</w:t>
      </w:r>
      <w:r>
        <w:t xml:space="preserve"> </w:t>
      </w:r>
      <w:r>
        <w:t xml:space="preserve">Chapters 01, 02, 07, 08, then 10.</w:t>
      </w:r>
    </w:p>
    <w:p>
      <w:pPr>
        <w:pStyle w:val="Compact"/>
        <w:numPr>
          <w:ilvl w:val="0"/>
          <w:numId w:val="1001"/>
        </w:numPr>
      </w:pPr>
      <w:r>
        <w:rPr>
          <w:b/>
          <w:bCs/>
        </w:rPr>
        <w:t xml:space="preserve">Identity architects:</w:t>
      </w:r>
      <w:r>
        <w:t xml:space="preserve"> </w:t>
      </w:r>
      <w:r>
        <w:t xml:space="preserve">Chapters 04 and 06, then 10.</w:t>
      </w:r>
    </w:p>
    <w:p>
      <w:pPr>
        <w:pStyle w:val="Compact"/>
        <w:numPr>
          <w:ilvl w:val="0"/>
          <w:numId w:val="1001"/>
        </w:numPr>
      </w:pPr>
      <w:r>
        <w:rPr>
          <w:b/>
          <w:bCs/>
        </w:rPr>
        <w:t xml:space="preserve">Network and security engineers:</w:t>
      </w:r>
      <w:r>
        <w:t xml:space="preserve"> </w:t>
      </w:r>
      <w:r>
        <w:t xml:space="preserve">Chapters 05, 06, 07 and 10, with Appendix A at hand.</w:t>
      </w:r>
    </w:p>
    <w:p>
      <w:pPr>
        <w:pStyle w:val="Compact"/>
        <w:numPr>
          <w:ilvl w:val="0"/>
          <w:numId w:val="1001"/>
        </w:numPr>
      </w:pPr>
      <w:r>
        <w:rPr>
          <w:b/>
          <w:bCs/>
        </w:rPr>
        <w:t xml:space="preserve">Program managers:</w:t>
      </w:r>
      <w:r>
        <w:t xml:space="preserve"> </w:t>
      </w:r>
      <w:r>
        <w:t xml:space="preserve">Chapters 01, 09, 10 and 12.</w:t>
      </w:r>
    </w:p>
    <w:p>
      <w:pPr>
        <w:pStyle w:val="Compact"/>
        <w:numPr>
          <w:ilvl w:val="0"/>
          <w:numId w:val="1001"/>
        </w:numPr>
      </w:pPr>
      <w:r>
        <w:rPr>
          <w:b/>
          <w:bCs/>
        </w:rPr>
        <w:t xml:space="preserve">GCC High, DoD or air-gapped readers:</w:t>
      </w:r>
      <w:r>
        <w:t xml:space="preserve"> </w:t>
      </w:r>
      <w:r>
        <w:t xml:space="preserve">Appendix C, then Chapters 03, 05, 07 and 11.</w:t>
      </w:r>
    </w:p>
    <w:bookmarkEnd w:id="17"/>
    <w:bookmarkStart w:id="18" w:name="where-this-book-sits-in-the-workbook"/>
    <w:p>
      <w:pPr>
        <w:pStyle w:val="Heading2"/>
      </w:pPr>
      <w:bookmarkStart w:id="1020" w:name="_Toc00001020"/>
      <w:r>
        <w:t xml:space="preserve">Where this book sits in the workbook</w:t>
      </w:r>
      <w:bookmarkEnd w:id="1020"/>
    </w:p>
    <w:p>
      <w:pPr>
        <w:pStyle w:val="FirstParagraph"/>
      </w:pPr>
      <w:r>
        <w:t xml:space="preserve">This is Book 08 of the Modernization Workbook. Book 02 — Identity &amp; Directory finds DNS, DHCP and IPAM among the hidden dependencies on Active Directory. Book 05 — Devices &amp; Endpoints moves the clients whose resolver settings change here, and Book 07 — PKI &amp; Certificates depends on the revocation endpoints this book keeps resolvable. For the implementation and control-closure detail, see the Federal Compliance volume on Multi-Cloud DDI automation and the landing zone and IPAM book; for the services view inside the wider program, see Client-Server to Hybrid-Cloud, Chapter 06.</w:t>
      </w:r>
    </w:p>
    <w:p>
      <w:pPr>
        <w:pStyle w:val="BodyText"/>
      </w:pPr>
      <w:r>
        <w:t xml:space="preserve">Platform-specific examples are illustrative; evaluate every option against the architectural requirement of a single authoritative policy plane. Footnotes cite primary sources (federal documents, IETF standards and the cloud providers’ own documentation) wherever one exists; the few third-party sources are labeled as such, and Appendix B lists both groups separately.</w:t>
      </w:r>
    </w:p>
    <w:bookmarkEnd w:id="18"/>
    <w:bookmarkEnd w:id="19"/>
    <w:bookmarkStart w:id="81" w:name="chapter-01-dns-is-now-the-control-plane"/>
    <w:p>
      <w:pPr>
        <w:pStyle w:val="Heading1"/>
      </w:pPr>
      <w:bookmarkStart w:id="1021" w:name="_Toc00001021"/>
      <w:r>
        <w:t xml:space="preserve">Chapter 01 — DNS Is Now the Control Plane</w:t>
      </w:r>
      <w:bookmarkEnd w:id="1021"/>
    </w:p>
    <w:p>
      <w:pPr>
        <w:pStyle w:val="FirstParagraph"/>
      </w:pPr>
      <w:r>
        <w:rPr>
          <w:i/>
          <w:iCs/>
        </w:rPr>
        <w:t xml:space="preserve">Every connection starts with a name, so whoever governs the name layer governs the enterprise.</w:t>
      </w:r>
    </w:p>
    <w:bookmarkStart w:id="20" w:name="in-this-chapter"/>
    <w:p>
      <w:pPr>
        <w:pStyle w:val="Heading2"/>
      </w:pPr>
      <w:bookmarkStart w:id="1022" w:name="_Toc00001022"/>
      <w:r>
        <w:t xml:space="preserve">In this chapter</w:t>
      </w:r>
      <w:bookmarkEnd w:id="1022"/>
    </w:p>
    <w:p>
      <w:pPr>
        <w:pStyle w:val="FirstParagraph"/>
      </w:pPr>
      <w:r>
        <w:t xml:space="preserve">Why DNS has stopped being a lookup utility and become the control plane of the hybrid multi-cloud agency. The problem, the structural fix and the ask; the six jobs DNS now does; the three perspectives one policy plane has to cover; how each cloud platform runs its own DNS, and why that fragments ownership; and why IPAM and DHCP are the address layer of the asset inventory.</w:t>
      </w:r>
    </w:p>
    <w:bookmarkEnd w:id="20"/>
    <w:bookmarkStart w:id="25" w:name="why-dns-is-now-the-control-plane"/>
    <w:p>
      <w:pPr>
        <w:pStyle w:val="Heading2"/>
      </w:pPr>
      <w:bookmarkStart w:id="1023" w:name="_Toc00001023"/>
      <w:r>
        <w:t xml:space="preserve">Why DNS is now the control plane</w:t>
      </w:r>
      <w:bookmarkEnd w:id="1023"/>
    </w:p>
    <w:p>
      <w:pPr>
        <w:pStyle w:val="FirstParagraph"/>
      </w:pPr>
      <w:r>
        <w:t xml:space="preserve">Almost every network connection begins with a DNS query.</w:t>
      </w:r>
      <w:r>
        <w:rPr>
          <w:rStyle w:val="FootnoteReference"/>
        </w:rPr>
        <w:footnoteReference w:id="21"/>
      </w:r>
      <w:r>
        <w:t xml:space="preserve"> </w:t>
      </w:r>
      <w:r>
        <w:t xml:space="preserve">In a hybrid multi-cloud agency, the answer to that query now decides far more than an address. It decides whether traffic to a cloud service stays on a private path, which SaaS front door a user reaches, whether a known-malicious domain is blocked, whether a certificate’s revocation check succeeds, and which service a Zero Trust policy is evaluating. NIST’s 2026 DNS deployment guide says it plainly: DNS infrastructure</w:t>
      </w:r>
      <w:r>
        <w:t xml:space="preserve"> </w:t>
      </w:r>
      <w:r>
        <w:t xml:space="preserve">“has become more than a service,”</w:t>
      </w:r>
      <w:r>
        <w:t xml:space="preserve"> </w:t>
      </w:r>
      <w:r>
        <w:t xml:space="preserve">and is now a security control in its own right.</w:t>
      </w:r>
      <w:r>
        <w:rPr>
          <w:rStyle w:val="FootnoteReference"/>
        </w:rPr>
        <w:footnoteReference w:id="23"/>
      </w:r>
    </w:p>
    <w:p>
      <w:pPr>
        <w:pStyle w:val="BodyText"/>
      </w:pPr>
      <w:r>
        <w:t xml:space="preserve">Most agencies still run it as a commodity utility, split across as many as five independent platforms: Active Directory DNS or an on-premises DDI grid, Amazon Route 53, Azure DNS and Azure Private DNS, Google Cloud DNS, and VMware NSX. None of them shares state with the others. The result is split-brain DNS, the same name resolving to different answers depending on where the query starts, and it fails quietly: as certificate errors, access denials and traffic on the wrong path, rarely as a DNS error. This book makes the case for governing DNS, DHCP and IP address management (together, DDI) as one control plane, and shows what it takes to get there.</w:t>
      </w:r>
    </w:p>
    <w:bookmarkEnd w:id="25"/>
    <w:bookmarkStart w:id="28" w:name="the-case-in-one-paragraph"/>
    <w:p>
      <w:pPr>
        <w:pStyle w:val="Heading2"/>
      </w:pPr>
      <w:bookmarkStart w:id="1024" w:name="_Toc00001024"/>
      <w:r>
        <w:t xml:space="preserve">The case in one paragraph</w:t>
      </w:r>
      <w:bookmarkEnd w:id="1024"/>
    </w:p>
    <w:p>
      <w:pPr>
        <w:pStyle w:val="FirstParagraph"/>
      </w:pPr>
      <w:r>
        <w:rPr>
          <w:b/>
          <w:bCs/>
        </w:rPr>
        <w:t xml:space="preserve">Problem.</w:t>
      </w:r>
      <w:r>
        <w:t xml:space="preserve"> </w:t>
      </w:r>
      <w:r>
        <w:t xml:space="preserve">DNS has become the application surface, the security enforcement plane, and the PKI and identity substrate of the hybrid multi-cloud enterprise, but agencies still run it across several independent platforms with no shared state. Split-brain DNS then breaks private connectivity, SaaS endpoint selection, certificate trust and Layer 7 Zero Trust policy at once.</w:t>
      </w:r>
    </w:p>
    <w:p>
      <w:pPr>
        <w:pStyle w:val="BodyText"/>
      </w:pPr>
      <w:r>
        <w:rPr>
          <w:b/>
          <w:bCs/>
        </w:rPr>
        <w:t xml:space="preserve">Solution.</w:t>
      </w:r>
      <w:r>
        <w:t xml:space="preserve"> </w:t>
      </w:r>
      <w:r>
        <w:t xml:space="preserve">One authoritative DDI policy plane that propagates DNS, DHCP and IPAM state consistently to every resolution surface, with edge interception (for example the redirect-dns data policy in Cisco Catalyst SD-WAN) pointed at resolvers under agency control rather than around them.</w:t>
      </w:r>
      <w:r>
        <w:rPr>
          <w:rStyle w:val="FootnoteReference"/>
        </w:rPr>
        <w:footnoteReference w:id="26"/>
      </w:r>
      <w:r>
        <w:t xml:space="preserve"> </w:t>
      </w:r>
      <w:r>
        <w:t xml:space="preserve">This is an architectural requirement, not a product: enterprise DDI platforms and cloud-native resolvers managed as code can all be evaluated against it (Chapter 12). At least one cloud-delivered DDI management plane is now listed on the FedRAMP Marketplace at the Moderate level (Chapter 03).</w:t>
      </w:r>
    </w:p>
    <w:p>
      <w:pPr>
        <w:pStyle w:val="BodyText"/>
      </w:pPr>
      <w:r>
        <w:rPr>
          <w:b/>
          <w:bCs/>
        </w:rPr>
        <w:t xml:space="preserve">Ask.</w:t>
      </w:r>
      <w:r>
        <w:t xml:space="preserve"> </w:t>
      </w:r>
      <w:r>
        <w:t xml:space="preserve">Authorize the decision to operate a single authoritative DDI policy plane, and assign an owner, typically the enterprise architecture or network operations lead, to settle the five configuration decisions in Chapter 08 within 90 days and report residual risk to the authorizing official.</w:t>
      </w:r>
    </w:p>
    <w:bookmarkEnd w:id="28"/>
    <w:bookmarkStart w:id="32" w:name="fig-ch01-three-perspectives"/>
    <w:p>
      <w:pPr>
        <w:pStyle w:val="CaptionedFigure"/>
      </w:pPr>
      <w:r>
        <w:drawing>
          <wp:inline>
            <wp:extent cx="5334000" cy="2653085"/>
            <wp:effectExtent b="0" l="0" r="0" t="0"/>
            <wp:docPr descr="One authoritative policy plane governs the enterprise, cloud and internet DNS perspectives." title="" id="30" name="Picture"/>
            <a:graphic>
              <a:graphicData uri="http://schemas.openxmlformats.org/drawingml/2006/picture">
                <pic:pic>
                  <pic:nvPicPr>
                    <pic:cNvPr descr="/home/runner/work/modernization-workbook/modernization-workbook/docs/images/diagrams/b08-ddi/png/ch01-three-perspectives.png" id="31" name="Picture"/>
                    <pic:cNvPicPr>
                      <a:picLocks noChangeArrowheads="1" noChangeAspect="1"/>
                    </pic:cNvPicPr>
                  </pic:nvPicPr>
                  <pic:blipFill>
                    <a:blip r:embed="rId29"/>
                    <a:stretch>
                      <a:fillRect/>
                    </a:stretch>
                  </pic:blipFill>
                  <pic:spPr bwMode="auto">
                    <a:xfrm>
                      <a:off x="0" y="0"/>
                      <a:ext cx="5334000" cy="2653085"/>
                    </a:xfrm>
                    <a:prstGeom prst="rect">
                      <a:avLst/>
                    </a:prstGeom>
                    <a:noFill/>
                    <a:ln w="9525">
                      <a:noFill/>
                      <a:headEnd/>
                      <a:tailEnd/>
                    </a:ln>
                  </pic:spPr>
                </pic:pic>
              </a:graphicData>
            </a:graphic>
          </wp:inline>
        </w:drawing>
      </w:r>
    </w:p>
    <w:p>
      <w:pPr>
        <w:pStyle w:val="ImageCaption"/>
      </w:pPr>
      <w:r>
        <w:t xml:space="preserve">One authoritative policy plane governs the enterprise, cloud and internet DNS perspectives.</w:t>
      </w:r>
    </w:p>
    <w:bookmarkEnd w:id="32"/>
    <w:bookmarkStart w:id="35" w:name="for-decision-makers"/>
    <w:p>
      <w:pPr>
        <w:pStyle w:val="Heading2"/>
      </w:pPr>
      <w:bookmarkStart w:id="1025" w:name="_Toc00001025"/>
      <w:r>
        <w:t xml:space="preserve">For decision makers</w:t>
      </w:r>
      <w:bookmarkEnd w:id="1025"/>
    </w:p>
    <w:p>
      <w:pPr>
        <w:pStyle w:val="FirstParagraph"/>
      </w:pPr>
      <w:r>
        <w:t xml:space="preserve">DNS fragmentation across independent platforms produces split-brain DNS. That is no longer a lookup inconvenience; it breaks private connectivity, SaaS endpoint selection, certificate trust and FQDN-based Zero Trust policy at the same time. A single authoritative DDI policy plane is the structural fix. Five points carry the argument:</w:t>
      </w:r>
    </w:p>
    <w:p>
      <w:pPr>
        <w:pStyle w:val="Compact"/>
        <w:numPr>
          <w:ilvl w:val="0"/>
          <w:numId w:val="1002"/>
        </w:numPr>
      </w:pPr>
      <w:r>
        <w:rPr>
          <w:b/>
          <w:bCs/>
        </w:rPr>
        <w:t xml:space="preserve">Split-brain DNS is structural, not a bug to patch.</w:t>
      </w:r>
      <w:r>
        <w:t xml:space="preserve"> </w:t>
      </w:r>
      <w:r>
        <w:t xml:space="preserve">Independent per-cloud DNS systems diverge because they share no state, and runbooks can’t keep pace with the change rate across several consoles and APIs (Chapter 02).</w:t>
      </w:r>
    </w:p>
    <w:p>
      <w:pPr>
        <w:pStyle w:val="Compact"/>
        <w:numPr>
          <w:ilvl w:val="0"/>
          <w:numId w:val="1002"/>
        </w:numPr>
      </w:pPr>
      <w:r>
        <w:rPr>
          <w:b/>
          <w:bCs/>
        </w:rPr>
        <w:t xml:space="preserve">DNS is now a security and PKI dependency.</w:t>
      </w:r>
      <w:r>
        <w:t xml:space="preserve"> </w:t>
      </w:r>
      <w:r>
        <w:t xml:space="preserve">Certificate validation, OCSP and CRL lookups, token audiences and FQDN-based policy all fail quietly under split-brain (Chapter 06).</w:t>
      </w:r>
    </w:p>
    <w:p>
      <w:pPr>
        <w:pStyle w:val="Compact"/>
        <w:numPr>
          <w:ilvl w:val="0"/>
          <w:numId w:val="1002"/>
        </w:numPr>
      </w:pPr>
      <w:r>
        <w:rPr>
          <w:b/>
          <w:bCs/>
        </w:rPr>
        <w:t xml:space="preserve">Edge interception can silently bypass the policy plane.</w:t>
      </w:r>
      <w:r>
        <w:t xml:space="preserve"> </w:t>
      </w:r>
      <w:r>
        <w:t xml:space="preserve">The SD-WAN redirect-dns destination decides whether response policy zones (RPZ), DNSSEC validation and logging apply at all (Chapter 05).</w:t>
      </w:r>
    </w:p>
    <w:p>
      <w:pPr>
        <w:pStyle w:val="Compact"/>
        <w:numPr>
          <w:ilvl w:val="0"/>
          <w:numId w:val="1002"/>
        </w:numPr>
      </w:pPr>
      <w:r>
        <w:rPr>
          <w:b/>
          <w:bCs/>
        </w:rPr>
        <w:t xml:space="preserve">Some cloud optimizations stop at the commercial boundary.</w:t>
      </w:r>
      <w:r>
        <w:t xml:space="preserve"> </w:t>
      </w:r>
      <w:r>
        <w:t xml:space="preserve">Microsoft 365 informed network routing (INR) supports Worldwide Commercial tenants only, not GCC Moderate, GCC High or DoD.</w:t>
      </w:r>
      <w:r>
        <w:rPr>
          <w:rStyle w:val="FootnoteReference"/>
        </w:rPr>
        <w:footnoteReference w:id="33"/>
      </w:r>
      <w:r>
        <w:t xml:space="preserve"> </w:t>
      </w:r>
      <w:r>
        <w:t xml:space="preserve">The DDI architecture is unaffected; that one optimization is simply unavailable (Chapter 05 and Appendix C — Applicability).</w:t>
      </w:r>
    </w:p>
    <w:p>
      <w:pPr>
        <w:pStyle w:val="Compact"/>
        <w:numPr>
          <w:ilvl w:val="0"/>
          <w:numId w:val="1002"/>
        </w:numPr>
      </w:pPr>
      <w:r>
        <w:rPr>
          <w:b/>
          <w:bCs/>
        </w:rPr>
        <w:t xml:space="preserve">Five configuration decisions carry most of the operational risk:</w:t>
      </w:r>
      <w:r>
        <w:t xml:space="preserve"> </w:t>
      </w:r>
      <w:r>
        <w:t xml:space="preserve">the redirect-dns target, forwarding chain order, per-cloud conditional forwarding ownership, the Active Directory DNS inventory before decommissioning, and OCSP/CRL reachability from every origin (Chapter 08).</w:t>
      </w:r>
    </w:p>
    <w:bookmarkEnd w:id="35"/>
    <w:bookmarkStart w:id="40" w:name="what-dns-was-designed-to-do"/>
    <w:p>
      <w:pPr>
        <w:pStyle w:val="Heading2"/>
      </w:pPr>
      <w:bookmarkStart w:id="1026" w:name="_Toc00001026"/>
      <w:r>
        <w:t xml:space="preserve">What DNS was designed to do</w:t>
      </w:r>
      <w:bookmarkEnd w:id="1026"/>
    </w:p>
    <w:p>
      <w:pPr>
        <w:pStyle w:val="FirstParagraph"/>
      </w:pPr>
      <w:r>
        <w:t xml:space="preserve">The Domain Name System was first specified in RFC 882 and RFC 883 in November 1983, and redefined in RFC 1034 and RFC 1035 in November 1987, which obsoleted RFCs 882, 883 and 973.</w:t>
      </w:r>
      <w:r>
        <w:rPr>
          <w:rStyle w:val="FootnoteReference"/>
        </w:rPr>
        <w:footnoteReference w:id="36"/>
      </w:r>
      <w:r>
        <w:t xml:space="preserve"> </w:t>
      </w:r>
      <w:r>
        <w:t xml:space="preserve">Its job was simple: let people use memorable hostnames instead of numeric addresses, and give operators a distributed, hierarchical database in which to publish those mappings. A recursive resolver on the campus network forwarded queries to authoritative servers on the internet, cached the answers and served them to local clients. The design assumed that every device had one address, every service lived on a known host, and</w:t>
      </w:r>
      <w:r>
        <w:t xml:space="preserve"> </w:t>
      </w:r>
      <w:r>
        <w:t xml:space="preserve">“inside”</w:t>
      </w:r>
      <w:r>
        <w:t xml:space="preserve"> </w:t>
      </w:r>
      <w:r>
        <w:t xml:space="preserve">and</w:t>
      </w:r>
      <w:r>
        <w:t xml:space="preserve"> </w:t>
      </w:r>
      <w:r>
        <w:t xml:space="preserve">“outside”</w:t>
      </w:r>
      <w:r>
        <w:t xml:space="preserve"> </w:t>
      </w:r>
      <w:r>
        <w:t xml:space="preserve">the network were separated by a physical wire. It was elegant, it scaled, and it was enough for its time. That time has passed.</w:t>
      </w:r>
    </w:p>
    <w:bookmarkEnd w:id="40"/>
    <w:bookmarkStart w:id="47" w:name="what-dns-has-become"/>
    <w:p>
      <w:pPr>
        <w:pStyle w:val="Heading2"/>
      </w:pPr>
      <w:bookmarkStart w:id="1027" w:name="_Toc00001027"/>
      <w:r>
        <w:t xml:space="preserve">What DNS has become</w:t>
      </w:r>
      <w:bookmarkEnd w:id="1027"/>
    </w:p>
    <w:p>
      <w:pPr>
        <w:pStyle w:val="FirstParagraph"/>
      </w:pPr>
      <w:r>
        <w:t xml:space="preserve">In a hybrid multi-cloud agency, DNS now does six jobs its designers didn’t anticipate:</w:t>
      </w:r>
    </w:p>
    <w:p>
      <w:pPr>
        <w:pStyle w:val="Compact"/>
        <w:numPr>
          <w:ilvl w:val="0"/>
          <w:numId w:val="1003"/>
        </w:numPr>
      </w:pPr>
      <w:r>
        <w:rPr>
          <w:b/>
          <w:bCs/>
        </w:rPr>
        <w:t xml:space="preserve">Private address publication.</w:t>
      </w:r>
      <w:r>
        <w:t xml:space="preserve"> </w:t>
      </w:r>
      <w:r>
        <w:t xml:space="preserve">Cloud platforms publish private addresses for private endpoints, internal load balancers and service-to-service traffic through DNS. When an Azure Storage account gets a private endpoint, the same service name resolves to the private endpoint’s address inside the virtual network that hosts it and to the public endpoint from everywhere else.</w:t>
      </w:r>
      <w:r>
        <w:rPr>
          <w:rStyle w:val="FootnoteReference"/>
        </w:rPr>
        <w:footnoteReference w:id="41"/>
      </w:r>
      <w:r>
        <w:t xml:space="preserve"> </w:t>
      </w:r>
      <w:r>
        <w:t xml:space="preserve">The answer has to depend on where the query comes from.</w:t>
      </w:r>
    </w:p>
    <w:p>
      <w:pPr>
        <w:pStyle w:val="Compact"/>
        <w:numPr>
          <w:ilvl w:val="0"/>
          <w:numId w:val="1003"/>
        </w:numPr>
      </w:pPr>
      <w:r>
        <w:rPr>
          <w:b/>
          <w:bCs/>
        </w:rPr>
        <w:t xml:space="preserve">Public SaaS endpoint selection.</w:t>
      </w:r>
      <w:r>
        <w:t xml:space="preserve"> </w:t>
      </w:r>
      <w:r>
        <w:t xml:space="preserve">The DNS answer determines which service front door a client reaches. Microsoft 365 publishes separate endpoint lists for each cloud: the Worldwide list (which includes GCC), GCC High and DoD, with GCC High and DoD using their own namespaces such as</w:t>
      </w:r>
      <w:r>
        <w:t xml:space="preserve"> </w:t>
      </w:r>
      <w:r>
        <w:rPr>
          <w:rStyle w:val="VerbatimChar"/>
        </w:rPr>
        <w:t xml:space="preserve">*.office365.us</w:t>
      </w:r>
      <w:r>
        <w:t xml:space="preserve">.</w:t>
      </w:r>
      <w:r>
        <w:rPr>
          <w:rStyle w:val="FootnoteReference"/>
        </w:rPr>
        <w:footnoteReference w:id="43"/>
      </w:r>
    </w:p>
    <w:p>
      <w:pPr>
        <w:pStyle w:val="Compact"/>
        <w:numPr>
          <w:ilvl w:val="0"/>
          <w:numId w:val="1003"/>
        </w:numPr>
      </w:pPr>
      <w:r>
        <w:rPr>
          <w:b/>
          <w:bCs/>
        </w:rPr>
        <w:t xml:space="preserve">Security policy enforcement.</w:t>
      </w:r>
      <w:r>
        <w:t xml:space="preserve"> </w:t>
      </w:r>
      <w:r>
        <w:t xml:space="preserve">Response policy zones and DNS firewall rules block malicious domains before a connection is made, and DNS query logs feed threat detection. NIST now describes an organization’s DNS service as both an information source for policy decisions and a policy enforcement point.</w:t>
      </w:r>
      <w:r>
        <w:rPr>
          <w:rStyle w:val="FootnoteReference"/>
        </w:rPr>
        <w:footnoteReference w:id="46"/>
      </w:r>
    </w:p>
    <w:p>
      <w:pPr>
        <w:pStyle w:val="Compact"/>
        <w:numPr>
          <w:ilvl w:val="0"/>
          <w:numId w:val="1003"/>
        </w:numPr>
      </w:pPr>
      <w:r>
        <w:rPr>
          <w:b/>
          <w:bCs/>
        </w:rPr>
        <w:t xml:space="preserve">Certificate validation.</w:t>
      </w:r>
      <w:r>
        <w:t xml:space="preserve"> </w:t>
      </w:r>
      <w:r>
        <w:t xml:space="preserve">OCSP responders and CRL distribution points are DNS names. A certificate’s validity check depends on those names resolving correctly from wherever the client sits (Chapter 06).</w:t>
      </w:r>
    </w:p>
    <w:p>
      <w:pPr>
        <w:pStyle w:val="Compact"/>
        <w:numPr>
          <w:ilvl w:val="0"/>
          <w:numId w:val="1003"/>
        </w:numPr>
      </w:pPr>
      <w:r>
        <w:rPr>
          <w:b/>
          <w:bCs/>
        </w:rPr>
        <w:t xml:space="preserve">Service identity.</w:t>
      </w:r>
      <w:r>
        <w:t xml:space="preserve"> </w:t>
      </w:r>
      <w:r>
        <w:t xml:space="preserve">In a Zero Trust architecture the fully qualified domain name (FQDN) is the stable identity that policy, certificates and audit logs reference; the IP address behind it is ephemeral. A service mesh routes to</w:t>
      </w:r>
      <w:r>
        <w:t xml:space="preserve"> </w:t>
      </w:r>
      <w:r>
        <w:rPr>
          <w:rStyle w:val="VerbatimChar"/>
        </w:rPr>
        <w:t xml:space="preserve">payments.internal.agency.example</w:t>
      </w:r>
      <w:r>
        <w:t xml:space="preserve">, not to</w:t>
      </w:r>
      <w:r>
        <w:t xml:space="preserve"> </w:t>
      </w:r>
      <w:r>
        <w:rPr>
          <w:rStyle w:val="VerbatimChar"/>
        </w:rPr>
        <w:t xml:space="preserve">10.0.42.17</w:t>
      </w:r>
      <w:r>
        <w:t xml:space="preserve">.</w:t>
      </w:r>
    </w:p>
    <w:p>
      <w:pPr>
        <w:pStyle w:val="Compact"/>
        <w:numPr>
          <w:ilvl w:val="0"/>
          <w:numId w:val="1003"/>
        </w:numPr>
      </w:pPr>
      <w:r>
        <w:rPr>
          <w:b/>
          <w:bCs/>
        </w:rPr>
        <w:t xml:space="preserve">Application surface definition.</w:t>
      </w:r>
      <w:r>
        <w:t xml:space="preserve"> </w:t>
      </w:r>
      <w:r>
        <w:t xml:space="preserve">A wildcard entry such as</w:t>
      </w:r>
      <w:r>
        <w:t xml:space="preserve"> </w:t>
      </w:r>
      <w:r>
        <w:rPr>
          <w:rStyle w:val="VerbatimChar"/>
        </w:rPr>
        <w:t xml:space="preserve">*.api.agency.example</w:t>
      </w:r>
      <w:r>
        <w:t xml:space="preserve"> </w:t>
      </w:r>
      <w:r>
        <w:t xml:space="preserve">declares a namespace of applications, not a single host, and API gateways, WAF rules, certificate subject alternative names and Zero Trust policies are written against it. Managing DNS is managing the application surface.</w:t>
      </w:r>
    </w:p>
    <w:p>
      <w:pPr>
        <w:pStyle w:val="FirstParagraph"/>
      </w:pPr>
      <w:r>
        <w:t xml:space="preserve">Taken together, these jobs make DNS the identity substrate, the security enforcement plane and the application surface layer of the enterprise. Governing it is a security and architecture responsibility, not an IT operations chore.</w:t>
      </w:r>
    </w:p>
    <w:bookmarkEnd w:id="47"/>
    <w:bookmarkStart w:id="48" w:name="Xcf173b3916d0a78cb8b54c767d045d4b8e363d5"/>
    <w:p>
      <w:pPr>
        <w:pStyle w:val="Heading2"/>
      </w:pPr>
      <w:bookmarkStart w:id="1028" w:name="_Toc00001028"/>
      <w:r>
        <w:t xml:space="preserve">Three DNS perspectives under one control plane</w:t>
      </w:r>
      <w:bookmarkEnd w:id="1028"/>
    </w:p>
    <w:p>
      <w:pPr>
        <w:pStyle w:val="FirstParagraph"/>
      </w:pPr>
      <w:r>
        <w:t xml:space="preserve">A unified DDI policy plane manages DNS from three connected perspectives:</w:t>
      </w:r>
    </w:p>
    <w:p>
      <w:pPr>
        <w:pStyle w:val="Compact"/>
        <w:numPr>
          <w:ilvl w:val="0"/>
          <w:numId w:val="1004"/>
        </w:numPr>
      </w:pPr>
      <w:r>
        <w:rPr>
          <w:b/>
          <w:bCs/>
        </w:rPr>
        <w:t xml:space="preserve">Enterprise (internal):</w:t>
      </w:r>
      <w:r>
        <w:t xml:space="preserve"> </w:t>
      </w:r>
      <w:r>
        <w:t xml:space="preserve">Active Directory-integrated DNS or an on-premises DDI grid, DNS views, high availability and anycast, and role-based administration for data centers, branches and private clouds.</w:t>
      </w:r>
    </w:p>
    <w:p>
      <w:pPr>
        <w:pStyle w:val="Compact"/>
        <w:numPr>
          <w:ilvl w:val="0"/>
          <w:numId w:val="1004"/>
        </w:numPr>
      </w:pPr>
      <w:r>
        <w:rPr>
          <w:b/>
          <w:bCs/>
        </w:rPr>
        <w:t xml:space="preserve">Cloud:</w:t>
      </w:r>
      <w:r>
        <w:t xml:space="preserve"> </w:t>
      </w:r>
      <w:r>
        <w:t xml:space="preserve">Amazon Route 53, Azure DNS and Azure Private DNS, and Google Cloud DNS, with discovery of cloud networks and federation with cloud address managers.</w:t>
      </w:r>
    </w:p>
    <w:p>
      <w:pPr>
        <w:pStyle w:val="Compact"/>
        <w:numPr>
          <w:ilvl w:val="0"/>
          <w:numId w:val="1004"/>
        </w:numPr>
      </w:pPr>
      <w:r>
        <w:rPr>
          <w:b/>
          <w:bCs/>
        </w:rPr>
        <w:t xml:space="preserve">Internet (external authoritative):</w:t>
      </w:r>
      <w:r>
        <w:t xml:space="preserve"> </w:t>
      </w:r>
      <w:r>
        <w:t xml:space="preserve">the public zones the agency publishes, whether self-hosted or on a managed authoritative service, together with monitoring of the external attack surface.</w:t>
      </w:r>
    </w:p>
    <w:bookmarkEnd w:id="48"/>
    <w:bookmarkStart w:id="72" w:name="the-fragmented-landscape"/>
    <w:p>
      <w:pPr>
        <w:pStyle w:val="Heading2"/>
      </w:pPr>
      <w:bookmarkStart w:id="1029" w:name="_Toc00001029"/>
      <w:r>
        <w:t xml:space="preserve">The fragmented landscape</w:t>
      </w:r>
      <w:bookmarkEnd w:id="1029"/>
    </w:p>
    <w:p>
      <w:pPr>
        <w:pStyle w:val="FirstParagraph"/>
      </w:pPr>
      <w:r>
        <w:t xml:space="preserve">Agencies don’t choose to manage DNS in five places. The fragmentation emerges from how cloud platforms were adopted: each platform ships its own DNS service, because DNS is the connective tissue of everything else the platform does, and decoupling it takes deliberate architectural work that the default experience doesn’t encourage. Each service has its own console, API, zone model and failure behavior, and none was designed to share policy with the others.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Platform</w:t>
            </w:r>
          </w:p>
        </w:tc>
        <w:tc>
          <w:tcPr/>
          <w:p>
            <w:pPr>
              <w:pStyle w:val="Compact"/>
            </w:pPr>
            <w:r>
              <w:t xml:space="preserve">How it resolves</w:t>
            </w:r>
          </w:p>
        </w:tc>
        <w:tc>
          <w:tcPr/>
          <w:p>
            <w:pPr>
              <w:pStyle w:val="Compact"/>
            </w:pPr>
            <w:r>
              <w:t xml:space="preserve">Hybrid entry and exit</w:t>
            </w:r>
          </w:p>
        </w:tc>
        <w:tc>
          <w:tcPr/>
          <w:p>
            <w:pPr>
              <w:pStyle w:val="Compact"/>
            </w:pPr>
            <w:r>
              <w:t xml:space="preserve">Native DNS security policy</w:t>
            </w:r>
          </w:p>
        </w:tc>
      </w:tr>
      <w:tr>
        <w:tc>
          <w:tcPr/>
          <w:p>
            <w:pPr>
              <w:pStyle w:val="Compact"/>
            </w:pPr>
            <w:r>
              <w:t xml:space="preserve">On-premises</w:t>
            </w:r>
          </w:p>
        </w:tc>
        <w:tc>
          <w:tcPr/>
          <w:p>
            <w:pPr>
              <w:pStyle w:val="Compact"/>
            </w:pPr>
            <w:r>
              <w:t xml:space="preserve">Active Directory-integrated DNS on domain controllers, or an enterprise DDI grid</w:t>
            </w:r>
          </w:p>
        </w:tc>
        <w:tc>
          <w:tcPr/>
          <w:p>
            <w:pPr>
              <w:pStyle w:val="Compact"/>
            </w:pPr>
            <w:r>
              <w:t xml:space="preserve">Conditional forwarders and delegations</w:t>
            </w:r>
          </w:p>
        </w:tc>
        <w:tc>
          <w:tcPr/>
          <w:p>
            <w:pPr>
              <w:pStyle w:val="Compact"/>
            </w:pPr>
            <w:r>
              <w:t xml:space="preserve">RPZ or DNS firewall on the DDI grid, where deployed</w:t>
            </w:r>
          </w:p>
        </w:tc>
      </w:tr>
      <w:tr>
        <w:tc>
          <w:tcPr/>
          <w:p>
            <w:pPr>
              <w:pStyle w:val="Compact"/>
            </w:pPr>
            <w:r>
              <w:t xml:space="preserve">Amazon Route 53</w:t>
            </w:r>
          </w:p>
        </w:tc>
        <w:tc>
          <w:tcPr/>
          <w:p>
            <w:pPr>
              <w:pStyle w:val="Compact"/>
            </w:pPr>
            <w:r>
              <w:t xml:space="preserve">Route 53 VPC Resolver (formerly Route 53 Resolver) answers every VPC at the VPC+2 address, for public names and private hosted zones</w:t>
            </w:r>
            <w:r>
              <w:rPr>
                <w:rStyle w:val="FootnoteReference"/>
              </w:rPr>
              <w:footnoteReference w:id="49"/>
            </w:r>
          </w:p>
        </w:tc>
        <w:tc>
          <w:tcPr/>
          <w:p>
            <w:pPr>
              <w:pStyle w:val="Compact"/>
            </w:pPr>
            <w:r>
              <w:t xml:space="preserve">Inbound endpoints accept queries from on-premises or other VPCs; outbound endpoints and forwarding rules send named domains elsewhere</w:t>
            </w:r>
            <w:r>
              <w:rPr>
                <w:rStyle w:val="FootnoteReference"/>
              </w:rPr>
              <w:footnoteReference w:id="51"/>
            </w:r>
          </w:p>
        </w:tc>
        <w:tc>
          <w:tcPr/>
          <w:p>
            <w:pPr>
              <w:pStyle w:val="Compact"/>
            </w:pPr>
            <w:r>
              <w:t xml:space="preserve">Route 53 Resolver DNS Firewall rule groups associated with each VPC</w:t>
            </w:r>
            <w:r>
              <w:rPr>
                <w:rStyle w:val="FootnoteReference"/>
              </w:rPr>
              <w:footnoteReference w:id="52"/>
            </w:r>
          </w:p>
        </w:tc>
      </w:tr>
      <w:tr>
        <w:tc>
          <w:tcPr/>
          <w:p>
            <w:pPr>
              <w:pStyle w:val="Compact"/>
            </w:pPr>
            <w:r>
              <w:t xml:space="preserve">Azure</w:t>
            </w:r>
          </w:p>
        </w:tc>
        <w:tc>
          <w:tcPr/>
          <w:p>
            <w:pPr>
              <w:pStyle w:val="Compact"/>
            </w:pPr>
            <w:r>
              <w:t xml:space="preserve">Azure-provided DNS resolves Azure Private DNS zones only for virtual networks linked to them</w:t>
            </w:r>
          </w:p>
        </w:tc>
        <w:tc>
          <w:tcPr/>
          <w:p>
            <w:pPr>
              <w:pStyle w:val="Compact"/>
            </w:pPr>
            <w:r>
              <w:t xml:space="preserve">Azure DNS Private Resolver inbound endpoints receive queries from outside; outbound endpoints apply DNS forwarding rulesets</w:t>
            </w:r>
            <w:r>
              <w:rPr>
                <w:rStyle w:val="FootnoteReference"/>
              </w:rPr>
              <w:footnoteReference w:id="54"/>
            </w:r>
          </w:p>
        </w:tc>
        <w:tc>
          <w:tcPr/>
          <w:p>
            <w:pPr>
              <w:pStyle w:val="Compact"/>
            </w:pPr>
            <w:r>
              <w:t xml:space="preserve">DNS resolver policy (formerly DNS security policy): allow, alert or block rules and query logging per virtual network</w:t>
            </w:r>
            <w:r>
              <w:rPr>
                <w:rStyle w:val="FootnoteReference"/>
              </w:rPr>
              <w:footnoteReference w:id="57"/>
            </w:r>
          </w:p>
        </w:tc>
      </w:tr>
      <w:tr>
        <w:tc>
          <w:tcPr/>
          <w:p>
            <w:pPr>
              <w:pStyle w:val="Compact"/>
            </w:pPr>
            <w:r>
              <w:t xml:space="preserve">Google Cloud</w:t>
            </w:r>
          </w:p>
        </w:tc>
        <w:tc>
          <w:tcPr/>
          <w:p>
            <w:pPr>
              <w:pStyle w:val="Compact"/>
            </w:pPr>
            <w:r>
              <w:t xml:space="preserve">VMs that use the metadata server at</w:t>
            </w:r>
            <w:r>
              <w:t xml:space="preserve"> </w:t>
            </w:r>
            <w:r>
              <w:rPr>
                <w:rStyle w:val="VerbatimChar"/>
              </w:rPr>
              <w:t xml:space="preserve">169.254.169.254</w:t>
            </w:r>
            <w:r>
              <w:t xml:space="preserve"> </w:t>
            </w:r>
            <w:r>
              <w:t xml:space="preserve">are resolved against Cloud DNS private zones in the network’s resolution order</w:t>
            </w:r>
            <w:r>
              <w:rPr>
                <w:rStyle w:val="FootnoteReference"/>
              </w:rPr>
              <w:footnoteReference w:id="59"/>
            </w:r>
          </w:p>
        </w:tc>
        <w:tc>
          <w:tcPr/>
          <w:p>
            <w:pPr>
              <w:pStyle w:val="Compact"/>
            </w:pPr>
            <w:r>
              <w:t xml:space="preserve">Inbound server policies create entry-point addresses in each subnet; DNS peering shares zones between VPC networks</w:t>
            </w:r>
            <w:r>
              <w:rPr>
                <w:rStyle w:val="FootnoteReference"/>
              </w:rPr>
              <w:footnoteReference w:id="61"/>
            </w:r>
          </w:p>
        </w:tc>
        <w:tc>
          <w:tcPr/>
          <w:p>
            <w:pPr>
              <w:pStyle w:val="Compact"/>
            </w:pPr>
            <w:r>
              <w:t xml:space="preserve">Cloud DNS response policies, which override answers for matching names</w:t>
            </w:r>
            <w:r>
              <w:rPr>
                <w:rStyle w:val="FootnoteReference"/>
              </w:rPr>
              <w:footnoteReference w:id="62"/>
            </w:r>
          </w:p>
        </w:tc>
      </w:tr>
      <w:tr>
        <w:tc>
          <w:tcPr/>
          <w:p>
            <w:pPr>
              <w:pStyle w:val="Compact"/>
            </w:pPr>
            <w:r>
              <w:t xml:space="preserve">VMware NSX</w:t>
            </w:r>
          </w:p>
        </w:tc>
        <w:tc>
          <w:tcPr/>
          <w:p>
            <w:pPr>
              <w:pStyle w:val="Compact"/>
            </w:pPr>
            <w:r>
              <w:t xml:space="preserve">A DNS forwarder service attached to a tier-0 or tier-1 gateway, at a listener IP that clients are configured to use</w:t>
            </w:r>
            <w:r>
              <w:rPr>
                <w:rStyle w:val="FootnoteReference"/>
              </w:rPr>
              <w:footnoteReference w:id="64"/>
            </w:r>
          </w:p>
        </w:tc>
        <w:tc>
          <w:tcPr/>
          <w:p>
            <w:pPr>
              <w:pStyle w:val="Compact"/>
            </w:pPr>
            <w:r>
              <w:t xml:space="preserve">One default zone and up to five FQDN zones, each pointing at up to three upstream servers</w:t>
            </w:r>
            <w:r>
              <w:rPr>
                <w:rStyle w:val="FootnoteReference"/>
              </w:rPr>
              <w:footnoteReference w:id="66"/>
            </w:r>
          </w:p>
        </w:tc>
        <w:tc>
          <w:tcPr/>
          <w:p>
            <w:pPr>
              <w:pStyle w:val="Compact"/>
            </w:pPr>
            <w:r>
              <w:t xml:space="preserve">None in the forwarder itself; policy depends on the upstream resolvers</w:t>
            </w:r>
          </w:p>
        </w:tc>
      </w:tr>
    </w:tbl>
    <w:p>
      <w:pPr>
        <w:pStyle w:val="BodyText"/>
      </w:pPr>
      <w:r>
        <w:t xml:space="preserve">Two points in this table are often misstated. Azure is sometimes described as having no native equivalent of response policy zones; that is no longer true, because Azure DNS resolver policy now filters and logs queries at the virtual network level, including against a Microsoft-managed threat intelligence list.</w:t>
      </w:r>
      <w:r>
        <w:rPr>
          <w:rStyle w:val="FootnoteReference"/>
        </w:rPr>
        <w:footnoteReference w:id="67"/>
      </w:r>
      <w:r>
        <w:t xml:space="preserve"> </w:t>
      </w:r>
      <w:r>
        <w:t xml:space="preserve">And the NSX forwarder doesn’t intercept workload queries: workloads reach it only if they are configured to use its listener address, so which resolver a workload uses depends on how its segment was set up, and that is invisible from the on-premises DNS console.</w:t>
      </w:r>
    </w:p>
    <w:bookmarkStart w:id="71" w:name="fig-ch01-ipam-source-of-truth"/>
    <w:p>
      <w:pPr>
        <w:pStyle w:val="CaptionedFigure"/>
      </w:pPr>
      <w:r>
        <w:drawing>
          <wp:inline>
            <wp:extent cx="5334000" cy="2034032"/>
            <wp:effectExtent b="0" l="0" r="0" t="0"/>
            <wp:docPr descr="Enterprise IPAM is the address-layer source of truth for DHCP, cloud address managers, DNS records and the asset inventory." title="" id="69" name="Picture"/>
            <a:graphic>
              <a:graphicData uri="http://schemas.openxmlformats.org/drawingml/2006/picture">
                <pic:pic>
                  <pic:nvPicPr>
                    <pic:cNvPr descr="/home/runner/work/modernization-workbook/modernization-workbook/docs/images/diagrams/b08-ddi/png/ch01-ipam-source-of-truth.png" id="70" name="Picture"/>
                    <pic:cNvPicPr>
                      <a:picLocks noChangeArrowheads="1" noChangeAspect="1"/>
                    </pic:cNvPicPr>
                  </pic:nvPicPr>
                  <pic:blipFill>
                    <a:blip r:embed="rId68"/>
                    <a:stretch>
                      <a:fillRect/>
                    </a:stretch>
                  </pic:blipFill>
                  <pic:spPr bwMode="auto">
                    <a:xfrm>
                      <a:off x="0" y="0"/>
                      <a:ext cx="5334000" cy="2034032"/>
                    </a:xfrm>
                    <a:prstGeom prst="rect">
                      <a:avLst/>
                    </a:prstGeom>
                    <a:noFill/>
                    <a:ln w="9525">
                      <a:noFill/>
                      <a:headEnd/>
                      <a:tailEnd/>
                    </a:ln>
                  </pic:spPr>
                </pic:pic>
              </a:graphicData>
            </a:graphic>
          </wp:inline>
        </w:drawing>
      </w:r>
    </w:p>
    <w:p>
      <w:pPr>
        <w:pStyle w:val="ImageCaption"/>
      </w:pPr>
      <w:r>
        <w:t xml:space="preserve">Enterprise IPAM is the address-layer source of truth for DHCP, cloud address managers, DNS records and the asset inventory.</w:t>
      </w:r>
    </w:p>
    <w:bookmarkEnd w:id="71"/>
    <w:bookmarkEnd w:id="72"/>
    <w:bookmarkStart w:id="73" w:name="the-management-burden-of-independence"/>
    <w:p>
      <w:pPr>
        <w:pStyle w:val="Heading2"/>
      </w:pPr>
      <w:bookmarkStart w:id="1030" w:name="_Toc00001030"/>
      <w:r>
        <w:t xml:space="preserve">The management burden of independence</w:t>
      </w:r>
      <w:bookmarkEnd w:id="1030"/>
    </w:p>
    <w:p>
      <w:pPr>
        <w:pStyle w:val="FirstParagraph"/>
      </w:pPr>
      <w:r>
        <w:t xml:space="preserve">Run separately, these platforms impose a combinatorial synchronization burden. When a new private endpoint is created in Azure, the engineer who creates it may also have to update the Azure Private DNS zone and its virtual network links, the Private Resolver forwarding ruleset, the Route 53 outbound forwarding rule (if AWS workloads need to reach the endpoint) and the on-premises conditional forwarders (if data-center workloads do). Provisioning is one action; the DNS synchronization it requires is up to four more, on four consoles, in four syntaxes.</w:t>
      </w:r>
    </w:p>
    <w:p>
      <w:pPr>
        <w:pStyle w:val="BodyText"/>
      </w:pPr>
      <w:r>
        <w:t xml:space="preserve">Ownership fragments along the same lines. The cloud team owns the cloud DNS services, the network team owns the DDI grid, and the Windows team owns Active Directory DNS. The forwarding rules that connect those systems, the part that actually crosses the boundaries, usually belong to none of them. Chapter 09 sets out who should own each part of the name layer.</w:t>
      </w:r>
    </w:p>
    <w:bookmarkEnd w:id="73"/>
    <w:bookmarkStart w:id="78" w:name="hybrid-cloud-ipam-and-dhcp"/>
    <w:p>
      <w:pPr>
        <w:pStyle w:val="Heading2"/>
      </w:pPr>
      <w:bookmarkStart w:id="1031" w:name="_Toc00001031"/>
      <w:r>
        <w:t xml:space="preserve">Hybrid cloud IPAM and DHCP</w:t>
      </w:r>
      <w:bookmarkEnd w:id="1031"/>
    </w:p>
    <w:p>
      <w:pPr>
        <w:pStyle w:val="FirstParagraph"/>
      </w:pPr>
      <w:r>
        <w:t xml:space="preserve">A central IPAM is the authoritative record of the address plan, reservations and ownership across on-premises and cloud address space, and it is what prevents overlaps (Chapter 07 covers cloud address managers and NSX). DHCP lease data and dynamic DNS updates keep address and name records in step through each record’s lifecycle, and existing Microsoft DHCP servers can be discovered and brought under the same inventory during transition. This is also the address layer of the asset inventory that Zero Trust depends on: OMB M-22-09 expects agencies to maintain a complete inventory of every device they operate, and CISA’s Zero Trust Maturity Model counts cloud network resources, including DNS services, among the assets to be tracked.</w:t>
      </w:r>
      <w:r>
        <w:rPr>
          <w:rStyle w:val="FootnoteReference"/>
        </w:rPr>
        <w:footnoteReference w:id="74"/>
      </w:r>
      <w:r>
        <w:rPr>
          <w:rStyle w:val="FootnoteReference"/>
        </w:rPr>
        <w:footnoteReference w:id="76"/>
      </w:r>
    </w:p>
    <w:bookmarkEnd w:id="78"/>
    <w:bookmarkStart w:id="79" w:name="what-this-chapter-establishes"/>
    <w:p>
      <w:pPr>
        <w:pStyle w:val="Heading2"/>
      </w:pPr>
      <w:bookmarkStart w:id="1032" w:name="_Toc00001032"/>
      <w:r>
        <w:t xml:space="preserve">What this chapter establishes</w:t>
      </w:r>
      <w:bookmarkEnd w:id="1032"/>
    </w:p>
    <w:p>
      <w:pPr>
        <w:pStyle w:val="Compact"/>
        <w:numPr>
          <w:ilvl w:val="0"/>
          <w:numId w:val="1005"/>
        </w:numPr>
      </w:pPr>
      <w:r>
        <w:t xml:space="preserve">DNS now carries private endpoint publication, SaaS front-door selection, security policy, certificate validation, service identity and the application surface, so it has to be governed as a control plane, not run as a utility.</w:t>
      </w:r>
    </w:p>
    <w:p>
      <w:pPr>
        <w:pStyle w:val="Compact"/>
        <w:numPr>
          <w:ilvl w:val="0"/>
          <w:numId w:val="1005"/>
        </w:numPr>
      </w:pPr>
      <w:r>
        <w:t xml:space="preserve">Several independent DNS platforms, each with its own resolver, forwarding model and security policy, share no state; split-brain and an ownership gap follow from that structure.</w:t>
      </w:r>
    </w:p>
    <w:p>
      <w:pPr>
        <w:pStyle w:val="Compact"/>
        <w:numPr>
          <w:ilvl w:val="0"/>
          <w:numId w:val="1005"/>
        </w:numPr>
      </w:pPr>
      <w:r>
        <w:t xml:space="preserve">The answer is one authoritative DDI policy plane, with five configuration decisions carrying most of the risk, and IPAM as the address layer of the asset inventory.</w:t>
      </w:r>
    </w:p>
    <w:bookmarkEnd w:id="79"/>
    <w:bookmarkStart w:id="80" w:name="continue-the-book"/>
    <w:p>
      <w:pPr>
        <w:pStyle w:val="Heading2"/>
      </w:pPr>
      <w:bookmarkStart w:id="1033" w:name="_Toc00001033"/>
      <w:r>
        <w:t xml:space="preserve">Continue the book</w:t>
      </w:r>
      <w:bookmarkEnd w:id="1033"/>
    </w:p>
    <w:p>
      <w:pPr>
        <w:pStyle w:val="FirstParagraph"/>
      </w:pPr>
      <w:r>
        <w:t xml:space="preserve">← Previous: Book 08 index · Book index · Next: Chapter 02 — Split-Brain DNS: The Structural Problem →</w:t>
      </w:r>
    </w:p>
    <w:bookmarkEnd w:id="80"/>
    <w:bookmarkEnd w:id="81"/>
    <w:bookmarkStart w:id="124" w:name="Xeb82bd16ab3187e19dc867e8ee274678f3b9afd"/>
    <w:p>
      <w:pPr>
        <w:pStyle w:val="Heading1"/>
      </w:pPr>
      <w:bookmarkStart w:id="1034" w:name="_Toc00001034"/>
      <w:r>
        <w:t xml:space="preserve">Chapter 02 — Split-Brain DNS: The Structural Problem</w:t>
      </w:r>
      <w:bookmarkEnd w:id="1034"/>
    </w:p>
    <w:p>
      <w:pPr>
        <w:pStyle w:val="FirstParagraph"/>
      </w:pPr>
      <w:r>
        <w:rPr>
          <w:i/>
          <w:iCs/>
        </w:rPr>
        <w:t xml:space="preserve">Same name, different answers, and no amount of process discipline keeps independent systems in step.</w:t>
      </w:r>
    </w:p>
    <w:bookmarkStart w:id="82" w:name="in-this-chapter-1"/>
    <w:p>
      <w:pPr>
        <w:pStyle w:val="Heading2"/>
      </w:pPr>
      <w:bookmarkStart w:id="1035" w:name="_Toc00001035"/>
      <w:r>
        <w:t xml:space="preserve">In this chapter</w:t>
      </w:r>
      <w:bookmarkEnd w:id="1035"/>
    </w:p>
    <w:p>
      <w:pPr>
        <w:pStyle w:val="FirstParagraph"/>
      </w:pPr>
      <w:r>
        <w:t xml:space="preserve">What split-brain DNS is, and how it differs from legitimate split-horizon design. Three forms it takes in a hybrid multi-cloud agency: private-IP split-brain across clouds, public SaaS endpoint split-brain, and security policy split-brain. Why runbooks and audits can’t fix a structural problem, and what fragmented DDI costs in outages and audit evidence.</w:t>
      </w:r>
    </w:p>
    <w:bookmarkEnd w:id="82"/>
    <w:bookmarkStart w:id="86" w:name="fig-ch02-split-brain"/>
    <w:p>
      <w:pPr>
        <w:pStyle w:val="CaptionedFigure"/>
      </w:pPr>
      <w:r>
        <w:drawing>
          <wp:inline>
            <wp:extent cx="5334000" cy="1493222"/>
            <wp:effectExtent b="0" l="0" r="0" t="0"/>
            <wp:docPr descr="The same query returns different answers depending on where it originates." title="" id="84" name="Picture"/>
            <a:graphic>
              <a:graphicData uri="http://schemas.openxmlformats.org/drawingml/2006/picture">
                <pic:pic>
                  <pic:nvPicPr>
                    <pic:cNvPr descr="/home/runner/work/modernization-workbook/modernization-workbook/docs/images/diagrams/b08-ddi/png/ch02-split-brain.png" id="85" name="Picture"/>
                    <pic:cNvPicPr>
                      <a:picLocks noChangeArrowheads="1" noChangeAspect="1"/>
                    </pic:cNvPicPr>
                  </pic:nvPicPr>
                  <pic:blipFill>
                    <a:blip r:embed="rId83"/>
                    <a:stretch>
                      <a:fillRect/>
                    </a:stretch>
                  </pic:blipFill>
                  <pic:spPr bwMode="auto">
                    <a:xfrm>
                      <a:off x="0" y="0"/>
                      <a:ext cx="5334000" cy="1493222"/>
                    </a:xfrm>
                    <a:prstGeom prst="rect">
                      <a:avLst/>
                    </a:prstGeom>
                    <a:noFill/>
                    <a:ln w="9525">
                      <a:noFill/>
                      <a:headEnd/>
                      <a:tailEnd/>
                    </a:ln>
                  </pic:spPr>
                </pic:pic>
              </a:graphicData>
            </a:graphic>
          </wp:inline>
        </w:drawing>
      </w:r>
    </w:p>
    <w:p>
      <w:pPr>
        <w:pStyle w:val="ImageCaption"/>
      </w:pPr>
      <w:r>
        <w:t xml:space="preserve">The same query returns different answers depending on where it originates.</w:t>
      </w:r>
    </w:p>
    <w:bookmarkEnd w:id="86"/>
    <w:bookmarkStart w:id="87" w:name="what-split-brain-dns-is"/>
    <w:p>
      <w:pPr>
        <w:pStyle w:val="Heading2"/>
      </w:pPr>
      <w:bookmarkStart w:id="1036" w:name="_Toc00001036"/>
      <w:r>
        <w:t xml:space="preserve">What split-brain DNS is</w:t>
      </w:r>
      <w:bookmarkEnd w:id="1036"/>
    </w:p>
    <w:p>
      <w:pPr>
        <w:pStyle w:val="FirstParagraph"/>
      </w:pPr>
      <w:r>
        <w:t xml:space="preserve">Split-brain DNS is the condition in which a query for the same name returns different answers depending on where the query originates. The name is right in both cases, but the two answers point to different addresses, and the address decides whether traffic reaches its intended destination by its intended path.</w:t>
      </w:r>
    </w:p>
    <w:p>
      <w:pPr>
        <w:pStyle w:val="BodyText"/>
      </w:pPr>
      <w:r>
        <w:t xml:space="preserve">Different answers are not always a fault. Intentional split-horizon DNS, in which the same name resolves to a private address for internal callers and a public address for external ones, is common and legitimate when it is designed, documented and governed. The problem is the unintentional kind: an internal view that has gone stale, an external answer that is wrong for some callers but not others, or a security rule (an RPZ block, a DNS firewall rule) that applies in one view and not the other.</w:t>
      </w:r>
    </w:p>
    <w:p>
      <w:pPr>
        <w:pStyle w:val="BodyText"/>
      </w:pPr>
      <w:r>
        <w:t xml:space="preserve">When several independent DNS systems hold copies of the same names with no shared state, unintentional split-brain is close to guaranteed. Each copy drifts on its own schedule, no mechanism pulls them back together, and no single team can see the whole (Chapter 01).</w:t>
      </w:r>
    </w:p>
    <w:bookmarkEnd w:id="87"/>
    <w:bookmarkStart w:id="99" w:name="Xaef860c986c0e8b6453d0fc4dafb95471aa8ec3"/>
    <w:p>
      <w:pPr>
        <w:pStyle w:val="Heading2"/>
      </w:pPr>
      <w:bookmarkStart w:id="1037" w:name="_Toc00001037"/>
      <w:r>
        <w:t xml:space="preserve">Private-IP split-brain: the cross-cloud case</w:t>
      </w:r>
      <w:bookmarkEnd w:id="1037"/>
    </w:p>
    <w:bookmarkStart w:id="91" w:name="fig-ch02-private-ip-split-brain"/>
    <w:p>
      <w:pPr>
        <w:pStyle w:val="CaptionedFigure"/>
      </w:pPr>
      <w:r>
        <w:drawing>
          <wp:inline>
            <wp:extent cx="4969357" cy="2144770"/>
            <wp:effectExtent b="0" l="0" r="0" t="0"/>
            <wp:docPr descr="A missing or stale forwarding rule sends a cross-cloud client to the public address." title="" id="89" name="Picture"/>
            <a:graphic>
              <a:graphicData uri="http://schemas.openxmlformats.org/drawingml/2006/picture">
                <pic:pic>
                  <pic:nvPicPr>
                    <pic:cNvPr descr="/home/runner/work/modernization-workbook/modernization-workbook/docs/images/diagrams/b08-ddi/png/ch02-private-ip-split-brain.png" id="90" name="Picture"/>
                    <pic:cNvPicPr>
                      <a:picLocks noChangeArrowheads="1" noChangeAspect="1"/>
                    </pic:cNvPicPr>
                  </pic:nvPicPr>
                  <pic:blipFill>
                    <a:blip r:embed="rId88"/>
                    <a:stretch>
                      <a:fillRect/>
                    </a:stretch>
                  </pic:blipFill>
                  <pic:spPr bwMode="auto">
                    <a:xfrm>
                      <a:off x="0" y="0"/>
                      <a:ext cx="4969357" cy="2144770"/>
                    </a:xfrm>
                    <a:prstGeom prst="rect">
                      <a:avLst/>
                    </a:prstGeom>
                    <a:noFill/>
                    <a:ln w="9525">
                      <a:noFill/>
                      <a:headEnd/>
                      <a:tailEnd/>
                    </a:ln>
                  </pic:spPr>
                </pic:pic>
              </a:graphicData>
            </a:graphic>
          </wp:inline>
        </w:drawing>
      </w:r>
    </w:p>
    <w:p>
      <w:pPr>
        <w:pStyle w:val="ImageCaption"/>
      </w:pPr>
      <w:r>
        <w:t xml:space="preserve">A missing or stale forwarding rule sends a cross-cloud client to the public address.</w:t>
      </w:r>
    </w:p>
    <w:bookmarkEnd w:id="91"/>
    <w:p>
      <w:pPr>
        <w:pStyle w:val="BodyText"/>
      </w:pPr>
      <w:r>
        <w:t xml:space="preserve">The clearest example is an Azure private endpoint. When an Azure Storage account gets a private endpoint, the account’s public name is given a CNAME into the matching</w:t>
      </w:r>
      <w:r>
        <w:t xml:space="preserve"> </w:t>
      </w:r>
      <w:r>
        <w:rPr>
          <w:rStyle w:val="VerbatimChar"/>
        </w:rPr>
        <w:t xml:space="preserve">privatelink</w:t>
      </w:r>
      <w:r>
        <w:t xml:space="preserve"> </w:t>
      </w:r>
      <w:r>
        <w:t xml:space="preserve">subdomain, and an A record in the</w:t>
      </w:r>
      <w:r>
        <w:t xml:space="preserve"> </w:t>
      </w:r>
      <w:r>
        <w:rPr>
          <w:rStyle w:val="VerbatimChar"/>
        </w:rPr>
        <w:t xml:space="preserve">privatelink.blob.core.windows.net</w:t>
      </w:r>
      <w:r>
        <w:t xml:space="preserve"> </w:t>
      </w:r>
      <w:r>
        <w:t xml:space="preserve">private DNS zone maps it to an address in the virtual network, for example 10.1.0.4.</w:t>
      </w:r>
      <w:r>
        <w:rPr>
          <w:rStyle w:val="FootnoteReference"/>
        </w:rPr>
        <w:footnoteReference w:id="92"/>
      </w:r>
      <w:r>
        <w:t xml:space="preserve"> </w:t>
      </w:r>
      <w:r>
        <w:t xml:space="preserve">A client in a virtual network linked to that zone gets the private address, and traffic stays private. A client anywhere else follows the public CNAME chain to the public endpoint. Microsoft deliberately keeps the public chain resolvable from anywhere so that hybrid and gradual migrations don’t break existing clients.</w:t>
      </w:r>
      <w:r>
        <w:rPr>
          <w:rStyle w:val="FootnoteReference"/>
        </w:rPr>
        <w:footnoteReference w:id="93"/>
      </w:r>
    </w:p>
    <w:p>
      <w:pPr>
        <w:pStyle w:val="BodyText"/>
      </w:pPr>
      <w:r>
        <w:t xml:space="preserve">An EC2 instance in AWS sees the private answer only if a Route 53 VPC Resolver outbound forwarding rule sends the service’s public zone (</w:t>
      </w:r>
      <w:r>
        <w:rPr>
          <w:rStyle w:val="VerbatimChar"/>
        </w:rPr>
        <w:t xml:space="preserve">blob.core.windows.net</w:t>
      </w:r>
      <w:r>
        <w:t xml:space="preserve">, which Azure answers through its</w:t>
      </w:r>
      <w:r>
        <w:t xml:space="preserve"> </w:t>
      </w:r>
      <w:r>
        <w:rPr>
          <w:rStyle w:val="VerbatimChar"/>
        </w:rPr>
        <w:t xml:space="preserve">privatelink</w:t>
      </w:r>
      <w:r>
        <w:t xml:space="preserve"> </w:t>
      </w:r>
      <w:r>
        <w:t xml:space="preserve">zone) to an Azure DNS Private Resolver inbound endpoint, or to an agency resolver that does.</w:t>
      </w:r>
      <w:r>
        <w:rPr>
          <w:rStyle w:val="FootnoteReference"/>
        </w:rPr>
        <w:footnoteReference w:id="95"/>
      </w:r>
      <w:r>
        <w:rPr>
          <w:rStyle w:val="FootnoteReference"/>
        </w:rPr>
        <w:footnoteReference w:id="96"/>
      </w:r>
      <w:r>
        <w:t xml:space="preserve"> </w:t>
      </w:r>
      <w:r>
        <w:t xml:space="preserve">If that rule is missing or stale, the name still resolves, but to the public address. Traffic then either leaves the private path, around the controls on it, or is refused by the storage account’s network rules. Microsoft’s own troubleshooting guide for</w:t>
      </w:r>
      <w:r>
        <w:t xml:space="preserve"> </w:t>
      </w:r>
      <w:r>
        <w:t xml:space="preserve">“403”</w:t>
      </w:r>
      <w:r>
        <w:t xml:space="preserve"> </w:t>
      </w:r>
      <w:r>
        <w:t xml:space="preserve">access-denied errors through a private endpoint calls the DNS check</w:t>
      </w:r>
      <w:r>
        <w:t xml:space="preserve"> </w:t>
      </w:r>
      <w:r>
        <w:t xml:space="preserve">“the single most important diagnostic step”</w:t>
      </w:r>
      <w:r>
        <w:t xml:space="preserve"> </w:t>
      </w:r>
      <w:r>
        <w:t xml:space="preserve">and attributes roughly 70 percent of cases to the name resolving to the public endpoint.</w:t>
      </w:r>
      <w:r>
        <w:rPr>
          <w:rStyle w:val="FootnoteReference"/>
        </w:rPr>
        <w:footnoteReference w:id="97"/>
      </w:r>
    </w:p>
    <w:p>
      <w:pPr>
        <w:pStyle w:val="BodyText"/>
      </w:pPr>
      <w:r>
        <w:t xml:space="preserve">Because the name resolves successfully, the failure is intermittent and invisible: the application sees a connection, the network completes it, and only DNS query logging combined with flow analysis shows that the traffic took the wrong path.</w:t>
      </w:r>
    </w:p>
    <w:bookmarkEnd w:id="99"/>
    <w:bookmarkStart w:id="104" w:name="X7eacba8738ec154648e52bc0dc77f5fbcd3711a"/>
    <w:p>
      <w:pPr>
        <w:pStyle w:val="Heading2"/>
      </w:pPr>
      <w:bookmarkStart w:id="1038" w:name="_Toc00001038"/>
      <w:r>
        <w:t xml:space="preserve">Public SaaS split-brain: Microsoft 365 and the government clouds</w:t>
      </w:r>
      <w:bookmarkEnd w:id="1038"/>
    </w:p>
    <w:p>
      <w:pPr>
        <w:pStyle w:val="FirstParagraph"/>
      </w:pPr>
      <w:r>
        <w:t xml:space="preserve">Microsoft 365 shows a different form of the problem. Microsoft publishes a separate endpoint list for each Microsoft 365 cloud. The Worldwide list covers commercial tenants and GCC; GCC High and DoD have their own lists and their own namespaces, such as</w:t>
      </w:r>
      <w:r>
        <w:t xml:space="preserve"> </w:t>
      </w:r>
      <w:r>
        <w:rPr>
          <w:rStyle w:val="VerbatimChar"/>
        </w:rPr>
        <w:t xml:space="preserve">*.office365.us</w:t>
      </w:r>
      <w:r>
        <w:t xml:space="preserve"> </w:t>
      </w:r>
      <w:r>
        <w:t xml:space="preserve">and</w:t>
      </w:r>
      <w:r>
        <w:t xml:space="preserve"> </w:t>
      </w:r>
      <w:r>
        <w:rPr>
          <w:rStyle w:val="VerbatimChar"/>
        </w:rPr>
        <w:t xml:space="preserve">*.sharepoint.us</w:t>
      </w:r>
      <w:r>
        <w:t xml:space="preserve"> </w:t>
      </w:r>
      <w:r>
        <w:t xml:space="preserve">for GCC High.</w:t>
      </w:r>
      <w:r>
        <w:rPr>
          <w:rStyle w:val="FootnoteReference"/>
        </w:rPr>
        <w:footnoteReference w:id="100"/>
      </w:r>
      <w:r>
        <w:rPr>
          <w:rStyle w:val="FootnoteReference"/>
        </w:rPr>
        <w:footnoteReference w:id="101"/>
      </w:r>
    </w:p>
    <w:p>
      <w:pPr>
        <w:pStyle w:val="BodyText"/>
      </w:pPr>
      <w:r>
        <w:t xml:space="preserve">It is sometimes assumed that a GCC tenant must resolve names such as</w:t>
      </w:r>
      <w:r>
        <w:t xml:space="preserve"> </w:t>
      </w:r>
      <w:r>
        <w:rPr>
          <w:rStyle w:val="VerbatimChar"/>
        </w:rPr>
        <w:t xml:space="preserve">outlook.office365.com</w:t>
      </w:r>
      <w:r>
        <w:t xml:space="preserve"> </w:t>
      </w:r>
      <w:r>
        <w:t xml:space="preserve">to GCC-specific endpoints rather than commercial ones. That is not how GCC works: GCC uses the Worldwide endpoint list.</w:t>
      </w:r>
      <w:r>
        <w:rPr>
          <w:rStyle w:val="FootnoteReference"/>
        </w:rPr>
        <w:footnoteReference w:id="102"/>
      </w:r>
      <w:r>
        <w:t xml:space="preserve"> </w:t>
      </w:r>
      <w:r>
        <w:t xml:space="preserve">For a GCC-Moderate agency the risk is therefore not a</w:t>
      </w:r>
      <w:r>
        <w:t xml:space="preserve"> </w:t>
      </w:r>
      <w:r>
        <w:t xml:space="preserve">“wrong cloud”</w:t>
      </w:r>
      <w:r>
        <w:t xml:space="preserve"> </w:t>
      </w:r>
      <w:r>
        <w:t xml:space="preserve">answer but resolution-path consistency: every resolver a client can reach must return the answers Microsoft publishes, through the egress path the agency designed, and must not be overridden by a stale conditional forwarder or by a client sending DNS over HTTPS to a public resolver. For GCC High and DoD tenants the namespaces themselves differ, and every resolver in the estate must resolve them correctly. When resolution drifts, the failure surfaces as sign-in failures, Conditional Access denials or poor performance that appear to have nothing to do with DNS. Governing Microsoft 365 resolution explicitly needs a policy plane that covers both on-premises resolvers and the cloud and edge resolvers branch and remote users reach first (Chapter 05).</w:t>
      </w:r>
    </w:p>
    <w:bookmarkEnd w:id="104"/>
    <w:bookmarkStart w:id="116" w:name="Xa07e2adde8ae21021a3d2a67dea5568dfc9ffb5"/>
    <w:p>
      <w:pPr>
        <w:pStyle w:val="Heading2"/>
      </w:pPr>
      <w:bookmarkStart w:id="1039" w:name="_Toc00001039"/>
      <w:r>
        <w:t xml:space="preserve">Security policy split-brain: the invisible gap</w:t>
      </w:r>
      <w:bookmarkEnd w:id="1039"/>
    </w:p>
    <w:bookmarkStart w:id="108" w:name="fig-ch02-security-policy-split-brain"/>
    <w:p>
      <w:pPr>
        <w:pStyle w:val="CaptionedFigure"/>
      </w:pPr>
      <w:r>
        <w:drawing>
          <wp:inline>
            <wp:extent cx="5074680" cy="2451166"/>
            <wp:effectExtent b="0" l="0" r="0" t="0"/>
            <wp:docPr descr="Security policy that is not synchronized is only as strong as the weakest resolver." title="" id="106" name="Picture"/>
            <a:graphic>
              <a:graphicData uri="http://schemas.openxmlformats.org/drawingml/2006/picture">
                <pic:pic>
                  <pic:nvPicPr>
                    <pic:cNvPr descr="/home/runner/work/modernization-workbook/modernization-workbook/docs/images/diagrams/b08-ddi/png/ch02-security-policy-split-brain.png" id="107" name="Picture"/>
                    <pic:cNvPicPr>
                      <a:picLocks noChangeArrowheads="1" noChangeAspect="1"/>
                    </pic:cNvPicPr>
                  </pic:nvPicPr>
                  <pic:blipFill>
                    <a:blip r:embed="rId105"/>
                    <a:stretch>
                      <a:fillRect/>
                    </a:stretch>
                  </pic:blipFill>
                  <pic:spPr bwMode="auto">
                    <a:xfrm>
                      <a:off x="0" y="0"/>
                      <a:ext cx="5074680" cy="2451166"/>
                    </a:xfrm>
                    <a:prstGeom prst="rect">
                      <a:avLst/>
                    </a:prstGeom>
                    <a:noFill/>
                    <a:ln w="9525">
                      <a:noFill/>
                      <a:headEnd/>
                      <a:tailEnd/>
                    </a:ln>
                  </pic:spPr>
                </pic:pic>
              </a:graphicData>
            </a:graphic>
          </wp:inline>
        </w:drawing>
      </w:r>
    </w:p>
    <w:p>
      <w:pPr>
        <w:pStyle w:val="ImageCaption"/>
      </w:pPr>
      <w:r>
        <w:t xml:space="preserve">Security policy that is not synchronized is only as strong as the weakest resolver.</w:t>
      </w:r>
    </w:p>
    <w:bookmarkEnd w:id="108"/>
    <w:p>
      <w:pPr>
        <w:pStyle w:val="BodyText"/>
      </w:pPr>
      <w:r>
        <w:t xml:space="preserve">DNS security policy (response policy zones, DNS firewall rules, Protective DNS block lists) is enforced only at the resolver that answers the query. A domain blocked at the agency resolver may still be answered by Route 53 VPC Resolver, Azure DNS or Google Cloud DNS if the equivalent rule there (Route 53 Resolver DNS Firewall, Azure DNS resolver policy, Cloud DNS response policies) was never created or has drifted.</w:t>
      </w:r>
      <w:r>
        <w:rPr>
          <w:rStyle w:val="FootnoteReference"/>
        </w:rPr>
        <w:footnoteReference w:id="109"/>
      </w:r>
      <w:r>
        <w:rPr>
          <w:rStyle w:val="FootnoteReference"/>
        </w:rPr>
        <w:footnoteReference w:id="110"/>
      </w:r>
      <w:r>
        <w:rPr>
          <w:rStyle w:val="FootnoteReference"/>
        </w:rPr>
        <w:footnoteReference w:id="111"/>
      </w:r>
      <w:r>
        <w:t xml:space="preserve"> </w:t>
      </w:r>
      <w:r>
        <w:t xml:space="preserve">Each of those controls is configured per VPC or per virtual network, so coverage also depends on every new network being attached to the right policy.</w:t>
      </w:r>
    </w:p>
    <w:p>
      <w:pPr>
        <w:pStyle w:val="BodyText"/>
      </w:pPr>
      <w:r>
        <w:t xml:space="preserve">The effective posture across the estate is therefore the intersection of all the resolvers’ policies: only as strong as the weakest resolver a client can reach. Because replicating policy across independent systems is manual, the intersection is never quite equal to any one of them, and it narrows over time as each system is updated on its own.</w:t>
      </w:r>
    </w:p>
    <w:p>
      <w:pPr>
        <w:pStyle w:val="BodyText"/>
      </w:pPr>
      <w:r>
        <w:t xml:space="preserve">This matters beyond compliance. NIST notes that DNS servers give unusual insight into endpoint connections and data flows and</w:t>
      </w:r>
      <w:r>
        <w:t xml:space="preserve"> </w:t>
      </w:r>
      <w:r>
        <w:t xml:space="preserve">“can often prevent security incidents earlier than other systems,”</w:t>
      </w:r>
      <w:r>
        <w:t xml:space="preserve"> </w:t>
      </w:r>
      <w:r>
        <w:t xml:space="preserve">and recommends DNS-based detection of data exfiltration.</w:t>
      </w:r>
      <w:r>
        <w:rPr>
          <w:rStyle w:val="FootnoteReference"/>
        </w:rPr>
        <w:footnoteReference w:id="112"/>
      </w:r>
      <w:r>
        <w:t xml:space="preserve"> </w:t>
      </w:r>
      <w:r>
        <w:t xml:space="preserve">A block list that applies only to queries reaching the on-premises grid protects nothing for the cloud-native workloads that never query it. The same gap appears in the federal requirements: OMB M-22-09 notes that agencies are already required to route DNS through CISA-operated infrastructure, and CISA’s implementation guidance requires all egress resolution to pass through Protective DNS. Branches or cloud workloads that bypass the authorized resolver path also bypass those controls, and nobody notices (Chapter 03).</w:t>
      </w:r>
      <w:r>
        <w:rPr>
          <w:rStyle w:val="FootnoteReference"/>
        </w:rPr>
        <w:footnoteReference w:id="113"/>
      </w:r>
      <w:r>
        <w:rPr>
          <w:rStyle w:val="FootnoteReference"/>
        </w:rPr>
        <w:footnoteReference w:id="114"/>
      </w:r>
    </w:p>
    <w:bookmarkEnd w:id="116"/>
    <w:bookmarkStart w:id="117" w:name="X3521f31d633789eeae02c12ef1d652a09f1ec96"/>
    <w:p>
      <w:pPr>
        <w:pStyle w:val="Heading2"/>
      </w:pPr>
      <w:bookmarkStart w:id="1040" w:name="_Toc00001040"/>
      <w:r>
        <w:t xml:space="preserve">Why process discipline can’t fix a structural problem</w:t>
      </w:r>
      <w:bookmarkEnd w:id="1040"/>
    </w:p>
    <w:p>
      <w:pPr>
        <w:pStyle w:val="FirstParagraph"/>
      </w:pPr>
      <w:r>
        <w:t xml:space="preserve">The usual response to split-brain is process: write a runbook, require engineers to update every DNS system whenever anything changes, and audit compliance. It fails for three reasons.</w:t>
      </w:r>
    </w:p>
    <w:p>
      <w:pPr>
        <w:pStyle w:val="Compact"/>
        <w:numPr>
          <w:ilvl w:val="0"/>
          <w:numId w:val="1006"/>
        </w:numPr>
      </w:pPr>
      <w:r>
        <w:rPr>
          <w:b/>
          <w:bCs/>
        </w:rPr>
        <w:t xml:space="preserve">The failure is silent.</w:t>
      </w:r>
      <w:r>
        <w:t xml:space="preserve"> </w:t>
      </w:r>
      <w:r>
        <w:t xml:space="preserve">When a Route 53 forwarding rule isn’t updated after an Azure private endpoint changes, no alarm fires. The divergence accumulates until a workload that happens to query from AWS fails, and the failure looks like a network problem, not a DNS one.</w:t>
      </w:r>
    </w:p>
    <w:p>
      <w:pPr>
        <w:pStyle w:val="Compact"/>
        <w:numPr>
          <w:ilvl w:val="0"/>
          <w:numId w:val="1006"/>
        </w:numPr>
      </w:pPr>
      <w:r>
        <w:rPr>
          <w:b/>
          <w:bCs/>
        </w:rPr>
        <w:t xml:space="preserve">The change surface is too large.</w:t>
      </w:r>
      <w:r>
        <w:t xml:space="preserve"> </w:t>
      </w:r>
      <w:r>
        <w:t xml:space="preserve">Every private endpoint, every address reassignment and every new workload has DNS consequences across every system. In a large estate with dozens of teams provisioning cloud resources, the change rate outruns any manual synchronization process.</w:t>
      </w:r>
    </w:p>
    <w:p>
      <w:pPr>
        <w:pStyle w:val="Compact"/>
        <w:numPr>
          <w:ilvl w:val="0"/>
          <w:numId w:val="1006"/>
        </w:numPr>
      </w:pPr>
      <w:r>
        <w:rPr>
          <w:b/>
          <w:bCs/>
        </w:rPr>
        <w:t xml:space="preserve">The systems behave differently.</w:t>
      </w:r>
      <w:r>
        <w:t xml:space="preserve"> </w:t>
      </w:r>
      <w:r>
        <w:t xml:space="preserve">Each has its own API, rate limits, propagation delay and consistency model. Even a fully scripted synchronization has to solve ordering and conflict resolution when the systems update at different speeds.</w:t>
      </w:r>
    </w:p>
    <w:p>
      <w:pPr>
        <w:pStyle w:val="FirstParagraph"/>
      </w:pPr>
      <w:r>
        <w:t xml:space="preserve">The only structural fix is a control plane that holds the authoritative policy objects and propagates them to every surface, so that</w:t>
      </w:r>
      <w:r>
        <w:t xml:space="preserve"> </w:t>
      </w:r>
      <w:r>
        <w:t xml:space="preserve">“does Route 53 have the current forwarding rules?”</w:t>
      </w:r>
      <w:r>
        <w:t xml:space="preserve"> </w:t>
      </w:r>
      <w:r>
        <w:t xml:space="preserve">is answered by the control plane, not by an audit. That is the program’s design position, and Chapter 08 sets out the reference architecture.</w:t>
      </w:r>
    </w:p>
    <w:bookmarkEnd w:id="117"/>
    <w:bookmarkStart w:id="121" w:name="what-fragmented-ddi-costs"/>
    <w:p>
      <w:pPr>
        <w:pStyle w:val="Heading2"/>
      </w:pPr>
      <w:bookmarkStart w:id="1041" w:name="_Toc00001041"/>
      <w:r>
        <w:t xml:space="preserve">What fragmented DDI costs</w:t>
      </w:r>
      <w:bookmarkEnd w:id="1041"/>
    </w:p>
    <w:p>
      <w:pPr>
        <w:pStyle w:val="FirstParagraph"/>
      </w:pPr>
      <w:r>
        <w:t xml:space="preserve">Organizations that rely on fragmented or do-it-yourself DDI accumulate configuration drift, stale and dangling records, overlapping address space and siloed administration. Each is an operational risk and an audit finding waiting to happen; NIST’s guidance treats dangling CNAMEs, lame delegations and zone drift as security threats in their own right.</w:t>
      </w:r>
      <w:r>
        <w:rPr>
          <w:rStyle w:val="FootnoteReference"/>
        </w:rPr>
        <w:footnoteReference w:id="118"/>
      </w:r>
      <w:r>
        <w:t xml:space="preserve"> </w:t>
      </w:r>
      <w:r>
        <w:t xml:space="preserve">A vendor-published survey of 1,000 networking and security decision-makers, conducted by Enterprise Strategy Group, reports that organizations without enterprise-grade DDI had quarterly cloud outages 44 percent more often than peers with it, and were 38 percent more likely to take hours rather than minutes to recognize an outage.</w:t>
      </w:r>
      <w:r>
        <w:rPr>
          <w:rStyle w:val="FootnoteReference"/>
        </w:rPr>
        <w:footnoteReference w:id="119"/>
      </w:r>
      <w:r>
        <w:t xml:space="preserve"> </w:t>
      </w:r>
      <w:r>
        <w:t xml:space="preserve">Treat such figures as directional, not as a benchmark.</w:t>
      </w:r>
    </w:p>
    <w:p>
      <w:pPr>
        <w:pStyle w:val="BodyText"/>
      </w:pPr>
      <w:r>
        <w:t xml:space="preserve">The evidence cost is just as real. Without a unified DDI plane, agencies struggle to show the consistent policy, audit trail and asset inventory that FedRAMP continuous monitoring, NIST SP 800-81r3, CISA Protective DNS and Zero Trust reporting all ask for (Chapter 03 and Chapter 11). And for secure access service edge (SASE) and Zero Trust, DNS is the first trust decision: it chooses the destination before TLS, single sign-on or any application policy can act. Fragmented DNS undermines consistent filtering, encrypted DNS policy and threat blocking at that first step.</w:t>
      </w:r>
    </w:p>
    <w:bookmarkEnd w:id="121"/>
    <w:bookmarkStart w:id="122" w:name="what-this-chapter-establishes-1"/>
    <w:p>
      <w:pPr>
        <w:pStyle w:val="Heading2"/>
      </w:pPr>
      <w:bookmarkStart w:id="1042" w:name="_Toc00001042"/>
      <w:r>
        <w:t xml:space="preserve">What this chapter establishes</w:t>
      </w:r>
      <w:bookmarkEnd w:id="1042"/>
    </w:p>
    <w:p>
      <w:pPr>
        <w:pStyle w:val="Compact"/>
        <w:numPr>
          <w:ilvl w:val="0"/>
          <w:numId w:val="1007"/>
        </w:numPr>
      </w:pPr>
      <w:r>
        <w:t xml:space="preserve">Intentional split-horizon is legitimate; unintentional split-brain is drift between systems with no shared state, and it is close to guaranteed when DNS is fragmented.</w:t>
      </w:r>
    </w:p>
    <w:p>
      <w:pPr>
        <w:pStyle w:val="Compact"/>
        <w:numPr>
          <w:ilvl w:val="0"/>
          <w:numId w:val="1007"/>
        </w:numPr>
      </w:pPr>
      <w:r>
        <w:t xml:space="preserve">Split-brain breaks private connectivity, SaaS resolution and security policy silently, because the name still resolves.</w:t>
      </w:r>
    </w:p>
    <w:p>
      <w:pPr>
        <w:pStyle w:val="Compact"/>
        <w:numPr>
          <w:ilvl w:val="0"/>
          <w:numId w:val="1007"/>
        </w:numPr>
      </w:pPr>
      <w:r>
        <w:t xml:space="preserve">The effective security posture is that of the weakest resolver a client can reach, and process discipline can’t hold independent systems in step; a control plane can.</w:t>
      </w:r>
    </w:p>
    <w:bookmarkEnd w:id="122"/>
    <w:bookmarkStart w:id="123" w:name="continue-the-book-1"/>
    <w:p>
      <w:pPr>
        <w:pStyle w:val="Heading2"/>
      </w:pPr>
      <w:bookmarkStart w:id="1043" w:name="_Toc00001043"/>
      <w:r>
        <w:t xml:space="preserve">Continue the book</w:t>
      </w:r>
      <w:bookmarkEnd w:id="1043"/>
    </w:p>
    <w:p>
      <w:pPr>
        <w:pStyle w:val="FirstParagraph"/>
      </w:pPr>
      <w:r>
        <w:t xml:space="preserve">← Previous: Chapter 01 — DNS Is Now the Control Plane · Book index · Next: Chapter 03 — Federal Requirements: NIST SP 800-81, FedRAMP and Zero Trust →</w:t>
      </w:r>
    </w:p>
    <w:bookmarkEnd w:id="123"/>
    <w:bookmarkEnd w:id="124"/>
    <w:bookmarkStart w:id="166" w:name="X066d57a10529999919326ff229aebfb08cef8f7"/>
    <w:p>
      <w:pPr>
        <w:pStyle w:val="Heading1"/>
      </w:pPr>
      <w:bookmarkStart w:id="1044" w:name="_Toc00001044"/>
      <w:r>
        <w:t xml:space="preserve">Chapter 03 — Federal Requirements: NIST SP 800-81, FedRAMP and Zero Trust</w:t>
      </w:r>
      <w:bookmarkEnd w:id="1044"/>
    </w:p>
    <w:p>
      <w:pPr>
        <w:pStyle w:val="FirstParagraph"/>
      </w:pPr>
      <w:r>
        <w:rPr>
          <w:i/>
          <w:iCs/>
        </w:rPr>
        <w:t xml:space="preserve">The mandates never name a product, but read together they describe a governed name layer.</w:t>
      </w:r>
    </w:p>
    <w:bookmarkStart w:id="125" w:name="in-this-chapter-2"/>
    <w:p>
      <w:pPr>
        <w:pStyle w:val="Heading2"/>
      </w:pPr>
      <w:bookmarkStart w:id="1045" w:name="_Toc00001045"/>
      <w:r>
        <w:t xml:space="preserve">In this chapter</w:t>
      </w:r>
      <w:bookmarkEnd w:id="1045"/>
    </w:p>
    <w:p>
      <w:pPr>
        <w:pStyle w:val="FirstParagraph"/>
      </w:pPr>
      <w:r>
        <w:t xml:space="preserve">What each federal source requires of DNS, quoted rather than paraphrased into something stronger: OMB M-22-09 and CISA’s encrypted DNS guidance, CISA Protective DNS, M-21-31 logging, M-08-23 DNSSEC, M-21-07 IPv6 and the TIC 3.0 DNS capabilities. What NIST SP 800-81 Rev. 3 adds, how FedRAMP applies when the policy plane is a cloud service, why the timing matters now, and a control mapping to SP 800-53.</w:t>
      </w:r>
    </w:p>
    <w:bookmarkEnd w:id="125"/>
    <w:bookmarkStart w:id="129" w:name="fig-ch03-federal-drivers"/>
    <w:p>
      <w:pPr>
        <w:pStyle w:val="CaptionedFigure"/>
      </w:pPr>
      <w:r>
        <w:drawing>
          <wp:inline>
            <wp:extent cx="4710835" cy="5668322"/>
            <wp:effectExtent b="0" l="0" r="0" t="0"/>
            <wp:docPr descr="The federal drivers that land on the name layer." title="" id="127" name="Picture"/>
            <a:graphic>
              <a:graphicData uri="http://schemas.openxmlformats.org/drawingml/2006/picture">
                <pic:pic>
                  <pic:nvPicPr>
                    <pic:cNvPr descr="/home/runner/work/modernization-workbook/modernization-workbook/docs/images/diagrams/b08-ddi/png/ch03-federal-drivers.png" id="128" name="Picture"/>
                    <pic:cNvPicPr>
                      <a:picLocks noChangeArrowheads="1" noChangeAspect="1"/>
                    </pic:cNvPicPr>
                  </pic:nvPicPr>
                  <pic:blipFill>
                    <a:blip r:embed="rId126"/>
                    <a:stretch>
                      <a:fillRect/>
                    </a:stretch>
                  </pic:blipFill>
                  <pic:spPr bwMode="auto">
                    <a:xfrm>
                      <a:off x="0" y="0"/>
                      <a:ext cx="4710835" cy="5668322"/>
                    </a:xfrm>
                    <a:prstGeom prst="rect">
                      <a:avLst/>
                    </a:prstGeom>
                    <a:noFill/>
                    <a:ln w="9525">
                      <a:noFill/>
                      <a:headEnd/>
                      <a:tailEnd/>
                    </a:ln>
                  </pic:spPr>
                </pic:pic>
              </a:graphicData>
            </a:graphic>
          </wp:inline>
        </w:drawing>
      </w:r>
    </w:p>
    <w:p>
      <w:pPr>
        <w:pStyle w:val="ImageCaption"/>
      </w:pPr>
      <w:r>
        <w:t xml:space="preserve">The federal drivers that land on the name layer.</w:t>
      </w:r>
    </w:p>
    <w:bookmarkEnd w:id="129"/>
    <w:bookmarkStart w:id="145" w:name="what-the-mandates-say"/>
    <w:p>
      <w:pPr>
        <w:pStyle w:val="Heading2"/>
      </w:pPr>
      <w:bookmarkStart w:id="1046" w:name="_Toc00001046"/>
      <w:r>
        <w:t xml:space="preserve">What the mandates say</w:t>
      </w:r>
      <w:bookmarkEnd w:id="1046"/>
    </w:p>
    <w:p>
      <w:pPr>
        <w:pStyle w:val="FirstParagraph"/>
      </w:pPr>
      <w:r>
        <w:t xml:space="preserve">The federal requirements on DNS are specific, and it is worth quoting them rather than paraphrasing.</w:t>
      </w:r>
    </w:p>
    <w:p>
      <w:pPr>
        <w:pStyle w:val="Compact"/>
        <w:numPr>
          <w:ilvl w:val="0"/>
          <w:numId w:val="1008"/>
        </w:numPr>
      </w:pPr>
      <w:r>
        <w:rPr>
          <w:b/>
          <w:bCs/>
        </w:rPr>
        <w:t xml:space="preserve">OMB M-22-09 (Federal Zero Trust Strategy, January 2022).</w:t>
      </w:r>
      <w:r>
        <w:t xml:space="preserve"> </w:t>
      </w:r>
      <w:r>
        <w:t xml:space="preserve">“Agencies must resolve DNS queries using encrypted DNS wherever it is technically supported.”</w:t>
      </w:r>
      <w:r>
        <w:t xml:space="preserve"> </w:t>
      </w:r>
      <w:r>
        <w:t xml:space="preserve">Agency resolvers must support DNS over HTTPS (DoH) or DNS over TLS (DoT) and use them upstream; endpoints must enable encrypted DNS in applications and the operating system wherever available; and agencies</w:t>
      </w:r>
      <w:r>
        <w:t xml:space="preserve"> </w:t>
      </w:r>
      <w:r>
        <w:t xml:space="preserve">“should explicitly configure endpoints to use agency-designated encrypted DNS servers, rather than relying on automatic network discovery.”</w:t>
      </w:r>
      <w:r>
        <w:t xml:space="preserve"> </w:t>
      </w:r>
      <w:r>
        <w:t xml:space="preserve">Agencies keep visibility by logging at their designated resolvers, and were to report gaps in technical support and plans to reach enterprise-wide support by FY24. The memorandum also notes that agencies</w:t>
      </w:r>
      <w:r>
        <w:t xml:space="preserve"> </w:t>
      </w:r>
      <w:r>
        <w:t xml:space="preserve">“are already required to have DNS requests routed through CISA-operated infrastructure.”</w:t>
      </w:r>
      <w:r>
        <w:rPr>
          <w:rStyle w:val="FootnoteReference"/>
        </w:rPr>
        <w:footnoteReference w:id="130"/>
      </w:r>
    </w:p>
    <w:p>
      <w:pPr>
        <w:pStyle w:val="Compact"/>
        <w:numPr>
          <w:ilvl w:val="0"/>
          <w:numId w:val="1008"/>
        </w:numPr>
      </w:pPr>
      <w:r>
        <w:rPr>
          <w:b/>
          <w:bCs/>
        </w:rPr>
        <w:t xml:space="preserve">CISA Protective DNS.</w:t>
      </w:r>
      <w:r>
        <w:t xml:space="preserve"> </w:t>
      </w:r>
      <w:r>
        <w:t xml:space="preserve">CISA launched the Protective DNS Resolver service in 2022 as the successor to the EINSTEIN 3 Accelerated (E3A) DNS sinkholing capability. It filters queries upstream of agency networks and blocks, redirects or sinkholes responses that match threat indicators, alerting the agency and CISA; traffic from mobile, roaming and cloud assets can flow to it directly. Federal civilian executive branch agencies are required to use it.</w:t>
      </w:r>
      <w:r>
        <w:rPr>
          <w:rStyle w:val="FootnoteReference"/>
        </w:rPr>
        <w:footnoteReference w:id="131"/>
      </w:r>
      <w:r>
        <w:t xml:space="preserve"> </w:t>
      </w:r>
      <w:r>
        <w:t xml:space="preserve">CISA’s implementation guidance cites the legal basis, 6 U.S.C. § 663 note, and states that agencies must use Protective DNS</w:t>
      </w:r>
      <w:r>
        <w:t xml:space="preserve"> </w:t>
      </w:r>
      <w:r>
        <w:t xml:space="preserve">“for all egress DNS resolution.”</w:t>
      </w:r>
      <w:r>
        <w:rPr>
          <w:rStyle w:val="FootnoteReference"/>
        </w:rPr>
        <w:footnoteReference w:id="133"/>
      </w:r>
    </w:p>
    <w:p>
      <w:pPr>
        <w:pStyle w:val="Compact"/>
        <w:numPr>
          <w:ilvl w:val="0"/>
          <w:numId w:val="1008"/>
        </w:numPr>
      </w:pPr>
      <w:r>
        <w:rPr>
          <w:b/>
          <w:bCs/>
        </w:rPr>
        <w:t xml:space="preserve">CISA Encrypted DNS Implementation Guidance (May 16, 2024).</w:t>
      </w:r>
      <w:r>
        <w:t xml:space="preserve"> </w:t>
      </w:r>
      <w:r>
        <w:t xml:space="preserve">Explains how agencies meet M-22-09 while keeping Protective DNS upstream, and suggests six phases: use Protective DNS; block unauthorized DNS traffic, encrypted and unencrypted; encrypt traffic to Protective DNS; encrypt DNS for roaming and nomadic endpoints; encrypt DNS in cloud deployments; and encrypt DNS for on-premises endpoints. It notes that every agency should already have finished the first phase. It describes DoH, DoT and DNS over QUIC (DoQ), and says DoQ is currently supported by fewer products; the Protective DNS service itself supports DoH and DoT.</w:t>
      </w:r>
      <w:r>
        <w:rPr>
          <w:rStyle w:val="FootnoteReference"/>
        </w:rPr>
        <w:footnoteReference w:id="134"/>
      </w:r>
    </w:p>
    <w:p>
      <w:pPr>
        <w:pStyle w:val="Compact"/>
        <w:numPr>
          <w:ilvl w:val="0"/>
          <w:numId w:val="1008"/>
        </w:numPr>
      </w:pPr>
      <w:r>
        <w:rPr>
          <w:b/>
          <w:bCs/>
        </w:rPr>
        <w:t xml:space="preserve">OMB M-21-31 (event logging, August 2021).</w:t>
      </w:r>
      <w:r>
        <w:t xml:space="preserve"> </w:t>
      </w:r>
      <w:r>
        <w:t xml:space="preserve">Passive DNS logging is an EL1 Basic requirement: agencies</w:t>
      </w:r>
      <w:r>
        <w:t xml:space="preserve"> </w:t>
      </w:r>
      <w:r>
        <w:t xml:space="preserve">“shall implement a Domain Name System (DNS) logging system,”</w:t>
      </w:r>
      <w:r>
        <w:t xml:space="preserve"> </w:t>
      </w:r>
      <w:r>
        <w:t xml:space="preserve">“including DNS requests made over encrypted DNS connections,”</w:t>
      </w:r>
      <w:r>
        <w:t xml:space="preserve"> </w:t>
      </w:r>
      <w:r>
        <w:t xml:space="preserve">with analytics that rapidly identify the host that sourced each query. Agencies were to reach EL1 within one year of the memorandum.</w:t>
      </w:r>
      <w:r>
        <w:rPr>
          <w:rStyle w:val="FootnoteReference"/>
        </w:rPr>
        <w:footnoteReference w:id="135"/>
      </w:r>
    </w:p>
    <w:p>
      <w:pPr>
        <w:pStyle w:val="Compact"/>
        <w:numPr>
          <w:ilvl w:val="0"/>
          <w:numId w:val="1008"/>
        </w:numPr>
      </w:pPr>
      <w:r>
        <w:rPr>
          <w:b/>
          <w:bCs/>
        </w:rPr>
        <w:t xml:space="preserve">OMB M-08-23 (August 2008).</w:t>
      </w:r>
      <w:r>
        <w:t xml:space="preserve"> </w:t>
      </w:r>
      <w:r>
        <w:t xml:space="preserve">Required DNSSEC to be deployed and operational on all applicable federal information systems by December 2009, following NIST SP 800-81.</w:t>
      </w:r>
      <w:r>
        <w:rPr>
          <w:rStyle w:val="FootnoteReference"/>
        </w:rPr>
        <w:footnoteReference w:id="137"/>
      </w:r>
      <w:r>
        <w:t xml:space="preserve"> </w:t>
      </w:r>
      <w:r>
        <w:t xml:space="preserve">SP 800-53 controls SC-20 and SC-21 carry the signing and validating-resolver requirements into every system baseline (Chapter 06).</w:t>
      </w:r>
      <w:r>
        <w:rPr>
          <w:rStyle w:val="FootnoteReference"/>
        </w:rPr>
        <w:footnoteReference w:id="138"/>
      </w:r>
    </w:p>
    <w:p>
      <w:pPr>
        <w:pStyle w:val="Compact"/>
        <w:numPr>
          <w:ilvl w:val="0"/>
          <w:numId w:val="1008"/>
        </w:numPr>
      </w:pPr>
      <w:r>
        <w:rPr>
          <w:b/>
          <w:bCs/>
        </w:rPr>
        <w:t xml:space="preserve">OMB M-21-07 (IPv6, November 2020).</w:t>
      </w:r>
      <w:r>
        <w:t xml:space="preserve"> </w:t>
      </w:r>
      <w:r>
        <w:t xml:space="preserve">Set milestones for IP-enabled assets on federal networks to operate in IPv6-only environments: at least 20 percent by the end of FY2023, 50 percent by the end of FY2024 and 80 percent by the end of FY2025.</w:t>
      </w:r>
      <w:r>
        <w:rPr>
          <w:rStyle w:val="FootnoteReference"/>
        </w:rPr>
        <w:footnoteReference w:id="140"/>
      </w:r>
      <w:r>
        <w:t xml:space="preserve"> </w:t>
      </w:r>
      <w:r>
        <w:t xml:space="preserve">All three dates have now passed, so any agency short of them is behind, not on track. DDI is where dual-stack and IPv6-only address and name management actually happens (Chapter 07).</w:t>
      </w:r>
    </w:p>
    <w:p>
      <w:pPr>
        <w:pStyle w:val="Compact"/>
        <w:numPr>
          <w:ilvl w:val="0"/>
          <w:numId w:val="1008"/>
        </w:numPr>
      </w:pPr>
      <w:r>
        <w:rPr>
          <w:b/>
          <w:bCs/>
        </w:rPr>
        <w:t xml:space="preserve">TIC 3.0 (CISA Security Capabilities Catalog, version 3.3, published September 2026).</w:t>
      </w:r>
      <w:r>
        <w:t xml:space="preserve"> </w:t>
      </w:r>
      <w:r>
        <w:t xml:space="preserve">Lists five DNS policy enforcement point capabilities: domain name sinkholing; DNSSEC validation of agency clients’ lookups, for internal and external domains; DNSSEC signing of agency domains; domain name monitoring to discover the creation of or changes to agency domains; and CISA’s Protective DNS Service, which replaced the earlier EINSTEIN 3 Accelerated capability. A separate web capability, domain resolution filtering, prevents use of unauthorized resolvers over DoH.</w:t>
      </w:r>
      <w:r>
        <w:rPr>
          <w:rStyle w:val="FootnoteReference"/>
        </w:rPr>
        <w:footnoteReference w:id="142"/>
      </w:r>
    </w:p>
    <w:p>
      <w:pPr>
        <w:pStyle w:val="FirstParagraph"/>
      </w:pPr>
      <w:r>
        <w:t xml:space="preserve">None of these sources names a product. Read together, they require resolvers the agency controls that log every query (encrypted or not, with the source host identifiable), encrypt client-to-resolver traffic wherever the client supports it, forward egress resolution through Protective DNS, sign agency zones and validate DNSSEC, and block clients from routing around them. At enterprise scale that means centralized policy and logging with local or edge delivery, so that roaming, branch and cloud traffic can’t slip past the controls. Chapter 05 covers the bypass paths and the controls that close them.</w:t>
      </w:r>
    </w:p>
    <w:bookmarkEnd w:id="145"/>
    <w:bookmarkStart w:id="151" w:name="Xdb4e56f33a3821d2a05e5a86941b5bf2f24acec"/>
    <w:p>
      <w:pPr>
        <w:pStyle w:val="Heading2"/>
      </w:pPr>
      <w:bookmarkStart w:id="1047" w:name="_Toc00001047"/>
      <w:r>
        <w:t xml:space="preserve">NIST SP 800-81 Rev. 3: the Secure DNS Deployment Guide</w:t>
      </w:r>
      <w:bookmarkEnd w:id="1047"/>
    </w:p>
    <w:p>
      <w:pPr>
        <w:pStyle w:val="FirstParagraph"/>
      </w:pPr>
      <w:r>
        <w:t xml:space="preserve">NIST published SP 800-81r3,</w:t>
      </w:r>
      <w:r>
        <w:t xml:space="preserve"> </w:t>
      </w:r>
      <w:r>
        <w:rPr>
          <w:i/>
          <w:iCs/>
        </w:rPr>
        <w:t xml:space="preserve">Secure Domain Name System (DNS) Deployment Guide</w:t>
      </w:r>
      <w:r>
        <w:t xml:space="preserve">, as a final publication in March 2026 (dated March 19, 2026 in the document history). It supersedes SP 800-81-2 of September 2013. Its authors are Scott Rose of NIST and Cricket Liu and Ross Gibson of Infoblox.</w:t>
      </w:r>
      <w:r>
        <w:rPr>
          <w:rStyle w:val="FootnoteReference"/>
        </w:rPr>
        <w:footnoteReference w:id="146"/>
      </w:r>
      <w:r>
        <w:t xml:space="preserve"> </w:t>
      </w:r>
      <w:r>
        <w:t xml:space="preserve">NIST describes the revision as a significant change in structure and objective: it treats DNS as both critical infrastructure and a security control. Its executive summary makes five high-level recommendations:</w:t>
      </w:r>
    </w:p>
    <w:p>
      <w:pPr>
        <w:pStyle w:val="Compact"/>
        <w:numPr>
          <w:ilvl w:val="0"/>
          <w:numId w:val="1009"/>
        </w:numPr>
      </w:pPr>
      <w:r>
        <w:t xml:space="preserve">employ protective DNS wherever technically feasible, for real-time blocking, policy-based filtering, query and response data for forensics and incident response, and integration with the wider security ecosystem;</w:t>
      </w:r>
    </w:p>
    <w:p>
      <w:pPr>
        <w:pStyle w:val="Compact"/>
        <w:numPr>
          <w:ilvl w:val="0"/>
          <w:numId w:val="1009"/>
        </w:numPr>
      </w:pPr>
      <w:r>
        <w:t xml:space="preserve">encrypt internal and external DNS traffic wherever feasible;</w:t>
      </w:r>
    </w:p>
    <w:p>
      <w:pPr>
        <w:pStyle w:val="Compact"/>
        <w:numPr>
          <w:ilvl w:val="0"/>
          <w:numId w:val="1009"/>
        </w:numPr>
      </w:pPr>
      <w:r>
        <w:t xml:space="preserve">deploy DNSSEC to protect the integrity of DNS data;</w:t>
      </w:r>
    </w:p>
    <w:p>
      <w:pPr>
        <w:pStyle w:val="Compact"/>
        <w:numPr>
          <w:ilvl w:val="0"/>
          <w:numId w:val="1009"/>
        </w:numPr>
      </w:pPr>
      <w:r>
        <w:t xml:space="preserve">deploy dedicated DNS servers to reduce attack surfaces; and</w:t>
      </w:r>
    </w:p>
    <w:p>
      <w:pPr>
        <w:pStyle w:val="Compact"/>
        <w:numPr>
          <w:ilvl w:val="0"/>
          <w:numId w:val="1009"/>
        </w:numPr>
      </w:pPr>
      <w:r>
        <w:t xml:space="preserve">follow the technical guidance for secure, resilient DNS deployments.</w:t>
      </w:r>
    </w:p>
    <w:p>
      <w:pPr>
        <w:pStyle w:val="FirstParagraph"/>
      </w:pPr>
      <w:r>
        <w:t xml:space="preserve">The body adds the detail that matters for this book. It asks government agencies and regulated enterprises to implement robust DNS traffic logging, integrated with other system logs. It covers DNS hygiene threats such as lame delegations, zone drift and dangling CNAMEs. It recommends blocking outbound DNS, DoT, DoH and DoQ to unauthorized public resolvers, and using device management to stop users configuring unapproved encrypted DNS. And it positions an organization’s DNS service as both an information source for policy decisions and a policy enforcement point in a Zero Trust architecture, citing SP 800-207.</w:t>
      </w:r>
      <w:r>
        <w:rPr>
          <w:rStyle w:val="FootnoteReference"/>
        </w:rPr>
        <w:footnoteReference w:id="147"/>
      </w:r>
      <w:r>
        <w:rPr>
          <w:rStyle w:val="FootnoteReference"/>
        </w:rPr>
        <w:footnoteReference w:id="148"/>
      </w:r>
      <w:r>
        <w:t xml:space="preserve"> </w:t>
      </w:r>
      <w:r>
        <w:t xml:space="preserve">One distinction is easy to miss: NIST uses</w:t>
      </w:r>
      <w:r>
        <w:t xml:space="preserve"> </w:t>
      </w:r>
      <w:r>
        <w:t xml:space="preserve">“protective DNS”</w:t>
      </w:r>
      <w:r>
        <w:t xml:space="preserve"> </w:t>
      </w:r>
      <w:r>
        <w:t xml:space="preserve">for the general class of service,</w:t>
      </w:r>
      <w:r>
        <w:t xml:space="preserve"> </w:t>
      </w:r>
      <w:r>
        <w:t xml:space="preserve">“not the CISA program of the same name.”</w:t>
      </w:r>
      <w:r>
        <w:t xml:space="preserve"> </w:t>
      </w:r>
      <w:r>
        <w:t xml:space="preserve">For a civilian agency, CISA’s Protective DNS is the mandated upstream; the agency’s own resolvers can add protective DNS policy of their own in front of it.</w:t>
      </w:r>
    </w:p>
    <w:p>
      <w:pPr>
        <w:pStyle w:val="BodyText"/>
      </w:pPr>
      <w:r>
        <w:t xml:space="preserve">SP 800-81r3 is guidance, not a mandate in its own right. It is the practical companion to the requirements above, and to the DNS controls in SP 800-53 (SC-20 and SC-21 for authoritative and resolving services, SC-22 for the architecture and provisioning of name and address resolution) that FedRAMP baselines inherit.</w:t>
      </w:r>
      <w:r>
        <w:rPr>
          <w:rStyle w:val="FootnoteReference"/>
        </w:rPr>
        <w:footnoteReference w:id="150"/>
      </w:r>
      <w:r>
        <w:t xml:space="preserve"> </w:t>
      </w:r>
      <w:r>
        <w:t xml:space="preserve">Its co-authorship by a DDI vendor doesn’t change its status as NIST guidance, but it is worth knowing when a vendor cites it.</w:t>
      </w:r>
    </w:p>
    <w:bookmarkEnd w:id="151"/>
    <w:bookmarkStart w:id="159" w:name="fedramp-and-agency-authorization"/>
    <w:p>
      <w:pPr>
        <w:pStyle w:val="Heading2"/>
      </w:pPr>
      <w:bookmarkStart w:id="1048" w:name="_Toc00001048"/>
      <w:r>
        <w:t xml:space="preserve">FedRAMP and agency authorization</w:t>
      </w:r>
      <w:bookmarkEnd w:id="1048"/>
    </w:p>
    <w:p>
      <w:pPr>
        <w:pStyle w:val="FirstParagraph"/>
      </w:pPr>
      <w:r>
        <w:t xml:space="preserve">FedRAMP certifies cloud service offerings, not architectures, and it doesn’t replace the agency’s own authorization. FedRAMP’s 2026 rules say that</w:t>
      </w:r>
      <w:r>
        <w:t xml:space="preserve"> </w:t>
      </w:r>
      <w:r>
        <w:t xml:space="preserve">“each agency still authorizes its own federal information systems,”</w:t>
      </w:r>
      <w:r>
        <w:t xml:space="preserve"> </w:t>
      </w:r>
      <w:r>
        <w:t xml:space="preserve">that the authorizing official accepts the risk of the agency’s specific use (including the configuration selected and the integrations enabled), and that an agency should never create a standalone authorization to operate for a cloud service offering.</w:t>
      </w:r>
      <w:r>
        <w:rPr>
          <w:rStyle w:val="FootnoteReference"/>
        </w:rPr>
        <w:footnoteReference w:id="152"/>
      </w:r>
      <w:r>
        <w:t xml:space="preserve"> </w:t>
      </w:r>
      <w:r>
        <w:t xml:space="preserve">If the policy plane is delivered as a cloud service, that service needs a FedRAMP certification at the right level, and the agency authorizes its own DDI system with the service as an external dependency. The resolvers, appliances and agents running in agency data centers, branches and cloud tenants remain inside the agency’s own authorization boundary.</w:t>
      </w:r>
    </w:p>
    <w:p>
      <w:pPr>
        <w:pStyle w:val="BodyText"/>
      </w:pPr>
      <w:r>
        <w:t xml:space="preserve">As one example, the FedRAMP Marketplace lists Infoblox Government Cloud (package FR2017257053) as FedRAMP Certified at Class C, the Marketplace’s label for Moderate, under the Rev5 certification type through an agency path, certified since December 15, 2022. Its Marketplace description covers Universal DDI, Universal Asset Insights and the Threat Defense components TIDE and Dossier, delivered as SaaS in AWS GovCloud (US).</w:t>
      </w:r>
      <w:r>
        <w:rPr>
          <w:rStyle w:val="FootnoteReference"/>
        </w:rPr>
        <w:footnoteReference w:id="154"/>
      </w:r>
      <w:r>
        <w:t xml:space="preserve"> </w:t>
      </w:r>
      <w:r>
        <w:t xml:space="preserve">In a July 22, 2026 announcement the company said the offering now includes Universal DDI Management, NIOS-X Servers and Universal Asset Insights.</w:t>
      </w:r>
      <w:r>
        <w:rPr>
          <w:rStyle w:val="FootnoteReference"/>
        </w:rPr>
        <w:footnoteReference w:id="157"/>
      </w:r>
      <w:r>
        <w:t xml:space="preserve"> </w:t>
      </w:r>
      <w:r>
        <w:t xml:space="preserve">The listing is for the cloud service; on-premises NIOS appliances are not a FedRAMP-listed offering and sit inside the agency’s boundary like any other agency-operated infrastructure. A Class C (Moderate) certification doesn’t cover High or DoD impact levels; agencies operating there must confirm whether a separate certification or an agency-specific authorization is required. Appendix C — Applicability sets out these boundaries for each Microsoft and federal cloud environment, and Chapter 12 covers platform selection.</w:t>
      </w:r>
    </w:p>
    <w:bookmarkEnd w:id="159"/>
    <w:bookmarkStart w:id="162" w:name="why-the-timing-matters-now"/>
    <w:p>
      <w:pPr>
        <w:pStyle w:val="Heading2"/>
      </w:pPr>
      <w:bookmarkStart w:id="1049" w:name="_Toc00001049"/>
      <w:r>
        <w:t xml:space="preserve">Why the timing matters now</w:t>
      </w:r>
      <w:bookmarkEnd w:id="1049"/>
    </w:p>
    <w:p>
      <w:pPr>
        <w:pStyle w:val="FirstParagraph"/>
      </w:pPr>
      <w:r>
        <w:t xml:space="preserve">Several forces make DNS governance urgent rather than optional. Each is developed in a later chapter.</w:t>
      </w:r>
    </w:p>
    <w:p>
      <w:pPr>
        <w:pStyle w:val="Compact"/>
        <w:numPr>
          <w:ilvl w:val="0"/>
          <w:numId w:val="1010"/>
        </w:numPr>
      </w:pPr>
      <w:r>
        <w:rPr>
          <w:b/>
          <w:bCs/>
        </w:rPr>
        <w:t xml:space="preserve">Zero Trust.</w:t>
      </w:r>
      <w:r>
        <w:t xml:space="preserve"> </w:t>
      </w:r>
      <w:r>
        <w:t xml:space="preserve">M-22-09 and CISA’s Zero Trust Maturity Model move agencies toward access decisions about services identified by name. If those names resolve inconsistently across the estate, the policy written against them is inconsistent too (Chapter 06).</w:t>
      </w:r>
    </w:p>
    <w:p>
      <w:pPr>
        <w:pStyle w:val="Compact"/>
        <w:numPr>
          <w:ilvl w:val="0"/>
          <w:numId w:val="1010"/>
        </w:numPr>
      </w:pPr>
      <w:r>
        <w:rPr>
          <w:b/>
          <w:bCs/>
        </w:rPr>
        <w:t xml:space="preserve">The Active Directory transition.</w:t>
      </w:r>
      <w:r>
        <w:t xml:space="preserve"> </w:t>
      </w:r>
      <w:r>
        <w:t xml:space="preserve">Microsoft’s guidance describes a phased path from hybrid identity to cloud-first and</w:t>
      </w:r>
      <w:r>
        <w:t xml:space="preserve"> </w:t>
      </w:r>
      <w:r>
        <w:t xml:space="preserve">“AD-minimized”</w:t>
      </w:r>
      <w:r>
        <w:t xml:space="preserve"> </w:t>
      </w:r>
      <w:r>
        <w:t xml:space="preserve">states.</w:t>
      </w:r>
      <w:r>
        <w:rPr>
          <w:rStyle w:val="FootnoteReference"/>
        </w:rPr>
        <w:footnoteReference w:id="160"/>
      </w:r>
      <w:r>
        <w:t xml:space="preserve"> </w:t>
      </w:r>
      <w:r>
        <w:t xml:space="preserve">Agencies moving along it need a DNS governance program in place before the last domain controller goes, not after, because the records Active Directory maintained don’t migrate on their own (Chapter 04).</w:t>
      </w:r>
    </w:p>
    <w:p>
      <w:pPr>
        <w:pStyle w:val="Compact"/>
        <w:numPr>
          <w:ilvl w:val="0"/>
          <w:numId w:val="1010"/>
        </w:numPr>
      </w:pPr>
      <w:r>
        <w:rPr>
          <w:b/>
          <w:bCs/>
        </w:rPr>
        <w:t xml:space="preserve">Multi-cloud expansion.</w:t>
      </w:r>
      <w:r>
        <w:t xml:space="preserve"> </w:t>
      </w:r>
      <w:r>
        <w:t xml:space="preserve">Agencies are adding cloud providers, not consolidating to one, and each brings another independent DNS service. The number of places split-brain can occur grows with each one (Chapters 01, 02 and 07).</w:t>
      </w:r>
    </w:p>
    <w:p>
      <w:pPr>
        <w:pStyle w:val="Compact"/>
        <w:numPr>
          <w:ilvl w:val="0"/>
          <w:numId w:val="1010"/>
        </w:numPr>
      </w:pPr>
      <w:r>
        <w:rPr>
          <w:b/>
          <w:bCs/>
        </w:rPr>
        <w:t xml:space="preserve">Certificate and PKI change.</w:t>
      </w:r>
      <w:r>
        <w:t xml:space="preserve"> </w:t>
      </w:r>
      <w:r>
        <w:t xml:space="preserve">Every change to a certificate authority’s revocation endpoints or issuing hierarchy is a set of DNS names that must resolve from every origin (Chapters 06 and 08).</w:t>
      </w:r>
    </w:p>
    <w:p>
      <w:pPr>
        <w:pStyle w:val="Compact"/>
        <w:numPr>
          <w:ilvl w:val="0"/>
          <w:numId w:val="1010"/>
        </w:numPr>
      </w:pPr>
      <w:r>
        <w:rPr>
          <w:b/>
          <w:bCs/>
        </w:rPr>
        <w:t xml:space="preserve">The Layer 7 transition.</w:t>
      </w:r>
      <w:r>
        <w:t xml:space="preserve"> </w:t>
      </w:r>
      <w:r>
        <w:t xml:space="preserve">Once Zero Trust network access, API gateways and service meshes use FQDN-based service identity, DNS inconsistency stops meaning</w:t>
      </w:r>
      <w:r>
        <w:t xml:space="preserve"> </w:t>
      </w:r>
      <w:r>
        <w:t xml:space="preserve">“some workloads reach the wrong address”</w:t>
      </w:r>
      <w:r>
        <w:t xml:space="preserve"> </w:t>
      </w:r>
      <w:r>
        <w:t xml:space="preserve">and starts meaning</w:t>
      </w:r>
      <w:r>
        <w:t xml:space="preserve"> </w:t>
      </w:r>
      <w:r>
        <w:t xml:space="preserve">“policy is unenforced for some callers.”</w:t>
      </w:r>
    </w:p>
    <w:p>
      <w:pPr>
        <w:pStyle w:val="Compact"/>
        <w:numPr>
          <w:ilvl w:val="0"/>
          <w:numId w:val="1010"/>
        </w:numPr>
      </w:pPr>
      <w:r>
        <w:rPr>
          <w:b/>
          <w:bCs/>
        </w:rPr>
        <w:t xml:space="preserve">Rogue DHCP.</w:t>
      </w:r>
      <w:r>
        <w:t xml:space="preserve"> </w:t>
      </w:r>
      <w:r>
        <w:t xml:space="preserve">A rogue DHCP server handing out a malicious resolver in option 6 can route a whole subnet around every DNS control at once (Chapter 05).</w:t>
      </w:r>
    </w:p>
    <w:p>
      <w:pPr>
        <w:pStyle w:val="Compact"/>
        <w:numPr>
          <w:ilvl w:val="0"/>
          <w:numId w:val="1010"/>
        </w:numPr>
      </w:pPr>
      <w:r>
        <w:rPr>
          <w:b/>
          <w:bCs/>
        </w:rPr>
        <w:t xml:space="preserve">An authorized management plane exists.</w:t>
      </w:r>
      <w:r>
        <w:t xml:space="preserve"> </w:t>
      </w:r>
      <w:r>
        <w:t xml:space="preserve">With a cloud-delivered DDI management plane now listed at the Moderate level, the lack of an authorization is no longer, by itself, a reason to defer the architecture this book argues for.</w:t>
      </w:r>
    </w:p>
    <w:bookmarkEnd w:id="162"/>
    <w:bookmarkStart w:id="163" w:name="X799db63a4f2cfd1fd120f1029f1a2f0f05a467d"/>
    <w:p>
      <w:pPr>
        <w:pStyle w:val="Heading2"/>
      </w:pPr>
      <w:bookmarkStart w:id="1050" w:name="_Toc00001050"/>
      <w:r>
        <w:t xml:space="preserve">Control mapping for NIST SP 800-53, FedRAMP and CISA Zero Trust</w:t>
      </w:r>
      <w:bookmarkEnd w:id="1050"/>
    </w:p>
    <w:p>
      <w:pPr>
        <w:pStyle w:val="FirstParagraph"/>
      </w:pPr>
      <w:r>
        <w:t xml:space="preserve">The following table maps the core capabilities of a unified DDI plane to representative SP 800-53 controls. It is illustrative, not exhaustive; agencies should validate it against their own authorization boundary and continuous monitoring strategy. Appendix B — Requirements Mapping and Sources maps each requirement to the chapters and evidence.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Primary controls supported</w:t>
            </w:r>
          </w:p>
        </w:tc>
        <w:tc>
          <w:tcPr/>
          <w:p>
            <w:pPr>
              <w:pStyle w:val="Compact"/>
            </w:pPr>
            <w:r>
              <w:t xml:space="preserve">Evidence and notes</w:t>
            </w:r>
          </w:p>
        </w:tc>
      </w:tr>
      <w:tr>
        <w:tc>
          <w:tcPr/>
          <w:p>
            <w:pPr>
              <w:pStyle w:val="Compact"/>
            </w:pPr>
            <w:r>
              <w:t xml:space="preserve">Protective DNS and response policy zones</w:t>
            </w:r>
          </w:p>
        </w:tc>
        <w:tc>
          <w:tcPr/>
          <w:p>
            <w:pPr>
              <w:pStyle w:val="Compact"/>
            </w:pPr>
            <w:r>
              <w:t xml:space="preserve">SC-7, SI-3, SI-4, AC-4</w:t>
            </w:r>
          </w:p>
        </w:tc>
        <w:tc>
          <w:tcPr/>
          <w:p>
            <w:pPr>
              <w:pStyle w:val="Compact"/>
            </w:pPr>
            <w:r>
              <w:t xml:space="preserve">Query logs, policy hit rates, block events; Protective DNS as the egress upstream; TIC 3.0 DNS sinkholing</w:t>
            </w:r>
          </w:p>
        </w:tc>
      </w:tr>
      <w:tr>
        <w:tc>
          <w:tcPr/>
          <w:p>
            <w:pPr>
              <w:pStyle w:val="Compact"/>
            </w:pPr>
            <w:r>
              <w:t xml:space="preserve">Encrypted DNS (DoT, DoH, DoQ)</w:t>
            </w:r>
          </w:p>
        </w:tc>
        <w:tc>
          <w:tcPr/>
          <w:p>
            <w:pPr>
              <w:pStyle w:val="Compact"/>
            </w:pPr>
            <w:r>
              <w:t xml:space="preserve">SC-8, SC-13, SC-17</w:t>
            </w:r>
          </w:p>
        </w:tc>
        <w:tc>
          <w:tcPr/>
          <w:p>
            <w:pPr>
              <w:pStyle w:val="Compact"/>
            </w:pPr>
            <w:r>
              <w:t xml:space="preserve">Resolver certificate management and protocol configuration; supports M-22-09</w:t>
            </w:r>
          </w:p>
        </w:tc>
      </w:tr>
      <w:tr>
        <w:tc>
          <w:tcPr/>
          <w:p>
            <w:pPr>
              <w:pStyle w:val="Compact"/>
            </w:pPr>
            <w:r>
              <w:t xml:space="preserve">Name and address resolution architecture</w:t>
            </w:r>
          </w:p>
        </w:tc>
        <w:tc>
          <w:tcPr/>
          <w:p>
            <w:pPr>
              <w:pStyle w:val="Compact"/>
            </w:pPr>
            <w:r>
              <w:t xml:space="preserve">SC-22</w:t>
            </w:r>
          </w:p>
        </w:tc>
        <w:tc>
          <w:tcPr/>
          <w:p>
            <w:pPr>
              <w:pStyle w:val="Compact"/>
            </w:pPr>
            <w:r>
              <w:t xml:space="preserve">Redundant, role-separated internal and external resolvers</w:t>
            </w:r>
          </w:p>
        </w:tc>
      </w:tr>
      <w:tr>
        <w:tc>
          <w:tcPr/>
          <w:p>
            <w:pPr>
              <w:pStyle w:val="Compact"/>
            </w:pPr>
            <w:r>
              <w:t xml:space="preserve">DNS query logging</w:t>
            </w:r>
          </w:p>
        </w:tc>
        <w:tc>
          <w:tcPr/>
          <w:p>
            <w:pPr>
              <w:pStyle w:val="Compact"/>
            </w:pPr>
            <w:r>
              <w:t xml:space="preserve">AU-2, AU-12, SI-4</w:t>
            </w:r>
          </w:p>
        </w:tc>
        <w:tc>
          <w:tcPr/>
          <w:p>
            <w:pPr>
              <w:pStyle w:val="Compact"/>
            </w:pPr>
            <w:r>
              <w:t xml:space="preserve">Passive DNS logs including encrypted queries, source host identifiable; M-21-31 EL1</w:t>
            </w:r>
          </w:p>
        </w:tc>
      </w:tr>
      <w:tr>
        <w:tc>
          <w:tcPr/>
          <w:p>
            <w:pPr>
              <w:pStyle w:val="Compact"/>
            </w:pPr>
            <w:r>
              <w:t xml:space="preserve">IPAM inventory and discovery</w:t>
            </w:r>
          </w:p>
        </w:tc>
        <w:tc>
          <w:tcPr/>
          <w:p>
            <w:pPr>
              <w:pStyle w:val="Compact"/>
            </w:pPr>
            <w:r>
              <w:t xml:space="preserve">CM-8, CM-6, SI-4</w:t>
            </w:r>
          </w:p>
        </w:tc>
        <w:tc>
          <w:tcPr/>
          <w:p>
            <w:pPr>
              <w:pStyle w:val="Compact"/>
            </w:pPr>
            <w:r>
              <w:t xml:space="preserve">Asset inventory reports, discovery logs, address space consistency</w:t>
            </w:r>
          </w:p>
        </w:tc>
      </w:tr>
      <w:tr>
        <w:tc>
          <w:tcPr/>
          <w:p>
            <w:pPr>
              <w:pStyle w:val="Compact"/>
            </w:pPr>
            <w:r>
              <w:t xml:space="preserve">Audit trails and role-based administration</w:t>
            </w:r>
          </w:p>
        </w:tc>
        <w:tc>
          <w:tcPr/>
          <w:p>
            <w:pPr>
              <w:pStyle w:val="Compact"/>
            </w:pPr>
            <w:r>
              <w:t xml:space="preserve">AU-2, AU-6, AC-2, AC-3, AC-6</w:t>
            </w:r>
          </w:p>
        </w:tc>
        <w:tc>
          <w:tcPr/>
          <w:p>
            <w:pPr>
              <w:pStyle w:val="Compact"/>
            </w:pPr>
            <w:r>
              <w:t xml:space="preserve">Change logs, role assignments, policy modification history</w:t>
            </w:r>
          </w:p>
        </w:tc>
      </w:tr>
      <w:tr>
        <w:tc>
          <w:tcPr/>
          <w:p>
            <w:pPr>
              <w:pStyle w:val="Compact"/>
            </w:pPr>
            <w:r>
              <w:t xml:space="preserve">DNSSEC and zone integrity</w:t>
            </w:r>
          </w:p>
        </w:tc>
        <w:tc>
          <w:tcPr/>
          <w:p>
            <w:pPr>
              <w:pStyle w:val="Compact"/>
            </w:pPr>
            <w:r>
              <w:t xml:space="preserve">SC-20, SC-21, SI-7</w:t>
            </w:r>
          </w:p>
        </w:tc>
        <w:tc>
          <w:tcPr/>
          <w:p>
            <w:pPr>
              <w:pStyle w:val="Compact"/>
            </w:pPr>
            <w:r>
              <w:t xml:space="preserve">Key management, validation status, zone signing evidence; TIC 3.0 DNSSEC capabilities</w:t>
            </w:r>
          </w:p>
        </w:tc>
      </w:tr>
    </w:tbl>
    <w:bookmarkEnd w:id="163"/>
    <w:bookmarkStart w:id="164" w:name="what-this-chapter-establishes-2"/>
    <w:p>
      <w:pPr>
        <w:pStyle w:val="Heading2"/>
      </w:pPr>
      <w:bookmarkStart w:id="1051" w:name="_Toc00001051"/>
      <w:r>
        <w:t xml:space="preserve">What this chapter establishes</w:t>
      </w:r>
      <w:bookmarkEnd w:id="1051"/>
    </w:p>
    <w:p>
      <w:pPr>
        <w:pStyle w:val="Compact"/>
        <w:numPr>
          <w:ilvl w:val="0"/>
          <w:numId w:val="1011"/>
        </w:numPr>
      </w:pPr>
      <w:r>
        <w:t xml:space="preserve">M-22-09, CISA Protective DNS and its encrypted DNS guidance, M-21-31, M-08-23, M-21-07 and TIC 3.0 together require agency-controlled resolvers that log, encrypt, validate and forward egress through Protective DNS, and that clients can’t route around.</w:t>
      </w:r>
    </w:p>
    <w:p>
      <w:pPr>
        <w:pStyle w:val="Compact"/>
        <w:numPr>
          <w:ilvl w:val="0"/>
          <w:numId w:val="1011"/>
        </w:numPr>
      </w:pPr>
      <w:r>
        <w:t xml:space="preserve">SP 800-81r3 (March 2026) is the practical guide to meeting them; it is guidance, not a mandate.</w:t>
      </w:r>
    </w:p>
    <w:p>
      <w:pPr>
        <w:pStyle w:val="Compact"/>
        <w:numPr>
          <w:ilvl w:val="0"/>
          <w:numId w:val="1011"/>
        </w:numPr>
      </w:pPr>
      <w:r>
        <w:t xml:space="preserve">FedRAMP certifies the cloud service, not the architecture; the agency still authorizes its own system, and a Moderate certification doesn’t cover High or DoD.</w:t>
      </w:r>
    </w:p>
    <w:bookmarkEnd w:id="164"/>
    <w:bookmarkStart w:id="165" w:name="continue-the-book-2"/>
    <w:p>
      <w:pPr>
        <w:pStyle w:val="Heading2"/>
      </w:pPr>
      <w:bookmarkStart w:id="1052" w:name="_Toc00001052"/>
      <w:r>
        <w:t xml:space="preserve">Continue the book</w:t>
      </w:r>
      <w:bookmarkEnd w:id="1052"/>
    </w:p>
    <w:p>
      <w:pPr>
        <w:pStyle w:val="FirstParagraph"/>
      </w:pPr>
      <w:r>
        <w:t xml:space="preserve">← Previous: Chapter 02 — Split-Brain DNS: The Structural Problem · Book index · Next: Chapter 04 — The Active Directory DNS Departure →</w:t>
      </w:r>
    </w:p>
    <w:bookmarkEnd w:id="165"/>
    <w:bookmarkEnd w:id="166"/>
    <w:bookmarkStart w:id="240" w:name="Xa99840cc98b4acfa1bed851a43376582670db29"/>
    <w:p>
      <w:pPr>
        <w:pStyle w:val="Heading1"/>
      </w:pPr>
      <w:bookmarkStart w:id="1053" w:name="_Toc00001053"/>
      <w:r>
        <w:t xml:space="preserve">Chapter 04 — The Active Directory DNS Departure</w:t>
      </w:r>
      <w:bookmarkEnd w:id="1053"/>
    </w:p>
    <w:p>
      <w:pPr>
        <w:pStyle w:val="FirstParagraph"/>
      </w:pPr>
      <w:r>
        <w:rPr>
          <w:i/>
          <w:iCs/>
        </w:rPr>
        <w:t xml:space="preserve">Active Directory never presented itself as the agency’s DNS service, but for twenty years it was one, and the records it kept for itself do not follow the identities to the cloud.</w:t>
      </w:r>
    </w:p>
    <w:bookmarkStart w:id="167" w:name="in-this-chapter-3"/>
    <w:p>
      <w:pPr>
        <w:pStyle w:val="Heading2"/>
      </w:pPr>
      <w:bookmarkStart w:id="1054" w:name="_Toc00001054"/>
      <w:r>
        <w:t xml:space="preserve">In this chapter</w:t>
      </w:r>
      <w:bookmarkEnd w:id="1054"/>
    </w:p>
    <w:p>
      <w:pPr>
        <w:pStyle w:val="FirstParagraph"/>
      </w:pPr>
      <w:r>
        <w:t xml:space="preserve">What AD-integrated DNS does for a domain: zones stored and replicated in the directory, the domain controller locator records that Netlogon registers, secure dynamic updates and the DHCP server’s part in them, conditional forwarders, the GlobalNames zone and DNSSEC keys held in AD. Why Microsoft Entra ID inherits none of it, what Kerberos needs from DNS on the way out, what must be reprovisioned before any domain controller is retired, and what the departure means for SQL Server and other token-based services. The step-by-step migration is Chapter 10.</w:t>
      </w:r>
    </w:p>
    <w:bookmarkEnd w:id="167"/>
    <w:p>
      <w:pPr>
        <w:pStyle w:val="BodyText"/>
      </w:pPr>
      <w:r>
        <w:t xml:space="preserve">Active Directory has been the hidden DNS substrate of on-premises federal networks for twenty years. Not because anyone chose it as a DNS architecture: when a domain is deployed, its DNS name becomes a zone, the domain controllers running the DNS Server role become its authoritative servers, and every domain-joined machine is pointed at them for all of its resolution, internal and external. Domain controllers then publish the records that let clients find them. Microsoft describes AD DS as depending on DNS so that</w:t>
      </w:r>
      <w:r>
        <w:t xml:space="preserve"> </w:t>
      </w:r>
      <w:r>
        <w:t xml:space="preserve">“clients [can] locate domain controllers”</w:t>
      </w:r>
      <w:r>
        <w:t xml:space="preserve"> </w:t>
      </w:r>
      <w:r>
        <w:t xml:space="preserve">and so that domain controllers can communicate with each other.</w:t>
      </w:r>
      <w:r>
        <w:rPr>
          <w:rStyle w:val="FootnoteReference"/>
        </w:rPr>
        <w:footnoteReference w:id="168"/>
      </w:r>
    </w:p>
    <w:p>
      <w:pPr>
        <w:pStyle w:val="BodyText"/>
      </w:pPr>
      <w:r>
        <w:t xml:space="preserve">None of this moves when workloads move to Microsoft Entra ID. Entra ID is a cloud identity service: it consumes fully qualified domain names, but it doesn’t host the agency’s zones and doesn’t publish the locator records that the remaining domain-joined systems need to find a domain controller. Departing AD DNS is therefore an inventory problem before it is a migration problem, and the inventory has to be finished before the first domain controller is retired, because the records a domain controller maintains can’t be recovered from it once it’s gone.</w:t>
      </w:r>
    </w:p>
    <w:bookmarkStart w:id="173" w:name="fig-ch04-ad-dns-departure"/>
    <w:p>
      <w:pPr>
        <w:pStyle w:val="CaptionedFigure"/>
      </w:pPr>
      <w:r>
        <w:drawing>
          <wp:inline>
            <wp:extent cx="5334000" cy="1524000"/>
            <wp:effectExtent b="0" l="0" r="0" t="0"/>
            <wp:docPr descr="Records the domain maintains today must be inventoried and reprovisioned before any domain controller is decommissioned." title="" id="171" name="Picture"/>
            <a:graphic>
              <a:graphicData uri="http://schemas.openxmlformats.org/drawingml/2006/picture">
                <pic:pic>
                  <pic:nvPicPr>
                    <pic:cNvPr descr="/home/runner/work/modernization-workbook/modernization-workbook/docs/images/diagrams/b08-ddi/png/ch04-ad-dns-departure.png" id="172" name="Picture"/>
                    <pic:cNvPicPr>
                      <a:picLocks noChangeArrowheads="1" noChangeAspect="1"/>
                    </pic:cNvPicPr>
                  </pic:nvPicPr>
                  <pic:blipFill>
                    <a:blip r:embed="rId170"/>
                    <a:stretch>
                      <a:fillRect/>
                    </a:stretch>
                  </pic:blipFill>
                  <pic:spPr bwMode="auto">
                    <a:xfrm>
                      <a:off x="0" y="0"/>
                      <a:ext cx="5334000" cy="1524000"/>
                    </a:xfrm>
                    <a:prstGeom prst="rect">
                      <a:avLst/>
                    </a:prstGeom>
                    <a:noFill/>
                    <a:ln w="9525">
                      <a:noFill/>
                      <a:headEnd/>
                      <a:tailEnd/>
                    </a:ln>
                  </pic:spPr>
                </pic:pic>
              </a:graphicData>
            </a:graphic>
          </wp:inline>
        </w:drawing>
      </w:r>
    </w:p>
    <w:p>
      <w:pPr>
        <w:pStyle w:val="ImageCaption"/>
      </w:pPr>
      <w:r>
        <w:t xml:space="preserve">Records the domain maintains today must be inventoried and reprovisioned before any domain controller is decommissioned.</w:t>
      </w:r>
    </w:p>
    <w:bookmarkEnd w:id="173"/>
    <w:bookmarkStart w:id="188" w:name="what-ad-integrated-dns-actually-is"/>
    <w:p>
      <w:pPr>
        <w:pStyle w:val="Heading2"/>
      </w:pPr>
      <w:bookmarkStart w:id="1055" w:name="_Toc00001055"/>
      <w:r>
        <w:t xml:space="preserve">What AD-integrated DNS actually is</w:t>
      </w:r>
      <w:bookmarkEnd w:id="1055"/>
    </w:p>
    <w:p>
      <w:pPr>
        <w:pStyle w:val="FirstParagraph"/>
      </w:pPr>
      <w:r>
        <w:t xml:space="preserve">A zone can be stored in a file or in Active Directory Domain Services. Zones stored in AD DS are Active Directory-integrated zones, and they exist only on domain controllers that run the DNS Server role. Storing the zone in the directory brings two things a file-backed zone doesn’t have: secure dynamic updates, and multi-master operation, in which every domain controller that hosts the zone acts as a primary and can accept updates.</w:t>
      </w:r>
      <w:r>
        <w:rPr>
          <w:rStyle w:val="FootnoteReference"/>
        </w:rPr>
        <w:footnoteReference w:id="174"/>
      </w:r>
      <w:r>
        <w:t xml:space="preserve"> </w:t>
      </w:r>
      <w:r>
        <w:t xml:space="preserve">Replication rides on AD replication rather than zone transfers. The replication scope decides which domain controllers hold the zone: all DNS servers in the domain, all DNS servers in the forest, a legacy domain-partition scope, or a custom application partition, which the DnsServer cmdlets expose as</w:t>
      </w:r>
      <w:r>
        <w:t xml:space="preserve"> </w:t>
      </w:r>
      <w:r>
        <w:rPr>
          <w:rStyle w:val="VerbatimChar"/>
        </w:rPr>
        <w:t xml:space="preserve">Domain</w:t>
      </w:r>
      <w:r>
        <w:t xml:space="preserve">,</w:t>
      </w:r>
      <w:r>
        <w:t xml:space="preserve"> </w:t>
      </w:r>
      <w:r>
        <w:rPr>
          <w:rStyle w:val="VerbatimChar"/>
        </w:rPr>
        <w:t xml:space="preserve">Forest</w:t>
      </w:r>
      <w:r>
        <w:t xml:space="preserve">,</w:t>
      </w:r>
      <w:r>
        <w:t xml:space="preserve"> </w:t>
      </w:r>
      <w:r>
        <w:rPr>
          <w:rStyle w:val="VerbatimChar"/>
        </w:rPr>
        <w:t xml:space="preserve">Legacy</w:t>
      </w:r>
      <w:r>
        <w:t xml:space="preserve"> </w:t>
      </w:r>
      <w:r>
        <w:t xml:space="preserve">and</w:t>
      </w:r>
      <w:r>
        <w:t xml:space="preserve"> </w:t>
      </w:r>
      <w:r>
        <w:rPr>
          <w:rStyle w:val="VerbatimChar"/>
        </w:rPr>
        <w:t xml:space="preserve">Custom</w:t>
      </w:r>
      <w:r>
        <w:t xml:space="preserve">.</w:t>
      </w:r>
      <w:r>
        <w:rPr>
          <w:rStyle w:val="FootnoteReference"/>
        </w:rPr>
        <w:footnoteReference w:id="176"/>
      </w:r>
    </w:p>
    <w:p>
      <w:pPr>
        <w:pStyle w:val="BodyText"/>
      </w:pPr>
      <w:r>
        <w:t xml:space="preserve">The rest of the AD DNS landscape decomposes into components that each need a decision: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Component</w:t>
            </w:r>
          </w:p>
        </w:tc>
        <w:tc>
          <w:tcPr/>
          <w:p>
            <w:pPr>
              <w:pStyle w:val="Compact"/>
            </w:pPr>
            <w:r>
              <w:t xml:space="preserve">What it does in an AD estate</w:t>
            </w:r>
          </w:p>
        </w:tc>
        <w:tc>
          <w:tcPr/>
          <w:p>
            <w:pPr>
              <w:pStyle w:val="Compact"/>
            </w:pPr>
            <w:r>
              <w:t xml:space="preserve">Why it matters for the departure</w:t>
            </w:r>
          </w:p>
        </w:tc>
      </w:tr>
      <w:tr>
        <w:tc>
          <w:tcPr/>
          <w:p>
            <w:pPr>
              <w:pStyle w:val="Compact"/>
            </w:pPr>
            <w:r>
              <w:t xml:space="preserve">AD-integrated primary zones</w:t>
            </w:r>
          </w:p>
        </w:tc>
        <w:tc>
          <w:tcPr/>
          <w:p>
            <w:pPr>
              <w:pStyle w:val="Compact"/>
            </w:pPr>
            <w:r>
              <w:t xml:space="preserve">The domain’s own zone, its</w:t>
            </w:r>
            <w:r>
              <w:t xml:space="preserve"> </w:t>
            </w:r>
            <w:r>
              <w:rPr>
                <w:rStyle w:val="VerbatimChar"/>
              </w:rPr>
              <w:t xml:space="preserve">_msdcs</w:t>
            </w:r>
            <w:r>
              <w:t xml:space="preserve"> </w:t>
            </w:r>
            <w:r>
              <w:t xml:space="preserve">subzone, and often internal application zones, replicated by AD</w:t>
            </w:r>
          </w:p>
        </w:tc>
        <w:tc>
          <w:tcPr/>
          <w:p>
            <w:pPr>
              <w:pStyle w:val="Compact"/>
            </w:pPr>
            <w:r>
              <w:t xml:space="preserve">Multi-master and secure updates disappear with the directory; the zone must be re-created on a platform that provides what its clients still need</w:t>
            </w:r>
          </w:p>
        </w:tc>
      </w:tr>
      <w:tr>
        <w:tc>
          <w:tcPr/>
          <w:p>
            <w:pPr>
              <w:pStyle w:val="Compact"/>
            </w:pPr>
            <w:r>
              <w:t xml:space="preserve">File-backed primary and secondary zones</w:t>
            </w:r>
          </w:p>
        </w:tc>
        <w:tc>
          <w:tcPr/>
          <w:p>
            <w:pPr>
              <w:pStyle w:val="Compact"/>
            </w:pPr>
            <w:r>
              <w:t xml:space="preserve">Zones held in</w:t>
            </w:r>
            <w:r>
              <w:t xml:space="preserve"> </w:t>
            </w:r>
            <w:r>
              <w:rPr>
                <w:rStyle w:val="VerbatimChar"/>
              </w:rPr>
              <w:t xml:space="preserve">%windir%\System32\Dns</w:t>
            </w:r>
            <w:r>
              <w:t xml:space="preserve">, copied to read-only secondaries by AXFR or IXFR</w:t>
            </w:r>
            <w:r>
              <w:rPr>
                <w:rStyle w:val="FootnoteReference"/>
              </w:rPr>
              <w:footnoteReference w:id="178"/>
            </w:r>
          </w:p>
        </w:tc>
        <w:tc>
          <w:tcPr/>
          <w:p>
            <w:pPr>
              <w:pStyle w:val="Compact"/>
            </w:pPr>
            <w:r>
              <w:t xml:space="preserve">Independent of AD and the simplest to move; the risk is clients that use a secondary server directly</w:t>
            </w:r>
          </w:p>
        </w:tc>
      </w:tr>
      <w:tr>
        <w:tc>
          <w:tcPr/>
          <w:p>
            <w:pPr>
              <w:pStyle w:val="Compact"/>
            </w:pPr>
            <w:r>
              <w:t xml:space="preserve">Stub zones</w:t>
            </w:r>
          </w:p>
        </w:tc>
        <w:tc>
          <w:tcPr/>
          <w:p>
            <w:pPr>
              <w:pStyle w:val="Compact"/>
            </w:pPr>
            <w:r>
              <w:t xml:space="preserve">Hold only the SOA, NS and glue records needed to find another zone’s authoritative servers</w:t>
            </w:r>
            <w:r>
              <w:rPr>
                <w:rStyle w:val="FootnoteReference"/>
              </w:rPr>
              <w:footnoteReference w:id="179"/>
            </w:r>
          </w:p>
        </w:tc>
        <w:tc>
          <w:tcPr/>
          <w:p>
            <w:pPr>
              <w:pStyle w:val="Compact"/>
            </w:pPr>
            <w:r>
              <w:t xml:space="preserve">Usually become forwarding rules in the target</w:t>
            </w:r>
          </w:p>
        </w:tc>
      </w:tr>
      <w:tr>
        <w:tc>
          <w:tcPr/>
          <w:p>
            <w:pPr>
              <w:pStyle w:val="Compact"/>
            </w:pPr>
            <w:r>
              <w:t xml:space="preserve">Conditional forwarders</w:t>
            </w:r>
          </w:p>
        </w:tc>
        <w:tc>
          <w:tcPr/>
          <w:p>
            <w:pPr>
              <w:pStyle w:val="Compact"/>
            </w:pPr>
            <w:r>
              <w:t xml:space="preserve">Send queries for a named namespace to designated servers; stored as zones on the DNS server and replicable through AD</w:t>
            </w:r>
            <w:r>
              <w:rPr>
                <w:rStyle w:val="FootnoteReference"/>
              </w:rPr>
              <w:footnoteReference w:id="180"/>
            </w:r>
          </w:p>
        </w:tc>
        <w:tc>
          <w:tcPr/>
          <w:p>
            <w:pPr>
              <w:pStyle w:val="Compact"/>
            </w:pPr>
            <w:r>
              <w:t xml:space="preserve">The forwarders that cross-forest trusts, partners and cloud namespaces depend on; often undocumented</w:t>
            </w:r>
          </w:p>
        </w:tc>
      </w:tr>
      <w:tr>
        <w:tc>
          <w:tcPr/>
          <w:p>
            <w:pPr>
              <w:pStyle w:val="Compact"/>
            </w:pPr>
            <w:r>
              <w:t xml:space="preserve">GlobalNames zone</w:t>
            </w:r>
          </w:p>
        </w:tc>
        <w:tc>
          <w:tcPr/>
          <w:p>
            <w:pPr>
              <w:pStyle w:val="Compact"/>
            </w:pPr>
            <w:r>
              <w:t xml:space="preserve">Resolves single-label names without WINS</w:t>
            </w:r>
            <w:r>
              <w:rPr>
                <w:rStyle w:val="FootnoteReference"/>
              </w:rPr>
              <w:footnoteReference w:id="182"/>
            </w:r>
          </w:p>
        </w:tc>
        <w:tc>
          <w:tcPr/>
          <w:p>
            <w:pPr>
              <w:pStyle w:val="Compact"/>
            </w:pPr>
            <w:r>
              <w:t xml:space="preserve">Single-label resolution in the target depends on client DNS suffix search lists</w:t>
            </w:r>
          </w:p>
        </w:tc>
      </w:tr>
      <w:tr>
        <w:tc>
          <w:tcPr/>
          <w:p>
            <w:pPr>
              <w:pStyle w:val="Compact"/>
            </w:pPr>
            <w:r>
              <w:t xml:space="preserve">Reverse lookup zones</w:t>
            </w:r>
          </w:p>
        </w:tc>
        <w:tc>
          <w:tcPr/>
          <w:p>
            <w:pPr>
              <w:pStyle w:val="Compact"/>
            </w:pPr>
            <w:r>
              <w:t xml:space="preserve">PTR records under</w:t>
            </w:r>
            <w:r>
              <w:t xml:space="preserve"> </w:t>
            </w:r>
            <w:r>
              <w:rPr>
                <w:rStyle w:val="VerbatimChar"/>
              </w:rPr>
              <w:t xml:space="preserve">in-addr.arpa</w:t>
            </w:r>
            <w:r>
              <w:rPr>
                <w:rStyle w:val="FootnoteReference"/>
              </w:rPr>
              <w:footnoteReference w:id="184"/>
            </w:r>
          </w:p>
        </w:tc>
        <w:tc>
          <w:tcPr/>
          <w:p>
            <w:pPr>
              <w:pStyle w:val="Compact"/>
            </w:pPr>
            <w:r>
              <w:t xml:space="preserve">Must align with the IPAM address plan or they fill with orphans</w:t>
            </w:r>
          </w:p>
        </w:tc>
      </w:tr>
      <w:tr>
        <w:tc>
          <w:tcPr/>
          <w:p>
            <w:pPr>
              <w:pStyle w:val="Compact"/>
            </w:pPr>
            <w:r>
              <w:t xml:space="preserve">DNSSEC-signed zones</w:t>
            </w:r>
          </w:p>
        </w:tc>
        <w:tc>
          <w:tcPr/>
          <w:p>
            <w:pPr>
              <w:pStyle w:val="Compact"/>
            </w:pPr>
            <w:r>
              <w:t xml:space="preserve">Signed by a Key Master; keys and trust anchors can be held and replicated in AD</w:t>
            </w:r>
            <w:r>
              <w:rPr>
                <w:rStyle w:val="FootnoteReference"/>
              </w:rPr>
              <w:footnoteReference w:id="185"/>
            </w:r>
          </w:p>
        </w:tc>
        <w:tc>
          <w:tcPr/>
          <w:p>
            <w:pPr>
              <w:pStyle w:val="Compact"/>
            </w:pPr>
            <w:r>
              <w:t xml:space="preserve">Signing moves with its own sequence (Chapter 06)</w:t>
            </w:r>
          </w:p>
        </w:tc>
      </w:tr>
    </w:tbl>
    <w:p>
      <w:pPr>
        <w:pStyle w:val="BodyText"/>
      </w:pPr>
      <w:r>
        <w:t xml:space="preserve">Conditional forwarders deserve particular attention. The whitepaper this chapter draws on described them as</w:t>
      </w:r>
      <w:r>
        <w:t xml:space="preserve"> </w:t>
      </w:r>
      <w:r>
        <w:t xml:space="preserve">“not easily exported,”</w:t>
      </w:r>
      <w:r>
        <w:t xml:space="preserve"> </w:t>
      </w:r>
      <w:r>
        <w:t xml:space="preserve">which overstates the problem: Windows stores a conditional forwarder as a zone on the DNS server, so</w:t>
      </w:r>
      <w:r>
        <w:t xml:space="preserve"> </w:t>
      </w:r>
      <w:r>
        <w:rPr>
          <w:rStyle w:val="VerbatimChar"/>
        </w:rPr>
        <w:t xml:space="preserve">Get-DnsServerZone</w:t>
      </w:r>
      <w:r>
        <w:t xml:space="preserve"> </w:t>
      </w:r>
      <w:r>
        <w:t xml:space="preserve">lists it alongside the others, with its replication scope.</w:t>
      </w:r>
      <w:r>
        <w:rPr>
          <w:rStyle w:val="FootnoteReference"/>
        </w:rPr>
        <w:footnoteReference w:id="187"/>
      </w:r>
      <w:r>
        <w:t xml:space="preserve"> </w:t>
      </w:r>
      <w:r>
        <w:t xml:space="preserve">What is true is that forwarders accumulate over years for partners, trusts and retired systems, and that many agencies have no record of why each one exists. Finding them is easy; deciding which still matter is the work.</w:t>
      </w:r>
    </w:p>
    <w:bookmarkEnd w:id="188"/>
    <w:bookmarkStart w:id="197" w:name="the-locator-records"/>
    <w:p>
      <w:pPr>
        <w:pStyle w:val="Heading2"/>
      </w:pPr>
      <w:bookmarkStart w:id="1056" w:name="_Toc00001056"/>
      <w:r>
        <w:t xml:space="preserve">The locator records</w:t>
      </w:r>
      <w:bookmarkEnd w:id="1056"/>
    </w:p>
    <w:p>
      <w:pPr>
        <w:pStyle w:val="FirstParagraph"/>
      </w:pPr>
      <w:r>
        <w:t xml:space="preserve">Domain controllers advertise themselves through DNS. The Netlogon service on each domain controller registers a family of SRV and A records, and clients find a domain controller through the locator: Netlogon on the client calls</w:t>
      </w:r>
      <w:r>
        <w:t xml:space="preserve"> </w:t>
      </w:r>
      <w:r>
        <w:rPr>
          <w:rStyle w:val="VerbatimChar"/>
        </w:rPr>
        <w:t xml:space="preserve">DsGetDcName</w:t>
      </w:r>
      <w:r>
        <w:t xml:space="preserve">, which queries DNS for SRV records of the form</w:t>
      </w:r>
      <w:r>
        <w:t xml:space="preserve"> </w:t>
      </w:r>
      <w:r>
        <w:rPr>
          <w:rStyle w:val="VerbatimChar"/>
        </w:rPr>
        <w:t xml:space="preserve">_&lt;service&gt;._&lt;protocol&gt;.&lt;DnsDomainName&gt;</w:t>
      </w:r>
      <w:r>
        <w:t xml:space="preserve">, sends an LDAP UDP ping to the candidates and caches the first that answers.</w:t>
      </w:r>
      <w:r>
        <w:rPr>
          <w:rStyle w:val="FootnoteReference"/>
        </w:rPr>
        <w:footnoteReference w:id="189"/>
      </w:r>
      <w:r>
        <w:t xml:space="preserve"> </w:t>
      </w:r>
      <w:r>
        <w:t xml:space="preserve">The records are dynamic. Netlogon re-registers them, and they change as domain controllers are added or retired, as sites change and as services move.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Service</w:t>
            </w:r>
          </w:p>
        </w:tc>
        <w:tc>
          <w:tcPr/>
          <w:p>
            <w:pPr>
              <w:pStyle w:val="Compact"/>
            </w:pPr>
            <w:r>
              <w:t xml:space="preserve">What fails without it</w:t>
            </w:r>
          </w:p>
        </w:tc>
      </w:tr>
      <w:tr>
        <w:tc>
          <w:tcPr/>
          <w:p>
            <w:pPr>
              <w:pStyle w:val="Compact"/>
            </w:pPr>
            <w:r>
              <w:rPr>
                <w:rStyle w:val="VerbatimChar"/>
              </w:rPr>
              <w:t xml:space="preserve">_ldap._tcp.dc._msdcs.&lt;domain&gt;</w:t>
            </w:r>
          </w:p>
        </w:tc>
        <w:tc>
          <w:tcPr/>
          <w:p>
            <w:pPr>
              <w:pStyle w:val="Compact"/>
            </w:pPr>
            <w:r>
              <w:t xml:space="preserve">LDAP on domain controllers</w:t>
            </w:r>
          </w:p>
        </w:tc>
        <w:tc>
          <w:tcPr/>
          <w:p>
            <w:pPr>
              <w:pStyle w:val="Compact"/>
            </w:pPr>
            <w:r>
              <w:t xml:space="preserve">Domain join, authentication and Group Policy processing</w:t>
            </w:r>
          </w:p>
        </w:tc>
      </w:tr>
      <w:tr>
        <w:tc>
          <w:tcPr/>
          <w:p>
            <w:pPr>
              <w:pStyle w:val="Compact"/>
            </w:pPr>
            <w:r>
              <w:rPr>
                <w:rStyle w:val="VerbatimChar"/>
              </w:rPr>
              <w:t xml:space="preserve">_kerberos._tcp.dc._msdcs.&lt;domain&gt;</w:t>
            </w:r>
            <w:r>
              <w:t xml:space="preserve"> </w:t>
            </w:r>
            <w:r>
              <w:t xml:space="preserve">and</w:t>
            </w:r>
            <w:r>
              <w:t xml:space="preserve"> </w:t>
            </w:r>
            <w:r>
              <w:rPr>
                <w:rStyle w:val="VerbatimChar"/>
              </w:rPr>
              <w:t xml:space="preserve">_kerberos._tcp.&lt;domain&gt;</w:t>
            </w:r>
          </w:p>
        </w:tc>
        <w:tc>
          <w:tcPr/>
          <w:p>
            <w:pPr>
              <w:pStyle w:val="Compact"/>
            </w:pPr>
            <w:r>
              <w:t xml:space="preserve">Kerberos KDC</w:t>
            </w:r>
          </w:p>
        </w:tc>
        <w:tc>
          <w:tcPr/>
          <w:p>
            <w:pPr>
              <w:pStyle w:val="Compact"/>
            </w:pPr>
            <w:r>
              <w:t xml:space="preserve">Kerberos ticket acquisition; where NTLM is still allowed, Windows falls back to it, otherwise authentication fails</w:t>
            </w:r>
            <w:r>
              <w:rPr>
                <w:rStyle w:val="FootnoteReference"/>
              </w:rPr>
              <w:footnoteReference w:id="191"/>
            </w:r>
          </w:p>
        </w:tc>
      </w:tr>
      <w:tr>
        <w:tc>
          <w:tcPr/>
          <w:p>
            <w:pPr>
              <w:pStyle w:val="Compact"/>
            </w:pPr>
            <w:r>
              <w:rPr>
                <w:rStyle w:val="VerbatimChar"/>
              </w:rPr>
              <w:t xml:space="preserve">_ldap._tcp.gc._msdcs.&lt;forest&gt;</w:t>
            </w:r>
            <w:r>
              <w:t xml:space="preserve"> </w:t>
            </w:r>
            <w:r>
              <w:t xml:space="preserve">and</w:t>
            </w:r>
            <w:r>
              <w:t xml:space="preserve"> </w:t>
            </w:r>
            <w:r>
              <w:rPr>
                <w:rStyle w:val="VerbatimChar"/>
              </w:rPr>
              <w:t xml:space="preserve">_gc._tcp.&lt;forest&gt;</w:t>
            </w:r>
          </w:p>
        </w:tc>
        <w:tc>
          <w:tcPr/>
          <w:p>
            <w:pPr>
              <w:pStyle w:val="Compact"/>
            </w:pPr>
            <w:r>
              <w:t xml:space="preserve">Global catalog</w:t>
            </w:r>
          </w:p>
        </w:tc>
        <w:tc>
          <w:tcPr/>
          <w:p>
            <w:pPr>
              <w:pStyle w:val="Compact"/>
            </w:pPr>
            <w:r>
              <w:t xml:space="preserve">Universal group evaluation, forest-wide searches and address-book lookups</w:t>
            </w:r>
          </w:p>
        </w:tc>
      </w:tr>
      <w:tr>
        <w:tc>
          <w:tcPr/>
          <w:p>
            <w:pPr>
              <w:pStyle w:val="Compact"/>
            </w:pPr>
            <w:r>
              <w:rPr>
                <w:rStyle w:val="VerbatimChar"/>
              </w:rPr>
              <w:t xml:space="preserve">_ldap._tcp.&lt;site&gt;._sites.dc._msdcs.&lt;domain&gt;</w:t>
            </w:r>
          </w:p>
        </w:tc>
        <w:tc>
          <w:tcPr/>
          <w:p>
            <w:pPr>
              <w:pStyle w:val="Compact"/>
            </w:pPr>
            <w:r>
              <w:t xml:space="preserve">Site-specific domain controller</w:t>
            </w:r>
          </w:p>
        </w:tc>
        <w:tc>
          <w:tcPr/>
          <w:p>
            <w:pPr>
              <w:pStyle w:val="Compact"/>
            </w:pPr>
            <w:r>
              <w:t xml:space="preserve">Clients reach a distant domain controller instead of a local one, adding latency and WAN load</w:t>
            </w:r>
          </w:p>
        </w:tc>
      </w:tr>
      <w:tr>
        <w:tc>
          <w:tcPr/>
          <w:p>
            <w:pPr>
              <w:pStyle w:val="Compact"/>
            </w:pPr>
            <w:r>
              <w:rPr>
                <w:rStyle w:val="VerbatimChar"/>
              </w:rPr>
              <w:t xml:space="preserve">_ldap._tcp.pdc._msdcs.&lt;domain&gt;</w:t>
            </w:r>
          </w:p>
        </w:tc>
        <w:tc>
          <w:tcPr/>
          <w:p>
            <w:pPr>
              <w:pStyle w:val="Compact"/>
            </w:pPr>
            <w:r>
              <w:t xml:space="preserve">PDC emulator</w:t>
            </w:r>
          </w:p>
        </w:tc>
        <w:tc>
          <w:tcPr/>
          <w:p>
            <w:pPr>
              <w:pStyle w:val="Compact"/>
            </w:pPr>
            <w:r>
              <w:t xml:space="preserve">Anything that must find the PDC emulator specifically</w:t>
            </w:r>
          </w:p>
        </w:tc>
      </w:tr>
      <w:tr>
        <w:tc>
          <w:tcPr/>
          <w:p>
            <w:pPr>
              <w:pStyle w:val="Compact"/>
            </w:pPr>
            <w:r>
              <w:rPr>
                <w:rStyle w:val="VerbatimChar"/>
              </w:rPr>
              <w:t xml:space="preserve">_kpasswd._tcp.&lt;domain&gt;</w:t>
            </w:r>
          </w:p>
        </w:tc>
        <w:tc>
          <w:tcPr/>
          <w:p>
            <w:pPr>
              <w:pStyle w:val="Compact"/>
            </w:pPr>
            <w:r>
              <w:t xml:space="preserve">Kerberos password change</w:t>
            </w:r>
          </w:p>
        </w:tc>
        <w:tc>
          <w:tcPr/>
          <w:p>
            <w:pPr>
              <w:pStyle w:val="Compact"/>
            </w:pPr>
            <w:r>
              <w:t xml:space="preserve">Password changes through Kerberos</w:t>
            </w:r>
          </w:p>
        </w:tc>
      </w:tr>
    </w:tbl>
    <w:p>
      <w:pPr>
        <w:pStyle w:val="BodyText"/>
      </w:pPr>
      <w:r>
        <w:t xml:space="preserve">Microsoft’s Netlogon policy reference lists the record mnemonics (</w:t>
      </w:r>
      <w:r>
        <w:rPr>
          <w:rStyle w:val="VerbatimChar"/>
        </w:rPr>
        <w:t xml:space="preserve">Ldap</w:t>
      </w:r>
      <w:r>
        <w:t xml:space="preserve">,</w:t>
      </w:r>
      <w:r>
        <w:t xml:space="preserve"> </w:t>
      </w:r>
      <w:r>
        <w:rPr>
          <w:rStyle w:val="VerbatimChar"/>
        </w:rPr>
        <w:t xml:space="preserve">LdapAtSite</w:t>
      </w:r>
      <w:r>
        <w:t xml:space="preserve">,</w:t>
      </w:r>
      <w:r>
        <w:t xml:space="preserve"> </w:t>
      </w:r>
      <w:r>
        <w:rPr>
          <w:rStyle w:val="VerbatimChar"/>
        </w:rPr>
        <w:t xml:space="preserve">Pdc</w:t>
      </w:r>
      <w:r>
        <w:t xml:space="preserve">,</w:t>
      </w:r>
      <w:r>
        <w:t xml:space="preserve"> </w:t>
      </w:r>
      <w:r>
        <w:rPr>
          <w:rStyle w:val="VerbatimChar"/>
        </w:rPr>
        <w:t xml:space="preserve">Gc</w:t>
      </w:r>
      <w:r>
        <w:t xml:space="preserve">,</w:t>
      </w:r>
      <w:r>
        <w:t xml:space="preserve"> </w:t>
      </w:r>
      <w:r>
        <w:rPr>
          <w:rStyle w:val="VerbatimChar"/>
        </w:rPr>
        <w:t xml:space="preserve">GcAtSite</w:t>
      </w:r>
      <w:r>
        <w:t xml:space="preserve"> </w:t>
      </w:r>
      <w:r>
        <w:t xml:space="preserve">and others) and the names they register.</w:t>
      </w:r>
      <w:r>
        <w:rPr>
          <w:rStyle w:val="FootnoteReference"/>
        </w:rPr>
        <w:footnoteReference w:id="193"/>
      </w:r>
      <w:r>
        <w:t xml:space="preserve"> </w:t>
      </w:r>
      <w:r>
        <w:t xml:space="preserve">Two practical sources make the inventory complete. Each domain controller writes the records it intends to register to</w:t>
      </w:r>
      <w:r>
        <w:t xml:space="preserve"> </w:t>
      </w:r>
      <w:r>
        <w:rPr>
          <w:rStyle w:val="VerbatimChar"/>
        </w:rPr>
        <w:t xml:space="preserve">%systemroot%\System32\Config\Netlogon.dns</w:t>
      </w:r>
      <w:r>
        <w:t xml:space="preserve">, which Microsoft points to for agencies that run AD on non-Microsoft DNS; and the locator records live in the</w:t>
      </w:r>
      <w:r>
        <w:t xml:space="preserve"> </w:t>
      </w:r>
      <w:r>
        <w:rPr>
          <w:rStyle w:val="VerbatimChar"/>
        </w:rPr>
        <w:t xml:space="preserve">_msdcs</w:t>
      </w:r>
      <w:r>
        <w:t xml:space="preserve"> </w:t>
      </w:r>
      <w:r>
        <w:t xml:space="preserve">and</w:t>
      </w:r>
      <w:r>
        <w:t xml:space="preserve"> </w:t>
      </w:r>
      <w:r>
        <w:rPr>
          <w:rStyle w:val="VerbatimChar"/>
        </w:rPr>
        <w:t xml:space="preserve">_sites</w:t>
      </w:r>
      <w:r>
        <w:t xml:space="preserve"> </w:t>
      </w:r>
      <w:r>
        <w:t xml:space="preserve">folders of the domain zone.</w:t>
      </w:r>
      <w:r>
        <w:rPr>
          <w:rStyle w:val="FootnoteReference"/>
        </w:rPr>
        <w:footnoteReference w:id="195"/>
      </w:r>
      <w:r>
        <w:t xml:space="preserve"> </w:t>
      </w:r>
      <w:r>
        <w:t xml:space="preserve">The program’s assessment resolves each critical record from every DNS server and every site, and Chapter 10 makes 30 days of clean resolution a gate for decommissioning.</w:t>
      </w:r>
    </w:p>
    <w:p>
      <w:pPr>
        <w:pStyle w:val="BodyText"/>
      </w:pPr>
      <w:r>
        <w:t xml:space="preserve">Because these records are registered dynamically, they can only live on a DNS service that accepts secure registration from domain controllers. That is the reason the locator records stay on AD DNS, or on a DDI platform that accepts GSS-TSIG updates, until the last domain controller goes, and why Azure Private DNS can’t host them (Chapter 10 has the detail).</w:t>
      </w:r>
    </w:p>
    <w:bookmarkEnd w:id="197"/>
    <w:bookmarkStart w:id="219" w:name="Xc072939277a68aef092bc572cd51116484159da"/>
    <w:p>
      <w:pPr>
        <w:pStyle w:val="Heading2"/>
      </w:pPr>
      <w:bookmarkStart w:id="1057" w:name="_Toc00001057"/>
      <w:r>
        <w:t xml:space="preserve">Secure dynamic updates and the DHCP server</w:t>
      </w:r>
      <w:bookmarkEnd w:id="1057"/>
    </w:p>
    <w:p>
      <w:pPr>
        <w:pStyle w:val="FirstParagraph"/>
      </w:pPr>
      <w:r>
        <w:t xml:space="preserve">Clients keep their own records current through dynamic update (RFC 2136).</w:t>
      </w:r>
      <w:r>
        <w:rPr>
          <w:rStyle w:val="FootnoteReference"/>
        </w:rPr>
        <w:footnoteReference w:id="198"/>
      </w:r>
      <w:r>
        <w:t xml:space="preserve"> </w:t>
      </w:r>
      <w:r>
        <w:t xml:space="preserve">Secure dynamic update, which authenticates the client and records the owner of each name in an access control list, is available only for AD-integrated zones, and a zone that becomes AD-integrated defaults to accepting only secure updates.</w:t>
      </w:r>
      <w:r>
        <w:rPr>
          <w:rStyle w:val="FootnoteReference"/>
        </w:rPr>
        <w:footnoteReference w:id="200"/>
      </w:r>
      <w:r>
        <w:t xml:space="preserve"> </w:t>
      </w:r>
      <w:r>
        <w:t xml:space="preserve">By default any authenticated user can create a new A or PTR record in such a zone; once a name exists, only the principals on its ACL can change it.</w:t>
      </w:r>
      <w:r>
        <w:rPr>
          <w:rStyle w:val="FootnoteReference"/>
        </w:rPr>
        <w:footnoteReference w:id="202"/>
      </w:r>
      <w:r>
        <w:t xml:space="preserve"> </w:t>
      </w:r>
      <w:r>
        <w:t xml:space="preserve">On the wire, Windows uses GSS-TSIG (RFC 3645) to sign these updates.</w:t>
      </w:r>
      <w:r>
        <w:rPr>
          <w:rStyle w:val="FootnoteReference"/>
        </w:rPr>
        <w:footnoteReference w:id="203"/>
      </w:r>
    </w:p>
    <w:p>
      <w:pPr>
        <w:pStyle w:val="BodyText"/>
      </w:pPr>
      <w:r>
        <w:t xml:space="preserve">The DHCP server is part of this. Windows DHCP can register A and PTR records on behalf of clients, and the configuration choices it uses decide whether records stay trustworthy:</w:t>
      </w:r>
    </w:p>
    <w:p>
      <w:pPr>
        <w:pStyle w:val="Compact"/>
        <w:numPr>
          <w:ilvl w:val="0"/>
          <w:numId w:val="1012"/>
        </w:numPr>
      </w:pPr>
      <w:r>
        <w:rPr>
          <w:b/>
          <w:bCs/>
        </w:rPr>
        <w:t xml:space="preserve">Name ownership.</w:t>
      </w:r>
      <w:r>
        <w:t xml:space="preserve"> </w:t>
      </w:r>
      <w:r>
        <w:t xml:space="preserve">When a DHCP server performs a secure update for a client, it becomes the owner of that name, and only it can update the record afterward. If it fails and its partner takes over, the partner can’t update the name.</w:t>
      </w:r>
      <w:r>
        <w:rPr>
          <w:rStyle w:val="FootnoteReference"/>
        </w:rPr>
        <w:footnoteReference w:id="205"/>
      </w:r>
      <w:r>
        <w:t xml:space="preserve"> </w:t>
      </w:r>
      <w:r>
        <w:t xml:space="preserve">Both partners in a DHCP failover relationship must therefore use the same DNS credentials.</w:t>
      </w:r>
      <w:r>
        <w:rPr>
          <w:rStyle w:val="FootnoteReference"/>
        </w:rPr>
        <w:footnoteReference w:id="206"/>
      </w:r>
    </w:p>
    <w:p>
      <w:pPr>
        <w:pStyle w:val="Compact"/>
        <w:numPr>
          <w:ilvl w:val="0"/>
          <w:numId w:val="1012"/>
        </w:numPr>
      </w:pPr>
      <w:r>
        <w:rPr>
          <w:b/>
          <w:bCs/>
        </w:rPr>
        <w:t xml:space="preserve">The DnsUpdateProxy group.</w:t>
      </w:r>
      <w:r>
        <w:t xml:space="preserve"> </w:t>
      </w:r>
      <w:r>
        <w:t xml:space="preserve">Adding DHCP servers to DnsUpdateProxy solves the ownership problem by leaving the records they create unsecured, so the next object to register the name becomes its owner. Microsoft warns against using it in secure-only zones without further steps.</w:t>
      </w:r>
      <w:r>
        <w:rPr>
          <w:rStyle w:val="FootnoteReference"/>
        </w:rPr>
        <w:footnoteReference w:id="208"/>
      </w:r>
    </w:p>
    <w:p>
      <w:pPr>
        <w:pStyle w:val="Compact"/>
        <w:numPr>
          <w:ilvl w:val="0"/>
          <w:numId w:val="1012"/>
        </w:numPr>
      </w:pPr>
      <w:r>
        <w:rPr>
          <w:b/>
          <w:bCs/>
        </w:rPr>
        <w:t xml:space="preserve">A dedicated credential.</w:t>
      </w:r>
      <w:r>
        <w:t xml:space="preserve"> </w:t>
      </w:r>
      <w:r>
        <w:t xml:space="preserve">The recommended pattern is a dedicated standard user account whose credentials every DHCP server uses for registrations. It matters most when DHCP runs on a domain controller, because the service otherwise inherits the domain controller’s authority to modify any record in a secure zone.</w:t>
      </w:r>
      <w:r>
        <w:rPr>
          <w:rStyle w:val="FootnoteReference"/>
        </w:rPr>
        <w:footnoteReference w:id="209"/>
      </w:r>
      <w:r>
        <w:t xml:space="preserve"> </w:t>
      </w:r>
      <w:r>
        <w:t xml:space="preserve">Microsoft</w:t>
      </w:r>
      <w:r>
        <w:t xml:space="preserve"> </w:t>
      </w:r>
      <w:r>
        <w:t xml:space="preserve">“strongly recommends”</w:t>
      </w:r>
      <w:r>
        <w:t xml:space="preserve"> </w:t>
      </w:r>
      <w:r>
        <w:rPr>
          <w:rStyle w:val="VerbatimChar"/>
        </w:rPr>
        <w:t xml:space="preserve">DNSCredentials</w:t>
      </w:r>
      <w:r>
        <w:t xml:space="preserve"> </w:t>
      </w:r>
      <w:r>
        <w:t xml:space="preserve">when DHCP and DNS share a domain controller.</w:t>
      </w:r>
      <w:r>
        <w:rPr>
          <w:rStyle w:val="FootnoteReference"/>
        </w:rPr>
        <w:footnoteReference w:id="210"/>
      </w:r>
      <w:r>
        <w:t xml:space="preserve"> </w:t>
      </w:r>
      <w:r>
        <w:t xml:space="preserve">The credentials aren’t backed up with the DHCP database and must be set again after a restore.</w:t>
      </w:r>
      <w:r>
        <w:rPr>
          <w:rStyle w:val="FootnoteReference"/>
        </w:rPr>
        <w:footnoteReference w:id="212"/>
      </w:r>
    </w:p>
    <w:p>
      <w:pPr>
        <w:pStyle w:val="Compact"/>
        <w:numPr>
          <w:ilvl w:val="0"/>
          <w:numId w:val="1012"/>
        </w:numPr>
      </w:pPr>
      <w:r>
        <w:rPr>
          <w:b/>
          <w:bCs/>
        </w:rPr>
        <w:t xml:space="preserve">Name protection.</w:t>
      </w:r>
      <w:r>
        <w:t xml:space="preserve"> </w:t>
      </w:r>
      <w:r>
        <w:t xml:space="preserve">Windows DHCP can enable name protection, which creates DHCID records (RFC 4701) and makes an update fail, rather than overwrite, when another client already holds the name.</w:t>
      </w:r>
      <w:r>
        <w:rPr>
          <w:rStyle w:val="FootnoteReference"/>
        </w:rPr>
        <w:footnoteReference w:id="213"/>
      </w:r>
      <w:r>
        <w:rPr>
          <w:rStyle w:val="FootnoteReference"/>
        </w:rPr>
        <w:footnoteReference w:id="215"/>
      </w:r>
    </w:p>
    <w:p>
      <w:pPr>
        <w:pStyle w:val="Compact"/>
        <w:numPr>
          <w:ilvl w:val="0"/>
          <w:numId w:val="1012"/>
        </w:numPr>
      </w:pPr>
      <w:r>
        <w:rPr>
          <w:b/>
          <w:bCs/>
        </w:rPr>
        <w:t xml:space="preserve">Scavenging.</w:t>
      </w:r>
      <w:r>
        <w:t xml:space="preserve"> </w:t>
      </w:r>
      <w:r>
        <w:t xml:space="preserve">Aging and scavenging remove stale dynamically registered records; without them, DNS slowly becomes a map of where devices used to be. Microsoft documents what happens when scavenging and lease durations disagree: duplicate records with the same address, and Kerberos tickets for one computer delivered to another.</w:t>
      </w:r>
      <w:r>
        <w:rPr>
          <w:rStyle w:val="FootnoteReference"/>
        </w:rPr>
        <w:footnoteReference w:id="217"/>
      </w:r>
    </w:p>
    <w:p>
      <w:pPr>
        <w:pStyle w:val="FirstParagraph"/>
      </w:pPr>
      <w:r>
        <w:t xml:space="preserve">These settings are rarely documented outside the servers themselves, so they belong in the inventory. A read-only check of a DHCP server’s registration behavior looks like this:</w:t>
      </w:r>
    </w:p>
    <w:bookmarkEnd w:id="219"/>
    <w:bookmarkStart w:id="220" w:name="Xafccff6812fd60e586243430e1b07e43b71e1b0"/>
    <w:p>
      <w:pPr>
        <w:pStyle w:val="Heading2"/>
      </w:pPr>
      <w:bookmarkStart w:id="1058" w:name="_Toc00001058"/>
      <w:r>
        <w:t xml:space="preserve">Illustrative, not tested against a production forest</w:t>
      </w:r>
      <w:bookmarkEnd w:id="1058"/>
    </w:p>
    <w:p>
      <w:pPr>
        <w:pStyle w:val="FirstParagraph"/>
      </w:pPr>
      <w:r>
        <w:t xml:space="preserve">The commands in this chapter are read-only illustrations checked against Microsoft Learn for cmdlet and parameter names. They haven’t been tested against a production forest. Review them, and run them first in a lab or with read-only rights.</w:t>
      </w:r>
    </w:p>
    <w:bookmarkEnd w:id="220"/>
    <w:p>
      <w:pPr>
        <w:pStyle w:val="SourceCode"/>
      </w:pPr>
      <w:r>
        <w:rPr>
          <w:rStyle w:val="CommentTok"/>
        </w:rPr>
        <w:t xml:space="preserve"># Server-level and per-scope DNS registration settings, including name protection</w:t>
      </w:r>
      <w:r>
        <w:br/>
      </w:r>
      <w:r>
        <w:rPr>
          <w:rStyle w:val="NormalTok"/>
        </w:rPr>
        <w:t xml:space="preserve">Get-DhcpServerv4DnsSetting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rPr>
          <w:rStyle w:val="NormalTok"/>
        </w:rPr>
        <w:t xml:space="preserve">Get-DhcpServerv4Scope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Get-DhcpServerv4DnsSetting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ScopeId </w:t>
      </w:r>
      <w:r>
        <w:rPr>
          <w:rStyle w:val="VariableTok"/>
        </w:rPr>
        <w:t xml:space="preserve">$_</w:t>
      </w:r>
      <w:r>
        <w:rPr>
          <w:rStyle w:val="OperatorTok"/>
        </w:rPr>
        <w:t xml:space="preserve">.</w:t>
      </w:r>
      <w:r>
        <w:rPr>
          <w:rStyle w:val="FunctionTok"/>
        </w:rPr>
        <w:t xml:space="preserve">ScopeId</w:t>
      </w:r>
      <w:r>
        <w:br/>
      </w:r>
      <w:r>
        <w:rPr>
          <w:rStyle w:val="NormalTok"/>
        </w:rPr>
        <w:t xml:space="preserve">    </w:t>
      </w:r>
      <w:r>
        <w:rPr>
          <w:rStyle w:val="OperatorTok"/>
        </w:rPr>
        <w:t xml:space="preserve">}</w:t>
      </w:r>
      <w:r>
        <w:br/>
      </w:r>
      <w:r>
        <w:br/>
      </w:r>
      <w:r>
        <w:rPr>
          <w:rStyle w:val="CommentTok"/>
        </w:rPr>
        <w:t xml:space="preserve"># The credential the DHCP server uses for registrations (the account name only)</w:t>
      </w:r>
      <w:r>
        <w:br/>
      </w:r>
      <w:r>
        <w:rPr>
          <w:rStyle w:val="NormalTok"/>
        </w:rPr>
        <w:t xml:space="preserve">Get-DhcpServerDnsCredential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Who is in DnsUpdateProxy (members create unsecured records)</w:t>
      </w:r>
      <w:r>
        <w:br/>
      </w:r>
      <w:r>
        <w:rPr>
          <w:rStyle w:val="FunctionTok"/>
        </w:rPr>
        <w:t xml:space="preserve">Get-ADGroupMember</w:t>
      </w:r>
      <w:r>
        <w:rPr>
          <w:rStyle w:val="NormalTok"/>
        </w:rPr>
        <w:t xml:space="preserve"> </w:t>
      </w:r>
      <w:r>
        <w:rPr>
          <w:rStyle w:val="OperatorTok"/>
        </w:rPr>
        <w:t xml:space="preserve">-</w:t>
      </w:r>
      <w:r>
        <w:rPr>
          <w:rStyle w:val="NormalTok"/>
        </w:rPr>
        <w:t xml:space="preserve">Identity DnsUpdateProxy</w:t>
      </w:r>
      <w:r>
        <w:br/>
      </w:r>
      <w:r>
        <w:br/>
      </w:r>
      <w:r>
        <w:rPr>
          <w:rStyle w:val="CommentTok"/>
        </w:rPr>
        <w:t xml:space="preserve"># The locator records a domain controller intends to register</w:t>
      </w:r>
      <w:r>
        <w:br/>
      </w:r>
      <w:r>
        <w:rPr>
          <w:rStyle w:val="FunctionTok"/>
        </w:rPr>
        <w:t xml:space="preserve">Get-Content</w:t>
      </w:r>
      <w:r>
        <w:rPr>
          <w:rStyle w:val="NormalTok"/>
        </w:rPr>
        <w:t xml:space="preserve"> </w:t>
      </w:r>
      <w:r>
        <w:rPr>
          <w:rStyle w:val="StringTok"/>
        </w:rPr>
        <w:t xml:space="preserve">"\\dc01.corp.example.gov\c$\Windows\System32\Config\netlogon.dns"</w:t>
      </w:r>
    </w:p>
    <w:bookmarkStart w:id="222" w:name="Xd8494cbf5880dc754229451da67ba9d60c34a03"/>
    <w:p>
      <w:pPr>
        <w:pStyle w:val="Heading2"/>
      </w:pPr>
      <w:bookmarkStart w:id="1059" w:name="_Toc00001059"/>
      <w:r>
        <w:t xml:space="preserve">What Kerberos needs from DNS on the way out</w:t>
      </w:r>
      <w:bookmarkEnd w:id="1059"/>
    </w:p>
    <w:p>
      <w:pPr>
        <w:pStyle w:val="FirstParagraph"/>
      </w:pPr>
      <w:r>
        <w:t xml:space="preserve">Kerberos has a deeper dependency on DNS than most incident tickets reveal. The client finds a KDC through the locator records above. It then asks for a service ticket to a Service Principal Name built from the target’s host name, and the ticket is encrypted with the key of the account registered for that SPN. The whitepaper described a final step in which the service</w:t>
      </w:r>
      <w:r>
        <w:t xml:space="preserve"> </w:t>
      </w:r>
      <w:r>
        <w:t xml:space="preserve">“resolv[es] the SPN back to an IP”</w:t>
      </w:r>
      <w:r>
        <w:t xml:space="preserve"> </w:t>
      </w:r>
      <w:r>
        <w:t xml:space="preserve">to confirm the connection; Kerberos does no such check, and the text has been corrected. The real DNS failure is simpler and worse: if the client resolves the name to the wrong host, it presents a valid ticket for computer A to computer B, and B rejects it. Microsoft’s troubleshooting article on duplicate DNS records walks through exactly this case, in which a ticket meant for one machine is sent to another because both names resolve to the same address.</w:t>
      </w:r>
      <w:r>
        <w:rPr>
          <w:rStyle w:val="FootnoteReference"/>
        </w:rPr>
        <w:footnoteReference w:id="221"/>
      </w:r>
      <w:r>
        <w:t xml:space="preserve"> </w:t>
      </w:r>
      <w:r>
        <w:t xml:space="preserve">A missing SPN, by contrast, silently drops the connection to NTLM (Book 06, Chapter 01 explains the fallback). Either way the symptom looks like an identity problem, and the cause is in DNS.</w:t>
      </w:r>
    </w:p>
    <w:bookmarkEnd w:id="222"/>
    <w:bookmarkStart w:id="231" w:name="what-entra-id-does-not-carry"/>
    <w:p>
      <w:pPr>
        <w:pStyle w:val="Heading2"/>
      </w:pPr>
      <w:bookmarkStart w:id="1060" w:name="_Toc00001060"/>
      <w:r>
        <w:t xml:space="preserve">What Entra ID does not carry</w:t>
      </w:r>
      <w:bookmarkEnd w:id="1060"/>
    </w:p>
    <w:p>
      <w:pPr>
        <w:pStyle w:val="FirstParagraph"/>
      </w:pPr>
      <w:r>
        <w:t xml:space="preserve">Microsoft’s guidance is to shift identity management to Microsoft Entra ID through phased source-of-authority conversion, moving from hybrid toward cloud-first and</w:t>
      </w:r>
      <w:r>
        <w:t xml:space="preserve"> </w:t>
      </w:r>
      <w:r>
        <w:t xml:space="preserve">“AD-minimized”</w:t>
      </w:r>
      <w:r>
        <w:t xml:space="preserve"> </w:t>
      </w:r>
      <w:r>
        <w:t xml:space="preserve">states rather than decommissioning AD all at once.</w:t>
      </w:r>
      <w:r>
        <w:rPr>
          <w:rStyle w:val="FootnoteReference"/>
        </w:rPr>
        <w:footnoteReference w:id="223"/>
      </w:r>
      <w:r>
        <w:t xml:space="preserve"> </w:t>
      </w:r>
      <w:r>
        <w:t xml:space="preserve">AD DS itself isn’t deprecated: Windows Server 2025 ships it with new forest and domain functional levels.</w:t>
      </w:r>
      <w:r>
        <w:rPr>
          <w:rStyle w:val="FootnoteReference"/>
        </w:rPr>
        <w:footnoteReference w:id="224"/>
      </w:r>
      <w:r>
        <w:t xml:space="preserve"> </w:t>
      </w:r>
      <w:r>
        <w:t xml:space="preserve">What the transition changes is where the DNS records come from:</w:t>
      </w:r>
    </w:p>
    <w:p>
      <w:pPr>
        <w:pStyle w:val="Compact"/>
        <w:numPr>
          <w:ilvl w:val="0"/>
          <w:numId w:val="1013"/>
        </w:numPr>
      </w:pPr>
      <w:r>
        <w:rPr>
          <w:b/>
          <w:bCs/>
        </w:rPr>
        <w:t xml:space="preserve">Entra ID publishes no zones and no locator records.</w:t>
      </w:r>
      <w:r>
        <w:t xml:space="preserve"> </w:t>
      </w:r>
      <w:r>
        <w:t xml:space="preserve">Devices joined only to Entra ID authenticate with tokens and don’t look for a domain controller. Hybrid-joined devices still do.</w:t>
      </w:r>
    </w:p>
    <w:p>
      <w:pPr>
        <w:pStyle w:val="Compact"/>
        <w:numPr>
          <w:ilvl w:val="0"/>
          <w:numId w:val="1013"/>
        </w:numPr>
      </w:pPr>
      <w:r>
        <w:rPr>
          <w:b/>
          <w:bCs/>
        </w:rPr>
        <w:t xml:space="preserve">Kerberos survives in pockets, and each pocket keeps a DNS dependency.</w:t>
      </w:r>
      <w:r>
        <w:t xml:space="preserve"> </w:t>
      </w:r>
      <w:r>
        <w:t xml:space="preserve">Microsoft’s own bridges for legacy applications include Application Proxy with Kerberos constrained delegation, which needs SPNs and resolvable back-end hosts, and cloud Kerberos trust, which issues tickets for on-premises AD resources.</w:t>
      </w:r>
      <w:r>
        <w:rPr>
          <w:rStyle w:val="FootnoteReference"/>
        </w:rPr>
        <w:footnoteReference w:id="226"/>
      </w:r>
    </w:p>
    <w:p>
      <w:pPr>
        <w:pStyle w:val="Compact"/>
        <w:numPr>
          <w:ilvl w:val="0"/>
          <w:numId w:val="1013"/>
        </w:numPr>
      </w:pPr>
      <w:r>
        <w:rPr>
          <w:b/>
          <w:bCs/>
        </w:rPr>
        <w:t xml:space="preserve">Microsoft Entra Domain Services brings its own DNS.</w:t>
      </w:r>
      <w:r>
        <w:t xml:space="preserve"> </w:t>
      </w:r>
      <w:r>
        <w:t xml:space="preserve">A managed domain includes a DNS server for its own namespace; Microsoft’s setup points the virtual network’s DNS settings at the managed domain controllers, and DNS zones from an on-premises AD aren’t synchronized into it, so resolving them takes conditional forwarders.</w:t>
      </w:r>
      <w:r>
        <w:rPr>
          <w:rStyle w:val="FootnoteReference"/>
        </w:rPr>
        <w:footnoteReference w:id="227"/>
      </w:r>
      <w:r>
        <w:t xml:space="preserve"> </w:t>
      </w:r>
      <w:r>
        <w:t xml:space="preserve">Microsoft also states that enabling root hints or setting the managed domain’s server-level forwarder to anything other than</w:t>
      </w:r>
      <w:r>
        <w:t xml:space="preserve"> </w:t>
      </w:r>
      <w:r>
        <w:rPr>
          <w:rStyle w:val="VerbatimChar"/>
        </w:rPr>
        <w:t xml:space="preserve">168.63.129.16</w:t>
      </w:r>
      <w:r>
        <w:t xml:space="preserve"> </w:t>
      </w:r>
      <w:r>
        <w:t xml:space="preserve">is unsupported.</w:t>
      </w:r>
      <w:r>
        <w:rPr>
          <w:rStyle w:val="FootnoteReference"/>
        </w:rPr>
        <w:footnoteReference w:id="230"/>
      </w:r>
      <w:r>
        <w:t xml:space="preserve"> </w:t>
      </w:r>
      <w:r>
        <w:t xml:space="preserve">An agency that adopts Domain Services for LDAP-bound applications therefore adds one more DNS authority to govern, and one whose upstream path it can’t change, which matters for the Protective DNS requirement in Chapter 05.</w:t>
      </w:r>
    </w:p>
    <w:p>
      <w:pPr>
        <w:pStyle w:val="FirstParagraph"/>
      </w:pPr>
      <w:r>
        <w:t xml:space="preserve">Decoupling DNS from the identity platform also removes a shared failure: an identity outage no longer takes name resolution with it, and a DNS outage no longer takes authentication with it.</w:t>
      </w:r>
    </w:p>
    <w:bookmarkEnd w:id="231"/>
    <w:bookmarkStart w:id="236" w:name="Xfd7e20349ff451769de75f79bbfdff3b3347c41"/>
    <w:p>
      <w:pPr>
        <w:pStyle w:val="Heading2"/>
      </w:pPr>
      <w:bookmarkStart w:id="1061" w:name="_Toc00001061"/>
      <w:r>
        <w:t xml:space="preserve">What must be reprovisioned before AD leaves</w:t>
      </w:r>
      <w:bookmarkEnd w:id="1061"/>
    </w:p>
    <w:p>
      <w:pPr>
        <w:pStyle w:val="FirstParagraph"/>
      </w:pPr>
      <w:r>
        <w:t xml:space="preserve">A DNS program that runs alongside AD retirement has to account for every category of record AD maintains:</w:t>
      </w:r>
    </w:p>
    <w:p>
      <w:pPr>
        <w:pStyle w:val="Compact"/>
        <w:numPr>
          <w:ilvl w:val="0"/>
          <w:numId w:val="1014"/>
        </w:numPr>
      </w:pPr>
      <w:r>
        <w:rPr>
          <w:b/>
          <w:bCs/>
        </w:rPr>
        <w:t xml:space="preserve">Locator records</w:t>
      </w:r>
      <w:r>
        <w:t xml:space="preserve"> </w:t>
      </w:r>
      <w:r>
        <w:t xml:space="preserve">stay resolvable, served by AD DNS or a DDI platform that accepts secure registration from domain controllers, until every workload that queries them has moved to token-based authentication. If Kerberos is retired in parallel, the records can be allowed to lapse, but on a coordinated timeline, not by accident.</w:t>
      </w:r>
    </w:p>
    <w:p>
      <w:pPr>
        <w:pStyle w:val="Compact"/>
        <w:numPr>
          <w:ilvl w:val="0"/>
          <w:numId w:val="1014"/>
        </w:numPr>
      </w:pPr>
      <w:r>
        <w:rPr>
          <w:b/>
          <w:bCs/>
        </w:rPr>
        <w:t xml:space="preserve">Conditional forwarders</w:t>
      </w:r>
      <w:r>
        <w:t xml:space="preserve"> </w:t>
      </w:r>
      <w:r>
        <w:t xml:space="preserve">are inventoried, tested for reachability over DNS (not just ICMP) and reprovisioned as forwarding rules in the policy plane. Forwarders that point at retired servers are retired, not carried forward.</w:t>
      </w:r>
    </w:p>
    <w:p>
      <w:pPr>
        <w:pStyle w:val="Compact"/>
        <w:numPr>
          <w:ilvl w:val="0"/>
          <w:numId w:val="1014"/>
        </w:numPr>
      </w:pPr>
      <w:r>
        <w:rPr>
          <w:b/>
          <w:bCs/>
        </w:rPr>
        <w:t xml:space="preserve">The internal namespace itself</w:t>
      </w:r>
      <w:r>
        <w:t xml:space="preserve">, such as</w:t>
      </w:r>
      <w:r>
        <w:t xml:space="preserve"> </w:t>
      </w:r>
      <w:r>
        <w:rPr>
          <w:rStyle w:val="VerbatimChar"/>
        </w:rPr>
        <w:t xml:space="preserve">agency.gov</w:t>
      </w:r>
      <w:r>
        <w:t xml:space="preserve">’s internal view or a legacy</w:t>
      </w:r>
      <w:r>
        <w:t xml:space="preserve"> </w:t>
      </w:r>
      <w:r>
        <w:rPr>
          <w:rStyle w:val="VerbatimChar"/>
        </w:rPr>
        <w:t xml:space="preserve">agency.local</w:t>
      </w:r>
      <w:r>
        <w:t xml:space="preserve">, is created explicitly as a zone in the replacement platform and populated from the record export. Nothing creates it by default.</w:t>
      </w:r>
    </w:p>
    <w:p>
      <w:pPr>
        <w:pStyle w:val="Compact"/>
        <w:numPr>
          <w:ilvl w:val="0"/>
          <w:numId w:val="1014"/>
        </w:numPr>
      </w:pPr>
      <w:r>
        <w:rPr>
          <w:b/>
          <w:bCs/>
        </w:rPr>
        <w:t xml:space="preserve">Dynamic registration</w:t>
      </w:r>
      <w:r>
        <w:t xml:space="preserve"> </w:t>
      </w:r>
      <w:r>
        <w:t xml:space="preserve">is re-established for each client population: DHCP-driven registration on the DDI platform for on-premises devices, cloud registration for cloud VMs, with the ownership and credential choices above decided deliberately.</w:t>
      </w:r>
    </w:p>
    <w:p>
      <w:pPr>
        <w:pStyle w:val="Compact"/>
        <w:numPr>
          <w:ilvl w:val="0"/>
          <w:numId w:val="1014"/>
        </w:numPr>
      </w:pPr>
      <w:r>
        <w:rPr>
          <w:b/>
          <w:bCs/>
        </w:rPr>
        <w:t xml:space="preserve">GlobalNames, reverse zones and signed zones</w:t>
      </w:r>
      <w:r>
        <w:t xml:space="preserve"> </w:t>
      </w:r>
      <w:r>
        <w:t xml:space="preserve">each move by their own method (Chapter 10 for the first two, Chapter 06 for signing).</w:t>
      </w:r>
    </w:p>
    <w:p>
      <w:pPr>
        <w:pStyle w:val="FirstParagraph"/>
      </w:pPr>
      <w:r>
        <w:t xml:space="preserve">Enterprise DDI platforms commonly provide a coexistence mode for this period. Infoblox NIOS, for example, manages Microsoft DNS and DHCP servers over MS-RPC without installing software on them, in a read-only mode that synchronizes their data into the Grid or a read/write mode that synchronizes changes in both directions.</w:t>
      </w:r>
      <w:r>
        <w:rPr>
          <w:rStyle w:val="FootnoteReference"/>
        </w:rPr>
        <w:footnoteReference w:id="232"/>
      </w:r>
      <w:r>
        <w:t xml:space="preserve"> </w:t>
      </w:r>
      <w:r>
        <w:t xml:space="preserve">NIOS can also accept GSS-TSIG-signed dynamic updates from AD clients, and NIOS DHCP can send GSS-TSIG-signed updates to zones that remain on domain controllers.</w:t>
      </w:r>
      <w:r>
        <w:rPr>
          <w:rStyle w:val="FootnoteReference"/>
        </w:rPr>
        <w:footnoteReference w:id="234"/>
      </w:r>
      <w:r>
        <w:t xml:space="preserve"> </w:t>
      </w:r>
      <w:r>
        <w:t xml:space="preserve">That lets authority move zone by zone while the locator records stay where domain controllers can register them. Other DDI platforms offer comparable integrations; confirm the specific capabilities and supported Windows Server versions for the release you deploy. The sequence, gates and rollback points are in Chapter 10, and Book 02, Chapter 04 places DNS, DHCP and IPAM among the other AD dependencies an identity migration uncovers.</w:t>
      </w:r>
    </w:p>
    <w:bookmarkEnd w:id="236"/>
    <w:bookmarkStart w:id="237" w:name="X36bce6babab395c3fa48f31f0c245eb8101f9e7"/>
    <w:p>
      <w:pPr>
        <w:pStyle w:val="Heading2"/>
      </w:pPr>
      <w:bookmarkStart w:id="1062" w:name="_Toc00001062"/>
      <w:r>
        <w:t xml:space="preserve">Implications for modern Microsoft SQL Server</w:t>
      </w:r>
      <w:bookmarkEnd w:id="1062"/>
    </w:p>
    <w:p>
      <w:pPr>
        <w:pStyle w:val="FirstParagraph"/>
      </w:pPr>
      <w:r>
        <w:t xml:space="preserve">SQL Server deployments are shifting from Kerberos and SPN-based Windows Authentication toward Microsoft Entra authentication, managed identities and certificate-based patterns. Book 06 covers that shift; its DNS consequences are these:</w:t>
      </w:r>
    </w:p>
    <w:p>
      <w:pPr>
        <w:pStyle w:val="Compact"/>
        <w:numPr>
          <w:ilvl w:val="0"/>
          <w:numId w:val="1015"/>
        </w:numPr>
      </w:pPr>
      <w:r>
        <w:rPr>
          <w:b/>
          <w:bCs/>
        </w:rPr>
        <w:t xml:space="preserve">SPNs and locator records stay necessary</w:t>
      </w:r>
      <w:r>
        <w:t xml:space="preserve"> </w:t>
      </w:r>
      <w:r>
        <w:t xml:space="preserve">for remaining domain-joined and hybrid instances, and must be inventoried before any AD DNS decommissioning. A name that resolves to the wrong host turns a valid Kerberos ticket into a failed connection; a missing SPN turns it into silent NTLM.</w:t>
      </w:r>
    </w:p>
    <w:p>
      <w:pPr>
        <w:pStyle w:val="Compact"/>
        <w:numPr>
          <w:ilvl w:val="0"/>
          <w:numId w:val="1015"/>
        </w:numPr>
      </w:pPr>
      <w:r>
        <w:rPr>
          <w:b/>
          <w:bCs/>
        </w:rPr>
        <w:t xml:space="preserve">Certificate SANs and connection strings use FQDNs.</w:t>
      </w:r>
      <w:r>
        <w:t xml:space="preserve"> </w:t>
      </w:r>
      <w:r>
        <w:t xml:space="preserve">Split-brain that sends a client to the wrong endpoint produces TLS errors that look like certificate problems (Chapter 06).</w:t>
      </w:r>
    </w:p>
    <w:p>
      <w:pPr>
        <w:pStyle w:val="Compact"/>
        <w:numPr>
          <w:ilvl w:val="0"/>
          <w:numId w:val="1015"/>
        </w:numPr>
      </w:pPr>
      <w:r>
        <w:rPr>
          <w:b/>
          <w:bCs/>
        </w:rPr>
        <w:t xml:space="preserve">Private connectivity</w:t>
      </w:r>
      <w:r>
        <w:t xml:space="preserve"> </w:t>
      </w:r>
      <w:r>
        <w:t xml:space="preserve">to Azure SQL Database, Azure SQL Managed Instance or equivalent services depends on the private DNS records being visible from every client location (Chapter 07).</w:t>
      </w:r>
    </w:p>
    <w:p>
      <w:pPr>
        <w:pStyle w:val="Compact"/>
        <w:numPr>
          <w:ilvl w:val="0"/>
          <w:numId w:val="1015"/>
        </w:numPr>
      </w:pPr>
      <w:r>
        <w:rPr>
          <w:b/>
          <w:bCs/>
        </w:rPr>
        <w:t xml:space="preserve">Revocation endpoints</w:t>
      </w:r>
      <w:r>
        <w:t xml:space="preserve"> </w:t>
      </w:r>
      <w:r>
        <w:t xml:space="preserve">used by the authentication stack must resolve from every origin (Chapter 08, Decision 5). For Entra certificate-based authentication that means the CRL distribution point, since Entra CBA checks CRLs over HTTP and doesn’t use OCSP (Book 07, Chapter 02).</w:t>
      </w:r>
    </w:p>
    <w:p>
      <w:pPr>
        <w:pStyle w:val="FirstParagraph"/>
      </w:pPr>
      <w:r>
        <w:t xml:space="preserve">The net effect is that the name layer must be at least as reliable and consistent as the identity layer it now supports.</w:t>
      </w:r>
    </w:p>
    <w:bookmarkEnd w:id="237"/>
    <w:bookmarkStart w:id="238" w:name="what-this-chapter-establishes-3"/>
    <w:p>
      <w:pPr>
        <w:pStyle w:val="Heading2"/>
      </w:pPr>
      <w:bookmarkStart w:id="1063" w:name="_Toc00001063"/>
      <w:r>
        <w:t xml:space="preserve">What this chapter establishes</w:t>
      </w:r>
      <w:bookmarkEnd w:id="1063"/>
    </w:p>
    <w:p>
      <w:pPr>
        <w:pStyle w:val="Compact"/>
        <w:numPr>
          <w:ilvl w:val="0"/>
          <w:numId w:val="1016"/>
        </w:numPr>
      </w:pPr>
      <w:r>
        <w:t xml:space="preserve">AD-integrated DNS carries the locator records, the</w:t>
      </w:r>
      <w:r>
        <w:t xml:space="preserve"> </w:t>
      </w:r>
      <w:r>
        <w:rPr>
          <w:rStyle w:val="VerbatimChar"/>
        </w:rPr>
        <w:t xml:space="preserve">_msdcs</w:t>
      </w:r>
      <w:r>
        <w:t xml:space="preserve"> </w:t>
      </w:r>
      <w:r>
        <w:t xml:space="preserve">zone, secure dynamic updates, conditional forwarders, GlobalNames and DNSSEC keys; Entra ID replaces none of them, and Entra Domain Services adds a DNS authority of its own.</w:t>
      </w:r>
    </w:p>
    <w:p>
      <w:pPr>
        <w:pStyle w:val="Compact"/>
        <w:numPr>
          <w:ilvl w:val="0"/>
          <w:numId w:val="1016"/>
        </w:numPr>
      </w:pPr>
      <w:r>
        <w:t xml:space="preserve">Locator records can live only where domain controllers can register them securely, so they are the last thing to move.</w:t>
      </w:r>
    </w:p>
    <w:p>
      <w:pPr>
        <w:pStyle w:val="Compact"/>
        <w:numPr>
          <w:ilvl w:val="0"/>
          <w:numId w:val="1016"/>
        </w:numPr>
      </w:pPr>
      <w:r>
        <w:t xml:space="preserve">The DHCP server’s registration credential, DnsUpdateProxy membership and name protection decide whether dynamic records can be trusted, and belong in the inventory.</w:t>
      </w:r>
    </w:p>
    <w:p>
      <w:pPr>
        <w:pStyle w:val="Compact"/>
        <w:numPr>
          <w:ilvl w:val="0"/>
          <w:numId w:val="1016"/>
        </w:numPr>
      </w:pPr>
      <w:r>
        <w:t xml:space="preserve">Leaving AD DNS is an inventory problem first: nothing is retired until its dependents are reprovisioned, and for every token-based service the name layer must be as reliable as the identity layer.</w:t>
      </w:r>
    </w:p>
    <w:bookmarkEnd w:id="238"/>
    <w:bookmarkStart w:id="239" w:name="continue-the-book-3"/>
    <w:p>
      <w:pPr>
        <w:pStyle w:val="Heading2"/>
      </w:pPr>
      <w:bookmarkStart w:id="1064" w:name="_Toc00001064"/>
      <w:r>
        <w:t xml:space="preserve">Continue the book</w:t>
      </w:r>
      <w:bookmarkEnd w:id="1064"/>
    </w:p>
    <w:p>
      <w:pPr>
        <w:pStyle w:val="FirstParagraph"/>
      </w:pPr>
      <w:r>
        <w:t xml:space="preserve">← Previous: Chapter 03 — Federal Requirements: NIST SP 800-81, FedRAMP and Zero Trust · Book index · Next: Chapter 05 — Edge Interception, Encrypted DNS and Rogue DHCP →</w:t>
      </w:r>
    </w:p>
    <w:bookmarkEnd w:id="239"/>
    <w:bookmarkEnd w:id="240"/>
    <w:bookmarkStart w:id="330" w:name="Xbd371ab5c0159cbac57effd2614082cffd44bcd"/>
    <w:p>
      <w:pPr>
        <w:pStyle w:val="Heading1"/>
      </w:pPr>
      <w:bookmarkStart w:id="1065" w:name="_Toc00001065"/>
      <w:r>
        <w:t xml:space="preserve">Chapter 05 — Edge Interception, Encrypted DNS and Rogue DHCP</w:t>
      </w:r>
      <w:bookmarkEnd w:id="1065"/>
    </w:p>
    <w:p>
      <w:pPr>
        <w:pStyle w:val="FirstParagraph"/>
      </w:pPr>
      <w:r>
        <w:rPr>
          <w:i/>
          <w:iCs/>
        </w:rPr>
        <w:t xml:space="preserve">Every control in the policy plane assumes the query reaches it; three ordinary mechanisms decide whether it does, and none of them reports when it doesn’t.</w:t>
      </w:r>
    </w:p>
    <w:bookmarkStart w:id="241" w:name="in-this-chapter-4"/>
    <w:p>
      <w:pPr>
        <w:pStyle w:val="Heading2"/>
      </w:pPr>
      <w:bookmarkStart w:id="1066" w:name="_Toc00001066"/>
      <w:r>
        <w:t xml:space="preserve">In this chapter</w:t>
      </w:r>
      <w:bookmarkEnd w:id="1066"/>
    </w:p>
    <w:p>
      <w:pPr>
        <w:pStyle w:val="FirstParagraph"/>
      </w:pPr>
      <w:r>
        <w:t xml:space="preserve">How SD-WAN edges intercept DNS, using Cisco Catalyst SD-WAN’s redirect-dns and Umbrella integration as the worked example, and why the redirect target decides whether agency policy applies at all. What Microsoft 365 informed network routing does and doesn’t change. How encrypted DNS becomes the most common bypass, what M-22-09, CISA and NIST SP 800-81r3 require, and how Windows, Edge, Chrome and Firefox are brought under policy. How a rogue DHCP server or router advertisement moves a whole subnet to an attacker’s resolver, and the controls that stop it.</w:t>
      </w:r>
    </w:p>
    <w:bookmarkEnd w:id="241"/>
    <w:p>
      <w:pPr>
        <w:pStyle w:val="BodyText"/>
      </w:pPr>
      <w:r>
        <w:t xml:space="preserve">The policy plane described in this book applies response policy zones, DNSSEC validation, logging and Protective DNS forwarding only to queries that reach it. Three mechanisms routinely send queries somewhere else, and each does it silently: the client receives a normal-looking answer, and the agency’s resolver logs nothing. This chapter takes them in order of where they sit: the network edge, the endpoint and the access layer.</w:t>
      </w:r>
    </w:p>
    <w:bookmarkStart w:id="260" w:name="sd-wan-dns-interception"/>
    <w:p>
      <w:pPr>
        <w:pStyle w:val="Heading2"/>
      </w:pPr>
      <w:bookmarkStart w:id="1067" w:name="_Toc00001067"/>
      <w:r>
        <w:t xml:space="preserve">SD-WAN DNS interception</w:t>
      </w:r>
      <w:bookmarkEnd w:id="1067"/>
    </w:p>
    <w:p>
      <w:pPr>
        <w:pStyle w:val="FirstParagraph"/>
      </w:pPr>
      <w:r>
        <w:t xml:space="preserve">SD-WAN edges can intercept DNS regardless of the resolver a client was configured with. In Cisco Catalyst SD-WAN this is the redirect-dns action of a centralized data policy: the edge router matches DNS traffic and sends it to a policy-designated resolver. Cisco documents two uses. Unconditional redirect sends every DNS request from a host (its example is legacy printers with hard-coded DNS servers) through the local edge to an enterprise DNS server reached over a service-side VPN. Conditional redirect lets hosts use a provider’s DNS by default while queries for named applications go to the enterprise server.</w:t>
      </w:r>
      <w:r>
        <w:rPr>
          <w:rStyle w:val="FootnoteReference"/>
        </w:rPr>
        <w:footnoteReference w:id="242"/>
      </w:r>
    </w:p>
    <w:bookmarkStart w:id="246" w:name="fig-ch05-redirect-dns"/>
    <w:p>
      <w:pPr>
        <w:pStyle w:val="CaptionedFigure"/>
      </w:pPr>
      <w:r>
        <w:drawing>
          <wp:inline>
            <wp:extent cx="5334000" cy="2373543"/>
            <wp:effectExtent b="0" l="0" r="0" t="0"/>
            <wp:docPr descr="The redirect-dns destination decides whether agency policy applies at all." title="" id="244" name="Picture"/>
            <a:graphic>
              <a:graphicData uri="http://schemas.openxmlformats.org/drawingml/2006/picture">
                <pic:pic>
                  <pic:nvPicPr>
                    <pic:cNvPr descr="/home/runner/work/modernization-workbook/modernization-workbook/docs/images/diagrams/b08-ddi/png/ch05-redirect-dns.png" id="245" name="Picture"/>
                    <pic:cNvPicPr>
                      <a:picLocks noChangeArrowheads="1" noChangeAspect="1"/>
                    </pic:cNvPicPr>
                  </pic:nvPicPr>
                  <pic:blipFill>
                    <a:blip r:embed="rId243"/>
                    <a:stretch>
                      <a:fillRect/>
                    </a:stretch>
                  </pic:blipFill>
                  <pic:spPr bwMode="auto">
                    <a:xfrm>
                      <a:off x="0" y="0"/>
                      <a:ext cx="5334000" cy="2373543"/>
                    </a:xfrm>
                    <a:prstGeom prst="rect">
                      <a:avLst/>
                    </a:prstGeom>
                    <a:noFill/>
                    <a:ln w="9525">
                      <a:noFill/>
                      <a:headEnd/>
                      <a:tailEnd/>
                    </a:ln>
                  </pic:spPr>
                </pic:pic>
              </a:graphicData>
            </a:graphic>
          </wp:inline>
        </w:drawing>
      </w:r>
    </w:p>
    <w:p>
      <w:pPr>
        <w:pStyle w:val="ImageCaption"/>
      </w:pPr>
      <w:r>
        <w:t xml:space="preserve">The redirect-dns destination decides whether agency policy applies at all.</w:t>
      </w:r>
    </w:p>
    <w:bookmarkEnd w:id="246"/>
    <w:p>
      <w:pPr>
        <w:pStyle w:val="BodyText"/>
      </w:pPr>
      <w:r>
        <w:t xml:space="preserve">The feature has documented limits that bound what it can govern. Redirect DNS on service-side VPNs arrived in Cisco IOS XE Catalyst SD-WAN 17.8.1a and vManage 20.8.1; before that it worked only on the NAT direct internet access path. It handles IPv4 only, UDP only (TCP DNS isn’t redirected), doesn’t redirect DNS arriving from the overlay tunnel, fragmented packets or the router’s own queries, and isn’t accepted without NAT configuration.</w:t>
      </w:r>
      <w:r>
        <w:rPr>
          <w:rStyle w:val="FootnoteReference"/>
        </w:rPr>
        <w:footnoteReference w:id="247"/>
      </w:r>
      <w:r>
        <w:t xml:space="preserve"> </w:t>
      </w:r>
      <w:r>
        <w:t xml:space="preserve">The destination decides whether agency policy applies:</w:t>
      </w:r>
    </w:p>
    <w:p>
      <w:pPr>
        <w:pStyle w:val="Compact"/>
        <w:numPr>
          <w:ilvl w:val="0"/>
          <w:numId w:val="1017"/>
        </w:numPr>
      </w:pPr>
      <w:r>
        <w:rPr>
          <w:b/>
          <w:bCs/>
        </w:rPr>
        <w:t xml:space="preserve">Correct path:</w:t>
      </w:r>
      <w:r>
        <w:t xml:space="preserve"> </w:t>
      </w:r>
      <w:r>
        <w:t xml:space="preserve">branch client → SD-WAN edge → network-addressable agency-controlled resolver → DDI policy plane (response policy zones, DNSSEC validation, logging) → per-cloud private resolvers, with internet-bound recursion forwarded through Protective DNS.</w:t>
      </w:r>
    </w:p>
    <w:p>
      <w:pPr>
        <w:pStyle w:val="Compact"/>
        <w:numPr>
          <w:ilvl w:val="0"/>
          <w:numId w:val="1017"/>
        </w:numPr>
      </w:pPr>
      <w:r>
        <w:rPr>
          <w:b/>
          <w:bCs/>
        </w:rPr>
        <w:t xml:space="preserve">Bypassed path:</w:t>
      </w:r>
      <w:r>
        <w:t xml:space="preserve"> </w:t>
      </w:r>
      <w:r>
        <w:t xml:space="preserve">branch client → SD-WAN edge → an external resolver → public recursion. The agency policy plane never sees those queries: no log entry, no RPZ evaluation, no validation under agency trust anchors.</w:t>
      </w:r>
    </w:p>
    <w:p>
      <w:pPr>
        <w:pStyle w:val="FirstParagraph"/>
      </w:pPr>
      <w:r>
        <w:t xml:space="preserve">Two refinements of the whitepaper’s analysis matter here. First,</w:t>
      </w:r>
      <w:r>
        <w:t xml:space="preserve"> </w:t>
      </w:r>
      <w:r>
        <w:t xml:space="preserve">“agency-controlled resolver”</w:t>
      </w:r>
      <w:r>
        <w:t xml:space="preserve"> </w:t>
      </w:r>
      <w:r>
        <w:t xml:space="preserve">means a server the edge can address: a DDI appliance or virtual member at the branch or across the overlay. A device-resident agent isn’t one. Infoblox Endpoint, for example, listens on the loopback address (127.0.0.1, or 127.0.0.2 on macOS) on the device itself and forwards to the Infoblox platform over DNS over TLS on TCP 443; queries for bypassed internal domains and DHCP-learned search domains go to local DNS servers instead.</w:t>
      </w:r>
      <w:r>
        <w:rPr>
          <w:rStyle w:val="FootnoteReference"/>
        </w:rPr>
        <w:footnoteReference w:id="248"/>
      </w:r>
      <w:r>
        <w:t xml:space="preserve"> </w:t>
      </w:r>
      <w:r>
        <w:t xml:space="preserve">It protects the device wherever it is, but it isn’t a redirect target. Second, a secure web gateway or SASE resolver in the path isn’t automatically a bypass of the federal requirement: Cisco’s Umbrella for Government, now part of the Cisco Security Cloud for Government offering listed as FedRAMP Certified at the High impact level, describes integration with CISA Protective DNS.</w:t>
      </w:r>
      <w:r>
        <w:rPr>
          <w:rStyle w:val="FootnoteReference"/>
        </w:rPr>
        <w:footnoteReference w:id="250"/>
      </w:r>
      <w:r>
        <w:t xml:space="preserve"> </w:t>
      </w:r>
      <w:r>
        <w:t xml:space="preserve">What such a first hop bypasses is the agency’s own policy plane: its internal zones, its RPZ, its logs and its validation policy. The program’s position is therefore that the redirect target is always the agency resolver, and any SASE resolver is a forwarding target behind it (Chapter 08, Decisions 1 and 2).</w:t>
      </w:r>
    </w:p>
    <w:bookmarkStart w:id="253" w:name="umbrella-integration-on-the-edge"/>
    <w:p>
      <w:pPr>
        <w:pStyle w:val="Heading3"/>
      </w:pPr>
      <w:r>
        <w:t xml:space="preserve">Umbrella integration on the edge</w:t>
      </w:r>
    </w:p>
    <w:p>
      <w:pPr>
        <w:pStyle w:val="FirstParagraph"/>
      </w:pPr>
      <w:r>
        <w:t xml:space="preserve">Cisco SD-WAN’s Umbrella integration is a second, separate interception mechanism. A DNS security policy enables</w:t>
      </w:r>
      <w:r>
        <w:t xml:space="preserve"> </w:t>
      </w:r>
      <w:r>
        <w:rPr>
          <w:rStyle w:val="VerbatimChar"/>
        </w:rPr>
        <w:t xml:space="preserve">dns-redirect umbrella</w:t>
      </w:r>
      <w:r>
        <w:t xml:space="preserve"> </w:t>
      </w:r>
      <w:r>
        <w:t xml:space="preserve">per VPN, so the edge sends client queries to Umbrella’s resolvers and adds EDNS0 options carrying the device and organization identifiers that select the Umbrella policy. A local domain bypass list names the domains the router doesn’t redirect, sending them to an enterprise DNS server instead.</w:t>
      </w:r>
      <w:r>
        <w:rPr>
          <w:rStyle w:val="FootnoteReference"/>
        </w:rPr>
        <w:footnoteReference w:id="251"/>
      </w:r>
      <w:r>
        <w:t xml:space="preserve"> </w:t>
      </w:r>
      <w:r>
        <w:t xml:space="preserve">That bypass list is effectively a second copy of the agency’s internal namespace, held on every edge. If it falls behind the authoritative zones, internal names go to a public resolver and fail or, worse, resolve to something else. In a governed design the edge sends everything to the agency resolver, and the internal namespace has one definition, in the policy plane.</w:t>
      </w:r>
    </w:p>
    <w:bookmarkEnd w:id="253"/>
    <w:bookmarkStart w:id="257" w:name="dnssec-and-the-forwarder-position"/>
    <w:p>
      <w:pPr>
        <w:pStyle w:val="Heading3"/>
      </w:pPr>
      <w:r>
        <w:t xml:space="preserve">DNSSEC and the forwarder position</w:t>
      </w:r>
    </w:p>
    <w:p>
      <w:pPr>
        <w:pStyle w:val="FirstParagraph"/>
      </w:pPr>
      <w:r>
        <w:t xml:space="preserve">The whitepaper stated that validation requires</w:t>
      </w:r>
      <w:r>
        <w:t xml:space="preserve"> </w:t>
      </w:r>
      <w:r>
        <w:t xml:space="preserve">“the validating resolver to sit at the first recursive position in the chain.”</w:t>
      </w:r>
      <w:r>
        <w:t xml:space="preserve"> </w:t>
      </w:r>
      <w:r>
        <w:t xml:space="preserve">The documented rule is slightly different and leads to the same design. Microsoft’s DNSSEC guidance says that when several recursive servers, including forwarders, take part in a response, each must be able to validate it for the chain of trust to hold, and that validation protects clients that don’t validate themselves</w:t>
      </w:r>
      <w:r>
        <w:t xml:space="preserve"> </w:t>
      </w:r>
      <w:r>
        <w:t xml:space="preserve">“provided the local (last hop) recursive DNS server is itself secure from hijacking.”</w:t>
      </w:r>
      <w:r>
        <w:rPr>
          <w:rStyle w:val="FootnoteReference"/>
        </w:rPr>
        <w:footnoteReference w:id="254"/>
      </w:r>
      <w:r>
        <w:t xml:space="preserve"> </w:t>
      </w:r>
      <w:r>
        <w:t xml:space="preserve">NIST SP 800-81r3 adds that most stub resolvers can’t validate and rely on an upstream validating resolver, which is acceptable when the link between them is protected.</w:t>
      </w:r>
      <w:r>
        <w:rPr>
          <w:rStyle w:val="FootnoteReference"/>
        </w:rPr>
        <w:footnoteReference w:id="256"/>
      </w:r>
      <w:r>
        <w:t xml:space="preserve"> </w:t>
      </w:r>
      <w:r>
        <w:t xml:space="preserve">A validating forwarder can therefore sit behind another resolver. What the agency can’t do is let redirect-dns or a forwarding rule hand the client’s query to a resolver outside its control and still claim to enforce its own validation policy and trust anchors; SP 800-53 SC-21 asks the agency’s resolver to</w:t>
      </w:r>
      <w:r>
        <w:t xml:space="preserve"> </w:t>
      </w:r>
      <w:r>
        <w:t xml:space="preserve">“request and perform”</w:t>
      </w:r>
      <w:r>
        <w:t xml:space="preserve"> </w:t>
      </w:r>
      <w:r>
        <w:t xml:space="preserve">that verification (Chapter 06).</w:t>
      </w:r>
    </w:p>
    <w:bookmarkEnd w:id="257"/>
    <w:bookmarkStart w:id="259" w:name="microsoft-365-informed-network-routing"/>
    <w:p>
      <w:pPr>
        <w:pStyle w:val="Heading3"/>
      </w:pPr>
      <w:r>
        <w:t xml:space="preserve">Microsoft 365 informed network routing</w:t>
      </w:r>
    </w:p>
    <w:p>
      <w:pPr>
        <w:pStyle w:val="FirstParagraph"/>
      </w:pPr>
      <w:r>
        <w:t xml:space="preserve">Microsoft 365 informed network routing (INR) shares Microsoft’s measurements of Exchange, SharePoint, OneDrive and Teams experience per office location and internet circuit with a supported SD-WAN, which can then move that traffic to a better link. Cisco IOS XE SD-WAN 20.4/17.4 or later is the only solution Microsoft lists as enabled. Microsoft documents INR as supporting tenants in the Worldwide commercial cloud only, not GCC (which Microsoft’s note calls GCC Moderate), GCC High, DoD, Germany or China.</w:t>
      </w:r>
      <w:r>
        <w:rPr>
          <w:rStyle w:val="FootnoteReference"/>
        </w:rPr>
        <w:footnoteReference w:id="258"/>
      </w:r>
      <w:r>
        <w:t xml:space="preserve"> </w:t>
      </w:r>
      <w:r>
        <w:t xml:space="preserve">For agencies in those clouds, local internet breakout and application-aware routing on locally measured path quality remain the main Microsoft 365 optimizations. None of this changes the DDI design: INR is a traffic-flow optimization, not a DNS dependency. The whitepaper’s further point, that if Umbrella returned a different Microsoft 365 address than the agency resolver would have, INR telemetry would describe the Umbrella-selected endpoint, follows from the design but isn’t documented by either vendor and is kept here only as a reason to have one resolution path.</w:t>
      </w:r>
    </w:p>
    <w:bookmarkEnd w:id="259"/>
    <w:bookmarkEnd w:id="260"/>
    <w:bookmarkStart w:id="304" w:name="encrypted-dns-and-bypass-controls"/>
    <w:p>
      <w:pPr>
        <w:pStyle w:val="Heading2"/>
      </w:pPr>
      <w:bookmarkStart w:id="1068" w:name="_Toc00001068"/>
      <w:r>
        <w:t xml:space="preserve">Encrypted DNS and bypass controls</w:t>
      </w:r>
      <w:bookmarkEnd w:id="1068"/>
    </w:p>
    <w:bookmarkStart w:id="264" w:name="fig-ch05-encrypted-dns-paths"/>
    <w:p>
      <w:pPr>
        <w:pStyle w:val="CaptionedFigure"/>
      </w:pPr>
      <w:r>
        <w:drawing>
          <wp:inline>
            <wp:extent cx="5334000" cy="1732796"/>
            <wp:effectExtent b="0" l="0" r="0" t="0"/>
            <wp:docPr descr="What an edge can and cannot do with each DNS transport." title="" id="262" name="Picture"/>
            <a:graphic>
              <a:graphicData uri="http://schemas.openxmlformats.org/drawingml/2006/picture">
                <pic:pic>
                  <pic:nvPicPr>
                    <pic:cNvPr descr="/home/runner/work/modernization-workbook/modernization-workbook/docs/images/diagrams/b08-ddi/png/ch05-encrypted-dns-paths.png" id="263" name="Picture"/>
                    <pic:cNvPicPr>
                      <a:picLocks noChangeArrowheads="1" noChangeAspect="1"/>
                    </pic:cNvPicPr>
                  </pic:nvPicPr>
                  <pic:blipFill>
                    <a:blip r:embed="rId261"/>
                    <a:stretch>
                      <a:fillRect/>
                    </a:stretch>
                  </pic:blipFill>
                  <pic:spPr bwMode="auto">
                    <a:xfrm>
                      <a:off x="0" y="0"/>
                      <a:ext cx="5334000" cy="1732796"/>
                    </a:xfrm>
                    <a:prstGeom prst="rect">
                      <a:avLst/>
                    </a:prstGeom>
                    <a:noFill/>
                    <a:ln w="9525">
                      <a:noFill/>
                      <a:headEnd/>
                      <a:tailEnd/>
                    </a:ln>
                  </pic:spPr>
                </pic:pic>
              </a:graphicData>
            </a:graphic>
          </wp:inline>
        </w:drawing>
      </w:r>
    </w:p>
    <w:p>
      <w:pPr>
        <w:pStyle w:val="ImageCaption"/>
      </w:pPr>
      <w:r>
        <w:t xml:space="preserve">What an edge can and cannot do with each DNS transport.</w:t>
      </w:r>
    </w:p>
    <w:bookmarkEnd w:id="264"/>
    <w:p>
      <w:pPr>
        <w:pStyle w:val="BodyText"/>
      </w:pPr>
      <w:r>
        <w:t xml:space="preserve">Client-side encrypted DNS to a public resolver is the most common bypass, and it is the one the mandates themselves make more likely if they’re applied carelessly. M-22-09 says agencies</w:t>
      </w:r>
      <w:r>
        <w:t xml:space="preserve"> </w:t>
      </w:r>
      <w:r>
        <w:t xml:space="preserve">“must resolve DNS queries using encrypted DNS wherever it is technically supported”</w:t>
      </w:r>
      <w:r>
        <w:t xml:space="preserve">; that agency resolvers must support DoH or DoT and use them upstream; that endpoints must enable encrypted DNS in applications and the operating system; and that agencies</w:t>
      </w:r>
      <w:r>
        <w:t xml:space="preserve"> </w:t>
      </w:r>
      <w:r>
        <w:t xml:space="preserve">“should explicitly configure endpoints to use agency-designated encrypted DNS servers, rather than relying on automatic network discovery.”</w:t>
      </w:r>
      <w:r>
        <w:t xml:space="preserve"> </w:t>
      </w:r>
      <w:r>
        <w:t xml:space="preserve">It also reminds agencies that DNS requests must already be routed through CISA-operated infrastructure.</w:t>
      </w:r>
      <w:r>
        <w:rPr>
          <w:rStyle w:val="FootnoteReference"/>
        </w:rPr>
        <w:footnoteReference w:id="265"/>
      </w:r>
      <w:r>
        <w:t xml:space="preserve"> </w:t>
      </w:r>
      <w:r>
        <w:t xml:space="preserve">CISA’s implementation guidance turns that into a target state in which agency DNS infrastructure uses Protective DNS as its upstream provider and endpoints and applications can’t talk directly to third-party DNS providers over any protocol.</w:t>
      </w:r>
      <w:r>
        <w:rPr>
          <w:rStyle w:val="FootnoteReference"/>
        </w:rPr>
        <w:footnoteReference w:id="266"/>
      </w:r>
      <w:r>
        <w:t xml:space="preserve"> </w:t>
      </w:r>
      <w:r>
        <w:t xml:space="preserve">The goal, then, isn’t to prohibit encrypted DNS but to make sure it terminates at an agency-controlled resolver or Protective DNS rather than at an ungoverned public service. Chapter 03 sets out the mandates; this section is about making them true on the wire.</w:t>
      </w:r>
    </w:p>
    <w:bookmarkStart w:id="278" w:name="what-the-network-can-and-cant-block"/>
    <w:p>
      <w:pPr>
        <w:pStyle w:val="Heading3"/>
      </w:pPr>
      <w:r>
        <w:t xml:space="preserve">What the network can and can’t block</w:t>
      </w:r>
    </w:p>
    <w:p>
      <w:pPr>
        <w:pStyle w:val="FirstParagraph"/>
      </w:pPr>
      <w:r>
        <w:t xml:space="preserve">Each transport leaves a different handle (the protocol specifications are RFC 7858 for DoT, RFC 8484 for DoH and RFC 9250 for DoQ):</w:t>
      </w:r>
      <w:r>
        <w:rPr>
          <w:rStyle w:val="FootnoteReference"/>
        </w:rPr>
        <w:footnoteReference w:id="268"/>
      </w:r>
    </w:p>
    <w:p>
      <w:pPr>
        <w:pStyle w:val="Compact"/>
        <w:numPr>
          <w:ilvl w:val="0"/>
          <w:numId w:val="1018"/>
        </w:numPr>
      </w:pPr>
      <w:r>
        <w:rPr>
          <w:b/>
          <w:bCs/>
        </w:rPr>
        <w:t xml:space="preserve">Plain DNS (UDP and TCP 53)</w:t>
      </w:r>
      <w:r>
        <w:t xml:space="preserve"> </w:t>
      </w:r>
      <w:r>
        <w:t xml:space="preserve">can be intercepted, redirected and blocked by port. NIST SP 800-81r3 tells organizations to block outbound DNS except from the servers authorized to talk to the internet.</w:t>
      </w:r>
      <w:r>
        <w:rPr>
          <w:rStyle w:val="FootnoteReference"/>
        </w:rPr>
        <w:footnoteReference w:id="272"/>
      </w:r>
    </w:p>
    <w:p>
      <w:pPr>
        <w:pStyle w:val="Compact"/>
        <w:numPr>
          <w:ilvl w:val="0"/>
          <w:numId w:val="1018"/>
        </w:numPr>
      </w:pPr>
      <w:r>
        <w:rPr>
          <w:b/>
          <w:bCs/>
        </w:rPr>
        <w:t xml:space="preserve">DNS over TLS (TCP 853) and DNS over QUIC (UDP 853)</w:t>
      </w:r>
      <w:r>
        <w:t xml:space="preserve"> </w:t>
      </w:r>
      <w:r>
        <w:t xml:space="preserve">can’t be redirected without breaking the session, because the client validates the resolver’s certificate, but they use a dedicated port, so both NIST and CISA treat them as straightforward to block except to approved resolvers.</w:t>
      </w:r>
      <w:r>
        <w:rPr>
          <w:rStyle w:val="FootnoteReference"/>
        </w:rPr>
        <w:footnoteReference w:id="273"/>
      </w:r>
      <w:r>
        <w:rPr>
          <w:rStyle w:val="FootnoteReference"/>
        </w:rPr>
        <w:footnoteReference w:id="274"/>
      </w:r>
    </w:p>
    <w:p>
      <w:pPr>
        <w:pStyle w:val="Compact"/>
        <w:numPr>
          <w:ilvl w:val="0"/>
          <w:numId w:val="1018"/>
        </w:numPr>
      </w:pPr>
      <w:r>
        <w:rPr>
          <w:b/>
          <w:bCs/>
        </w:rPr>
        <w:t xml:space="preserve">DNS over HTTPS (TCP 443)</w:t>
      </w:r>
      <w:r>
        <w:t xml:space="preserve"> </w:t>
      </w:r>
      <w:r>
        <w:t xml:space="preserve">shares a port with all web traffic. Redirect-dns can’t see it, and port blocking can’t isolate it. NIST recommends RPZ entries that stop resolution of known DoH server names plus firewall rules against public DoH services on dedicated addresses; CISA adds mechanisms that block it independently of destination, such as TLS break-and-inspect or zero trust network architectures.</w:t>
      </w:r>
      <w:r>
        <w:rPr>
          <w:rStyle w:val="FootnoteReference"/>
        </w:rPr>
        <w:footnoteReference w:id="275"/>
      </w:r>
      <w:r>
        <w:rPr>
          <w:rStyle w:val="FootnoteReference"/>
        </w:rPr>
        <w:footnoteReference w:id="276"/>
      </w:r>
    </w:p>
    <w:p>
      <w:pPr>
        <w:pStyle w:val="FirstParagraph"/>
      </w:pPr>
      <w:r>
        <w:t xml:space="preserve">Cisco’s own Umbrella troubleshooting guide makes the same point about its product: browsers using DoH or DoT can bypass Umbrella entirely, which</w:t>
      </w:r>
      <w:r>
        <w:t xml:space="preserve"> </w:t>
      </w:r>
      <w:r>
        <w:t xml:space="preserve">“can make Umbrella DNS security capability impossible to use if not carefully planned,”</w:t>
      </w:r>
      <w:r>
        <w:t xml:space="preserve"> </w:t>
      </w:r>
      <w:r>
        <w:t xml:space="preserve">and it suggests blocking TCP 853 and the proxy and anonymizer category.</w:t>
      </w:r>
      <w:r>
        <w:rPr>
          <w:rStyle w:val="FootnoteReference"/>
        </w:rPr>
        <w:footnoteReference w:id="277"/>
      </w:r>
      <w:r>
        <w:t xml:space="preserve"> </w:t>
      </w:r>
      <w:r>
        <w:t xml:space="preserve">An edge-only design can’t govern encrypted DNS; the endpoint has to be configured.</w:t>
      </w:r>
    </w:p>
    <w:bookmarkEnd w:id="278"/>
    <w:bookmarkStart w:id="292" w:name="control-the-endpoint-windows"/>
    <w:p>
      <w:pPr>
        <w:pStyle w:val="Heading3"/>
      </w:pPr>
      <w:r>
        <w:t xml:space="preserve">Control the endpoint: Windows</w:t>
      </w:r>
    </w:p>
    <w:p>
      <w:pPr>
        <w:pStyle w:val="FirstParagraph"/>
      </w:pPr>
      <w:r>
        <w:t xml:space="preserve">Windows gives three layers of control:</w:t>
      </w:r>
    </w:p>
    <w:p>
      <w:pPr>
        <w:pStyle w:val="Compact"/>
        <w:numPr>
          <w:ilvl w:val="0"/>
          <w:numId w:val="1019"/>
        </w:numPr>
      </w:pPr>
      <w:r>
        <w:rPr>
          <w:b/>
          <w:bCs/>
        </w:rPr>
        <w:t xml:space="preserve">The DNS client.</w:t>
      </w:r>
      <w:r>
        <w:t xml:space="preserve"> </w:t>
      </w:r>
      <w:r>
        <w:t xml:space="preserve">Since Windows Server 2022, and in Windows 11, the DNS client supports DoH; Windows 11 also supports DoT.</w:t>
      </w:r>
      <w:r>
        <w:rPr>
          <w:rStyle w:val="FootnoteReference"/>
        </w:rPr>
        <w:footnoteReference w:id="279"/>
      </w:r>
      <w:r>
        <w:rPr>
          <w:rStyle w:val="FootnoteReference"/>
        </w:rPr>
        <w:footnoteReference w:id="281"/>
      </w:r>
      <w:r>
        <w:t xml:space="preserve"> </w:t>
      </w:r>
      <w:r>
        <w:t xml:space="preserve">DoH is used only with servers on the client’s list of known DoH servers, and the shipped list contains Cloudflare, Google and Quad9; an agency adds its own resolvers with</w:t>
      </w:r>
      <w:r>
        <w:t xml:space="preserve"> </w:t>
      </w:r>
      <w:r>
        <w:rPr>
          <w:rStyle w:val="VerbatimChar"/>
        </w:rPr>
        <w:t xml:space="preserve">Add-DnsClientDohServerAddress</w:t>
      </w:r>
      <w:r>
        <w:t xml:space="preserve">. The</w:t>
      </w:r>
      <w:r>
        <w:t xml:space="preserve"> </w:t>
      </w:r>
      <w:r>
        <w:rPr>
          <w:b/>
          <w:bCs/>
        </w:rPr>
        <w:t xml:space="preserve">Configure DNS over HTTPS (DoH) name resolution</w:t>
      </w:r>
      <w:r>
        <w:t xml:space="preserve"> </w:t>
      </w:r>
      <w:r>
        <w:t xml:space="preserve">Group Policy setting allows, prohibits or requires DoH.</w:t>
      </w:r>
      <w:r>
        <w:rPr>
          <w:rStyle w:val="FootnoteReference"/>
        </w:rPr>
        <w:footnoteReference w:id="283"/>
      </w:r>
    </w:p>
    <w:p>
      <w:pPr>
        <w:pStyle w:val="Compact"/>
        <w:numPr>
          <w:ilvl w:val="0"/>
          <w:numId w:val="1019"/>
        </w:numPr>
      </w:pPr>
      <w:r>
        <w:rPr>
          <w:b/>
          <w:bCs/>
        </w:rPr>
        <w:t xml:space="preserve">The DNS server.</w:t>
      </w:r>
      <w:r>
        <w:t xml:space="preserve"> </w:t>
      </w:r>
      <w:r>
        <w:t xml:space="preserve">Since the 2026-06 security update (KB5094125), the Windows Server 2025 DNS Server service can accept DoH from clients, with a certificate whose SAN matches the DoH URI template. Microsoft documents that upstream communication to forwarders, conditional forwarders and authoritative servers remains unencrypted, as do zone transfers and, by default, dynamic updates.</w:t>
      </w:r>
      <w:r>
        <w:rPr>
          <w:rStyle w:val="FootnoteReference"/>
        </w:rPr>
        <w:footnoteReference w:id="284"/>
      </w:r>
      <w:r>
        <w:t xml:space="preserve"> </w:t>
      </w:r>
      <w:r>
        <w:t xml:space="preserve">Microsoft’s client-side page still warns against requiring DoH on domain-joined machines</w:t>
      </w:r>
      <w:r>
        <w:t xml:space="preserve"> </w:t>
      </w:r>
      <w:r>
        <w:t xml:space="preserve">“because the Windows Server DNS Server service doesn’t support DoH queries”</w:t>
      </w:r>
      <w:r>
        <w:t xml:space="preserve"> </w:t>
      </w:r>
      <w:r>
        <w:t xml:space="preserve">and suggests IPsec instead;</w:t>
      </w:r>
      <w:r>
        <w:rPr>
          <w:rStyle w:val="FootnoteReference"/>
        </w:rPr>
        <w:footnoteReference w:id="287"/>
      </w:r>
      <w:r>
        <w:t xml:space="preserve"> </w:t>
      </w:r>
      <w:r>
        <w:t xml:space="preserve">that statement predates the server feature. And CISA states that tunnelling port-53 DNS through IPsec</w:t>
      </w:r>
      <w:r>
        <w:t xml:space="preserve"> </w:t>
      </w:r>
      <w:r>
        <w:t xml:space="preserve">“is not considered an acceptable substitute”</w:t>
      </w:r>
      <w:r>
        <w:t xml:space="preserve"> </w:t>
      </w:r>
      <w:r>
        <w:t xml:space="preserve">for encrypted DNS under M-22-09.</w:t>
      </w:r>
      <w:r>
        <w:rPr>
          <w:rStyle w:val="FootnoteReference"/>
        </w:rPr>
        <w:footnoteReference w:id="288"/>
      </w:r>
    </w:p>
    <w:p>
      <w:pPr>
        <w:pStyle w:val="Compact"/>
        <w:numPr>
          <w:ilvl w:val="0"/>
          <w:numId w:val="1019"/>
        </w:numPr>
      </w:pPr>
      <w:r>
        <w:rPr>
          <w:b/>
          <w:bCs/>
        </w:rPr>
        <w:t xml:space="preserve">Zero Trust DNS.</w:t>
      </w:r>
      <w:r>
        <w:t xml:space="preserve"> </w:t>
      </w:r>
      <w:r>
        <w:t xml:space="preserve">On Windows 11 Enterprise and Education, Zero Trust DNS blocks outbound IP traffic by default and permits it only to addresses resolved by configured Protective DNS servers over DoH or DoT, or to administrator-defined exceptions.</w:t>
      </w:r>
      <w:r>
        <w:rPr>
          <w:rStyle w:val="FootnoteReference"/>
        </w:rPr>
        <w:footnoteReference w:id="289"/>
      </w:r>
      <w:r>
        <w:t xml:space="preserve"> </w:t>
      </w:r>
      <w:r>
        <w:t xml:space="preserve">It turns the resolver from a source of answers into the enforcement point on the device itself.</w:t>
      </w:r>
    </w:p>
    <w:p>
      <w:pPr>
        <w:pStyle w:val="FirstParagraph"/>
      </w:pPr>
      <w:r>
        <w:t xml:space="preserve">The server-side limit has a design consequence. A Windows DNS server can now encrypt the client leg, but it can’t meet the M-22-09 and CISA expectation that agency resolvers use encrypted DNS upstream to Protective DNS. CISA’s guidance anticipates this: for DNS servers that can’t encrypt upstream, it suggests a local proxy that forwards their queries to Protective DNS over an encrypted protocol, after confirming feasibility with the vendor. It also requires agencies to disable root hints, so a resolver can’t fall back to iterative resolution and bypass Protective DNS, and allows public fallback resolvers only when Protective DNS is unavailable, with alerting when they’re used.</w:t>
      </w:r>
      <w:r>
        <w:rPr>
          <w:rStyle w:val="FootnoteReference"/>
        </w:rPr>
        <w:footnoteReference w:id="291"/>
      </w:r>
      <w:r>
        <w:t xml:space="preserve"> </w:t>
      </w:r>
      <w:r>
        <w:t xml:space="preserve">Enterprise DDI platforms generally support encrypted upstream forwarding natively; confirm it for the release you deploy.</w:t>
      </w:r>
    </w:p>
    <w:bookmarkEnd w:id="292"/>
    <w:bookmarkStart w:id="303" w:name="control-the-endpoint-browsers"/>
    <w:p>
      <w:pPr>
        <w:pStyle w:val="Heading3"/>
      </w:pPr>
      <w:r>
        <w:t xml:space="preserve">Control the endpoint: browsers</w:t>
      </w:r>
    </w:p>
    <w:p>
      <w:pPr>
        <w:pStyle w:val="FirstParagraph"/>
      </w:pPr>
      <w:r>
        <w:t xml:space="preserve">Browsers resolve names themselves, so operating-system policy doesn’t cover them. CISA’s guidance requires each browser to be configured either to use the operating system’s resolver or to use encrypted DNS only with agency DNS infrastructure, and notes that pointing a browser’s DoH directly at Protective DNS would bypass internal DNS and break internal names.</w:t>
      </w:r>
      <w:r>
        <w:rPr>
          <w:rStyle w:val="FootnoteReference"/>
        </w:rPr>
        <w:footnoteReference w:id="293"/>
      </w:r>
    </w:p>
    <w:p>
      <w:pPr>
        <w:pStyle w:val="Compact"/>
        <w:numPr>
          <w:ilvl w:val="0"/>
          <w:numId w:val="1020"/>
        </w:numPr>
      </w:pPr>
      <w:r>
        <w:rPr>
          <w:b/>
          <w:bCs/>
        </w:rPr>
        <w:t xml:space="preserve">Microsoft Edge and Google Chrome</w:t>
      </w:r>
      <w:r>
        <w:t xml:space="preserve"> </w:t>
      </w:r>
      <w:r>
        <w:t xml:space="preserve">expose the</w:t>
      </w:r>
      <w:r>
        <w:t xml:space="preserve"> </w:t>
      </w:r>
      <w:r>
        <w:rPr>
          <w:rStyle w:val="VerbatimChar"/>
        </w:rPr>
        <w:t xml:space="preserve">DnsOverHttpsMode</w:t>
      </w:r>
      <w:r>
        <w:t xml:space="preserve"> </w:t>
      </w:r>
      <w:r>
        <w:t xml:space="preserve">policy, with</w:t>
      </w:r>
      <w:r>
        <w:t xml:space="preserve"> </w:t>
      </w:r>
      <w:r>
        <w:rPr>
          <w:rStyle w:val="VerbatimChar"/>
        </w:rPr>
        <w:t xml:space="preserve">off</w:t>
      </w:r>
      <w:r>
        <w:t xml:space="preserve">,</w:t>
      </w:r>
      <w:r>
        <w:t xml:space="preserve"> </w:t>
      </w:r>
      <w:r>
        <w:rPr>
          <w:rStyle w:val="VerbatimChar"/>
        </w:rPr>
        <w:t xml:space="preserve">automatic</w:t>
      </w:r>
      <w:r>
        <w:t xml:space="preserve"> </w:t>
      </w:r>
      <w:r>
        <w:t xml:space="preserve">(DoH with insecure fallback) and</w:t>
      </w:r>
      <w:r>
        <w:t xml:space="preserve"> </w:t>
      </w:r>
      <w:r>
        <w:rPr>
          <w:rStyle w:val="VerbatimChar"/>
        </w:rPr>
        <w:t xml:space="preserve">secure</w:t>
      </w:r>
      <w:r>
        <w:t xml:space="preserve"> </w:t>
      </w:r>
      <w:r>
        <w:t xml:space="preserve">(DoH only) modes. Microsoft documents that when the policy isn’t configured on a managed device, Edge doesn’t send DoH queries.</w:t>
      </w:r>
      <w:r>
        <w:rPr>
          <w:rStyle w:val="FootnoteReference"/>
        </w:rPr>
        <w:footnoteReference w:id="294"/>
      </w:r>
      <w:r>
        <w:rPr>
          <w:rStyle w:val="FootnoteReference"/>
        </w:rPr>
        <w:footnoteReference w:id="296"/>
      </w:r>
    </w:p>
    <w:p>
      <w:pPr>
        <w:pStyle w:val="Compact"/>
        <w:numPr>
          <w:ilvl w:val="0"/>
          <w:numId w:val="1020"/>
        </w:numPr>
      </w:pPr>
      <w:r>
        <w:rPr>
          <w:b/>
          <w:bCs/>
        </w:rPr>
        <w:t xml:space="preserve">Firefox</w:t>
      </w:r>
      <w:r>
        <w:t xml:space="preserve"> </w:t>
      </w:r>
      <w:r>
        <w:t xml:space="preserve">treats an NXDOMAIN answer for the canary domain</w:t>
      </w:r>
      <w:r>
        <w:t xml:space="preserve"> </w:t>
      </w:r>
      <w:r>
        <w:rPr>
          <w:rStyle w:val="VerbatimChar"/>
        </w:rPr>
        <w:t xml:space="preserve">use-application-dns.net</w:t>
      </w:r>
      <w:r>
        <w:t xml:space="preserve"> </w:t>
      </w:r>
      <w:r>
        <w:t xml:space="preserve">as a network signal to leave default DoH off, and disables DoH when enterprise policies are active unless its</w:t>
      </w:r>
      <w:r>
        <w:t xml:space="preserve"> </w:t>
      </w:r>
      <w:r>
        <w:rPr>
          <w:rStyle w:val="VerbatimChar"/>
        </w:rPr>
        <w:t xml:space="preserve">DNSOverHTTPS</w:t>
      </w:r>
      <w:r>
        <w:t xml:space="preserve"> </w:t>
      </w:r>
      <w:r>
        <w:t xml:space="preserve">policy enables it.</w:t>
      </w:r>
      <w:r>
        <w:rPr>
          <w:rStyle w:val="FootnoteReference"/>
        </w:rPr>
        <w:footnoteReference w:id="298"/>
      </w:r>
      <w:r>
        <w:rPr>
          <w:rStyle w:val="FootnoteReference"/>
        </w:rPr>
        <w:footnoteReference w:id="300"/>
      </w:r>
      <w:r>
        <w:t xml:space="preserve"> </w:t>
      </w:r>
      <w:r>
        <w:t xml:space="preserve">CISA also notes that Firefox disables DoH when operating-system parental controls are on, and that agencies must re-validate behavior with each browser release.</w:t>
      </w:r>
      <w:r>
        <w:rPr>
          <w:rStyle w:val="FootnoteReference"/>
        </w:rPr>
        <w:footnoteReference w:id="302"/>
      </w:r>
    </w:p>
    <w:p>
      <w:pPr>
        <w:pStyle w:val="FirstParagraph"/>
      </w:pPr>
      <w:r>
        <w:t xml:space="preserve">The program’s configuration is the CISA one: browsers use the operating system resolver, or DoH only to agency resolvers, set as mandatory policy through Group Policy or Intune, and the agency resolver answers NXDOMAIN for the Firefox canary.</w:t>
      </w:r>
    </w:p>
    <w:bookmarkEnd w:id="303"/>
    <w:bookmarkEnd w:id="304"/>
    <w:bookmarkStart w:id="305" w:name="Xbeb83d3710dd3dc56d4c44b2ccf79cfc5534e28"/>
    <w:p>
      <w:pPr>
        <w:pStyle w:val="Heading2"/>
      </w:pPr>
      <w:bookmarkStart w:id="1069" w:name="_Toc00001069"/>
      <w:r>
        <w:t xml:space="preserve">Illustrative, not tested against a production estate</w:t>
      </w:r>
      <w:bookmarkEnd w:id="1069"/>
    </w:p>
    <w:p>
      <w:pPr>
        <w:pStyle w:val="FirstParagraph"/>
      </w:pPr>
      <w:r>
        <w:t xml:space="preserve">The commands below are illustrations checked against Microsoft Learn for cmdlet, parameter and policy names. They haven’t been tested against a production estate. The address and template are placeholders for the agency’s own DoH resolver.</w:t>
      </w:r>
    </w:p>
    <w:bookmarkEnd w:id="305"/>
    <w:p>
      <w:pPr>
        <w:pStyle w:val="SourceCode"/>
      </w:pPr>
      <w:r>
        <w:rPr>
          <w:rStyle w:val="CommentTok"/>
        </w:rPr>
        <w:t xml:space="preserve"># Register the agency resolver as a known DoH server, with no plain-text fallback</w:t>
      </w:r>
      <w:r>
        <w:br/>
      </w:r>
      <w:r>
        <w:rPr>
          <w:rStyle w:val="NormalTok"/>
        </w:rPr>
        <w:t xml:space="preserve">Add-DnsClientDohServerAddress </w:t>
      </w:r>
      <w:r>
        <w:rPr>
          <w:rStyle w:val="OperatorTok"/>
        </w:rPr>
        <w:t xml:space="preserve">-</w:t>
      </w:r>
      <w:r>
        <w:rPr>
          <w:rStyle w:val="NormalTok"/>
        </w:rPr>
        <w:t xml:space="preserve">ServerAddress </w:t>
      </w:r>
      <w:r>
        <w:rPr>
          <w:rStyle w:val="StringTok"/>
        </w:rPr>
        <w:t xml:space="preserve">'10.10.0.53'</w:t>
      </w:r>
      <w:r>
        <w:rPr>
          <w:rStyle w:val="NormalTok"/>
        </w:rPr>
        <w:t xml:space="preserve"> `</w:t>
      </w:r>
      <w:r>
        <w:br/>
      </w:r>
      <w:r>
        <w:rPr>
          <w:rStyle w:val="NormalTok"/>
        </w:rPr>
        <w:t xml:space="preserve">    </w:t>
      </w:r>
      <w:r>
        <w:rPr>
          <w:rStyle w:val="OperatorTok"/>
        </w:rPr>
        <w:t xml:space="preserve">-</w:t>
      </w:r>
      <w:r>
        <w:rPr>
          <w:rStyle w:val="NormalTok"/>
        </w:rPr>
        <w:t xml:space="preserve">DohTemplate </w:t>
      </w:r>
      <w:r>
        <w:rPr>
          <w:rStyle w:val="StringTok"/>
        </w:rPr>
        <w:t xml:space="preserve">'https://dns.corp.example.gov/dns-query'</w:t>
      </w:r>
      <w:r>
        <w:rPr>
          <w:rStyle w:val="NormalTok"/>
        </w:rPr>
        <w:t xml:space="preserve"> `</w:t>
      </w:r>
      <w:r>
        <w:br/>
      </w:r>
      <w:r>
        <w:rPr>
          <w:rStyle w:val="NormalTok"/>
        </w:rPr>
        <w:t xml:space="preserve">    </w:t>
      </w:r>
      <w:r>
        <w:rPr>
          <w:rStyle w:val="OperatorTok"/>
        </w:rPr>
        <w:t xml:space="preserve">-</w:t>
      </w:r>
      <w:r>
        <w:rPr>
          <w:rStyle w:val="NormalTok"/>
        </w:rPr>
        <w:t xml:space="preserve">AllowFallbackToUdp </w:t>
      </w:r>
      <w:r>
        <w:rPr>
          <w:rStyle w:val="VariableTok"/>
        </w:rPr>
        <w:t xml:space="preserve">$False</w:t>
      </w:r>
      <w:r>
        <w:rPr>
          <w:rStyle w:val="NormalTok"/>
        </w:rPr>
        <w:t xml:space="preserve"> </w:t>
      </w:r>
      <w:r>
        <w:rPr>
          <w:rStyle w:val="OperatorTok"/>
        </w:rPr>
        <w:t xml:space="preserve">-</w:t>
      </w:r>
      <w:r>
        <w:rPr>
          <w:rStyle w:val="NormalTok"/>
        </w:rPr>
        <w:t xml:space="preserve">AutoUpgrade </w:t>
      </w:r>
      <w:r>
        <w:rPr>
          <w:rStyle w:val="VariableTok"/>
        </w:rPr>
        <w:t xml:space="preserve">$True</w:t>
      </w:r>
      <w:r>
        <w:br/>
      </w:r>
      <w:r>
        <w:br/>
      </w:r>
      <w:r>
        <w:rPr>
          <w:rStyle w:val="CommentTok"/>
        </w:rPr>
        <w:t xml:space="preserve"># Confirm what the client will use</w:t>
      </w:r>
      <w:r>
        <w:br/>
      </w:r>
      <w:r>
        <w:rPr>
          <w:rStyle w:val="NormalTok"/>
        </w:rPr>
        <w:t xml:space="preserve">Get-DnsClientDohServerAddress</w:t>
      </w:r>
      <w:r>
        <w:br/>
      </w:r>
      <w:r>
        <w:br/>
      </w:r>
      <w:r>
        <w:rPr>
          <w:rStyle w:val="CommentTok"/>
        </w:rPr>
        <w:t xml:space="preserve"># Edge: browser DoH off, so the browser uses the governed OS resolver</w:t>
      </w:r>
      <w:r>
        <w:br/>
      </w:r>
      <w:r>
        <w:rPr>
          <w:rStyle w:val="FunctionTok"/>
        </w:rPr>
        <w:t xml:space="preserve">New-Item</w:t>
      </w:r>
      <w:r>
        <w:rPr>
          <w:rStyle w:val="NormalTok"/>
        </w:rPr>
        <w:t xml:space="preserve"> </w:t>
      </w:r>
      <w:r>
        <w:rPr>
          <w:rStyle w:val="OperatorTok"/>
        </w:rPr>
        <w:t xml:space="preserve">-</w:t>
      </w:r>
      <w:r>
        <w:rPr>
          <w:rStyle w:val="NormalTok"/>
        </w:rPr>
        <w:t xml:space="preserve">Path </w:t>
      </w:r>
      <w:r>
        <w:rPr>
          <w:rStyle w:val="StringTok"/>
        </w:rPr>
        <w:t xml:space="preserve">'HKLM:\SOFTWARE\Policies\Microsoft\Edge'</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rPr>
          <w:rStyle w:val="FunctionTok"/>
        </w:rPr>
        <w:t xml:space="preserve">Set-ItemProperty</w:t>
      </w:r>
      <w:r>
        <w:rPr>
          <w:rStyle w:val="NormalTok"/>
        </w:rPr>
        <w:t xml:space="preserve"> </w:t>
      </w:r>
      <w:r>
        <w:rPr>
          <w:rStyle w:val="OperatorTok"/>
        </w:rPr>
        <w:t xml:space="preserve">-</w:t>
      </w:r>
      <w:r>
        <w:rPr>
          <w:rStyle w:val="NormalTok"/>
        </w:rPr>
        <w:t xml:space="preserve">Path </w:t>
      </w:r>
      <w:r>
        <w:rPr>
          <w:rStyle w:val="StringTok"/>
        </w:rPr>
        <w:t xml:space="preserve">'HKLM:\SOFTWARE\Policies\Microsoft\Edge'</w:t>
      </w:r>
      <w:r>
        <w:rPr>
          <w:rStyle w:val="NormalTok"/>
        </w:rPr>
        <w:t xml:space="preserve"> </w:t>
      </w:r>
      <w:r>
        <w:rPr>
          <w:rStyle w:val="OperatorTok"/>
        </w:rPr>
        <w:t xml:space="preserve">-</w:t>
      </w:r>
      <w:r>
        <w:rPr>
          <w:rStyle w:val="NormalTok"/>
        </w:rPr>
        <w:t xml:space="preserve">Name DnsOverHttpsMode </w:t>
      </w:r>
      <w:r>
        <w:rPr>
          <w:rStyle w:val="OperatorTok"/>
        </w:rPr>
        <w:t xml:space="preserve">-</w:t>
      </w:r>
      <w:r>
        <w:rPr>
          <w:rStyle w:val="NormalTok"/>
        </w:rPr>
        <w:t xml:space="preserve">Value </w:t>
      </w:r>
      <w:r>
        <w:rPr>
          <w:rStyle w:val="StringTok"/>
        </w:rPr>
        <w:t xml:space="preserve">'off'</w:t>
      </w:r>
    </w:p>
    <w:p>
      <w:pPr>
        <w:pStyle w:val="FirstParagraph"/>
      </w:pPr>
      <w:r>
        <w:t xml:space="preserve">In production, set the Edge and Chrome policies through Group Policy or Intune rather than the registry, so they’re enforced and reported.</w:t>
      </w:r>
    </w:p>
    <w:bookmarkStart w:id="306" w:name="alert-on-resolution-path-anomalies"/>
    <w:p>
      <w:pPr>
        <w:pStyle w:val="Heading3"/>
      </w:pPr>
      <w:r>
        <w:t xml:space="preserve">Alert on resolution-path anomalies</w:t>
      </w:r>
    </w:p>
    <w:p>
      <w:pPr>
        <w:pStyle w:val="FirstParagraph"/>
      </w:pPr>
      <w:r>
        <w:t xml:space="preserve">Prevention is never complete, so the program also watches for its failure: hosts that make outbound connections but whose queries never appear in the governed resolver logs, any use of a fallback public resolver, TCP 853 or UDP 853 attempts to unapproved destinations, and DoH connections to known public DoH endpoints. Chapter 11 turns these into monitored evidence.</w:t>
      </w:r>
    </w:p>
    <w:bookmarkEnd w:id="306"/>
    <w:bookmarkStart w:id="327" w:name="dhcp-option-6-and-rogue-dhcp"/>
    <w:p>
      <w:pPr>
        <w:pStyle w:val="Heading2"/>
      </w:pPr>
      <w:bookmarkStart w:id="1070" w:name="_Toc00001070"/>
      <w:r>
        <w:t xml:space="preserve">DHCP option 6 and rogue DHCP</w:t>
      </w:r>
      <w:bookmarkEnd w:id="1070"/>
    </w:p>
    <w:p>
      <w:pPr>
        <w:pStyle w:val="FirstParagraph"/>
      </w:pPr>
      <w:r>
        <w:t xml:space="preserve">A rogue DHCP server that hands out a malicious resolver in option 6 can move an entire subnet onto an attacker-controlled resolver in one step, past every response policy zone and Protective DNS control. MITRE ATT&amp;CK catalogs the technique as DHCP Spoofing (T1557.003), with malware acting as a DHCP server to</w:t>
      </w:r>
      <w:r>
        <w:t xml:space="preserve"> </w:t>
      </w:r>
      <w:r>
        <w:t xml:space="preserve">“provide adversary-owned DNS servers”</w:t>
      </w:r>
      <w:r>
        <w:t xml:space="preserve"> </w:t>
      </w:r>
      <w:r>
        <w:t xml:space="preserve">to victims.</w:t>
      </w:r>
      <w:r>
        <w:rPr>
          <w:rStyle w:val="FootnoteReference"/>
        </w:rPr>
        <w:footnoteReference w:id="307"/>
      </w:r>
      <w:r>
        <w:t xml:space="preserve"> </w:t>
      </w:r>
      <w:r>
        <w:t xml:space="preserve">The whitepaper’s claim that the technique</w:t>
      </w:r>
      <w:r>
        <w:t xml:space="preserve"> </w:t>
      </w:r>
      <w:r>
        <w:t xml:space="preserve">“has been observed in federal network incidents”</w:t>
      </w:r>
      <w:r>
        <w:t xml:space="preserve"> </w:t>
      </w:r>
      <w:r>
        <w:t xml:space="preserve">couldn’t be verified and has been removed. In IPv6 networks, rogue router advertisements carrying the RDNSS option (RFC 8106) can do the same and are often the larger attack surface, because many networks govern DHCPv4 carefully and router advertisements not at all.</w:t>
      </w:r>
      <w:r>
        <w:rPr>
          <w:rStyle w:val="FootnoteReference"/>
        </w:rPr>
        <w:footnoteReference w:id="309"/>
      </w:r>
      <w:r>
        <w:t xml:space="preserve"> </w:t>
      </w:r>
      <w:r>
        <w:t xml:space="preserve">RFC 9463 now also lets DHCP and router advertisements announce encrypted, network-designated resolvers;</w:t>
      </w:r>
      <w:r>
        <w:rPr>
          <w:rStyle w:val="FootnoteReference"/>
        </w:rPr>
        <w:footnoteReference w:id="311"/>
      </w:r>
      <w:r>
        <w:t xml:space="preserve"> </w:t>
      </w:r>
      <w:r>
        <w:t xml:space="preserve">M-22-09’s instruction to configure agency-designated resolvers explicitly rather than rely on discovery is the federal answer to that channel.</w:t>
      </w:r>
      <w:r>
        <w:rPr>
          <w:rStyle w:val="FootnoteReference"/>
        </w:rPr>
        <w:footnoteReference w:id="313"/>
      </w:r>
    </w:p>
    <w:p>
      <w:pPr>
        <w:pStyle w:val="BodyText"/>
      </w:pPr>
      <w:r>
        <w:t xml:space="preserve">Option 6 isn’t the only option that moves traffic. The options that matter most for DNS governance: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Option</w:t>
            </w:r>
          </w:p>
        </w:tc>
        <w:tc>
          <w:tcPr/>
          <w:p>
            <w:pPr>
              <w:pStyle w:val="Compact"/>
            </w:pPr>
            <w:r>
              <w:t xml:space="preserve">Name</w:t>
            </w:r>
          </w:p>
        </w:tc>
        <w:tc>
          <w:tcPr/>
          <w:p>
            <w:pPr>
              <w:pStyle w:val="Compact"/>
            </w:pPr>
            <w:r>
              <w:t xml:space="preserve">What it sets</w:t>
            </w:r>
          </w:p>
        </w:tc>
        <w:tc>
          <w:tcPr/>
          <w:p>
            <w:pPr>
              <w:pStyle w:val="Compact"/>
            </w:pPr>
            <w:r>
              <w:t xml:space="preserve">Why it’s governed</w:t>
            </w:r>
          </w:p>
        </w:tc>
      </w:tr>
      <w:tr>
        <w:tc>
          <w:tcPr/>
          <w:p>
            <w:pPr>
              <w:pStyle w:val="Compact"/>
            </w:pPr>
            <w:r>
              <w:t xml:space="preserve">6</w:t>
            </w:r>
          </w:p>
        </w:tc>
        <w:tc>
          <w:tcPr/>
          <w:p>
            <w:pPr>
              <w:pStyle w:val="Compact"/>
            </w:pPr>
            <w:r>
              <w:t xml:space="preserve">Domain Server</w:t>
            </w:r>
          </w:p>
        </w:tc>
        <w:tc>
          <w:tcPr/>
          <w:p>
            <w:pPr>
              <w:pStyle w:val="Compact"/>
            </w:pPr>
            <w:r>
              <w:t xml:space="preserve">The resolvers the client uses</w:t>
            </w:r>
          </w:p>
        </w:tc>
        <w:tc>
          <w:tcPr/>
          <w:p>
            <w:pPr>
              <w:pStyle w:val="Compact"/>
            </w:pPr>
            <w:r>
              <w:t xml:space="preserve">Must point to the governed resolvers; inconsistent values across servers apply policy unevenly</w:t>
            </w:r>
          </w:p>
        </w:tc>
      </w:tr>
      <w:tr>
        <w:tc>
          <w:tcPr/>
          <w:p>
            <w:pPr>
              <w:pStyle w:val="Compact"/>
            </w:pPr>
            <w:r>
              <w:t xml:space="preserve">15</w:t>
            </w:r>
          </w:p>
        </w:tc>
        <w:tc>
          <w:tcPr/>
          <w:p>
            <w:pPr>
              <w:pStyle w:val="Compact"/>
            </w:pPr>
            <w:r>
              <w:t xml:space="preserve">Domain Name</w:t>
            </w:r>
          </w:p>
        </w:tc>
        <w:tc>
          <w:tcPr/>
          <w:p>
            <w:pPr>
              <w:pStyle w:val="Compact"/>
            </w:pPr>
            <w:r>
              <w:t xml:space="preserve">The client’s default domain</w:t>
            </w:r>
          </w:p>
        </w:tc>
        <w:tc>
          <w:tcPr/>
          <w:p>
            <w:pPr>
              <w:pStyle w:val="Compact"/>
            </w:pPr>
            <w:r>
              <w:t xml:space="preserve">Must match the authoritative zone, or short names resolve in the wrong place</w:t>
            </w:r>
          </w:p>
        </w:tc>
      </w:tr>
      <w:tr>
        <w:tc>
          <w:tcPr/>
          <w:p>
            <w:pPr>
              <w:pStyle w:val="Compact"/>
            </w:pPr>
            <w:r>
              <w:t xml:space="preserve">119</w:t>
            </w:r>
          </w:p>
        </w:tc>
        <w:tc>
          <w:tcPr/>
          <w:p>
            <w:pPr>
              <w:pStyle w:val="Compact"/>
            </w:pPr>
            <w:r>
              <w:t xml:space="preserve">Domain Search</w:t>
            </w:r>
          </w:p>
        </w:tc>
        <w:tc>
          <w:tcPr/>
          <w:p>
            <w:pPr>
              <w:pStyle w:val="Compact"/>
            </w:pPr>
            <w:r>
              <w:t xml:space="preserve">The ordered search suffix list</w:t>
            </w:r>
          </w:p>
        </w:tc>
        <w:tc>
          <w:tcPr/>
          <w:p>
            <w:pPr>
              <w:pStyle w:val="Compact"/>
            </w:pPr>
            <w:r>
              <w:t xml:space="preserve">Stale entries send queries to the wrong zone</w:t>
            </w:r>
          </w:p>
        </w:tc>
      </w:tr>
      <w:tr>
        <w:tc>
          <w:tcPr/>
          <w:p>
            <w:pPr>
              <w:pStyle w:val="Compact"/>
            </w:pPr>
            <w:r>
              <w:t xml:space="preserve">81</w:t>
            </w:r>
          </w:p>
        </w:tc>
        <w:tc>
          <w:tcPr/>
          <w:p>
            <w:pPr>
              <w:pStyle w:val="Compact"/>
            </w:pPr>
            <w:r>
              <w:t xml:space="preserve">Client FQDN</w:t>
            </w:r>
          </w:p>
        </w:tc>
        <w:tc>
          <w:tcPr/>
          <w:p>
            <w:pPr>
              <w:pStyle w:val="Compact"/>
            </w:pPr>
            <w:r>
              <w:t xml:space="preserve">Who registers the client’s DNS records</w:t>
            </w:r>
          </w:p>
        </w:tc>
        <w:tc>
          <w:tcPr/>
          <w:p>
            <w:pPr>
              <w:pStyle w:val="Compact"/>
            </w:pPr>
            <w:r>
              <w:t xml:space="preserve">Decides whether the client or the DHCP server owns the name (Chapter 04)</w:t>
            </w:r>
          </w:p>
        </w:tc>
      </w:tr>
      <w:tr>
        <w:tc>
          <w:tcPr/>
          <w:p>
            <w:pPr>
              <w:pStyle w:val="Compact"/>
            </w:pPr>
            <w:r>
              <w:t xml:space="preserve">82</w:t>
            </w:r>
          </w:p>
        </w:tc>
        <w:tc>
          <w:tcPr/>
          <w:p>
            <w:pPr>
              <w:pStyle w:val="Compact"/>
            </w:pPr>
            <w:r>
              <w:t xml:space="preserve">Relay Agent Information</w:t>
            </w:r>
          </w:p>
        </w:tc>
        <w:tc>
          <w:tcPr/>
          <w:p>
            <w:pPr>
              <w:pStyle w:val="Compact"/>
            </w:pPr>
            <w:r>
              <w:t xml:space="preserve">Circuit and remote IDs added by the relay</w:t>
            </w:r>
          </w:p>
        </w:tc>
        <w:tc>
          <w:tcPr/>
          <w:p>
            <w:pPr>
              <w:pStyle w:val="Compact"/>
            </w:pPr>
            <w:r>
              <w:t xml:space="preserve">Identifies the switch port for IPAM attribution and investigations</w:t>
            </w:r>
          </w:p>
        </w:tc>
      </w:tr>
      <w:tr>
        <w:tc>
          <w:tcPr/>
          <w:p>
            <w:pPr>
              <w:pStyle w:val="Compact"/>
            </w:pPr>
            <w:r>
              <w:t xml:space="preserve">252</w:t>
            </w:r>
          </w:p>
        </w:tc>
        <w:tc>
          <w:tcPr/>
          <w:p>
            <w:pPr>
              <w:pStyle w:val="Compact"/>
            </w:pPr>
            <w:r>
              <w:t xml:space="preserve">WPAD</w:t>
            </w:r>
          </w:p>
        </w:tc>
        <w:tc>
          <w:tcPr/>
          <w:p>
            <w:pPr>
              <w:pStyle w:val="Compact"/>
            </w:pPr>
            <w:r>
              <w:t xml:space="preserve">The proxy auto-configuration URL</w:t>
            </w:r>
          </w:p>
        </w:tc>
        <w:tc>
          <w:tcPr/>
          <w:p>
            <w:pPr>
              <w:pStyle w:val="Compact"/>
            </w:pPr>
            <w:r>
              <w:t xml:space="preserve">A wrong value bypasses the web proxy; a security-relevant setting distributed by DHCP</w:t>
            </w:r>
          </w:p>
        </w:tc>
      </w:tr>
    </w:tbl>
    <w:p>
      <w:pPr>
        <w:pStyle w:val="BodyText"/>
      </w:pPr>
      <w:r>
        <w:t xml:space="preserve">Option numbers and names for 6, 15, 81, 82 and 119 follow the IANA DHCP and BOOTP parameter registry, which lists 224 to 254 as private use.</w:t>
      </w:r>
      <w:r>
        <w:rPr>
          <w:rStyle w:val="FootnoteReference"/>
        </w:rPr>
        <w:footnoteReference w:id="314"/>
      </w:r>
      <w:r>
        <w:t xml:space="preserve"> </w:t>
      </w:r>
      <w:r>
        <w:t xml:space="preserve">WPAD’s use of 252 is a convention, not an assignment: Microsoft’s own example defines option 252 as</w:t>
      </w:r>
      <w:r>
        <w:t xml:space="preserve"> </w:t>
      </w:r>
      <w:r>
        <w:t xml:space="preserve">“WPAD”</w:t>
      </w:r>
      <w:r>
        <w:t xml:space="preserve"> </w:t>
      </w:r>
      <w:r>
        <w:t xml:space="preserve">on a Windows DHCP server, and notes that the WPAD specification never progressed beyond an Internet-Draft.</w:t>
      </w:r>
      <w:r>
        <w:rPr>
          <w:rStyle w:val="FootnoteReference"/>
        </w:rPr>
        <w:footnoteReference w:id="316"/>
      </w:r>
    </w:p>
    <w:bookmarkStart w:id="322" w:name="Xf587c75ee6a672a9a818452370cded9bd944d7d"/>
    <w:p>
      <w:pPr>
        <w:pStyle w:val="Heading3"/>
      </w:pPr>
      <w:r>
        <w:t xml:space="preserve">What the Windows controls do and don’t cover</w:t>
      </w:r>
    </w:p>
    <w:p>
      <w:pPr>
        <w:pStyle w:val="FirstParagraph"/>
      </w:pPr>
      <w:r>
        <w:t xml:space="preserve">Windows DHCP servers in a domain must be authorized in Active Directory; an unauthorized Windows DHCP server checks its own status, finds itself missing from the authorized list in the Configuration container, and stops leasing.</w:t>
      </w:r>
      <w:r>
        <w:rPr>
          <w:rStyle w:val="FootnoteReference"/>
        </w:rPr>
        <w:footnoteReference w:id="319"/>
      </w:r>
      <w:r>
        <w:t xml:space="preserve"> </w:t>
      </w:r>
      <w:r>
        <w:t xml:space="preserve">The check is performed by the Windows DHCP Server service on itself, so it stops a misconfigured or unauthorized Windows server, not a rogue appliance, a home router plugged into a wall port or malware answering DHCP requests. Those need network controls.</w:t>
      </w:r>
    </w:p>
    <w:bookmarkEnd w:id="322"/>
    <w:bookmarkStart w:id="326" w:name="controls-that-close-the-gap"/>
    <w:p>
      <w:pPr>
        <w:pStyle w:val="Heading3"/>
      </w:pPr>
      <w:r>
        <w:t xml:space="preserve">Controls that close the gap</w:t>
      </w:r>
    </w:p>
    <w:p>
      <w:pPr>
        <w:pStyle w:val="FirstParagraph"/>
      </w:pPr>
      <w:r>
        <w:t xml:space="preserve">Unified DHCP and IPv6 governance addresses this through:</w:t>
      </w:r>
    </w:p>
    <w:p>
      <w:pPr>
        <w:pStyle w:val="Compact"/>
        <w:numPr>
          <w:ilvl w:val="0"/>
          <w:numId w:val="1021"/>
        </w:numPr>
      </w:pPr>
      <w:r>
        <w:rPr>
          <w:b/>
          <w:bCs/>
        </w:rPr>
        <w:t xml:space="preserve">DHCP snooping and RA Guard on the access switches.</w:t>
      </w:r>
      <w:r>
        <w:t xml:space="preserve"> </w:t>
      </w:r>
      <w:r>
        <w:t xml:space="preserve">MITRE recommends DHCP snooping on layer 2 switches to prevent DHCP spoofing, and RA Guard (RFC 6105) filters router advertisements from ports that shouldn’t send them.</w:t>
      </w:r>
      <w:r>
        <w:rPr>
          <w:rStyle w:val="FootnoteReference"/>
        </w:rPr>
        <w:footnoteReference w:id="323"/>
      </w:r>
      <w:r>
        <w:rPr>
          <w:rStyle w:val="FootnoteReference"/>
        </w:rPr>
        <w:footnoteReference w:id="324"/>
      </w:r>
    </w:p>
    <w:p>
      <w:pPr>
        <w:pStyle w:val="Compact"/>
        <w:numPr>
          <w:ilvl w:val="0"/>
          <w:numId w:val="1021"/>
        </w:numPr>
      </w:pPr>
      <w:r>
        <w:rPr>
          <w:b/>
          <w:bCs/>
        </w:rPr>
        <w:t xml:space="preserve">Centralized scope and option management</w:t>
      </w:r>
      <w:r>
        <w:t xml:space="preserve"> </w:t>
      </w:r>
      <w:r>
        <w:t xml:space="preserve">with change control and an audit trail, so option 6 and RDNSS values are set once and are the same on every authorized server and router.</w:t>
      </w:r>
    </w:p>
    <w:p>
      <w:pPr>
        <w:pStyle w:val="Compact"/>
        <w:numPr>
          <w:ilvl w:val="0"/>
          <w:numId w:val="1021"/>
        </w:numPr>
      </w:pPr>
      <w:r>
        <w:rPr>
          <w:b/>
          <w:bCs/>
        </w:rPr>
        <w:t xml:space="preserve">Rogue DHCP and router advertisement detection</w:t>
      </w:r>
      <w:r>
        <w:t xml:space="preserve"> </w:t>
      </w:r>
      <w:r>
        <w:t xml:space="preserve">through lease analysis and network discovery; enterprise DDI platforms commonly include it.</w:t>
      </w:r>
    </w:p>
    <w:p>
      <w:pPr>
        <w:pStyle w:val="Compact"/>
        <w:numPr>
          <w:ilvl w:val="0"/>
          <w:numId w:val="1021"/>
        </w:numPr>
      </w:pPr>
      <w:r>
        <w:rPr>
          <w:b/>
          <w:bCs/>
        </w:rPr>
        <w:t xml:space="preserve">IPAM integration</w:t>
      </w:r>
      <w:r>
        <w:t xml:space="preserve">, so an unexpected lease or an address outside the plan is visible immediately.</w:t>
      </w:r>
    </w:p>
    <w:bookmarkEnd w:id="326"/>
    <w:bookmarkEnd w:id="327"/>
    <w:bookmarkStart w:id="328" w:name="what-this-chapter-establishes-4"/>
    <w:p>
      <w:pPr>
        <w:pStyle w:val="Heading2"/>
      </w:pPr>
      <w:bookmarkStart w:id="1071" w:name="_Toc00001071"/>
      <w:r>
        <w:t xml:space="preserve">What this chapter establishes</w:t>
      </w:r>
      <w:bookmarkEnd w:id="1071"/>
    </w:p>
    <w:p>
      <w:pPr>
        <w:pStyle w:val="Compact"/>
        <w:numPr>
          <w:ilvl w:val="0"/>
          <w:numId w:val="1022"/>
        </w:numPr>
      </w:pPr>
      <w:r>
        <w:t xml:space="preserve">The redirect-dns destination decides whether agency policy applies at all; it must be a network-addressable agency resolver, redirect-dns handles only IPv4 DNS over UDP, and a SASE or Umbrella resolver belongs behind the agency resolver, not in front of it.</w:t>
      </w:r>
    </w:p>
    <w:p>
      <w:pPr>
        <w:pStyle w:val="Compact"/>
        <w:numPr>
          <w:ilvl w:val="0"/>
          <w:numId w:val="1022"/>
        </w:numPr>
      </w:pPr>
      <w:r>
        <w:t xml:space="preserve">Encrypted DNS must terminate at agency resolvers or Protective DNS. DoT and DoQ can be blocked by port; DoH can be governed only at the endpoint, through operating-system and browser policy.</w:t>
      </w:r>
    </w:p>
    <w:p>
      <w:pPr>
        <w:pStyle w:val="Compact"/>
        <w:numPr>
          <w:ilvl w:val="0"/>
          <w:numId w:val="1022"/>
        </w:numPr>
      </w:pPr>
      <w:r>
        <w:t xml:space="preserve">A Windows DNS server can now accept DoH from clients but still forwards upstream in plain text, so meeting the encrypted-upstream expectation needs a capable resolver or an encrypting proxy; IPsec isn’t a substitute.</w:t>
      </w:r>
    </w:p>
    <w:p>
      <w:pPr>
        <w:pStyle w:val="Compact"/>
        <w:numPr>
          <w:ilvl w:val="0"/>
          <w:numId w:val="1022"/>
        </w:numPr>
      </w:pPr>
      <w:r>
        <w:t xml:space="preserve">Rogue DHCP and rogue router advertisements can move a whole subnet to an attacker’s resolver in one step; AD authorization doesn’t stop them, switch-level snooping and RA Guard do.</w:t>
      </w:r>
    </w:p>
    <w:bookmarkEnd w:id="328"/>
    <w:bookmarkStart w:id="329" w:name="continue-the-book-4"/>
    <w:p>
      <w:pPr>
        <w:pStyle w:val="Heading2"/>
      </w:pPr>
      <w:bookmarkStart w:id="1072" w:name="_Toc00001072"/>
      <w:r>
        <w:t xml:space="preserve">Continue the book</w:t>
      </w:r>
      <w:bookmarkEnd w:id="1072"/>
    </w:p>
    <w:p>
      <w:pPr>
        <w:pStyle w:val="FirstParagraph"/>
      </w:pPr>
      <w:r>
        <w:t xml:space="preserve">← Previous: Chapter 04 — The Active Directory DNS Departure · Book index · Next: Chapter 06 — DNS Identity, Certificates and DNSSEC →</w:t>
      </w:r>
    </w:p>
    <w:bookmarkEnd w:id="329"/>
    <w:bookmarkEnd w:id="330"/>
    <w:bookmarkStart w:id="422" w:name="Xf2b5d1e2dd8561a27523a791ddd84796144c746"/>
    <w:p>
      <w:pPr>
        <w:pStyle w:val="Heading1"/>
      </w:pPr>
      <w:bookmarkStart w:id="1073" w:name="_Toc00001073"/>
      <w:r>
        <w:t xml:space="preserve">Chapter 06 — DNS Identity, Certificates and DNSSEC</w:t>
      </w:r>
      <w:bookmarkEnd w:id="1073"/>
    </w:p>
    <w:p>
      <w:pPr>
        <w:pStyle w:val="FirstParagraph"/>
      </w:pPr>
      <w:r>
        <w:rPr>
          <w:i/>
          <w:iCs/>
        </w:rPr>
        <w:t xml:space="preserve">A certificate can be valid, unrevoked and issued for the right name and still fail, because every check that makes it trustworthy starts with a DNS lookup.</w:t>
      </w:r>
    </w:p>
    <w:bookmarkStart w:id="331" w:name="in-this-chapter-5"/>
    <w:p>
      <w:pPr>
        <w:pStyle w:val="Heading2"/>
      </w:pPr>
      <w:bookmarkStart w:id="1074" w:name="_Toc00001074"/>
      <w:r>
        <w:t xml:space="preserve">In this chapter</w:t>
      </w:r>
      <w:bookmarkEnd w:id="1074"/>
    </w:p>
    <w:p>
      <w:pPr>
        <w:pStyle w:val="FirstParagraph"/>
      </w:pPr>
      <w:r>
        <w:t xml:space="preserve">How DNS identity, the authoritative mapping of names to endpoints, owners and lifecycle, underpins certificate issuance and validation, FQDN-based policy and token-based access. How the move from Kerberos to Microsoft Entra ID tokens changes the DNS surface, how certificate split-brain presents as a PKI failure, and how wildcards, SANs and name constraints scope trust geographically. Then DNSSEC: what it protects, what federal policy and NIST SP 800-81r3 require of it, why validation belongs on a resolver the agency controls, and how Windows Server, Azure DNS and Amazon Route 53 support signing and validation, including the sequence for moving signed zones.</w:t>
      </w:r>
    </w:p>
    <w:bookmarkEnd w:id="331"/>
    <w:bookmarkStart w:id="343" w:name="Xa5fbf894aa306738c8e47fe5313647ac642fc1f"/>
    <w:p>
      <w:pPr>
        <w:pStyle w:val="Heading2"/>
      </w:pPr>
      <w:bookmarkStart w:id="1075" w:name="_Toc00001075"/>
      <w:r>
        <w:t xml:space="preserve">DNS identity as the foundation for certificates, policy and tokens</w:t>
      </w:r>
      <w:bookmarkEnd w:id="1075"/>
    </w:p>
    <w:p>
      <w:pPr>
        <w:pStyle w:val="FirstParagraph"/>
      </w:pPr>
      <w:r>
        <w:t xml:space="preserve">DNS identity, meaning the authoritative mapping of names to addresses, owners and lifecycle, is a prerequisite for certificate-based security, application-aware networking and token-based controls. Each of them names its subject by FQDN and trusts DNS to take the caller to that subject.</w:t>
      </w:r>
    </w:p>
    <w:bookmarkStart w:id="335" w:name="fig-ch06-trust-chain"/>
    <w:p>
      <w:pPr>
        <w:pStyle w:val="CaptionedFigure"/>
      </w:pPr>
      <w:r>
        <w:drawing>
          <wp:inline>
            <wp:extent cx="5334000" cy="1056598"/>
            <wp:effectExtent b="0" l="0" r="0" t="0"/>
            <wp:docPr descr="DNS identity is the first link in the trust chain." title="" id="333" name="Picture"/>
            <a:graphic>
              <a:graphicData uri="http://schemas.openxmlformats.org/drawingml/2006/picture">
                <pic:pic>
                  <pic:nvPicPr>
                    <pic:cNvPr descr="/home/runner/work/modernization-workbook/modernization-workbook/docs/images/diagrams/b08-ddi/png/ch06-trust-chain.png" id="334" name="Picture"/>
                    <pic:cNvPicPr>
                      <a:picLocks noChangeArrowheads="1" noChangeAspect="1"/>
                    </pic:cNvPicPr>
                  </pic:nvPicPr>
                  <pic:blipFill>
                    <a:blip r:embed="rId332"/>
                    <a:stretch>
                      <a:fillRect/>
                    </a:stretch>
                  </pic:blipFill>
                  <pic:spPr bwMode="auto">
                    <a:xfrm>
                      <a:off x="0" y="0"/>
                      <a:ext cx="5334000" cy="1056598"/>
                    </a:xfrm>
                    <a:prstGeom prst="rect">
                      <a:avLst/>
                    </a:prstGeom>
                    <a:noFill/>
                    <a:ln w="9525">
                      <a:noFill/>
                      <a:headEnd/>
                      <a:tailEnd/>
                    </a:ln>
                  </pic:spPr>
                </pic:pic>
              </a:graphicData>
            </a:graphic>
          </wp:inline>
        </w:drawing>
      </w:r>
    </w:p>
    <w:p>
      <w:pPr>
        <w:pStyle w:val="ImageCaption"/>
      </w:pPr>
      <w:r>
        <w:t xml:space="preserve">DNS identity is the first link in the trust chain.</w:t>
      </w:r>
    </w:p>
    <w:bookmarkEnd w:id="335"/>
    <w:p>
      <w:pPr>
        <w:pStyle w:val="Compact"/>
        <w:numPr>
          <w:ilvl w:val="0"/>
          <w:numId w:val="1023"/>
        </w:numPr>
      </w:pPr>
      <w:r>
        <w:rPr>
          <w:b/>
          <w:bCs/>
        </w:rPr>
        <w:t xml:space="preserve">Certificate issuance.</w:t>
      </w:r>
      <w:r>
        <w:t xml:space="preserve"> </w:t>
      </w:r>
      <w:r>
        <w:t xml:space="preserve">The ACME</w:t>
      </w:r>
      <w:r>
        <w:t xml:space="preserve"> </w:t>
      </w:r>
      <w:r>
        <w:rPr>
          <w:rStyle w:val="VerbatimChar"/>
        </w:rPr>
        <w:t xml:space="preserve">dns-01</w:t>
      </w:r>
      <w:r>
        <w:t xml:space="preserve"> </w:t>
      </w:r>
      <w:r>
        <w:t xml:space="preserve">challenge, which public CAs and enterprise lifecycle platforms use to prove control of a name, requires creating and removing a TXT record under</w:t>
      </w:r>
      <w:r>
        <w:t xml:space="preserve"> </w:t>
      </w:r>
      <w:r>
        <w:rPr>
          <w:rStyle w:val="VerbatimChar"/>
        </w:rPr>
        <w:t xml:space="preserve">_acme-challenge</w:t>
      </w:r>
      <w:r>
        <w:t xml:space="preserve"> </w:t>
      </w:r>
      <w:r>
        <w:t xml:space="preserve">with controlled, auditable authority.</w:t>
      </w:r>
      <w:r>
        <w:rPr>
          <w:rStyle w:val="FootnoteReference"/>
        </w:rPr>
        <w:footnoteReference w:id="336"/>
      </w:r>
      <w:r>
        <w:t xml:space="preserve"> </w:t>
      </w:r>
      <w:r>
        <w:t xml:space="preserve">An enterprise DDI API makes automated issuance and renewal possible without exposing web servers (Chapter 11 covers the automation). CAA records limit which CAs may issue for a name.</w:t>
      </w:r>
      <w:r>
        <w:rPr>
          <w:rStyle w:val="FootnoteReference"/>
        </w:rPr>
        <w:footnoteReference w:id="338"/>
      </w:r>
      <w:r>
        <w:t xml:space="preserve"> </w:t>
      </w:r>
      <w:r>
        <w:t xml:space="preserve">Book 07 sets the program’s ACME design: CyberArk Certificate Manager is the lifecycle platform,</w:t>
      </w:r>
      <w:r>
        <w:t xml:space="preserve"> </w:t>
      </w:r>
      <w:r>
        <w:rPr>
          <w:rStyle w:val="VerbatimChar"/>
        </w:rPr>
        <w:t xml:space="preserve">dns-01</w:t>
      </w:r>
      <w:r>
        <w:t xml:space="preserve"> </w:t>
      </w:r>
      <w:r>
        <w:t xml:space="preserve">makes the authoritative zone the gate for automated issuance, and the DNS team is consulted on the rollout. As publicly trusted TLS lifetimes fall toward 47 days under the CA/Browser Forum schedule (Book 07, Chapter 01), that gate is exercised constantly, not once a year.</w:t>
      </w:r>
    </w:p>
    <w:p>
      <w:pPr>
        <w:pStyle w:val="Compact"/>
        <w:numPr>
          <w:ilvl w:val="0"/>
          <w:numId w:val="1023"/>
        </w:numPr>
      </w:pPr>
      <w:r>
        <w:rPr>
          <w:b/>
          <w:bCs/>
        </w:rPr>
        <w:t xml:space="preserve">Certificate binding.</w:t>
      </w:r>
      <w:r>
        <w:t xml:space="preserve"> </w:t>
      </w:r>
      <w:r>
        <w:t xml:space="preserve">DNSSEC provides integrity and authenticity for DNS data, which is what makes DANE TLSA records usable for binding certificates to names independently of the public PKI.</w:t>
      </w:r>
      <w:r>
        <w:rPr>
          <w:rStyle w:val="FootnoteReference"/>
        </w:rPr>
        <w:footnoteReference w:id="340"/>
      </w:r>
    </w:p>
    <w:p>
      <w:pPr>
        <w:pStyle w:val="Compact"/>
        <w:numPr>
          <w:ilvl w:val="0"/>
          <w:numId w:val="1023"/>
        </w:numPr>
      </w:pPr>
      <w:r>
        <w:rPr>
          <w:b/>
          <w:bCs/>
        </w:rPr>
        <w:t xml:space="preserve">Encrypted DNS.</w:t>
      </w:r>
      <w:r>
        <w:t xml:space="preserve"> </w:t>
      </w:r>
      <w:r>
        <w:t xml:space="preserve">DoT, DoH and DoQ resolvers present certificates of their own, which must be issued, rotated and monitored like any other server certificate. A Windows DNS server offering DoH, for example, needs a certificate with the Server Authentication EKU and a SAN matching its DoH URI template (Chapter 05).</w:t>
      </w:r>
      <w:r>
        <w:rPr>
          <w:rStyle w:val="FootnoteReference"/>
        </w:rPr>
        <w:footnoteReference w:id="342"/>
      </w:r>
    </w:p>
    <w:p>
      <w:pPr>
        <w:pStyle w:val="Compact"/>
        <w:numPr>
          <w:ilvl w:val="0"/>
          <w:numId w:val="1023"/>
        </w:numPr>
      </w:pPr>
      <w:r>
        <w:rPr>
          <w:b/>
          <w:bCs/>
        </w:rPr>
        <w:t xml:space="preserve">Application-aware networking and zero trust network access.</w:t>
      </w:r>
      <w:r>
        <w:t xml:space="preserve"> </w:t>
      </w:r>
      <w:r>
        <w:t xml:space="preserve">These depend on FQDN-based policy (</w:t>
      </w:r>
      <w:r>
        <w:t xml:space="preserve">“allow this group to this application FQDN”</w:t>
      </w:r>
      <w:r>
        <w:t xml:space="preserve">) rather than brittle IP rules.</w:t>
      </w:r>
    </w:p>
    <w:p>
      <w:pPr>
        <w:pStyle w:val="Compact"/>
        <w:numPr>
          <w:ilvl w:val="0"/>
          <w:numId w:val="1023"/>
        </w:numPr>
      </w:pPr>
      <w:r>
        <w:rPr>
          <w:b/>
          <w:bCs/>
        </w:rPr>
        <w:t xml:space="preserve">Tokens.</w:t>
      </w:r>
      <w:r>
        <w:t xml:space="preserve"> </w:t>
      </w:r>
      <w:r>
        <w:t xml:space="preserve">OAuth 2.0, JWTs and Microsoft Entra ID operate after the connection is made. DNS decides whether the client reaches the authentic endpoint that issues or accepts the token, and Protective DNS helps keep tokens from being sent to malicious destinations.</w:t>
      </w:r>
    </w:p>
    <w:p>
      <w:pPr>
        <w:pStyle w:val="FirstParagraph"/>
      </w:pPr>
      <w:r>
        <w:t xml:space="preserve">DNS identity is the first link in the chain that makes certificate, application and token controls meaningful. Under split-brain, certificate validation failures, access denials and policy gaps become symptoms that are harder to diagnose than classic Kerberos failures.</w:t>
      </w:r>
    </w:p>
    <w:bookmarkEnd w:id="343"/>
    <w:bookmarkStart w:id="359" w:name="X39d4017233e94eba85a0a6847eea1399d55512e"/>
    <w:p>
      <w:pPr>
        <w:pStyle w:val="Heading2"/>
      </w:pPr>
      <w:bookmarkStart w:id="1076" w:name="_Toc00001076"/>
      <w:r>
        <w:t xml:space="preserve">From Kerberos to tokens: the DNS surface changes, it doesn’t shrink</w:t>
      </w:r>
      <w:bookmarkEnd w:id="1076"/>
    </w:p>
    <w:p>
      <w:pPr>
        <w:pStyle w:val="FirstParagraph"/>
      </w:pPr>
      <w:r>
        <w:t xml:space="preserve">Kerberos depends on DNS to find a KDC and to reach the host whose SPN the ticket names (Chapter 04). Token-based authentication with Microsoft Entra ID removes the KDC from the path but adds a different set of names that must resolve consistently:</w:t>
      </w:r>
    </w:p>
    <w:p>
      <w:pPr>
        <w:pStyle w:val="Compact"/>
        <w:numPr>
          <w:ilvl w:val="0"/>
          <w:numId w:val="1024"/>
        </w:numPr>
      </w:pPr>
      <w:r>
        <w:rPr>
          <w:b/>
          <w:bCs/>
        </w:rPr>
        <w:t xml:space="preserve">Authorization endpoints.</w:t>
      </w:r>
      <w:r>
        <w:t xml:space="preserve"> </w:t>
      </w:r>
      <w:r>
        <w:t xml:space="preserve">Clients must reach the Entra ID token endpoint for their cloud. The global service is</w:t>
      </w:r>
      <w:r>
        <w:t xml:space="preserve"> </w:t>
      </w:r>
      <w:r>
        <w:rPr>
          <w:rStyle w:val="VerbatimChar"/>
        </w:rPr>
        <w:t xml:space="preserve">login.microsoftonline.com</w:t>
      </w:r>
      <w:r>
        <w:t xml:space="preserve">, and it is the one Microsoft 365 GCC tenants use (Microsoft describes GCC as operating</w:t>
      </w:r>
      <w:r>
        <w:t xml:space="preserve"> </w:t>
      </w:r>
      <w:r>
        <w:t xml:space="preserve">“in conjunction with Azure Public Cloud”</w:t>
      </w:r>
      <w:r>
        <w:t xml:space="preserve">); Azure Government, which also serves Microsoft 365 GCC High and DoD, is</w:t>
      </w:r>
      <w:r>
        <w:t xml:space="preserve"> </w:t>
      </w:r>
      <w:r>
        <w:rPr>
          <w:rStyle w:val="VerbatimChar"/>
        </w:rPr>
        <w:t xml:space="preserve">login.microsoftonline.us</w:t>
      </w:r>
      <w:r>
        <w:t xml:space="preserve">, and Entra ID rejects an Azure Government application signing in through the public endpoint.</w:t>
      </w:r>
      <w:r>
        <w:rPr>
          <w:rStyle w:val="FootnoteReference"/>
        </w:rPr>
        <w:footnoteReference w:id="344"/>
      </w:r>
      <w:r>
        <w:rPr>
          <w:rStyle w:val="FootnoteReference"/>
        </w:rPr>
        <w:footnoteReference w:id="346"/>
      </w:r>
      <w:r>
        <w:rPr>
          <w:rStyle w:val="FootnoteReference"/>
        </w:rPr>
        <w:footnoteReference w:id="348"/>
      </w:r>
      <w:r>
        <w:t xml:space="preserve"> </w:t>
      </w:r>
      <w:r>
        <w:t xml:space="preserve">The whitepaper grouped GCC with the</w:t>
      </w:r>
      <w:r>
        <w:t xml:space="preserve"> </w:t>
      </w:r>
      <w:r>
        <w:rPr>
          <w:rStyle w:val="VerbatimChar"/>
        </w:rPr>
        <w:t xml:space="preserve">.us</w:t>
      </w:r>
      <w:r>
        <w:t xml:space="preserve"> </w:t>
      </w:r>
      <w:r>
        <w:t xml:space="preserve">endpoint; that has been corrected. A resolver or proxy that sends a GCC High tenant’s sign-ins toward the commercial endpoint breaks authentication.</w:t>
      </w:r>
    </w:p>
    <w:p>
      <w:pPr>
        <w:pStyle w:val="Compact"/>
        <w:numPr>
          <w:ilvl w:val="0"/>
          <w:numId w:val="1024"/>
        </w:numPr>
      </w:pPr>
      <w:r>
        <w:rPr>
          <w:b/>
          <w:bCs/>
        </w:rPr>
        <w:t xml:space="preserve">Token audience.</w:t>
      </w:r>
      <w:r>
        <w:t xml:space="preserve"> </w:t>
      </w:r>
      <w:r>
        <w:t xml:space="preserve">An access token’s</w:t>
      </w:r>
      <w:r>
        <w:t xml:space="preserve"> </w:t>
      </w:r>
      <w:r>
        <w:rPr>
          <w:rStyle w:val="VerbatimChar"/>
        </w:rPr>
        <w:t xml:space="preserve">aud</w:t>
      </w:r>
      <w:r>
        <w:t xml:space="preserve"> </w:t>
      </w:r>
      <w:r>
        <w:t xml:space="preserve">claim identifies the API it was issued for, and the API must reject a token whose audience doesn’t match. In v2.0 tokens it is always the API’s client ID, a GUID; in v1.0 tokens it can be the client ID or the resource URI used in the request.</w:t>
      </w:r>
      <w:r>
        <w:rPr>
          <w:rStyle w:val="FootnoteReference"/>
        </w:rPr>
        <w:footnoteReference w:id="350"/>
      </w:r>
      <w:r>
        <w:t xml:space="preserve"> </w:t>
      </w:r>
      <w:r>
        <w:t xml:space="preserve">The whitepaper said the audience</w:t>
      </w:r>
      <w:r>
        <w:t xml:space="preserve"> </w:t>
      </w:r>
      <w:r>
        <w:t xml:space="preserve">“contains the FQDN”</w:t>
      </w:r>
      <w:r>
        <w:t xml:space="preserve">; that is true only where an application’s identifier URI is an FQDN and v1.0 tokens are in use. The DNS consequence is narrower than stated but real: renaming an API’s host doesn’t change its audience, so a rename that isn’t reflected in the client configuration fails as an audience or redirect-URI error, not a DNS one.</w:t>
      </w:r>
    </w:p>
    <w:p>
      <w:pPr>
        <w:pStyle w:val="Compact"/>
        <w:numPr>
          <w:ilvl w:val="0"/>
          <w:numId w:val="1024"/>
        </w:numPr>
      </w:pPr>
      <w:r>
        <w:rPr>
          <w:b/>
          <w:bCs/>
        </w:rPr>
        <w:t xml:space="preserve">Certificate SANs.</w:t>
      </w:r>
      <w:r>
        <w:t xml:space="preserve"> </w:t>
      </w:r>
      <w:r>
        <w:t xml:space="preserve">Every TLS server certificate lists the names it is valid for. If DNS sends the client to a server whose certificate doesn’t include the name the client asked for, the handshake fails.</w:t>
      </w:r>
    </w:p>
    <w:p>
      <w:pPr>
        <w:pStyle w:val="Compact"/>
        <w:numPr>
          <w:ilvl w:val="0"/>
          <w:numId w:val="1024"/>
        </w:numPr>
      </w:pPr>
      <w:r>
        <w:rPr>
          <w:b/>
          <w:bCs/>
        </w:rPr>
        <w:t xml:space="preserve">Revocation endpoints.</w:t>
      </w:r>
      <w:r>
        <w:t xml:space="preserve"> </w:t>
      </w:r>
      <w:r>
        <w:t xml:space="preserve">CRL distribution points and OCSP responders are named in the certificate and are reached by DNS name. Microsoft Entra certificate-based authentication checks one HTTP CRL location per CA and doesn’t use OCSP or LDAP, so for CBA it is the CRL URL that must resolve and be reachable from the internet (Book 07, Chapter 02).</w:t>
      </w:r>
    </w:p>
    <w:bookmarkStart w:id="352" w:name="the-certificate-split-brain-problem"/>
    <w:p>
      <w:pPr>
        <w:pStyle w:val="Heading3"/>
      </w:pPr>
      <w:r>
        <w:t xml:space="preserve">The certificate split-brain problem</w:t>
      </w:r>
    </w:p>
    <w:p>
      <w:pPr>
        <w:pStyle w:val="FirstParagraph"/>
      </w:pPr>
      <w:r>
        <w:t xml:space="preserve">The certificate-DNS intersection produces a form of split-brain that is harder to diagnose than the private-IP form, because it presents as a certificate error. Consider a service at</w:t>
      </w:r>
      <w:r>
        <w:t xml:space="preserve"> </w:t>
      </w:r>
      <w:r>
        <w:rPr>
          <w:rStyle w:val="VerbatimChar"/>
        </w:rPr>
        <w:t xml:space="preserve">payments.agency.gov</w:t>
      </w:r>
      <w:r>
        <w:t xml:space="preserve"> </w:t>
      </w:r>
      <w:r>
        <w:t xml:space="preserve">with a TLS certificate from the agency’s PKI, whose OCSP responder is</w:t>
      </w:r>
      <w:r>
        <w:t xml:space="preserve"> </w:t>
      </w:r>
      <w:r>
        <w:rPr>
          <w:rStyle w:val="VerbatimChar"/>
        </w:rPr>
        <w:t xml:space="preserve">ocsp.pki.agency.gov</w:t>
      </w:r>
      <w:r>
        <w:t xml:space="preserve"> </w:t>
      </w:r>
      <w:r>
        <w:t xml:space="preserve">and whose CRL is published under</w:t>
      </w:r>
      <w:r>
        <w:t xml:space="preserve"> </w:t>
      </w:r>
      <w:r>
        <w:rPr>
          <w:rStyle w:val="VerbatimChar"/>
        </w:rPr>
        <w:t xml:space="preserve">crl.pki.agency.gov</w:t>
      </w:r>
      <w:r>
        <w:t xml:space="preserve">. Inside the network,</w:t>
      </w:r>
      <w:r>
        <w:t xml:space="preserve"> </w:t>
      </w:r>
      <w:r>
        <w:rPr>
          <w:rStyle w:val="VerbatimChar"/>
        </w:rPr>
        <w:t xml:space="preserve">payments.agency.gov</w:t>
      </w:r>
      <w:r>
        <w:t xml:space="preserve"> </w:t>
      </w:r>
      <w:r>
        <w:t xml:space="preserve">resolves to a private address. The revocation endpoints must resolve and be reachable from every place that validates the certificate, including cloud workloads in AWS and Azure that call the service.</w:t>
      </w:r>
    </w:p>
    <w:p>
      <w:pPr>
        <w:pStyle w:val="BodyText"/>
      </w:pPr>
      <w:r>
        <w:t xml:space="preserve">If the revocation names exist only in AD DNS, an EC2 instance can’t resolve them unless the Route 53 Resolver has a forwarding rule for</w:t>
      </w:r>
      <w:r>
        <w:t xml:space="preserve"> </w:t>
      </w:r>
      <w:r>
        <w:rPr>
          <w:rStyle w:val="VerbatimChar"/>
        </w:rPr>
        <w:t xml:space="preserve">pki.agency.gov</w:t>
      </w:r>
      <w:r>
        <w:t xml:space="preserve">. Without the rule, the lookup fails and the TLS client treats revocation status as unavailable: a client that requires a revocation check fails the handshake, and one configured to soft-fail proceeds without it. The DNS failure leaves no trace in the agency resolver’s logs, because the query never reached it, and the incident ticket is opened against PKI. The root cause, a missing forwarding rule, can take days to find. This is the scenario behind Decision 5 in Chapter 08 and the test row for OCSP and CRL endpoints in Chapter 10’s validation matrix.</w:t>
      </w:r>
    </w:p>
    <w:p>
      <w:pPr>
        <w:pStyle w:val="BodyText"/>
      </w:pPr>
      <w:r>
        <w:t xml:space="preserve">The conclusion is that PKI trust in a hybrid multi-cloud estate depends on DNS correctness. A certificate that is correctly issued by a trusted CA for the right name, and not revoked, can still fail to be trusted when the DNS fabric under its validation chain is inconsistent. An agency can’t claim a functioning PKI trust chain unless DNS resolution is consistent from every network location: on-premises, in every cloud and at every branch.</w:t>
      </w:r>
    </w:p>
    <w:bookmarkEnd w:id="352"/>
    <w:bookmarkStart w:id="358" w:name="X7357dc1089300a63104012b108d23d5e414672a"/>
    <w:p>
      <w:pPr>
        <w:pStyle w:val="Heading3"/>
      </w:pPr>
      <w:r>
        <w:t xml:space="preserve">Geographic scoping: wildcards, SANs and name constraints</w:t>
      </w:r>
    </w:p>
    <w:p>
      <w:pPr>
        <w:pStyle w:val="FirstParagraph"/>
      </w:pPr>
      <w:r>
        <w:t xml:space="preserve">Agencies that run applications in several regions sometimes need to scope trust geographically, for data residency or containment. The question usually starts with a mid-label wildcard such as</w:t>
      </w:r>
      <w:r>
        <w:t xml:space="preserve"> </w:t>
      </w:r>
      <w:r>
        <w:rPr>
          <w:rStyle w:val="VerbatimChar"/>
        </w:rPr>
        <w:t xml:space="preserve">application.*.agency.gov</w:t>
      </w:r>
      <w:r>
        <w:t xml:space="preserve">. It doesn’t work. RFC 9525 (November 2023, which obsoletes RFC 6125 of March 2011) allows a wildcard in a certificate’s DNS name only as the complete leftmost label, allows only one, and makes it match exactly one label; any other form</w:t>
      </w:r>
      <w:r>
        <w:t xml:space="preserve"> </w:t>
      </w:r>
      <w:r>
        <w:t xml:space="preserve">“is invalid and MUST be ignored.”</w:t>
      </w:r>
      <w:r>
        <w:rPr>
          <w:rStyle w:val="FootnoteReference"/>
        </w:rPr>
        <w:footnoteReference w:id="353"/>
      </w:r>
      <w:r>
        <w:t xml:space="preserve"> </w:t>
      </w:r>
      <w:r>
        <w:t xml:space="preserve">The whitepaper also traced the history through the CA/Browser Forum’s 2012 rules and named specific TLS libraries that reject such certificates; those details weren’t verified and have been removed, since RFC 9525 settles the point.</w:t>
      </w:r>
    </w:p>
    <w:p>
      <w:pPr>
        <w:pStyle w:val="BodyText"/>
      </w:pPr>
      <w:r>
        <w:t xml:space="preserve">The one-label rule has a consequence that is easy to miss: DNS wildcards can match more than one label, but certificate wildcards can’t. A DNS record</w:t>
      </w:r>
      <w:r>
        <w:t xml:space="preserve"> </w:t>
      </w:r>
      <w:r>
        <w:rPr>
          <w:rStyle w:val="VerbatimChar"/>
        </w:rPr>
        <w:t xml:space="preserve">*.api.agency.gov</w:t>
      </w:r>
      <w:r>
        <w:t xml:space="preserve"> </w:t>
      </w:r>
      <w:r>
        <w:t xml:space="preserve">answers for</w:t>
      </w:r>
      <w:r>
        <w:t xml:space="preserve"> </w:t>
      </w:r>
      <w:r>
        <w:rPr>
          <w:rStyle w:val="VerbatimChar"/>
        </w:rPr>
        <w:t xml:space="preserve">v2.payments.api.agency.gov</w:t>
      </w:r>
      <w:r>
        <w:t xml:space="preserve">; a certificate for</w:t>
      </w:r>
      <w:r>
        <w:t xml:space="preserve"> </w:t>
      </w:r>
      <w:r>
        <w:rPr>
          <w:rStyle w:val="VerbatimChar"/>
        </w:rPr>
        <w:t xml:space="preserve">*.api.agency.gov</w:t>
      </w:r>
      <w:r>
        <w:t xml:space="preserve"> </w:t>
      </w:r>
      <w:r>
        <w:t xml:space="preserve">doesn’t cover it.</w:t>
      </w:r>
      <w:r>
        <w:rPr>
          <w:rStyle w:val="FootnoteReference"/>
        </w:rPr>
        <w:footnoteReference w:id="355"/>
      </w:r>
      <w:r>
        <w:t xml:space="preserve"> </w:t>
      </w:r>
      <w:r>
        <w:t xml:space="preserve">Geographic scoping therefore uses three layers: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Mechanism</w:t>
            </w:r>
          </w:p>
        </w:tc>
        <w:tc>
          <w:tcPr/>
          <w:p>
            <w:pPr>
              <w:pStyle w:val="Compact"/>
            </w:pPr>
            <w:r>
              <w:t xml:space="preserve">How it’s enforced</w:t>
            </w:r>
          </w:p>
        </w:tc>
        <w:tc>
          <w:tcPr/>
          <w:p>
            <w:pPr>
              <w:pStyle w:val="Compact"/>
            </w:pPr>
            <w:r>
              <w:t xml:space="preserve">Split-brain exposure</w:t>
            </w:r>
          </w:p>
        </w:tc>
      </w:tr>
      <w:tr>
        <w:tc>
          <w:tcPr/>
          <w:p>
            <w:pPr>
              <w:pStyle w:val="Compact"/>
            </w:pPr>
            <w:r>
              <w:t xml:space="preserve">DNS namespace</w:t>
            </w:r>
          </w:p>
        </w:tc>
        <w:tc>
          <w:tcPr/>
          <w:p>
            <w:pPr>
              <w:pStyle w:val="Compact"/>
            </w:pPr>
            <w:r>
              <w:t xml:space="preserve">Per-region names (</w:t>
            </w:r>
            <w:r>
              <w:rPr>
                <w:rStyle w:val="VerbatimChar"/>
              </w:rPr>
              <w:t xml:space="preserve">app.eastus.agency.gov</w:t>
            </w:r>
            <w:r>
              <w:t xml:space="preserve">) and, optionally, leftmost-label wildcards per region (</w:t>
            </w:r>
            <w:r>
              <w:rPr>
                <w:rStyle w:val="VerbatimChar"/>
              </w:rPr>
              <w:t xml:space="preserve">*.eastus.agency.gov</w:t>
            </w:r>
            <w:r>
              <w:t xml:space="preserve">)</w:t>
            </w:r>
          </w:p>
        </w:tc>
        <w:tc>
          <w:tcPr/>
          <w:p>
            <w:pPr>
              <w:pStyle w:val="Compact"/>
            </w:pPr>
            <w:r>
              <w:t xml:space="preserve">Resolution</w:t>
            </w:r>
          </w:p>
        </w:tc>
        <w:tc>
          <w:tcPr/>
          <w:p>
            <w:pPr>
              <w:pStyle w:val="Compact"/>
            </w:pPr>
            <w:r>
              <w:t xml:space="preserve">High: the zone must be identical on every surface</w:t>
            </w:r>
          </w:p>
        </w:tc>
      </w:tr>
      <w:tr>
        <w:tc>
          <w:tcPr/>
          <w:p>
            <w:pPr>
              <w:pStyle w:val="Compact"/>
            </w:pPr>
            <w:r>
              <w:t xml:space="preserve">Certificate SANs</w:t>
            </w:r>
          </w:p>
        </w:tc>
        <w:tc>
          <w:tcPr/>
          <w:p>
            <w:pPr>
              <w:pStyle w:val="Compact"/>
            </w:pPr>
            <w:r>
              <w:t xml:space="preserve">One SAN per region, such as</w:t>
            </w:r>
            <w:r>
              <w:t xml:space="preserve"> </w:t>
            </w:r>
            <w:r>
              <w:rPr>
                <w:rStyle w:val="VerbatimChar"/>
              </w:rPr>
              <w:t xml:space="preserve">*.eastus.agency.gov</w:t>
            </w:r>
            <w:r>
              <w:t xml:space="preserve"> </w:t>
            </w:r>
            <w:r>
              <w:t xml:space="preserve">and</w:t>
            </w:r>
            <w:r>
              <w:t xml:space="preserve"> </w:t>
            </w:r>
            <w:r>
              <w:rPr>
                <w:rStyle w:val="VerbatimChar"/>
              </w:rPr>
              <w:t xml:space="preserve">*.westus.agency.gov</w:t>
            </w:r>
            <w:r>
              <w:t xml:space="preserve">, in one certificate or one per region</w:t>
            </w:r>
          </w:p>
        </w:tc>
        <w:tc>
          <w:tcPr/>
          <w:p>
            <w:pPr>
              <w:pStyle w:val="Compact"/>
            </w:pPr>
            <w:r>
              <w:t xml:space="preserve">TLS name matching</w:t>
            </w:r>
          </w:p>
        </w:tc>
        <w:tc>
          <w:tcPr/>
          <w:p>
            <w:pPr>
              <w:pStyle w:val="Compact"/>
            </w:pPr>
            <w:r>
              <w:t xml:space="preserve">Medium: the certificate is right, but DNS must still send the client to the right region</w:t>
            </w:r>
          </w:p>
        </w:tc>
      </w:tr>
      <w:tr>
        <w:tc>
          <w:tcPr/>
          <w:p>
            <w:pPr>
              <w:pStyle w:val="Compact"/>
            </w:pPr>
            <w:r>
              <w:t xml:space="preserve">Name constraints</w:t>
            </w:r>
          </w:p>
        </w:tc>
        <w:tc>
          <w:tcPr/>
          <w:p>
            <w:pPr>
              <w:pStyle w:val="Compact"/>
            </w:pPr>
            <w:r>
              <w:t xml:space="preserve">A per-region issuing CA whose certificate permits only</w:t>
            </w:r>
            <w:r>
              <w:t xml:space="preserve"> </w:t>
            </w:r>
            <w:r>
              <w:rPr>
                <w:rStyle w:val="VerbatimChar"/>
              </w:rPr>
              <w:t xml:space="preserve">eastus.agency.gov</w:t>
            </w:r>
          </w:p>
        </w:tc>
        <w:tc>
          <w:tcPr/>
          <w:p>
            <w:pPr>
              <w:pStyle w:val="Compact"/>
            </w:pPr>
            <w:r>
              <w:t xml:space="preserve">Path validation in the client</w:t>
            </w:r>
          </w:p>
        </w:tc>
        <w:tc>
          <w:tcPr/>
          <w:p>
            <w:pPr>
              <w:pStyle w:val="Compact"/>
            </w:pPr>
            <w:r>
              <w:t xml:space="preserve">Low: the constraint is in the certificate chain, not in DNS</w:t>
            </w:r>
          </w:p>
        </w:tc>
      </w:tr>
    </w:tbl>
    <w:p>
      <w:pPr>
        <w:pStyle w:val="BodyText"/>
      </w:pPr>
      <w:r>
        <w:t xml:space="preserve">A multi-SAN wildcard certificate widens the blast radius of a key compromise to every region it covers; that is the trade-off for its convenience. Name constraints are the only cryptographic, rather than procedural, mechanism. RFC 5280 requires conforming CAs to mark the extension critical but says applications</w:t>
      </w:r>
      <w:r>
        <w:t xml:space="preserve"> </w:t>
      </w:r>
      <w:r>
        <w:t xml:space="preserve">“SHOULD,”</w:t>
      </w:r>
      <w:r>
        <w:t xml:space="preserve"> </w:t>
      </w:r>
      <w:r>
        <w:t xml:space="preserve">not must, be able to process constraints on DNS names,</w:t>
      </w:r>
      <w:r>
        <w:rPr>
          <w:rStyle w:val="FootnoteReference"/>
        </w:rPr>
        <w:footnoteReference w:id="356"/>
      </w:r>
      <w:r>
        <w:t xml:space="preserve"> </w:t>
      </w:r>
      <w:r>
        <w:t xml:space="preserve">so the program treats name constraints as strong defense in depth and tests its relying parties rather than assuming enforcement. Whatever the certificate layer does, DNS re-enters at the end: if split-brain sends a client in one region to another region’s endpoint, the certificate validates, the application answers and the data crosses a boundary policy forbids, with no network-layer sign that anything went wrong.</w:t>
      </w:r>
    </w:p>
    <w:bookmarkEnd w:id="358"/>
    <w:bookmarkEnd w:id="359"/>
    <w:bookmarkStart w:id="363" w:name="dns-as-the-application-surface"/>
    <w:p>
      <w:pPr>
        <w:pStyle w:val="Heading2"/>
      </w:pPr>
      <w:bookmarkStart w:id="1077" w:name="_Toc00001077"/>
      <w:r>
        <w:t xml:space="preserve">DNS as the application surface</w:t>
      </w:r>
      <w:bookmarkEnd w:id="1077"/>
    </w:p>
    <w:p>
      <w:pPr>
        <w:pStyle w:val="FirstParagraph"/>
      </w:pPr>
      <w:r>
        <w:t xml:space="preserve">For most of the internet’s history, network policy was written against IP addresses and ports. That model breaks in cloud-native and zero trust architectures for three reasons: cloud workloads are created and destroyed continuously, so their addresses don’t stay put; an address says nothing about the security posture of whatever is using it at the moment; and private address space is reused across every cloud and on-premises network, so a rule for</w:t>
      </w:r>
      <w:r>
        <w:t xml:space="preserve"> </w:t>
      </w:r>
      <w:r>
        <w:rPr>
          <w:rStyle w:val="VerbatimChar"/>
        </w:rPr>
        <w:t xml:space="preserve">10.1.0.0/16</w:t>
      </w:r>
      <w:r>
        <w:t xml:space="preserve"> </w:t>
      </w:r>
      <w:r>
        <w:t xml:space="preserve">in one environment is meaningless in another. Application-layer networking uses the FQDN as the stable service identity instead. A zero trust policy says</w:t>
      </w:r>
      <w:r>
        <w:t xml:space="preserve"> </w:t>
      </w:r>
      <w:r>
        <w:t xml:space="preserve">“allow</w:t>
      </w:r>
      <w:r>
        <w:t xml:space="preserve"> </w:t>
      </w:r>
      <w:r>
        <w:rPr>
          <w:rStyle w:val="VerbatimChar"/>
        </w:rPr>
        <w:t xml:space="preserve">payments-service</w:t>
      </w:r>
      <w:r>
        <w:t xml:space="preserve"> </w:t>
      </w:r>
      <w:r>
        <w:t xml:space="preserve">to call</w:t>
      </w:r>
      <w:r>
        <w:t xml:space="preserve"> </w:t>
      </w:r>
      <w:r>
        <w:rPr>
          <w:rStyle w:val="VerbatimChar"/>
        </w:rPr>
        <w:t xml:space="preserve">ledger-api.finance.agency.gov</w:t>
      </w:r>
      <w:r>
        <w:t xml:space="preserve"> </w:t>
      </w:r>
      <w:r>
        <w:t xml:space="preserve">on 443,”</w:t>
      </w:r>
      <w:r>
        <w:t xml:space="preserve"> </w:t>
      </w:r>
      <w:r>
        <w:t xml:space="preserve">a service mesh routes to a service name, and an API gateway checks the</w:t>
      </w:r>
      <w:r>
        <w:t xml:space="preserve"> </w:t>
      </w:r>
      <w:r>
        <w:rPr>
          <w:rStyle w:val="VerbatimChar"/>
        </w:rPr>
        <w:t xml:space="preserve">Host</w:t>
      </w:r>
      <w:r>
        <w:t xml:space="preserve"> </w:t>
      </w:r>
      <w:r>
        <w:t xml:space="preserve">header against its registered names. NIST’s zero trust architecture places resource access decisions at policy enforcement points in exactly this way.</w:t>
      </w:r>
      <w:r>
        <w:rPr>
          <w:rStyle w:val="FootnoteReference"/>
        </w:rPr>
        <w:footnoteReference w:id="360"/>
      </w:r>
      <w:r>
        <w:t xml:space="preserve"> </w:t>
      </w:r>
      <w:r>
        <w:t xml:space="preserve">The consequence for DNS is that it stops being a lookup utility and becomes the registry of service identities. If the same FQDN resolves differently from different places, the service identity itself is inconsistent, and so are the policies, certificates and access controls that reference it.</w:t>
      </w:r>
    </w:p>
    <w:p>
      <w:pPr>
        <w:pStyle w:val="BodyText"/>
      </w:pPr>
      <w:r>
        <w:t xml:space="preserve">Wildcard DNS is the natural way to publish a namespace of applications: one</w:t>
      </w:r>
      <w:r>
        <w:t xml:space="preserve"> </w:t>
      </w:r>
      <w:r>
        <w:rPr>
          <w:rStyle w:val="VerbatimChar"/>
        </w:rPr>
        <w:t xml:space="preserve">*.api.agency.gov</w:t>
      </w:r>
      <w:r>
        <w:t xml:space="preserve"> </w:t>
      </w:r>
      <w:r>
        <w:t xml:space="preserve">record pointing at a gateway serves</w:t>
      </w:r>
      <w:r>
        <w:t xml:space="preserve"> </w:t>
      </w:r>
      <w:r>
        <w:rPr>
          <w:rStyle w:val="VerbatimChar"/>
        </w:rPr>
        <w:t xml:space="preserve">payments.api.agency.gov</w:t>
      </w:r>
      <w:r>
        <w:t xml:space="preserve">,</w:t>
      </w:r>
      <w:r>
        <w:t xml:space="preserve"> </w:t>
      </w:r>
      <w:r>
        <w:rPr>
          <w:rStyle w:val="VerbatimChar"/>
        </w:rPr>
        <w:t xml:space="preserve">grants.api.agency.gov</w:t>
      </w:r>
      <w:r>
        <w:t xml:space="preserve"> </w:t>
      </w:r>
      <w:r>
        <w:t xml:space="preserve">and every other API behind it. Wildcards have been part of DNS since RFC 1034, and their matching rules are clarified in RFC 4592.</w:t>
      </w:r>
      <w:r>
        <w:rPr>
          <w:rStyle w:val="FootnoteReference"/>
        </w:rPr>
        <w:footnoteReference w:id="361"/>
      </w:r>
      <w:r>
        <w:t xml:space="preserve"> </w:t>
      </w:r>
      <w:r>
        <w:t xml:space="preserve">The pattern amplifies misconfiguration. If that wildcard is correct in the on-premises platform but missing from Route 53, the failure isn’t one broken service but every API behind the gateway, for every AWS-hosted caller at once. A single wildcard certificate deployed across dozens of services behaves the same way: it validates for callers whose DNS is right and fails for those whose DNS is wrong, and examining the certificate can’t explain the difference.</w:t>
      </w:r>
    </w:p>
    <w:p>
      <w:pPr>
        <w:pStyle w:val="BodyText"/>
      </w:pPr>
      <w:r>
        <w:t xml:space="preserve">Regional namespaces of the form</w:t>
      </w:r>
      <w:r>
        <w:t xml:space="preserve"> </w:t>
      </w:r>
      <w:r>
        <w:rPr>
          <w:rStyle w:val="VerbatimChar"/>
        </w:rPr>
        <w:t xml:space="preserve">{app}.{region}.agency.gov</w:t>
      </w:r>
      <w:r>
        <w:t xml:space="preserve"> </w:t>
      </w:r>
      <w:r>
        <w:t xml:space="preserve">add a variant: geographic split-brain. A record present in one cloud’s private zone and absent from another’s produces NXDOMAIN rather than a wrong address, a different failure signature that may not trip the same alerts. Governing these namespaces requires one authoritative source publishing the same records to every surface. The address side of this registry, IPAM that tracks FQDN namespaces and wildcard occupancy as well as address assignments, is in Chapter 07.</w:t>
      </w:r>
    </w:p>
    <w:bookmarkEnd w:id="363"/>
    <w:bookmarkStart w:id="396" w:name="dnssec"/>
    <w:p>
      <w:pPr>
        <w:pStyle w:val="Heading2"/>
      </w:pPr>
      <w:bookmarkStart w:id="1078" w:name="_Toc00001078"/>
      <w:r>
        <w:t xml:space="preserve">DNSSEC</w:t>
      </w:r>
      <w:bookmarkEnd w:id="1078"/>
    </w:p>
    <w:p>
      <w:pPr>
        <w:pStyle w:val="FirstParagraph"/>
      </w:pPr>
      <w:r>
        <w:t xml:space="preserve">DNSSEC (DNS Security Extensions) adds data-origin authentication and integrity protection to DNS. It doesn’t encrypt queries; it lets a resolver verify that the answer it received is authentic and wasn’t modified. It provides:</w:t>
      </w:r>
    </w:p>
    <w:p>
      <w:pPr>
        <w:pStyle w:val="Compact"/>
        <w:numPr>
          <w:ilvl w:val="0"/>
          <w:numId w:val="1025"/>
        </w:numPr>
      </w:pPr>
      <w:r>
        <w:rPr>
          <w:b/>
          <w:bCs/>
        </w:rPr>
        <w:t xml:space="preserve">Data-origin authentication:</w:t>
      </w:r>
      <w:r>
        <w:t xml:space="preserve"> </w:t>
      </w:r>
      <w:r>
        <w:t xml:space="preserve">the answer came from the legitimate authoritative servers for the zone.</w:t>
      </w:r>
    </w:p>
    <w:p>
      <w:pPr>
        <w:pStyle w:val="Compact"/>
        <w:numPr>
          <w:ilvl w:val="0"/>
          <w:numId w:val="1025"/>
        </w:numPr>
      </w:pPr>
      <w:r>
        <w:rPr>
          <w:b/>
          <w:bCs/>
        </w:rPr>
        <w:t xml:space="preserve">Integrity protection:</w:t>
      </w:r>
      <w:r>
        <w:t xml:space="preserve"> </w:t>
      </w:r>
      <w:r>
        <w:t xml:space="preserve">the data hasn’t been altered.</w:t>
      </w:r>
    </w:p>
    <w:p>
      <w:pPr>
        <w:pStyle w:val="Compact"/>
        <w:numPr>
          <w:ilvl w:val="0"/>
          <w:numId w:val="1025"/>
        </w:numPr>
      </w:pPr>
      <w:r>
        <w:rPr>
          <w:b/>
          <w:bCs/>
        </w:rPr>
        <w:t xml:space="preserve">Authenticated denial of existence:</w:t>
      </w:r>
      <w:r>
        <w:t xml:space="preserve"> </w:t>
      </w:r>
      <w:r>
        <w:t xml:space="preserve">proof that a name or record type doesn’t exist.</w:t>
      </w:r>
      <w:r>
        <w:rPr>
          <w:rStyle w:val="FootnoteReference"/>
        </w:rPr>
        <w:footnoteReference w:id="364"/>
      </w:r>
    </w:p>
    <w:p>
      <w:pPr>
        <w:pStyle w:val="FirstParagraph"/>
      </w:pPr>
      <w:r>
        <w:t xml:space="preserve">The core specifications are RFC 4033, 4034 and 4035, and RFC 9364 records DNSSEC as best current practice.</w:t>
      </w:r>
      <w:r>
        <w:rPr>
          <w:rStyle w:val="FootnoteReference"/>
        </w:rPr>
        <w:footnoteReference w:id="369"/>
      </w:r>
      <w:r>
        <w:t xml:space="preserve"> </w:t>
      </w:r>
      <w:r>
        <w:t xml:space="preserve">DNSSEC uses a chain of trust from the root through the top-level domains to individual zones. Zones are signed with private keys; resolvers validate the signatures with the matching public keys (DNSKEY records) and the Delegation Signer (DS) records published in the parent zone. A validating resolver that finds a bad signature answers SERVFAIL, which protects clients that don’t validate themselves.</w:t>
      </w:r>
      <w:r>
        <w:rPr>
          <w:rStyle w:val="FootnoteReference"/>
        </w:rPr>
        <w:footnoteReference w:id="370"/>
      </w:r>
      <w:r>
        <w:t xml:space="preserve"> </w:t>
      </w:r>
      <w:r>
        <w:t xml:space="preserve">DNSSEC and encrypted DNS are complements, not alternatives: NIST notes that DNSSEC doesn’t protect confidentiality, and that DoH, DoT and DoQ protect the transaction but not the integrity or origin of the data.</w:t>
      </w:r>
      <w:r>
        <w:rPr>
          <w:rStyle w:val="FootnoteReference"/>
        </w:rPr>
        <w:footnoteReference w:id="371"/>
      </w:r>
    </w:p>
    <w:bookmarkStart w:id="381" w:name="X4dbde0f18411b407facacdc54d79a83a494622d"/>
    <w:p>
      <w:pPr>
        <w:pStyle w:val="Heading3"/>
      </w:pPr>
      <w:r>
        <w:t xml:space="preserve">Why it matters in hybrid multi-cloud and federal environments</w:t>
      </w:r>
    </w:p>
    <w:bookmarkStart w:id="375" w:name="fig-ch06-dnssec-validation"/>
    <w:p>
      <w:pPr>
        <w:pStyle w:val="CaptionedFigure"/>
      </w:pPr>
      <w:r>
        <w:drawing>
          <wp:inline>
            <wp:extent cx="5334000" cy="2777740"/>
            <wp:effectExtent b="0" l="0" r="0" t="0"/>
            <wp:docPr descr="Validation belongs on a resolver the agency controls." title="" id="373" name="Picture"/>
            <a:graphic>
              <a:graphicData uri="http://schemas.openxmlformats.org/drawingml/2006/picture">
                <pic:pic>
                  <pic:nvPicPr>
                    <pic:cNvPr descr="/home/runner/work/modernization-workbook/modernization-workbook/docs/images/diagrams/b08-ddi/png/ch06-dnssec-validation.png" id="374" name="Picture"/>
                    <pic:cNvPicPr>
                      <a:picLocks noChangeArrowheads="1" noChangeAspect="1"/>
                    </pic:cNvPicPr>
                  </pic:nvPicPr>
                  <pic:blipFill>
                    <a:blip r:embed="rId372"/>
                    <a:stretch>
                      <a:fillRect/>
                    </a:stretch>
                  </pic:blipFill>
                  <pic:spPr bwMode="auto">
                    <a:xfrm>
                      <a:off x="0" y="0"/>
                      <a:ext cx="5334000" cy="2777740"/>
                    </a:xfrm>
                    <a:prstGeom prst="rect">
                      <a:avLst/>
                    </a:prstGeom>
                    <a:noFill/>
                    <a:ln w="9525">
                      <a:noFill/>
                      <a:headEnd/>
                      <a:tailEnd/>
                    </a:ln>
                  </pic:spPr>
                </pic:pic>
              </a:graphicData>
            </a:graphic>
          </wp:inline>
        </w:drawing>
      </w:r>
    </w:p>
    <w:p>
      <w:pPr>
        <w:pStyle w:val="ImageCaption"/>
      </w:pPr>
      <w:r>
        <w:t xml:space="preserve">Validation belongs on a resolver the agency controls.</w:t>
      </w:r>
    </w:p>
    <w:bookmarkEnd w:id="375"/>
    <w:p>
      <w:pPr>
        <w:pStyle w:val="Compact"/>
        <w:numPr>
          <w:ilvl w:val="0"/>
          <w:numId w:val="1026"/>
        </w:numPr>
      </w:pPr>
      <w:r>
        <w:t xml:space="preserve">DNSSEC mitigates cache poisoning and on-path tampering with DNS answers, and it is the foundation for DANE TLSA records.</w:t>
      </w:r>
    </w:p>
    <w:p>
      <w:pPr>
        <w:pStyle w:val="Compact"/>
        <w:numPr>
          <w:ilvl w:val="0"/>
          <w:numId w:val="1026"/>
        </w:numPr>
      </w:pPr>
      <w:r>
        <w:rPr>
          <w:b/>
          <w:bCs/>
        </w:rPr>
        <w:t xml:space="preserve">Federal policy.</w:t>
      </w:r>
      <w:r>
        <w:t xml:space="preserve"> </w:t>
      </w:r>
      <w:r>
        <w:t xml:space="preserve">OMB M-08-23 (August 2008) required agencies to deploy DNSSEC to all applicable information systems by December 2009 and to sign all agency</w:t>
      </w:r>
      <w:r>
        <w:t xml:space="preserve"> </w:t>
      </w:r>
      <w:r>
        <w:rPr>
          <w:rStyle w:val="VerbatimChar"/>
        </w:rPr>
        <w:t xml:space="preserve">.gov</w:t>
      </w:r>
      <w:r>
        <w:t xml:space="preserve"> </w:t>
      </w:r>
      <w:r>
        <w:t xml:space="preserve">domains, in line with SP 800-81 and the SP 800-53 controls.</w:t>
      </w:r>
      <w:r>
        <w:rPr>
          <w:rStyle w:val="FootnoteReference"/>
        </w:rPr>
        <w:footnoteReference w:id="376"/>
      </w:r>
      <w:r>
        <w:t xml:space="preserve"> </w:t>
      </w:r>
      <w:r>
        <w:t xml:space="preserve">In SP 800-53 Rev. 5, SC-20 asks an authoritative service to provide origin-authentication and integrity artifacts with the data it returns</w:t>
      </w:r>
      <w:r>
        <w:t xml:space="preserve"> </w:t>
      </w:r>
      <w:r>
        <w:t xml:space="preserve">“in response to external name/address resolution queries,”</w:t>
      </w:r>
      <w:r>
        <w:t xml:space="preserve"> </w:t>
      </w:r>
      <w:r>
        <w:t xml:space="preserve">and SC-21 asks a recursive or caching resolver to</w:t>
      </w:r>
      <w:r>
        <w:t xml:space="preserve"> </w:t>
      </w:r>
      <w:r>
        <w:t xml:space="preserve">“request and perform”</w:t>
      </w:r>
      <w:r>
        <w:t xml:space="preserve"> </w:t>
      </w:r>
      <w:r>
        <w:t xml:space="preserve">data-origin authentication and integrity verification on the responses it receives.</w:t>
      </w:r>
      <w:r>
        <w:rPr>
          <w:rStyle w:val="FootnoteReference"/>
        </w:rPr>
        <w:footnoteReference w:id="377"/>
      </w:r>
    </w:p>
    <w:p>
      <w:pPr>
        <w:pStyle w:val="Compact"/>
        <w:numPr>
          <w:ilvl w:val="0"/>
          <w:numId w:val="1026"/>
        </w:numPr>
      </w:pPr>
      <w:r>
        <w:rPr>
          <w:b/>
          <w:bCs/>
        </w:rPr>
        <w:t xml:space="preserve">NIST SP 800-81r3</w:t>
      </w:r>
      <w:r>
        <w:t xml:space="preserve"> </w:t>
      </w:r>
      <w:r>
        <w:t xml:space="preserve">recommends configuring the internet root key as the trust anchor for validation and enabling automated trust-anchor rollover.</w:t>
      </w:r>
      <w:r>
        <w:rPr>
          <w:rStyle w:val="FootnoteReference"/>
        </w:rPr>
        <w:footnoteReference w:id="379"/>
      </w:r>
      <w:r>
        <w:t xml:space="preserve"> </w:t>
      </w:r>
      <w:r>
        <w:t xml:space="preserve">On internal zones it is more cautious than the whitepaper was: it calls signing internal zones</w:t>
      </w:r>
      <w:r>
        <w:t xml:space="preserve"> </w:t>
      </w:r>
      <w:r>
        <w:t xml:space="preserve">“likely to be of limited value for most organizations,”</w:t>
      </w:r>
      <w:r>
        <w:t xml:space="preserve"> </w:t>
      </w:r>
      <w:r>
        <w:t xml:space="preserve">recommends against it unless it’s required, and notes that some government agencies may be required to. Its three reasons are that internal zones may not chain to the public root, so every validator needs extra trust anchors; that dynamically updated zones must be re-signed on every update; and that signing serves no purpose when authoritative and recursive service share the same servers, as they usually do on domain controllers.</w:t>
      </w:r>
      <w:r>
        <w:rPr>
          <w:rStyle w:val="FootnoteReference"/>
        </w:rPr>
        <w:footnoteReference w:id="380"/>
      </w:r>
      <w:r>
        <w:t xml:space="preserve"> </w:t>
      </w:r>
      <w:r>
        <w:t xml:space="preserve">Where internal signing is required, it recommends a separate delegation from the external parent so a chain of trust to the root is possible.</w:t>
      </w:r>
    </w:p>
    <w:p>
      <w:pPr>
        <w:pStyle w:val="Compact"/>
        <w:numPr>
          <w:ilvl w:val="0"/>
          <w:numId w:val="1026"/>
        </w:numPr>
      </w:pPr>
      <w:r>
        <w:rPr>
          <w:b/>
          <w:bCs/>
        </w:rPr>
        <w:t xml:space="preserve">Validation belongs on a resolver the agency controls</w:t>
      </w:r>
      <w:r>
        <w:t xml:space="preserve"> </w:t>
      </w:r>
      <w:r>
        <w:t xml:space="preserve">(Chapter 05). If redirect-dns or forwarding sends queries to an upstream resolver that validates outside agency control, the agency can’t enforce its own validation policy or trust anchors, and SC-21 is met by someone else’s system, if at all.</w:t>
      </w:r>
    </w:p>
    <w:p>
      <w:pPr>
        <w:pStyle w:val="FirstParagraph"/>
      </w:pPr>
      <w:r>
        <w:t xml:space="preserve">The program’s position follows from these: sign external zones and the</w:t>
      </w:r>
      <w:r>
        <w:t xml:space="preserve"> </w:t>
      </w:r>
      <w:r>
        <w:rPr>
          <w:rStyle w:val="VerbatimChar"/>
        </w:rPr>
        <w:t xml:space="preserve">.gov</w:t>
      </w:r>
      <w:r>
        <w:t xml:space="preserve"> </w:t>
      </w:r>
      <w:r>
        <w:t xml:space="preserve">delegations always; validate on every agency resolver with the root trust anchor; and sign internal zones only where the system’s authorization requires it, with a delegation that chains to the root.</w:t>
      </w:r>
    </w:p>
    <w:bookmarkEnd w:id="381"/>
    <w:bookmarkStart w:id="395" w:name="operational-considerations"/>
    <w:p>
      <w:pPr>
        <w:pStyle w:val="Heading3"/>
      </w:pPr>
      <w:r>
        <w:t xml:space="preserve">Operational considerations</w:t>
      </w:r>
    </w:p>
    <w:p>
      <w:pPr>
        <w:pStyle w:val="Compact"/>
        <w:numPr>
          <w:ilvl w:val="0"/>
          <w:numId w:val="1027"/>
        </w:numPr>
      </w:pPr>
      <w:r>
        <w:rPr>
          <w:b/>
          <w:bCs/>
        </w:rPr>
        <w:t xml:space="preserve">Key management.</w:t>
      </w:r>
      <w:r>
        <w:t xml:space="preserve"> </w:t>
      </w:r>
      <w:r>
        <w:t xml:space="preserve">KSK and ZSK rollover must be automated and audited. NIST recommends a hardware security module for important private keys, usually the KSK, DNSKEY signature validity periods of about five to seven days, and signing-key lifetimes of one to three years.</w:t>
      </w:r>
      <w:r>
        <w:rPr>
          <w:rStyle w:val="FootnoteReference"/>
        </w:rPr>
        <w:footnoteReference w:id="382"/>
      </w:r>
    </w:p>
    <w:p>
      <w:pPr>
        <w:pStyle w:val="Compact"/>
        <w:numPr>
          <w:ilvl w:val="0"/>
          <w:numId w:val="1027"/>
        </w:numPr>
      </w:pPr>
      <w:r>
        <w:rPr>
          <w:b/>
          <w:bCs/>
        </w:rPr>
        <w:t xml:space="preserve">Algorithms.</w:t>
      </w:r>
      <w:r>
        <w:t xml:space="preserve"> </w:t>
      </w:r>
      <w:r>
        <w:t xml:space="preserve">NIST’s table of acceptable DNSSEC algorithms includes RSA with SHA-256 at 2,048 bits or more and ECDSA P-256 and P-384, and it prefers ECDSA because smaller keys and signatures keep responses small.</w:t>
      </w:r>
      <w:r>
        <w:rPr>
          <w:rStyle w:val="FootnoteReference"/>
        </w:rPr>
        <w:footnoteReference w:id="383"/>
      </w:r>
      <w:r>
        <w:t xml:space="preserve"> </w:t>
      </w:r>
      <w:r>
        <w:t xml:space="preserve">Windows Server’s zone-signing wizard defaults to RSA/SHA-256 with a 2,048-bit KSK and a 1,024-bit ZSK, and offers ECDSA P-256 and P-384.</w:t>
      </w:r>
      <w:r>
        <w:rPr>
          <w:rStyle w:val="FootnoteReference"/>
        </w:rPr>
        <w:footnoteReference w:id="384"/>
      </w:r>
      <w:r>
        <w:t xml:space="preserve"> </w:t>
      </w:r>
      <w:r>
        <w:t xml:space="preserve">A default ZSK is below NIST’s RSA floor, so the program signs Windows zones with ECDSA or with RSA keys of at least 2,048 bits.</w:t>
      </w:r>
    </w:p>
    <w:p>
      <w:pPr>
        <w:pStyle w:val="Compact"/>
        <w:numPr>
          <w:ilvl w:val="0"/>
          <w:numId w:val="1027"/>
        </w:numPr>
      </w:pPr>
      <w:r>
        <w:rPr>
          <w:b/>
          <w:bCs/>
        </w:rPr>
        <w:t xml:space="preserve">Denial of existence.</w:t>
      </w:r>
      <w:r>
        <w:t xml:space="preserve"> </w:t>
      </w:r>
      <w:r>
        <w:t xml:space="preserve">Windows labels NSEC3</w:t>
      </w:r>
      <w:r>
        <w:t xml:space="preserve"> </w:t>
      </w:r>
      <w:r>
        <w:t xml:space="preserve">“recommended.”</w:t>
      </w:r>
      <w:r>
        <w:rPr>
          <w:rStyle w:val="FootnoteReference"/>
        </w:rPr>
        <w:footnoteReference w:id="386"/>
      </w:r>
      <w:r>
        <w:t xml:space="preserve"> </w:t>
      </w:r>
      <w:r>
        <w:t xml:space="preserve">NIST observes that NSEC3 only raises the cost of zone walking, relies on SHA-1, and considers NSEC</w:t>
      </w:r>
      <w:r>
        <w:t xml:space="preserve"> </w:t>
      </w:r>
      <w:r>
        <w:t xml:space="preserve">“the more prudent approach”</w:t>
      </w:r>
      <w:r>
        <w:t xml:space="preserve"> </w:t>
      </w:r>
      <w:r>
        <w:t xml:space="preserve">unless policy requires NSEC3.</w:t>
      </w:r>
      <w:r>
        <w:rPr>
          <w:rStyle w:val="FootnoteReference"/>
        </w:rPr>
        <w:footnoteReference w:id="387"/>
      </w:r>
      <w:r>
        <w:t xml:space="preserve"> </w:t>
      </w:r>
      <w:r>
        <w:t xml:space="preserve">Compact denial of existence, published as RFC 9824 in September 2025, is a third option that prevents enumeration and is what Azure DNS uses.</w:t>
      </w:r>
      <w:r>
        <w:rPr>
          <w:rStyle w:val="FootnoteReference"/>
        </w:rPr>
        <w:footnoteReference w:id="388"/>
      </w:r>
      <w:r>
        <w:rPr>
          <w:rStyle w:val="FootnoteReference"/>
        </w:rPr>
        <w:footnoteReference w:id="390"/>
      </w:r>
    </w:p>
    <w:p>
      <w:pPr>
        <w:pStyle w:val="Compact"/>
        <w:numPr>
          <w:ilvl w:val="0"/>
          <w:numId w:val="1027"/>
        </w:numPr>
      </w:pPr>
      <w:r>
        <w:rPr>
          <w:b/>
          <w:bCs/>
        </w:rPr>
        <w:t xml:space="preserve">Response size.</w:t>
      </w:r>
      <w:r>
        <w:t xml:space="preserve"> </w:t>
      </w:r>
      <w:r>
        <w:t xml:space="preserve">Signing increases response sizes, so EDNS(0) and correct MTU and fragmentation handling are required, and responses can exceed UDP limits during algorithm rollovers.</w:t>
      </w:r>
      <w:r>
        <w:rPr>
          <w:rStyle w:val="FootnoteReference"/>
        </w:rPr>
        <w:footnoteReference w:id="391"/>
      </w:r>
      <w:r>
        <w:rPr>
          <w:rStyle w:val="FootnoteReference"/>
        </w:rPr>
        <w:footnoteReference w:id="393"/>
      </w:r>
    </w:p>
    <w:p>
      <w:pPr>
        <w:pStyle w:val="Compact"/>
        <w:numPr>
          <w:ilvl w:val="0"/>
          <w:numId w:val="1027"/>
        </w:numPr>
      </w:pPr>
      <w:r>
        <w:rPr>
          <w:b/>
          <w:bCs/>
        </w:rPr>
        <w:t xml:space="preserve">Consistency across views.</w:t>
      </w:r>
      <w:r>
        <w:t xml:space="preserve"> </w:t>
      </w:r>
      <w:r>
        <w:t xml:space="preserve">DNSSEC support differs across cloud DNS services (below). A zone signed in one view and unsigned or differently signed in another produces validation failures that surface as application or certificate errors rather than clear DNSSEC errors, and stub resolvers see only a generic failure, so operators must check the validator’s logs.</w:t>
      </w:r>
      <w:r>
        <w:rPr>
          <w:rStyle w:val="FootnoteReference"/>
        </w:rPr>
        <w:footnoteReference w:id="394"/>
      </w:r>
      <w:r>
        <w:t xml:space="preserve"> </w:t>
      </w:r>
      <w:r>
        <w:t xml:space="preserve">A single policy plane removes most of that class of inconsistency.</w:t>
      </w:r>
    </w:p>
    <w:bookmarkEnd w:id="395"/>
    <w:bookmarkEnd w:id="396"/>
    <w:bookmarkStart w:id="412" w:name="dnssec-on-windows-server-azure-and-aws"/>
    <w:p>
      <w:pPr>
        <w:pStyle w:val="Heading2"/>
      </w:pPr>
      <w:bookmarkStart w:id="1079" w:name="_Toc00001079"/>
      <w:r>
        <w:t xml:space="preserve">DNSSEC on Windows Server, Azure and AWS</w:t>
      </w:r>
      <w:bookmarkEnd w:id="1079"/>
    </w:p>
    <w:p>
      <w:pPr>
        <w:pStyle w:val="FirstParagraph"/>
      </w:pPr>
      <w:r>
        <w:t xml:space="preserve">Signing and validation policy should be orchestrated from the central DDI plane, so that key rollover, DS publication and validation behavior don’t diverge between environments. The platforms don’t offer equal support:</w:t>
      </w:r>
    </w:p>
    <w:p>
      <w:pPr>
        <w:pStyle w:val="Compact"/>
        <w:numPr>
          <w:ilvl w:val="0"/>
          <w:numId w:val="1028"/>
        </w:numPr>
      </w:pPr>
      <w:r>
        <w:rPr>
          <w:b/>
          <w:bCs/>
        </w:rPr>
        <w:t xml:space="preserve">Windows Server.</w:t>
      </w:r>
      <w:r>
        <w:t xml:space="preserve"> </w:t>
      </w:r>
      <w:r>
        <w:t xml:space="preserve">One authoritative primary per zone is its Key Master, which generates keys, performs ZSK and KSK rollovers and polls child zones for signed delegations. For AD-integrated zones, private keys can be stored and replicated in Active Directory to every primary that signs its own in-memory copy of the zone; an HSM is the option for high-security environments.</w:t>
      </w:r>
      <w:r>
        <w:rPr>
          <w:rStyle w:val="FootnoteReference"/>
        </w:rPr>
        <w:footnoteReference w:id="397"/>
      </w:r>
      <w:r>
        <w:rPr>
          <w:rStyle w:val="FootnoteReference"/>
        </w:rPr>
        <w:footnoteReference w:id="398"/>
      </w:r>
      <w:r>
        <w:t xml:space="preserve"> </w:t>
      </w:r>
      <w:r>
        <w:t xml:space="preserve">Trust anchors on a domain controller are held in the forest directory partition and can replicate to every domain controller; Windows supports RFC 5011 automatic trust-anchor update on rollover.</w:t>
      </w:r>
      <w:r>
        <w:rPr>
          <w:rStyle w:val="FootnoteReference"/>
        </w:rPr>
        <w:footnoteReference w:id="399"/>
      </w:r>
      <w:r>
        <w:rPr>
          <w:rStyle w:val="FootnoteReference"/>
        </w:rPr>
        <w:footnoteReference w:id="401"/>
      </w:r>
      <w:r>
        <w:t xml:space="preserve"> </w:t>
      </w:r>
      <w:r>
        <w:t xml:space="preserve">Windows 10 and 11 clients are non-validating security-aware stub resolvers; they don’t validate, but the Name Resolution Policy Table can require that the resolver validated a given namespace.</w:t>
      </w:r>
      <w:r>
        <w:rPr>
          <w:rStyle w:val="FootnoteReference"/>
        </w:rPr>
        <w:footnoteReference w:id="403"/>
      </w:r>
    </w:p>
    <w:p>
      <w:pPr>
        <w:pStyle w:val="Compact"/>
        <w:numPr>
          <w:ilvl w:val="0"/>
          <w:numId w:val="1028"/>
        </w:numPr>
      </w:pPr>
      <w:r>
        <w:rPr>
          <w:b/>
          <w:bCs/>
        </w:rPr>
        <w:t xml:space="preserve">Azure.</w:t>
      </w:r>
      <w:r>
        <w:t xml:space="preserve"> </w:t>
      </w:r>
      <w:r>
        <w:t xml:space="preserve">Azure DNS signs public zones only, with ECDSAP256SHA256, rolls the ZSK automatically, and handles KSK replacement through support; Microsoft’s documentation describes DNSSEC for Azure Public DNS and nothing for Azure Private DNS zones. The default Azure-provided resolver doesn’t perform DNSSEC validation, so workloads that need validation must use a validating resolver the agency controls.</w:t>
      </w:r>
      <w:r>
        <w:rPr>
          <w:rStyle w:val="FootnoteReference"/>
        </w:rPr>
        <w:footnoteReference w:id="404"/>
      </w:r>
      <w:r>
        <w:rPr>
          <w:rStyle w:val="FootnoteReference"/>
        </w:rPr>
        <w:footnoteReference w:id="405"/>
      </w:r>
      <w:r>
        <w:t xml:space="preserve"> </w:t>
      </w:r>
      <w:r>
        <w:t xml:space="preserve">Entra ID consumes FQDNs but does nothing for DNSSEC or private endpoint DNS.</w:t>
      </w:r>
    </w:p>
    <w:p>
      <w:pPr>
        <w:pStyle w:val="Compact"/>
        <w:numPr>
          <w:ilvl w:val="0"/>
          <w:numId w:val="1028"/>
        </w:numPr>
      </w:pPr>
      <w:r>
        <w:rPr>
          <w:b/>
          <w:bCs/>
        </w:rPr>
        <w:t xml:space="preserve">AWS.</w:t>
      </w:r>
      <w:r>
        <w:t xml:space="preserve"> </w:t>
      </w:r>
      <w:r>
        <w:t xml:space="preserve">Route 53 supports DNSSEC signing for public hosted zones only; you can’t sign a private hosted zone. The customer owns the KSK, as an asymmetric KMS key, and Route 53 manages the ZSK.</w:t>
      </w:r>
      <w:r>
        <w:rPr>
          <w:rStyle w:val="FootnoteReference"/>
        </w:rPr>
        <w:footnoteReference w:id="407"/>
      </w:r>
      <w:r>
        <w:t xml:space="preserve"> </w:t>
      </w:r>
      <w:r>
        <w:t xml:space="preserve">VPC Resolver validation can be enabled per VPC and applies to public signed names during recursion; when the resolver forwards, the target resolver must validate. The VPC Resolver ignores the DO and CD bits and doesn’t set the AD bit, so a client can’t do its own validation through it.</w:t>
      </w:r>
      <w:r>
        <w:rPr>
          <w:rStyle w:val="FootnoteReference"/>
        </w:rPr>
        <w:footnoteReference w:id="409"/>
      </w:r>
    </w:p>
    <w:p>
      <w:pPr>
        <w:pStyle w:val="Compact"/>
        <w:numPr>
          <w:ilvl w:val="0"/>
          <w:numId w:val="1028"/>
        </w:numPr>
      </w:pPr>
      <w:r>
        <w:rPr>
          <w:b/>
          <w:bCs/>
        </w:rPr>
        <w:t xml:space="preserve">Everywhere.</w:t>
      </w:r>
      <w:r>
        <w:t xml:space="preserve"> </w:t>
      </w:r>
      <w:r>
        <w:t xml:space="preserve">Zones that must be signed are signed by the DDI platform, or by the cloud DNS service under DDI control, with rollover automated in one place. Validation happens on resolvers the agency controls, and redirect-dns and cloud forwarding point at those resolvers.</w:t>
      </w:r>
    </w:p>
    <w:p>
      <w:pPr>
        <w:pStyle w:val="FirstParagraph"/>
      </w:pPr>
      <w:r>
        <w:t xml:space="preserve">Microsoft’s tools show the signed data directly.</w:t>
      </w:r>
      <w:r>
        <w:t xml:space="preserve"> </w:t>
      </w:r>
      <w:r>
        <w:rPr>
          <w:rStyle w:val="VerbatimChar"/>
        </w:rPr>
        <w:t xml:space="preserve">nslookup</w:t>
      </w:r>
      <w:r>
        <w:t xml:space="preserve"> </w:t>
      </w:r>
      <w:r>
        <w:t xml:space="preserve">isn’t DNSSEC-aware and shouldn’t be used for this;</w:t>
      </w:r>
      <w:r>
        <w:t xml:space="preserve"> </w:t>
      </w:r>
      <w:r>
        <w:rPr>
          <w:rStyle w:val="VerbatimChar"/>
        </w:rPr>
        <w:t xml:space="preserve">Resolve-DnsName</w:t>
      </w:r>
      <w:r>
        <w:t xml:space="preserve"> </w:t>
      </w:r>
      <w:r>
        <w:t xml:space="preserve">with</w:t>
      </w:r>
      <w:r>
        <w:t xml:space="preserve"> </w:t>
      </w:r>
      <w:r>
        <w:rPr>
          <w:rStyle w:val="VerbatimChar"/>
        </w:rPr>
        <w:t xml:space="preserve">-DnssecOk</w:t>
      </w:r>
      <w:r>
        <w:t xml:space="preserve"> </w:t>
      </w:r>
      <w:r>
        <w:t xml:space="preserve">returns the RRSIG records alongside the answer.</w:t>
      </w:r>
      <w:r>
        <w:rPr>
          <w:rStyle w:val="FootnoteReference"/>
        </w:rPr>
        <w:footnoteReference w:id="411"/>
      </w:r>
    </w:p>
    <w:bookmarkEnd w:id="412"/>
    <w:bookmarkStart w:id="413" w:name="Xb38c96e9c129ec1666aca194c337cee83c6b609"/>
    <w:p>
      <w:pPr>
        <w:pStyle w:val="Heading2"/>
      </w:pPr>
      <w:bookmarkStart w:id="1080" w:name="_Toc00001080"/>
      <w:r>
        <w:t xml:space="preserve">Illustrative, not tested against a production zone</w:t>
      </w:r>
      <w:bookmarkEnd w:id="1080"/>
    </w:p>
    <w:p>
      <w:pPr>
        <w:pStyle w:val="FirstParagraph"/>
      </w:pPr>
      <w:r>
        <w:t xml:space="preserve">The commands below are read-only illustrations checked against Microsoft Learn for cmdlet and parameter names. They haven’t been tested against a production zone. The names are placeholders.</w:t>
      </w:r>
    </w:p>
    <w:bookmarkEnd w:id="413"/>
    <w:p>
      <w:pPr>
        <w:pStyle w:val="SourceCode"/>
      </w:pPr>
      <w:r>
        <w:rPr>
          <w:rStyle w:val="CommentTok"/>
        </w:rPr>
        <w:t xml:space="preserve"># A signed answer: the A record plus its RRSIG</w:t>
      </w:r>
      <w:r>
        <w:br/>
      </w:r>
      <w:r>
        <w:rPr>
          <w:rStyle w:val="NormalTok"/>
        </w:rPr>
        <w:t xml:space="preserve">Resolve-DnsName </w:t>
      </w:r>
      <w:r>
        <w:rPr>
          <w:rStyle w:val="OperatorTok"/>
        </w:rPr>
        <w:t xml:space="preserve">-</w:t>
      </w:r>
      <w:r>
        <w:rPr>
          <w:rStyle w:val="NormalTok"/>
        </w:rPr>
        <w:t xml:space="preserve">Name www</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A </w:t>
      </w:r>
      <w:r>
        <w:rPr>
          <w:rStyle w:val="OperatorTok"/>
        </w:rPr>
        <w:t xml:space="preserve">-</w:t>
      </w:r>
      <w:r>
        <w:rPr>
          <w:rStyle w:val="NormalTok"/>
        </w:rPr>
        <w:t xml:space="preserve">DnssecOk</w:t>
      </w:r>
      <w:r>
        <w:br/>
      </w:r>
      <w:r>
        <w:br/>
      </w:r>
      <w:r>
        <w:rPr>
          <w:rStyle w:val="CommentTok"/>
        </w:rPr>
        <w:t xml:space="preserve"># The zone's public keys</w:t>
      </w:r>
      <w:r>
        <w:br/>
      </w:r>
      <w:r>
        <w:rPr>
          <w:rStyle w:val="NormalTok"/>
        </w:rPr>
        <w:t xml:space="preserve">Resolve-DnsName </w:t>
      </w:r>
      <w:r>
        <w:rPr>
          <w:rStyle w:val="OperatorTok"/>
        </w:rPr>
        <w:t xml:space="preserve">-</w:t>
      </w:r>
      <w:r>
        <w:rPr>
          <w:rStyle w:val="NormalTok"/>
        </w:rPr>
        <w:t xml:space="preserve">Name 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DNSKEY </w:t>
      </w:r>
      <w:r>
        <w:rPr>
          <w:rStyle w:val="OperatorTok"/>
        </w:rPr>
        <w:t xml:space="preserve">-</w:t>
      </w:r>
      <w:r>
        <w:rPr>
          <w:rStyle w:val="NormalTok"/>
        </w:rPr>
        <w:t xml:space="preserve">DnssecOk</w:t>
      </w:r>
      <w:r>
        <w:br/>
      </w:r>
      <w:r>
        <w:br/>
      </w:r>
      <w:r>
        <w:rPr>
          <w:rStyle w:val="CommentTok"/>
        </w:rPr>
        <w:t xml:space="preserve"># On a Windows DNS server: signing settings and keys for a zone</w:t>
      </w:r>
      <w:r>
        <w:br/>
      </w:r>
      <w:r>
        <w:rPr>
          <w:rStyle w:val="NormalTok"/>
        </w:rPr>
        <w:t xml:space="preserve">Get-DnsServerDnsSecZoneSetting </w:t>
      </w:r>
      <w:r>
        <w:rPr>
          <w:rStyle w:val="OperatorTok"/>
        </w:rPr>
        <w:t xml:space="preserve">-</w:t>
      </w:r>
      <w:r>
        <w:rPr>
          <w:rStyle w:val="NormalTok"/>
        </w:rPr>
        <w:t xml:space="preserve">ZoneName example</w:t>
      </w:r>
      <w:r>
        <w:rPr>
          <w:rStyle w:val="OperatorTok"/>
        </w:rPr>
        <w:t xml:space="preserve">.</w:t>
      </w:r>
      <w:r>
        <w:rPr>
          <w:rStyle w:val="FunctionTok"/>
        </w:rPr>
        <w:t xml:space="preserve">gov</w:t>
      </w:r>
      <w:r>
        <w:br/>
      </w:r>
      <w:r>
        <w:rPr>
          <w:rStyle w:val="NormalTok"/>
        </w:rPr>
        <w:t xml:space="preserve">Get-DnsServerSigningKey </w:t>
      </w:r>
      <w:r>
        <w:rPr>
          <w:rStyle w:val="OperatorTok"/>
        </w:rPr>
        <w:t xml:space="preserve">-</w:t>
      </w:r>
      <w:r>
        <w:rPr>
          <w:rStyle w:val="NormalTok"/>
        </w:rPr>
        <w:t xml:space="preserve">ZoneName example</w:t>
      </w:r>
      <w:r>
        <w:rPr>
          <w:rStyle w:val="OperatorTok"/>
        </w:rPr>
        <w:t xml:space="preserve">.</w:t>
      </w:r>
      <w:r>
        <w:rPr>
          <w:rStyle w:val="FunctionTok"/>
        </w:rPr>
        <w:t xml:space="preserve">gov</w:t>
      </w:r>
    </w:p>
    <w:bookmarkStart w:id="419" w:name="moving-signed-zones"/>
    <w:p>
      <w:pPr>
        <w:pStyle w:val="Heading3"/>
      </w:pPr>
      <w:r>
        <w:t xml:space="preserve">Moving signed zones</w:t>
      </w:r>
    </w:p>
    <w:p>
      <w:pPr>
        <w:pStyle w:val="FirstParagraph"/>
      </w:pPr>
      <w:r>
        <w:t xml:space="preserve">Signed zones move by their own sequence, which Chapter 10’s Phase 6 relies on:</w:t>
      </w:r>
    </w:p>
    <w:p>
      <w:pPr>
        <w:pStyle w:val="Compact"/>
        <w:numPr>
          <w:ilvl w:val="0"/>
          <w:numId w:val="1029"/>
        </w:numPr>
      </w:pPr>
      <w:r>
        <w:rPr>
          <w:b/>
          <w:bCs/>
        </w:rPr>
        <w:t xml:space="preserve">Finish key rollovers first.</w:t>
      </w:r>
      <w:r>
        <w:t xml:space="preserve"> </w:t>
      </w:r>
      <w:r>
        <w:t xml:space="preserve">Complete any ZSK or KSK rollover in progress before a signed zone migrates, and start no new rollover during the migration.</w:t>
      </w:r>
    </w:p>
    <w:p>
      <w:pPr>
        <w:pStyle w:val="Compact"/>
        <w:numPr>
          <w:ilvl w:val="0"/>
          <w:numId w:val="1029"/>
        </w:numPr>
      </w:pPr>
      <w:r>
        <w:rPr>
          <w:b/>
          <w:bCs/>
        </w:rPr>
        <w:t xml:space="preserve">Keep the old signing until the new chain validates.</w:t>
      </w:r>
      <w:r>
        <w:t xml:space="preserve"> </w:t>
      </w:r>
      <w:r>
        <w:t xml:space="preserve">Sign the zone on its new platform, publish the new DS record at the parent (for an external zone, through the registrar), confirm from an independent validator that the new chain of trust holds, and only then stop signing at the source. Removing DNSSEC is the reverse: Microsoft documents that the DS record must be removed from the parent and its TTL allowed to expire before a zone is unsigned.</w:t>
      </w:r>
      <w:r>
        <w:rPr>
          <w:rStyle w:val="FootnoteReference"/>
        </w:rPr>
        <w:footnoteReference w:id="414"/>
      </w:r>
    </w:p>
    <w:p>
      <w:pPr>
        <w:pStyle w:val="Compact"/>
        <w:numPr>
          <w:ilvl w:val="0"/>
          <w:numId w:val="1029"/>
        </w:numPr>
      </w:pPr>
      <w:r>
        <w:rPr>
          <w:b/>
          <w:bCs/>
        </w:rPr>
        <w:t xml:space="preserve">Watch validation failures during the move</w:t>
      </w:r>
      <w:r>
        <w:t xml:space="preserve">, on the validators, since clients see only generic failures.</w:t>
      </w:r>
      <w:r>
        <w:rPr>
          <w:rStyle w:val="FootnoteReference"/>
        </w:rPr>
        <w:footnoteReference w:id="416"/>
      </w:r>
    </w:p>
    <w:p>
      <w:pPr>
        <w:pStyle w:val="Compact"/>
        <w:numPr>
          <w:ilvl w:val="0"/>
          <w:numId w:val="1029"/>
        </w:numPr>
      </w:pPr>
      <w:r>
        <w:rPr>
          <w:b/>
          <w:bCs/>
        </w:rPr>
        <w:t xml:space="preserve">Decide internal zones on their merits.</w:t>
      </w:r>
      <w:r>
        <w:t xml:space="preserve"> </w:t>
      </w:r>
      <w:r>
        <w:t xml:space="preserve">Where an internal zone was signed on AD DNS and lands on a platform that can’t sign private zones, such as Azure Private DNS, that is a documented risk decision, not an implementation detail. The DNS Modernization Guide listed compensating controls for this case. Two of them don’t hold as written and have been corrected: Azure virtual network traffic isn’t encrypted by default. Virtual network encryption has to be enabled, covers only traffic between VMs on supported sizes with Accelerated Networking, enforces only</w:t>
      </w:r>
      <w:r>
        <w:t xml:space="preserve"> </w:t>
      </w:r>
      <w:r>
        <w:rPr>
          <w:rStyle w:val="VerbatimChar"/>
        </w:rPr>
        <w:t xml:space="preserve">AllowUnencrypted</w:t>
      </w:r>
      <w:r>
        <w:t xml:space="preserve"> </w:t>
      </w:r>
      <w:r>
        <w:t xml:space="preserve">(so traffic to unsupported VMs flows in the clear), and is in public preview in Azure Government;</w:t>
      </w:r>
      <w:r>
        <w:rPr>
          <w:rStyle w:val="FootnoteReference"/>
        </w:rPr>
        <w:footnoteReference w:id="417"/>
      </w:r>
      <w:r>
        <w:t xml:space="preserve"> </w:t>
      </w:r>
      <w:r>
        <w:t xml:space="preserve">and Private Link removes the public endpoint from the path but doesn’t make DNS answers inside the network tamper-proof. Network isolation of the resolution path and restricting DNS traffic to authorized resolvers remain valid compensations, and NIST’s own position that internal signing is of limited value where it isn’t required (</w:t>
      </w:r>
      <w:hyperlink w:anchor="X4dbde0f18411b407facacdc54d79a83a494622d">
        <w:r>
          <w:rPr>
            <w:rStyle w:val="Hyperlink"/>
          </w:rPr>
          <w:t xml:space="preserve">above</w:t>
        </w:r>
      </w:hyperlink>
      <w:r>
        <w:t xml:space="preserve">) is the stronger argument.</w:t>
      </w:r>
    </w:p>
    <w:p>
      <w:pPr>
        <w:pStyle w:val="Compact"/>
        <w:numPr>
          <w:ilvl w:val="0"/>
          <w:numId w:val="1029"/>
        </w:numPr>
      </w:pPr>
      <w:r>
        <w:rPr>
          <w:b/>
          <w:bCs/>
        </w:rPr>
        <w:t xml:space="preserve">Remove retired trust anchors</w:t>
      </w:r>
      <w:r>
        <w:t xml:space="preserve"> </w:t>
      </w:r>
      <w:r>
        <w:t xml:space="preserve">for decommissioned zones from validators after the program’s 90-day validation period, so stale anchors don’t cause failures later.</w:t>
      </w:r>
    </w:p>
    <w:bookmarkEnd w:id="419"/>
    <w:bookmarkStart w:id="420" w:name="what-this-chapter-establishes-5"/>
    <w:p>
      <w:pPr>
        <w:pStyle w:val="Heading2"/>
      </w:pPr>
      <w:bookmarkStart w:id="1081" w:name="_Toc00001081"/>
      <w:r>
        <w:t xml:space="preserve">What this chapter establishes</w:t>
      </w:r>
      <w:bookmarkEnd w:id="1081"/>
    </w:p>
    <w:p>
      <w:pPr>
        <w:pStyle w:val="Compact"/>
        <w:numPr>
          <w:ilvl w:val="0"/>
          <w:numId w:val="1030"/>
        </w:numPr>
      </w:pPr>
      <w:r>
        <w:t xml:space="preserve">DNS identity is the first link in the trust chain for certificates, FQDN-based policy and tokens; under split-brain, PKI and access failures are DNS failures in disguise.</w:t>
      </w:r>
    </w:p>
    <w:p>
      <w:pPr>
        <w:pStyle w:val="Compact"/>
        <w:numPr>
          <w:ilvl w:val="0"/>
          <w:numId w:val="1030"/>
        </w:numPr>
      </w:pPr>
      <w:r>
        <w:t xml:space="preserve">Token-based authentication changes the DNS surface rather than shrinking it: national-cloud sign-in endpoints, SANs and revocation endpoints must all resolve consistently from every origin.</w:t>
      </w:r>
    </w:p>
    <w:p>
      <w:pPr>
        <w:pStyle w:val="Compact"/>
        <w:numPr>
          <w:ilvl w:val="0"/>
          <w:numId w:val="1030"/>
        </w:numPr>
      </w:pPr>
      <w:r>
        <w:t xml:space="preserve">Certificate wildcards match one label and DNS wildcards can match many; name constraints are the only cryptographic geographic scope, and client support for them must be tested.</w:t>
      </w:r>
    </w:p>
    <w:p>
      <w:pPr>
        <w:pStyle w:val="Compact"/>
        <w:numPr>
          <w:ilvl w:val="0"/>
          <w:numId w:val="1030"/>
        </w:numPr>
      </w:pPr>
      <w:r>
        <w:t xml:space="preserve">Validate DNSSEC on resolvers the agency controls, sign external zones always, and sign internal zones only where required; Azure and Route 53 sign public zones only, and neither default cloud resolver gives the agency validation it controls.</w:t>
      </w:r>
    </w:p>
    <w:bookmarkEnd w:id="420"/>
    <w:bookmarkStart w:id="421" w:name="continue-the-book-5"/>
    <w:p>
      <w:pPr>
        <w:pStyle w:val="Heading2"/>
      </w:pPr>
      <w:bookmarkStart w:id="1082" w:name="_Toc00001082"/>
      <w:r>
        <w:t xml:space="preserve">Continue the book</w:t>
      </w:r>
      <w:bookmarkEnd w:id="1082"/>
    </w:p>
    <w:p>
      <w:pPr>
        <w:pStyle w:val="FirstParagraph"/>
      </w:pPr>
      <w:r>
        <w:t xml:space="preserve">← Previous: Chapter 05 — Edge Interception, Encrypted DNS and Rogue DHCP · Book index · Next: Chapter 07 — Cloud Private Endpoints, SDN and IPAM Consistency →</w:t>
      </w:r>
    </w:p>
    <w:bookmarkEnd w:id="421"/>
    <w:bookmarkEnd w:id="422"/>
    <w:bookmarkStart w:id="530" w:name="X031aaf619fb9c6960c0bf4c081ae9ade7e86666"/>
    <w:p>
      <w:pPr>
        <w:pStyle w:val="Heading1"/>
      </w:pPr>
      <w:bookmarkStart w:id="1083" w:name="_Toc00001083"/>
      <w:r>
        <w:t xml:space="preserve">Chapter 07 — Cloud Private Endpoints, SDN and IPAM Consistency</w:t>
      </w:r>
      <w:bookmarkEnd w:id="1083"/>
    </w:p>
    <w:p>
      <w:pPr>
        <w:pStyle w:val="FirstParagraph"/>
      </w:pPr>
      <w:r>
        <w:rPr>
          <w:i/>
          <w:iCs/>
        </w:rPr>
        <w:t xml:space="preserve">Every cloud ships its own private DNS and its own address manager; unless one plane governs both, names and addresses drift apart one console at a time.</w:t>
      </w:r>
    </w:p>
    <w:bookmarkStart w:id="423" w:name="in-this-chapter-6"/>
    <w:p>
      <w:pPr>
        <w:pStyle w:val="Heading2"/>
      </w:pPr>
      <w:bookmarkStart w:id="1084" w:name="_Toc00001084"/>
      <w:r>
        <w:t xml:space="preserve">In this chapter</w:t>
      </w:r>
      <w:bookmarkEnd w:id="1084"/>
    </w:p>
    <w:p>
      <w:pPr>
        <w:pStyle w:val="FirstParagraph"/>
      </w:pPr>
      <w:r>
        <w:t xml:space="preserve">How AWS, Azure, Google Cloud and VMware NSX each implement private DNS, and why their differences matter. How Azure private endpoints resolve, which zones must be forwarded from every origin, how to build the Azure DNS Private Resolver in a hub-and-spoke network, and the three hybrid resolution patterns with their validation and rollback steps. How enterprise IPAM stays the authority for address blocks across AWS VPC IPAM, Azure Virtual Network Manager, Google Cloud and VMware Cloud Foundation, and what IPv6 adds.</w:t>
      </w:r>
    </w:p>
    <w:bookmarkEnd w:id="423"/>
    <w:bookmarkStart w:id="444" w:name="how-each-platform-implements-private-dns"/>
    <w:p>
      <w:pPr>
        <w:pStyle w:val="Heading2"/>
      </w:pPr>
      <w:bookmarkStart w:id="1085" w:name="_Toc00001085"/>
      <w:r>
        <w:t xml:space="preserve">How each platform implements private DNS</w:t>
      </w:r>
      <w:bookmarkEnd w:id="1085"/>
    </w:p>
    <w:p>
      <w:pPr>
        <w:pStyle w:val="FirstParagraph"/>
      </w:pPr>
      <w:r>
        <w:t xml:space="preserve">Each cloud provider and VMware ships its own private DNS service, because DNS is the connective tissue of everything else the platform does. Each has its own console, API, zone model and failure behavior, and none was designed to share policy with the others. The differences below are the reason a single policy plane has to hold the forwarding rules between them.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Platform</w:t>
            </w:r>
          </w:p>
        </w:tc>
        <w:tc>
          <w:tcPr/>
          <w:p>
            <w:pPr>
              <w:pStyle w:val="Compact"/>
            </w:pPr>
            <w:r>
              <w:t xml:space="preserve">Private namespace</w:t>
            </w:r>
          </w:p>
        </w:tc>
        <w:tc>
          <w:tcPr/>
          <w:p>
            <w:pPr>
              <w:pStyle w:val="Compact"/>
            </w:pPr>
            <w:r>
              <w:t xml:space="preserve">Entry point for queries from outside</w:t>
            </w:r>
          </w:p>
        </w:tc>
        <w:tc>
          <w:tcPr/>
          <w:p>
            <w:pPr>
              <w:pStyle w:val="Compact"/>
            </w:pPr>
            <w:r>
              <w:t xml:space="preserve">Forwarding out</w:t>
            </w:r>
          </w:p>
        </w:tc>
        <w:tc>
          <w:tcPr/>
          <w:p>
            <w:pPr>
              <w:pStyle w:val="Compact"/>
            </w:pPr>
            <w:r>
              <w:t xml:space="preserve">DNS-layer policy</w:t>
            </w:r>
          </w:p>
        </w:tc>
      </w:tr>
      <w:tr>
        <w:tc>
          <w:tcPr/>
          <w:p>
            <w:pPr>
              <w:pStyle w:val="Compact"/>
            </w:pPr>
            <w:r>
              <w:t xml:space="preserve">AWS</w:t>
            </w:r>
          </w:p>
        </w:tc>
        <w:tc>
          <w:tcPr/>
          <w:p>
            <w:pPr>
              <w:pStyle w:val="Compact"/>
            </w:pPr>
            <w:r>
              <w:t xml:space="preserve">Route 53 private hosted zones, answered by the Route 53 VPC Resolver at the VPC+2 address</w:t>
            </w:r>
            <w:r>
              <w:rPr>
                <w:rStyle w:val="FootnoteReference"/>
              </w:rPr>
              <w:footnoteReference w:id="424"/>
            </w:r>
          </w:p>
        </w:tc>
        <w:tc>
          <w:tcPr/>
          <w:p>
            <w:pPr>
              <w:pStyle w:val="Compact"/>
            </w:pPr>
            <w:r>
              <w:t xml:space="preserve">VPC Resolver inbound endpoint</w:t>
            </w:r>
          </w:p>
        </w:tc>
        <w:tc>
          <w:tcPr/>
          <w:p>
            <w:pPr>
              <w:pStyle w:val="Compact"/>
            </w:pPr>
            <w:r>
              <w:t xml:space="preserve">Outbound endpoint plus Resolver rules (one rule per domain; rules can be shared across accounts)</w:t>
            </w:r>
            <w:r>
              <w:rPr>
                <w:rStyle w:val="FootnoteReference"/>
              </w:rPr>
              <w:footnoteReference w:id="425"/>
            </w:r>
          </w:p>
        </w:tc>
        <w:tc>
          <w:tcPr/>
          <w:p>
            <w:pPr>
              <w:pStyle w:val="Compact"/>
            </w:pPr>
            <w:r>
              <w:t xml:space="preserve">Resolver DNS Firewall filters outbound queries that pass through the VPC Resolver</w:t>
            </w:r>
            <w:r>
              <w:rPr>
                <w:rStyle w:val="FootnoteReference"/>
              </w:rPr>
              <w:footnoteReference w:id="426"/>
            </w:r>
          </w:p>
        </w:tc>
      </w:tr>
      <w:tr>
        <w:tc>
          <w:tcPr/>
          <w:p>
            <w:pPr>
              <w:pStyle w:val="Compact"/>
            </w:pPr>
            <w:r>
              <w:t xml:space="preserve">Azure</w:t>
            </w:r>
          </w:p>
        </w:tc>
        <w:tc>
          <w:tcPr/>
          <w:p>
            <w:pPr>
              <w:pStyle w:val="Compact"/>
            </w:pPr>
            <w:r>
              <w:t xml:space="preserve">Private DNS zones, resolvable only from virtual networks linked to the zone</w:t>
            </w:r>
            <w:r>
              <w:rPr>
                <w:rStyle w:val="FootnoteReference"/>
              </w:rPr>
              <w:footnoteReference w:id="427"/>
            </w:r>
          </w:p>
        </w:tc>
        <w:tc>
          <w:tcPr/>
          <w:p>
            <w:pPr>
              <w:pStyle w:val="Compact"/>
            </w:pPr>
            <w:r>
              <w:t xml:space="preserve">DNS Private Resolver inbound endpoint</w:t>
            </w:r>
            <w:r>
              <w:rPr>
                <w:rStyle w:val="FootnoteReference"/>
              </w:rPr>
              <w:footnoteReference w:id="429"/>
            </w:r>
          </w:p>
        </w:tc>
        <w:tc>
          <w:tcPr/>
          <w:p>
            <w:pPr>
              <w:pStyle w:val="Compact"/>
            </w:pPr>
            <w:r>
              <w:t xml:space="preserve">Outbound endpoint plus DNS forwarding rulesets linked to virtual networks</w:t>
            </w:r>
            <w:r>
              <w:rPr>
                <w:rStyle w:val="FootnoteReference"/>
              </w:rPr>
              <w:footnoteReference w:id="431"/>
            </w:r>
          </w:p>
        </w:tc>
        <w:tc>
          <w:tcPr/>
          <w:p>
            <w:pPr>
              <w:pStyle w:val="Compact"/>
            </w:pPr>
            <w:r>
              <w:t xml:space="preserve">DNS resolver policy: allow, block or alert on domain lists, including a Microsoft-managed threat intelligence list</w:t>
            </w:r>
            <w:r>
              <w:rPr>
                <w:rStyle w:val="FootnoteReference"/>
              </w:rPr>
              <w:footnoteReference w:id="432"/>
            </w:r>
          </w:p>
        </w:tc>
      </w:tr>
      <w:tr>
        <w:tc>
          <w:tcPr/>
          <w:p>
            <w:pPr>
              <w:pStyle w:val="Compact"/>
            </w:pPr>
            <w:r>
              <w:t xml:space="preserve">Google Cloud</w:t>
            </w:r>
          </w:p>
        </w:tc>
        <w:tc>
          <w:tcPr/>
          <w:p>
            <w:pPr>
              <w:pStyle w:val="Compact"/>
            </w:pPr>
            <w:r>
              <w:t xml:space="preserve">Cloud DNS private zones scoped to VPC networks; VMs query the metadata server at</w:t>
            </w:r>
            <w:r>
              <w:t xml:space="preserve"> </w:t>
            </w:r>
            <w:r>
              <w:rPr>
                <w:rStyle w:val="VerbatimChar"/>
              </w:rPr>
              <w:t xml:space="preserve">169.254.169.254</w:t>
            </w:r>
            <w:r>
              <w:rPr>
                <w:rStyle w:val="FootnoteReference"/>
              </w:rPr>
              <w:footnoteReference w:id="434"/>
            </w:r>
          </w:p>
        </w:tc>
        <w:tc>
          <w:tcPr/>
          <w:p>
            <w:pPr>
              <w:pStyle w:val="Compact"/>
            </w:pPr>
            <w:r>
              <w:t xml:space="preserve">Inbound server policy entry points in the VPC network</w:t>
            </w:r>
            <w:r>
              <w:rPr>
                <w:rStyle w:val="FootnoteReference"/>
              </w:rPr>
              <w:footnoteReference w:id="435"/>
            </w:r>
          </w:p>
        </w:tc>
        <w:tc>
          <w:tcPr/>
          <w:p>
            <w:pPr>
              <w:pStyle w:val="Compact"/>
            </w:pPr>
            <w:r>
              <w:t xml:space="preserve">Forwarding zones (per domain) and outbound server policies; peering zones resolve across VPC networks</w:t>
            </w:r>
            <w:r>
              <w:rPr>
                <w:rStyle w:val="FootnoteReference"/>
              </w:rPr>
              <w:footnoteReference w:id="436"/>
            </w:r>
            <w:r>
              <w:rPr>
                <w:rStyle w:val="FootnoteReference"/>
              </w:rPr>
              <w:footnoteReference w:id="438"/>
            </w:r>
          </w:p>
        </w:tc>
        <w:tc>
          <w:tcPr/>
          <w:p>
            <w:pPr>
              <w:pStyle w:val="Compact"/>
            </w:pPr>
            <w:r>
              <w:t xml:space="preserve">Response policies, rules the resolver consults during lookups (one per network)</w:t>
            </w:r>
            <w:r>
              <w:rPr>
                <w:rStyle w:val="FootnoteReference"/>
              </w:rPr>
              <w:footnoteReference w:id="439"/>
            </w:r>
          </w:p>
        </w:tc>
      </w:tr>
      <w:tr>
        <w:tc>
          <w:tcPr/>
          <w:p>
            <w:pPr>
              <w:pStyle w:val="Compact"/>
            </w:pPr>
            <w:r>
              <w:t xml:space="preserve">VMware NSX</w:t>
            </w:r>
          </w:p>
        </w:tc>
        <w:tc>
          <w:tcPr/>
          <w:p>
            <w:pPr>
              <w:pStyle w:val="Compact"/>
            </w:pPr>
            <w:r>
              <w:t xml:space="preserve">No cloud-style private zone; the NSX DNS Forwarder Service on the gateway holds a default zone and up to five FQDN zones of up to three servers each</w:t>
            </w:r>
            <w:r>
              <w:rPr>
                <w:rStyle w:val="FootnoteReference"/>
              </w:rPr>
              <w:footnoteReference w:id="440"/>
            </w:r>
          </w:p>
        </w:tc>
        <w:tc>
          <w:tcPr/>
          <w:p>
            <w:pPr>
              <w:pStyle w:val="Compact"/>
            </w:pPr>
            <w:r>
              <w:t xml:space="preserve">The forwarder’s service IP, used by workloads only if they are configured to use it</w:t>
            </w:r>
            <w:r>
              <w:rPr>
                <w:rStyle w:val="FootnoteReference"/>
              </w:rPr>
              <w:footnoteReference w:id="442"/>
            </w:r>
          </w:p>
        </w:tc>
        <w:tc>
          <w:tcPr/>
          <w:p>
            <w:pPr>
              <w:pStyle w:val="Compact"/>
            </w:pPr>
            <w:r>
              <w:t xml:space="preserve">FQDN zones forward named domains to designated servers</w:t>
            </w:r>
          </w:p>
        </w:tc>
        <w:tc>
          <w:tcPr/>
          <w:p>
            <w:pPr>
              <w:pStyle w:val="Compact"/>
            </w:pPr>
            <w:r>
              <w:t xml:space="preserve">None beyond forwarding</w:t>
            </w:r>
          </w:p>
        </w:tc>
      </w:tr>
    </w:tbl>
    <w:p>
      <w:pPr>
        <w:pStyle w:val="BodyText"/>
      </w:pPr>
      <w:r>
        <w:t xml:space="preserve">Three consequences follow. AWS has been renaming its pieces: the service formerly called Route 53 Resolver is now the Route 53 VPC Resolver, renamed when Route 53 Global Resolver was introduced, so older runbooks and diagrams use the old name.</w:t>
      </w:r>
      <w:r>
        <w:rPr>
          <w:rStyle w:val="FootnoteReference"/>
        </w:rPr>
        <w:footnoteReference w:id="443"/>
      </w:r>
      <w:r>
        <w:t xml:space="preserve"> </w:t>
      </w:r>
      <w:r>
        <w:t xml:space="preserve">Azure’s private zones exist only for linked virtual networks, so a private endpoint name resolves to its private address only from a path that reaches a resolver inside a linked network. And VMware workloads resolve through whichever DNS server their segment or VM is configured with; the NSX forwarder is opt-in, which makes the resolution path invisible from an on-premises DNS console.</w:t>
      </w:r>
    </w:p>
    <w:p>
      <w:pPr>
        <w:pStyle w:val="BodyText"/>
      </w:pPr>
      <w:r>
        <w:t xml:space="preserve">The management burden follows directly. A single new Azure private endpoint can require changes in the Azure private zone, the Private Resolver rulesets, AWS Resolver rules and on-premises conditional forwarders (Chapter 01). The forwarding rules that connect the platforms typically belong to no single team: the cloud team owns cloud DNS, the network team owns the DDI grid, the Windows team owns AD DNS. Chapter 09 assigns that ownership.</w:t>
      </w:r>
    </w:p>
    <w:bookmarkEnd w:id="444"/>
    <w:bookmarkStart w:id="503" w:name="azure-dns-and-private-endpoints"/>
    <w:p>
      <w:pPr>
        <w:pStyle w:val="Heading2"/>
      </w:pPr>
      <w:bookmarkStart w:id="1086" w:name="_Toc00001086"/>
      <w:r>
        <w:t xml:space="preserve">Azure DNS and private endpoints</w:t>
      </w:r>
      <w:bookmarkEnd w:id="1086"/>
    </w:p>
    <w:bookmarkStart w:id="448" w:name="fig-ch07-private-endpoint-forwarding"/>
    <w:p>
      <w:pPr>
        <w:pStyle w:val="CaptionedFigure"/>
      </w:pPr>
      <w:r>
        <w:drawing>
          <wp:inline>
            <wp:extent cx="5334000" cy="2115844"/>
            <wp:effectExtent b="0" l="0" r="0" t="0"/>
            <wp:docPr descr="Every origin forwards the service’s public zone to one resolution point inside Azure." title="" id="446" name="Picture"/>
            <a:graphic>
              <a:graphicData uri="http://schemas.openxmlformats.org/drawingml/2006/picture">
                <pic:pic>
                  <pic:nvPicPr>
                    <pic:cNvPr descr="/home/runner/work/modernization-workbook/modernization-workbook/docs/images/diagrams/b08-ddi/png/ch07-private-endpoint-forwarding.png" id="447" name="Picture"/>
                    <pic:cNvPicPr>
                      <a:picLocks noChangeArrowheads="1" noChangeAspect="1"/>
                    </pic:cNvPicPr>
                  </pic:nvPicPr>
                  <pic:blipFill>
                    <a:blip r:embed="rId445"/>
                    <a:stretch>
                      <a:fillRect/>
                    </a:stretch>
                  </pic:blipFill>
                  <pic:spPr bwMode="auto">
                    <a:xfrm>
                      <a:off x="0" y="0"/>
                      <a:ext cx="5334000" cy="2115844"/>
                    </a:xfrm>
                    <a:prstGeom prst="rect">
                      <a:avLst/>
                    </a:prstGeom>
                    <a:noFill/>
                    <a:ln w="9525">
                      <a:noFill/>
                      <a:headEnd/>
                      <a:tailEnd/>
                    </a:ln>
                  </pic:spPr>
                </pic:pic>
              </a:graphicData>
            </a:graphic>
          </wp:inline>
        </w:drawing>
      </w:r>
    </w:p>
    <w:p>
      <w:pPr>
        <w:pStyle w:val="ImageCaption"/>
      </w:pPr>
      <w:r>
        <w:t xml:space="preserve">Every origin forwards the service’s public zone to one resolution point inside Azure.</w:t>
      </w:r>
    </w:p>
    <w:bookmarkEnd w:id="448"/>
    <w:p>
      <w:pPr>
        <w:pStyle w:val="BodyText"/>
      </w:pPr>
      <w:r>
        <w:t xml:space="preserve">Azure private endpoints are the most common source of private-IP split-brain in hybrid environments (Chapter 02). Getting them right takes deliberate DNS design rather than reliance on Azure’s default public resolution.</w:t>
      </w:r>
    </w:p>
    <w:bookmarkStart w:id="458" w:name="core-behavior"/>
    <w:p>
      <w:pPr>
        <w:pStyle w:val="Heading3"/>
      </w:pPr>
      <w:r>
        <w:t xml:space="preserve">Core behavior</w:t>
      </w:r>
    </w:p>
    <w:p>
      <w:pPr>
        <w:pStyle w:val="FirstParagraph"/>
      </w:pPr>
      <w:r>
        <w:t xml:space="preserve">When a private endpoint is created with private DNS integration, Azure creates a private DNS zone group that writes the endpoint’s A record into the matching</w:t>
      </w:r>
      <w:r>
        <w:t xml:space="preserve"> </w:t>
      </w:r>
      <w:r>
        <w:rPr>
          <w:rStyle w:val="VerbatimChar"/>
        </w:rPr>
        <w:t xml:space="preserve">privatelink</w:t>
      </w:r>
      <w:r>
        <w:t xml:space="preserve"> </w:t>
      </w:r>
      <w:r>
        <w:t xml:space="preserve">zone, such as</w:t>
      </w:r>
      <w:r>
        <w:t xml:space="preserve"> </w:t>
      </w:r>
      <w:r>
        <w:rPr>
          <w:rStyle w:val="VerbatimChar"/>
        </w:rPr>
        <w:t xml:space="preserve">privatelink.blob.core.windows.net</w:t>
      </w:r>
      <w:r>
        <w:t xml:space="preserve">, and deletes the records when the endpoint is deleted.</w:t>
      </w:r>
      <w:r>
        <w:rPr>
          <w:rStyle w:val="FootnoteReference"/>
        </w:rPr>
        <w:footnoteReference w:id="449"/>
      </w:r>
      <w:r>
        <w:t xml:space="preserve"> </w:t>
      </w:r>
      <w:r>
        <w:t xml:space="preserve">Public DNS carries a CNAME from the service name into the</w:t>
      </w:r>
      <w:r>
        <w:t xml:space="preserve"> </w:t>
      </w:r>
      <w:r>
        <w:rPr>
          <w:rStyle w:val="VerbatimChar"/>
        </w:rPr>
        <w:t xml:space="preserve">privatelink</w:t>
      </w:r>
      <w:r>
        <w:t xml:space="preserve"> </w:t>
      </w:r>
      <w:r>
        <w:t xml:space="preserve">name, so connection strings do not change.</w:t>
      </w:r>
      <w:r>
        <w:rPr>
          <w:rStyle w:val="FootnoteReference"/>
        </w:rPr>
        <w:footnoteReference w:id="451"/>
      </w:r>
      <w:r>
        <w:t xml:space="preserve"> </w:t>
      </w:r>
      <w:r>
        <w:t xml:space="preserve">The private answer comes back only when the query reaches a resolver that can see a private zone linked to its virtual network: the Azure-provided resolver in a linked network, or a DNS Private Resolver inbound endpoint in a linked network (or another resolver forwarding to one).</w:t>
      </w:r>
      <w:r>
        <w:rPr>
          <w:rStyle w:val="FootnoteReference"/>
        </w:rPr>
        <w:footnoteReference w:id="453"/>
      </w:r>
      <w:r>
        <w:t xml:space="preserve"> </w:t>
      </w:r>
      <w:r>
        <w:t xml:space="preserve">A query that falls through to public recursion follows the public CNAME chain and gets the public address. Private DNS zones are global resources, not tied to a region or a single virtual network.</w:t>
      </w:r>
      <w:r>
        <w:rPr>
          <w:rStyle w:val="FootnoteReference"/>
        </w:rPr>
        <w:footnoteReference w:id="454"/>
      </w:r>
    </w:p>
    <w:p>
      <w:pPr>
        <w:pStyle w:val="BodyText"/>
      </w:pPr>
      <w:r>
        <w:t xml:space="preserve">Three behaviors catch teams out:</w:t>
      </w:r>
    </w:p>
    <w:p>
      <w:pPr>
        <w:pStyle w:val="Compact"/>
        <w:numPr>
          <w:ilvl w:val="0"/>
          <w:numId w:val="1031"/>
        </w:numPr>
      </w:pPr>
      <w:r>
        <w:rPr>
          <w:b/>
          <w:bCs/>
        </w:rPr>
        <w:t xml:space="preserve">DNS answers do not grant access.</w:t>
      </w:r>
      <w:r>
        <w:t xml:space="preserve"> </w:t>
      </w:r>
      <w:r>
        <w:t xml:space="preserve">The public CNAME chain is resolvable from anywhere by design; whether a caller can connect is decided by the service’s public network access setting and firewall, not by DNS.</w:t>
      </w:r>
      <w:r>
        <w:rPr>
          <w:rStyle w:val="FootnoteReference"/>
        </w:rPr>
        <w:footnoteReference w:id="455"/>
      </w:r>
      <w:r>
        <w:t xml:space="preserve"> </w:t>
      </w:r>
      <w:r>
        <w:t xml:space="preserve">A wrong DNS answer therefore shows up as a connection over the public path or as an access denial, not as a DNS error.</w:t>
      </w:r>
    </w:p>
    <w:p>
      <w:pPr>
        <w:pStyle w:val="Compact"/>
        <w:numPr>
          <w:ilvl w:val="0"/>
          <w:numId w:val="1031"/>
        </w:numPr>
      </w:pPr>
      <w:r>
        <w:rPr>
          <w:b/>
          <w:bCs/>
        </w:rPr>
        <w:t xml:space="preserve">One zone per service type, everywhere.</w:t>
      </w:r>
      <w:r>
        <w:t xml:space="preserve"> </w:t>
      </w:r>
      <w:r>
        <w:t xml:space="preserve">Microsoft recommends a single private DNS zone of each name across all networks; separate zones with the same name for different networks need manual record merging, and a zone already serving one service should not be associated with a second service’s private endpoints.</w:t>
      </w:r>
      <w:r>
        <w:rPr>
          <w:rStyle w:val="FootnoteReference"/>
        </w:rPr>
        <w:footnoteReference w:id="456"/>
      </w:r>
    </w:p>
    <w:p>
      <w:pPr>
        <w:pStyle w:val="Compact"/>
        <w:numPr>
          <w:ilvl w:val="0"/>
          <w:numId w:val="1031"/>
        </w:numPr>
      </w:pPr>
      <w:r>
        <w:rPr>
          <w:b/>
          <w:bCs/>
        </w:rPr>
        <w:t xml:space="preserve">The NXDOMAIN trap.</w:t>
      </w:r>
      <w:r>
        <w:t xml:space="preserve"> </w:t>
      </w:r>
      <w:r>
        <w:t xml:space="preserve">Once a network uses a</w:t>
      </w:r>
      <w:r>
        <w:t xml:space="preserve"> </w:t>
      </w:r>
      <w:r>
        <w:rPr>
          <w:rStyle w:val="VerbatimChar"/>
        </w:rPr>
        <w:t xml:space="preserve">privatelink</w:t>
      </w:r>
      <w:r>
        <w:t xml:space="preserve"> </w:t>
      </w:r>
      <w:r>
        <w:t xml:space="preserve">zone for a service type, a lookup for a public resource of that type that has its own private endpoint elsewhere (for example, a partner’s storage account) returns NXDOMAIN, because the CNAME leads into your private zone where no record exists. Microsoft’s fix is the</w:t>
      </w:r>
      <w:r>
        <w:t xml:space="preserve"> </w:t>
      </w:r>
      <w:r>
        <w:t xml:space="preserve">“fallback to internet”</w:t>
      </w:r>
      <w:r>
        <w:t xml:space="preserve"> </w:t>
      </w:r>
      <w:r>
        <w:t xml:space="preserve">setting on the zone’s virtual network link.</w:t>
      </w:r>
      <w:r>
        <w:rPr>
          <w:rStyle w:val="FootnoteReference"/>
        </w:rPr>
        <w:footnoteReference w:id="457"/>
      </w:r>
    </w:p>
    <w:bookmarkEnd w:id="458"/>
    <w:bookmarkStart w:id="465" w:name="zones-to-plan-for"/>
    <w:p>
      <w:pPr>
        <w:pStyle w:val="Heading3"/>
      </w:pPr>
      <w:r>
        <w:t xml:space="preserve">Zones to plan for</w:t>
      </w:r>
    </w:p>
    <w:p>
      <w:pPr>
        <w:pStyle w:val="FirstParagraph"/>
      </w:pPr>
      <w:r>
        <w:t xml:space="preserve">Use Microsoft’s recommended zone names: records are generated automatically only for those names.</w:t>
      </w:r>
      <w:r>
        <w:rPr>
          <w:rStyle w:val="FootnoteReference"/>
        </w:rPr>
        <w:footnoteReference w:id="459"/>
      </w:r>
      <w:r>
        <w:t xml:space="preserve"> </w:t>
      </w:r>
      <w:r>
        <w:t xml:space="preserve">Conditional forwarders on non-Azure resolvers must point at the</w:t>
      </w:r>
      <w:r>
        <w:t xml:space="preserve"> </w:t>
      </w:r>
      <w:r>
        <w:rPr>
          <w:b/>
          <w:bCs/>
        </w:rPr>
        <w:t xml:space="preserve">public DNS zone forwarder</w:t>
      </w:r>
      <w:r>
        <w:t xml:space="preserve"> </w:t>
      </w:r>
      <w:r>
        <w:t xml:space="preserve">for each service, for example</w:t>
      </w:r>
      <w:r>
        <w:t xml:space="preserve"> </w:t>
      </w:r>
      <w:r>
        <w:rPr>
          <w:rStyle w:val="VerbatimChar"/>
        </w:rPr>
        <w:t xml:space="preserve">database.windows.net</w:t>
      </w:r>
      <w:r>
        <w:t xml:space="preserve">, not</w:t>
      </w:r>
      <w:r>
        <w:t xml:space="preserve"> </w:t>
      </w:r>
      <w:r>
        <w:rPr>
          <w:rStyle w:val="VerbatimChar"/>
        </w:rPr>
        <w:t xml:space="preserve">privatelink.database.windows.net</w:t>
      </w:r>
      <w:r>
        <w:t xml:space="preserve">.</w:t>
      </w:r>
      <w:r>
        <w:rPr>
          <w:rStyle w:val="FootnoteReference"/>
        </w:rPr>
        <w:footnoteReference w:id="460"/>
      </w:r>
      <w:r>
        <w:t xml:space="preserve"> </w:t>
      </w:r>
      <w:r>
        <w:t xml:space="preserve">Azure Government uses different names, so a design that spans both clouds needs both sets. Every zone in the table holds A records.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Service</w:t>
            </w:r>
          </w:p>
        </w:tc>
        <w:tc>
          <w:tcPr/>
          <w:p>
            <w:pPr>
              <w:pStyle w:val="Compact"/>
            </w:pPr>
            <w:r>
              <w:t xml:space="preserve">Private DNS zone (Azure commercial)</w:t>
            </w:r>
          </w:p>
        </w:tc>
        <w:tc>
          <w:tcPr/>
          <w:p>
            <w:pPr>
              <w:pStyle w:val="Compact"/>
            </w:pPr>
            <w:r>
              <w:t xml:space="preserve">Forward from other resolvers</w:t>
            </w:r>
          </w:p>
        </w:tc>
        <w:tc>
          <w:tcPr/>
          <w:p>
            <w:pPr>
              <w:pStyle w:val="Compact"/>
            </w:pPr>
            <w:r>
              <w:t xml:space="preserve">Azure Government private DNS zone</w:t>
            </w:r>
          </w:p>
        </w:tc>
      </w:tr>
      <w:tr>
        <w:tc>
          <w:tcPr/>
          <w:p>
            <w:pPr>
              <w:pStyle w:val="Compact"/>
            </w:pPr>
            <w:r>
              <w:t xml:space="preserve">Storage (blob, file, table, queue)</w:t>
            </w:r>
          </w:p>
        </w:tc>
        <w:tc>
          <w:tcPr/>
          <w:p>
            <w:pPr>
              <w:pStyle w:val="Compact"/>
            </w:pPr>
            <w:r>
              <w:rPr>
                <w:rStyle w:val="VerbatimChar"/>
              </w:rPr>
              <w:t xml:space="preserve">privatelink.blob.core.windows.net</w:t>
            </w:r>
            <w:r>
              <w:t xml:space="preserve"> </w:t>
            </w:r>
            <w:r>
              <w:t xml:space="preserve">and the matching</w:t>
            </w:r>
            <w:r>
              <w:t xml:space="preserve"> </w:t>
            </w:r>
            <w:r>
              <w:rPr>
                <w:rStyle w:val="VerbatimChar"/>
              </w:rPr>
              <w:t xml:space="preserve">file</w:t>
            </w:r>
            <w:r>
              <w:t xml:space="preserve">,</w:t>
            </w:r>
            <w:r>
              <w:t xml:space="preserve"> </w:t>
            </w:r>
            <w:r>
              <w:rPr>
                <w:rStyle w:val="VerbatimChar"/>
              </w:rPr>
              <w:t xml:space="preserve">table</w:t>
            </w:r>
            <w:r>
              <w:t xml:space="preserve">,</w:t>
            </w:r>
            <w:r>
              <w:t xml:space="preserve"> </w:t>
            </w:r>
            <w:r>
              <w:rPr>
                <w:rStyle w:val="VerbatimChar"/>
              </w:rPr>
              <w:t xml:space="preserve">queue</w:t>
            </w:r>
            <w:r>
              <w:t xml:space="preserve"> </w:t>
            </w:r>
            <w:r>
              <w:t xml:space="preserve">zones</w:t>
            </w:r>
          </w:p>
        </w:tc>
        <w:tc>
          <w:tcPr/>
          <w:p>
            <w:pPr>
              <w:pStyle w:val="Compact"/>
            </w:pPr>
            <w:r>
              <w:rPr>
                <w:rStyle w:val="VerbatimChar"/>
              </w:rPr>
              <w:t xml:space="preserve">blob.core.windows.net</w:t>
            </w:r>
            <w:r>
              <w:t xml:space="preserve">,</w:t>
            </w:r>
            <w:r>
              <w:t xml:space="preserve"> </w:t>
            </w:r>
            <w:r>
              <w:rPr>
                <w:rStyle w:val="VerbatimChar"/>
              </w:rPr>
              <w:t xml:space="preserve">file.core.windows.net</w:t>
            </w:r>
            <w:r>
              <w:t xml:space="preserve">,</w:t>
            </w:r>
            <w:r>
              <w:t xml:space="preserve"> </w:t>
            </w:r>
            <w:r>
              <w:rPr>
                <w:rStyle w:val="VerbatimChar"/>
              </w:rPr>
              <w:t xml:space="preserve">table.core.windows.net</w:t>
            </w:r>
            <w:r>
              <w:t xml:space="preserve">,</w:t>
            </w:r>
            <w:r>
              <w:t xml:space="preserve"> </w:t>
            </w:r>
            <w:r>
              <w:rPr>
                <w:rStyle w:val="VerbatimChar"/>
              </w:rPr>
              <w:t xml:space="preserve">queue.core.windows.net</w:t>
            </w:r>
          </w:p>
        </w:tc>
        <w:tc>
          <w:tcPr/>
          <w:p>
            <w:pPr>
              <w:pStyle w:val="Compact"/>
            </w:pPr>
            <w:r>
              <w:rPr>
                <w:rStyle w:val="VerbatimChar"/>
              </w:rPr>
              <w:t xml:space="preserve">privatelink.blob.core.usgovcloudapi.net</w:t>
            </w:r>
            <w:r>
              <w:t xml:space="preserve"> </w:t>
            </w:r>
            <w:r>
              <w:t xml:space="preserve">and matching zones</w:t>
            </w:r>
          </w:p>
        </w:tc>
      </w:tr>
      <w:tr>
        <w:tc>
          <w:tcPr/>
          <w:p>
            <w:pPr>
              <w:pStyle w:val="Compact"/>
            </w:pPr>
            <w:r>
              <w:t xml:space="preserve">Azure SQL Database</w:t>
            </w:r>
          </w:p>
        </w:tc>
        <w:tc>
          <w:tcPr/>
          <w:p>
            <w:pPr>
              <w:pStyle w:val="Compact"/>
            </w:pPr>
            <w:r>
              <w:rPr>
                <w:rStyle w:val="VerbatimChar"/>
              </w:rPr>
              <w:t xml:space="preserve">privatelink.database.windows.net</w:t>
            </w:r>
          </w:p>
        </w:tc>
        <w:tc>
          <w:tcPr/>
          <w:p>
            <w:pPr>
              <w:pStyle w:val="Compact"/>
            </w:pPr>
            <w:r>
              <w:rPr>
                <w:rStyle w:val="VerbatimChar"/>
              </w:rPr>
              <w:t xml:space="preserve">database.windows.net</w:t>
            </w:r>
          </w:p>
        </w:tc>
        <w:tc>
          <w:tcPr/>
          <w:p>
            <w:pPr>
              <w:pStyle w:val="Compact"/>
            </w:pPr>
            <w:r>
              <w:rPr>
                <w:rStyle w:val="VerbatimChar"/>
              </w:rPr>
              <w:t xml:space="preserve">privatelink.database.usgovcloudapi.net</w:t>
            </w:r>
          </w:p>
        </w:tc>
      </w:tr>
      <w:tr>
        <w:tc>
          <w:tcPr/>
          <w:p>
            <w:pPr>
              <w:pStyle w:val="Compact"/>
            </w:pPr>
            <w:r>
              <w:t xml:space="preserve">Azure Cosmos DB (NoSQL)</w:t>
            </w:r>
          </w:p>
        </w:tc>
        <w:tc>
          <w:tcPr/>
          <w:p>
            <w:pPr>
              <w:pStyle w:val="Compact"/>
            </w:pPr>
            <w:r>
              <w:rPr>
                <w:rStyle w:val="VerbatimChar"/>
              </w:rPr>
              <w:t xml:space="preserve">privatelink.documents.azure.com</w:t>
            </w:r>
          </w:p>
        </w:tc>
        <w:tc>
          <w:tcPr/>
          <w:p>
            <w:pPr>
              <w:pStyle w:val="Compact"/>
            </w:pPr>
            <w:r>
              <w:rPr>
                <w:rStyle w:val="VerbatimChar"/>
              </w:rPr>
              <w:t xml:space="preserve">documents.azure.com</w:t>
            </w:r>
          </w:p>
        </w:tc>
        <w:tc>
          <w:tcPr/>
          <w:p>
            <w:pPr>
              <w:pStyle w:val="Compact"/>
            </w:pPr>
            <w:r>
              <w:rPr>
                <w:rStyle w:val="VerbatimChar"/>
              </w:rPr>
              <w:t xml:space="preserve">privatelink.documents.azure.us</w:t>
            </w:r>
          </w:p>
        </w:tc>
      </w:tr>
      <w:tr>
        <w:tc>
          <w:tcPr/>
          <w:p>
            <w:pPr>
              <w:pStyle w:val="Compact"/>
            </w:pPr>
            <w:r>
              <w:t xml:space="preserve">Azure Key Vault</w:t>
            </w:r>
          </w:p>
        </w:tc>
        <w:tc>
          <w:tcPr/>
          <w:p>
            <w:pPr>
              <w:pStyle w:val="Compact"/>
            </w:pPr>
            <w:r>
              <w:rPr>
                <w:rStyle w:val="VerbatimChar"/>
              </w:rPr>
              <w:t xml:space="preserve">privatelink.vaultcore.azure.net</w:t>
            </w:r>
          </w:p>
        </w:tc>
        <w:tc>
          <w:tcPr/>
          <w:p>
            <w:pPr>
              <w:pStyle w:val="Compact"/>
            </w:pPr>
            <w:r>
              <w:rPr>
                <w:rStyle w:val="VerbatimChar"/>
              </w:rPr>
              <w:t xml:space="preserve">vault.azure.net</w:t>
            </w:r>
            <w:r>
              <w:t xml:space="preserve">,</w:t>
            </w:r>
            <w:r>
              <w:t xml:space="preserve"> </w:t>
            </w:r>
            <w:r>
              <w:rPr>
                <w:rStyle w:val="VerbatimChar"/>
              </w:rPr>
              <w:t xml:space="preserve">vaultcore.azure.net</w:t>
            </w:r>
          </w:p>
        </w:tc>
        <w:tc>
          <w:tcPr/>
          <w:p>
            <w:pPr>
              <w:pStyle w:val="Compact"/>
            </w:pPr>
            <w:r>
              <w:rPr>
                <w:rStyle w:val="VerbatimChar"/>
              </w:rPr>
              <w:t xml:space="preserve">privatelink.vaultcore.usgovcloudapi.net</w:t>
            </w:r>
          </w:p>
        </w:tc>
      </w:tr>
      <w:tr>
        <w:tc>
          <w:tcPr/>
          <w:p>
            <w:pPr>
              <w:pStyle w:val="Compact"/>
            </w:pPr>
            <w:r>
              <w:t xml:space="preserve">Azure Container Registry</w:t>
            </w:r>
          </w:p>
        </w:tc>
        <w:tc>
          <w:tcPr/>
          <w:p>
            <w:pPr>
              <w:pStyle w:val="Compact"/>
            </w:pPr>
            <w:r>
              <w:rPr>
                <w:rStyle w:val="VerbatimChar"/>
              </w:rPr>
              <w:t xml:space="preserve">privatelink.azurecr.io</w:t>
            </w:r>
          </w:p>
        </w:tc>
        <w:tc>
          <w:tcPr/>
          <w:p>
            <w:pPr>
              <w:pStyle w:val="Compact"/>
            </w:pPr>
            <w:r>
              <w:rPr>
                <w:rStyle w:val="VerbatimChar"/>
              </w:rPr>
              <w:t xml:space="preserve">azurecr.io</w:t>
            </w:r>
          </w:p>
        </w:tc>
        <w:tc>
          <w:tcPr/>
          <w:p>
            <w:pPr>
              <w:pStyle w:val="Compact"/>
            </w:pPr>
            <w:r>
              <w:rPr>
                <w:rStyle w:val="VerbatimChar"/>
              </w:rPr>
              <w:t xml:space="preserve">privatelink.azurecr.us</w:t>
            </w:r>
          </w:p>
        </w:tc>
      </w:tr>
      <w:tr>
        <w:tc>
          <w:tcPr/>
          <w:p>
            <w:pPr>
              <w:pStyle w:val="Compact"/>
            </w:pPr>
            <w:r>
              <w:t xml:space="preserve">Event Hubs, Service Bus, Relay</w:t>
            </w:r>
          </w:p>
        </w:tc>
        <w:tc>
          <w:tcPr/>
          <w:p>
            <w:pPr>
              <w:pStyle w:val="Compact"/>
            </w:pPr>
            <w:r>
              <w:rPr>
                <w:rStyle w:val="VerbatimChar"/>
              </w:rPr>
              <w:t xml:space="preserve">privatelink.servicebus.windows.net</w:t>
            </w:r>
            <w:r>
              <w:t xml:space="preserve"> </w:t>
            </w:r>
            <w:r>
              <w:t xml:space="preserve">(shared)</w:t>
            </w:r>
          </w:p>
        </w:tc>
        <w:tc>
          <w:tcPr/>
          <w:p>
            <w:pPr>
              <w:pStyle w:val="Compact"/>
            </w:pPr>
            <w:r>
              <w:rPr>
                <w:rStyle w:val="VerbatimChar"/>
              </w:rPr>
              <w:t xml:space="preserve">servicebus.windows.net</w:t>
            </w:r>
          </w:p>
        </w:tc>
        <w:tc>
          <w:tcPr/>
          <w:p>
            <w:pPr>
              <w:pStyle w:val="Compact"/>
            </w:pPr>
            <w:r>
              <w:rPr>
                <w:rStyle w:val="VerbatimChar"/>
              </w:rPr>
              <w:t xml:space="preserve">privatelink.servicebus.usgovcloudapi.net</w:t>
            </w:r>
          </w:p>
        </w:tc>
      </w:tr>
      <w:tr>
        <w:tc>
          <w:tcPr/>
          <w:p>
            <w:pPr>
              <w:pStyle w:val="Compact"/>
            </w:pPr>
            <w:r>
              <w:t xml:space="preserve">App Service and Functions</w:t>
            </w:r>
          </w:p>
        </w:tc>
        <w:tc>
          <w:tcPr/>
          <w:p>
            <w:pPr>
              <w:pStyle w:val="Compact"/>
            </w:pPr>
            <w:r>
              <w:rPr>
                <w:rStyle w:val="VerbatimChar"/>
              </w:rPr>
              <w:t xml:space="preserve">privatelink.azurewebsites.net</w:t>
            </w:r>
          </w:p>
        </w:tc>
        <w:tc>
          <w:tcPr/>
          <w:p>
            <w:pPr>
              <w:pStyle w:val="Compact"/>
            </w:pPr>
            <w:r>
              <w:rPr>
                <w:rStyle w:val="VerbatimChar"/>
              </w:rPr>
              <w:t xml:space="preserve">azurewebsites.net</w:t>
            </w:r>
            <w:r>
              <w:t xml:space="preserve">,</w:t>
            </w:r>
            <w:r>
              <w:t xml:space="preserve"> </w:t>
            </w:r>
            <w:r>
              <w:rPr>
                <w:rStyle w:val="VerbatimChar"/>
              </w:rPr>
              <w:t xml:space="preserve">scm.azurewebsites.net</w:t>
            </w:r>
          </w:p>
        </w:tc>
        <w:tc>
          <w:tcPr/>
          <w:p>
            <w:pPr>
              <w:pStyle w:val="Compact"/>
            </w:pPr>
            <w:r>
              <w:rPr>
                <w:rStyle w:val="VerbatimChar"/>
              </w:rPr>
              <w:t xml:space="preserve">privatelink.azurewebsites.us</w:t>
            </w:r>
          </w:p>
        </w:tc>
      </w:tr>
      <w:tr>
        <w:tc>
          <w:tcPr/>
          <w:p>
            <w:pPr>
              <w:pStyle w:val="Compact"/>
            </w:pPr>
            <w:r>
              <w:t xml:space="preserve">Azure Monitor (Private Link Scope)</w:t>
            </w:r>
          </w:p>
        </w:tc>
        <w:tc>
          <w:tcPr/>
          <w:p>
            <w:pPr>
              <w:pStyle w:val="Compact"/>
            </w:pPr>
            <w:r>
              <w:rPr>
                <w:rStyle w:val="VerbatimChar"/>
              </w:rPr>
              <w:t xml:space="preserve">privatelink.monitor.azure.com</w:t>
            </w:r>
            <w:r>
              <w:t xml:space="preserve">,</w:t>
            </w:r>
            <w:r>
              <w:t xml:space="preserve"> </w:t>
            </w:r>
            <w:r>
              <w:rPr>
                <w:rStyle w:val="VerbatimChar"/>
              </w:rPr>
              <w:t xml:space="preserve">privatelink.oms.opinsights.azure.com</w:t>
            </w:r>
            <w:r>
              <w:t xml:space="preserve">,</w:t>
            </w:r>
            <w:r>
              <w:t xml:space="preserve"> </w:t>
            </w:r>
            <w:r>
              <w:rPr>
                <w:rStyle w:val="VerbatimChar"/>
              </w:rPr>
              <w:t xml:space="preserve">privatelink.ods.opinsights.azure.com</w:t>
            </w:r>
            <w:r>
              <w:t xml:space="preserve">,</w:t>
            </w:r>
            <w:r>
              <w:t xml:space="preserve"> </w:t>
            </w:r>
            <w:r>
              <w:rPr>
                <w:rStyle w:val="VerbatimChar"/>
              </w:rPr>
              <w:t xml:space="preserve">privatelink.agentsvc.azure-automation.net</w:t>
            </w:r>
            <w:r>
              <w:t xml:space="preserve">,</w:t>
            </w:r>
            <w:r>
              <w:t xml:space="preserve"> </w:t>
            </w:r>
            <w:r>
              <w:rPr>
                <w:rStyle w:val="VerbatimChar"/>
              </w:rPr>
              <w:t xml:space="preserve">privatelink.blob.core.windows.net</w:t>
            </w:r>
          </w:p>
        </w:tc>
        <w:tc>
          <w:tcPr/>
          <w:p>
            <w:pPr>
              <w:pStyle w:val="Compact"/>
            </w:pPr>
            <w:r>
              <w:rPr>
                <w:rStyle w:val="VerbatimChar"/>
              </w:rPr>
              <w:t xml:space="preserve">monitor.azure.com</w:t>
            </w:r>
            <w:r>
              <w:t xml:space="preserve">,</w:t>
            </w:r>
            <w:r>
              <w:t xml:space="preserve"> </w:t>
            </w:r>
            <w:r>
              <w:rPr>
                <w:rStyle w:val="VerbatimChar"/>
              </w:rPr>
              <w:t xml:space="preserve">oms.opinsights.azure.com</w:t>
            </w:r>
            <w:r>
              <w:t xml:space="preserve">,</w:t>
            </w:r>
            <w:r>
              <w:t xml:space="preserve"> </w:t>
            </w:r>
            <w:r>
              <w:rPr>
                <w:rStyle w:val="VerbatimChar"/>
              </w:rPr>
              <w:t xml:space="preserve">ods.opinsights.azure.com</w:t>
            </w:r>
            <w:r>
              <w:t xml:space="preserve">,</w:t>
            </w:r>
            <w:r>
              <w:t xml:space="preserve"> </w:t>
            </w:r>
            <w:r>
              <w:rPr>
                <w:rStyle w:val="VerbatimChar"/>
              </w:rPr>
              <w:t xml:space="preserve">agentsvc.azure-automation.net</w:t>
            </w:r>
            <w:r>
              <w:t xml:space="preserve">,</w:t>
            </w:r>
            <w:r>
              <w:t xml:space="preserve"> </w:t>
            </w:r>
            <w:r>
              <w:rPr>
                <w:rStyle w:val="VerbatimChar"/>
              </w:rPr>
              <w:t xml:space="preserve">blob.core.windows.net</w:t>
            </w:r>
            <w:r>
              <w:t xml:space="preserve"> </w:t>
            </w:r>
            <w:r>
              <w:t xml:space="preserve">and others</w:t>
            </w:r>
          </w:p>
        </w:tc>
        <w:tc>
          <w:tcPr/>
          <w:p>
            <w:pPr>
              <w:pStyle w:val="Compact"/>
            </w:pPr>
            <w:r>
              <w:rPr>
                <w:rStyle w:val="VerbatimChar"/>
              </w:rPr>
              <w:t xml:space="preserve">privatelink.monitor.azure.us</w:t>
            </w:r>
            <w:r>
              <w:t xml:space="preserve"> </w:t>
            </w:r>
            <w:r>
              <w:t xml:space="preserve">and matching zones</w:t>
            </w:r>
          </w:p>
        </w:tc>
      </w:tr>
      <w:tr>
        <w:tc>
          <w:tcPr/>
          <w:p>
            <w:pPr>
              <w:pStyle w:val="Compact"/>
            </w:pPr>
            <w:r>
              <w:t xml:space="preserve">Azure Automation</w:t>
            </w:r>
          </w:p>
        </w:tc>
        <w:tc>
          <w:tcPr/>
          <w:p>
            <w:pPr>
              <w:pStyle w:val="Compact"/>
            </w:pPr>
            <w:r>
              <w:rPr>
                <w:rStyle w:val="VerbatimChar"/>
              </w:rPr>
              <w:t xml:space="preserve">privatelink.azure-automation.net</w:t>
            </w:r>
          </w:p>
        </w:tc>
        <w:tc>
          <w:tcPr/>
          <w:p>
            <w:pPr>
              <w:pStyle w:val="Compact"/>
            </w:pPr>
            <w:r>
              <w:rPr>
                <w:rStyle w:val="VerbatimChar"/>
              </w:rPr>
              <w:t xml:space="preserve">{regionCode}.azure-automation.net</w:t>
            </w:r>
          </w:p>
        </w:tc>
        <w:tc>
          <w:tcPr/>
          <w:p>
            <w:pPr>
              <w:pStyle w:val="Compact"/>
            </w:pPr>
            <w:r>
              <w:rPr>
                <w:rStyle w:val="VerbatimChar"/>
              </w:rPr>
              <w:t xml:space="preserve">privatelink.azure-automation.us</w:t>
            </w:r>
          </w:p>
        </w:tc>
      </w:tr>
      <w:tr>
        <w:tc>
          <w:tcPr/>
          <w:p>
            <w:pPr>
              <w:pStyle w:val="Compact"/>
            </w:pPr>
            <w:r>
              <w:t xml:space="preserve">Foundry Tools (formerly Cognitive Services)</w:t>
            </w:r>
          </w:p>
        </w:tc>
        <w:tc>
          <w:tcPr/>
          <w:p>
            <w:pPr>
              <w:pStyle w:val="Compact"/>
            </w:pPr>
            <w:r>
              <w:rPr>
                <w:rStyle w:val="VerbatimChar"/>
              </w:rPr>
              <w:t xml:space="preserve">privatelink.cognitiveservices.azure.com</w:t>
            </w:r>
            <w:r>
              <w:t xml:space="preserve">,</w:t>
            </w:r>
            <w:r>
              <w:t xml:space="preserve"> </w:t>
            </w:r>
            <w:r>
              <w:rPr>
                <w:rStyle w:val="VerbatimChar"/>
              </w:rPr>
              <w:t xml:space="preserve">privatelink.openai.azure.com</w:t>
            </w:r>
            <w:r>
              <w:t xml:space="preserve">,</w:t>
            </w:r>
            <w:r>
              <w:t xml:space="preserve"> </w:t>
            </w:r>
            <w:r>
              <w:rPr>
                <w:rStyle w:val="VerbatimChar"/>
              </w:rPr>
              <w:t xml:space="preserve">privatelink.services.ai.azure.com</w:t>
            </w:r>
          </w:p>
        </w:tc>
        <w:tc>
          <w:tcPr/>
          <w:p>
            <w:pPr>
              <w:pStyle w:val="Compact"/>
            </w:pPr>
            <w:r>
              <w:rPr>
                <w:rStyle w:val="VerbatimChar"/>
              </w:rPr>
              <w:t xml:space="preserve">cognitiveservices.azure.com</w:t>
            </w:r>
            <w:r>
              <w:t xml:space="preserve">,</w:t>
            </w:r>
            <w:r>
              <w:t xml:space="preserve"> </w:t>
            </w:r>
            <w:r>
              <w:rPr>
                <w:rStyle w:val="VerbatimChar"/>
              </w:rPr>
              <w:t xml:space="preserve">openai.azure.com</w:t>
            </w:r>
            <w:r>
              <w:t xml:space="preserve">,</w:t>
            </w:r>
            <w:r>
              <w:t xml:space="preserve"> </w:t>
            </w:r>
            <w:r>
              <w:rPr>
                <w:rStyle w:val="VerbatimChar"/>
              </w:rPr>
              <w:t xml:space="preserve">services.ai.azure.com</w:t>
            </w:r>
          </w:p>
        </w:tc>
        <w:tc>
          <w:tcPr/>
          <w:p>
            <w:pPr>
              <w:pStyle w:val="Compact"/>
            </w:pPr>
            <w:r>
              <w:rPr>
                <w:rStyle w:val="VerbatimChar"/>
              </w:rPr>
              <w:t xml:space="preserve">privatelink.cognitiveservices.azure.us</w:t>
            </w:r>
          </w:p>
        </w:tc>
      </w:tr>
      <w:tr>
        <w:tc>
          <w:tcPr/>
          <w:p>
            <w:pPr>
              <w:pStyle w:val="Compact"/>
            </w:pPr>
            <w:r>
              <w:t xml:space="preserve">Azure Data Factory</w:t>
            </w:r>
          </w:p>
        </w:tc>
        <w:tc>
          <w:tcPr/>
          <w:p>
            <w:pPr>
              <w:pStyle w:val="Compact"/>
            </w:pPr>
            <w:r>
              <w:rPr>
                <w:rStyle w:val="VerbatimChar"/>
              </w:rPr>
              <w:t xml:space="preserve">privatelink.datafactory.azure.net</w:t>
            </w:r>
          </w:p>
        </w:tc>
        <w:tc>
          <w:tcPr/>
          <w:p>
            <w:pPr>
              <w:pStyle w:val="Compact"/>
            </w:pPr>
            <w:r>
              <w:rPr>
                <w:rStyle w:val="VerbatimChar"/>
              </w:rPr>
              <w:t xml:space="preserve">datafactory.azure.net</w:t>
            </w:r>
          </w:p>
        </w:tc>
        <w:tc>
          <w:tcPr/>
          <w:p>
            <w:pPr>
              <w:pStyle w:val="Compact"/>
            </w:pPr>
            <w:r>
              <w:rPr>
                <w:rStyle w:val="VerbatimChar"/>
              </w:rPr>
              <w:t xml:space="preserve">privatelink.datafactory.azure.us</w:t>
            </w:r>
          </w:p>
        </w:tc>
      </w:tr>
      <w:tr>
        <w:tc>
          <w:tcPr/>
          <w:p>
            <w:pPr>
              <w:pStyle w:val="Compact"/>
            </w:pPr>
            <w:r>
              <w:t xml:space="preserve">Azure SignalR</w:t>
            </w:r>
          </w:p>
        </w:tc>
        <w:tc>
          <w:tcPr/>
          <w:p>
            <w:pPr>
              <w:pStyle w:val="Compact"/>
            </w:pPr>
            <w:r>
              <w:rPr>
                <w:rStyle w:val="VerbatimChar"/>
              </w:rPr>
              <w:t xml:space="preserve">privatelink.service.signalr.net</w:t>
            </w:r>
          </w:p>
        </w:tc>
        <w:tc>
          <w:tcPr/>
          <w:p>
            <w:pPr>
              <w:pStyle w:val="Compact"/>
            </w:pPr>
            <w:r>
              <w:rPr>
                <w:rStyle w:val="VerbatimChar"/>
              </w:rPr>
              <w:t xml:space="preserve">service.signalr.net</w:t>
            </w:r>
          </w:p>
        </w:tc>
        <w:tc>
          <w:tcPr/>
          <w:p>
            <w:pPr>
              <w:pStyle w:val="Compact"/>
            </w:pPr>
            <w:r>
              <w:t xml:space="preserve">Not listed</w:t>
            </w:r>
          </w:p>
        </w:tc>
      </w:tr>
      <w:tr>
        <w:tc>
          <w:tcPr/>
          <w:p>
            <w:pPr>
              <w:pStyle w:val="Compact"/>
            </w:pPr>
            <w:r>
              <w:t xml:space="preserve">Azure Machine Learning workspace</w:t>
            </w:r>
          </w:p>
        </w:tc>
        <w:tc>
          <w:tcPr/>
          <w:p>
            <w:pPr>
              <w:pStyle w:val="Compact"/>
            </w:pPr>
            <w:r>
              <w:rPr>
                <w:rStyle w:val="VerbatimChar"/>
              </w:rPr>
              <w:t xml:space="preserve">privatelink.api.azureml.ms</w:t>
            </w:r>
            <w:r>
              <w:t xml:space="preserve">,</w:t>
            </w:r>
            <w:r>
              <w:t xml:space="preserve"> </w:t>
            </w:r>
            <w:r>
              <w:rPr>
                <w:rStyle w:val="VerbatimChar"/>
              </w:rPr>
              <w:t xml:space="preserve">privatelink.notebooks.azure.net</w:t>
            </w:r>
          </w:p>
        </w:tc>
        <w:tc>
          <w:tcPr/>
          <w:p>
            <w:pPr>
              <w:pStyle w:val="Compact"/>
            </w:pPr>
            <w:r>
              <w:rPr>
                <w:rStyle w:val="VerbatimChar"/>
              </w:rPr>
              <w:t xml:space="preserve">api.azureml.ms</w:t>
            </w:r>
            <w:r>
              <w:t xml:space="preserve">,</w:t>
            </w:r>
            <w:r>
              <w:t xml:space="preserve"> </w:t>
            </w:r>
            <w:r>
              <w:rPr>
                <w:rStyle w:val="VerbatimChar"/>
              </w:rPr>
              <w:t xml:space="preserve">notebooks.azure.net</w:t>
            </w:r>
            <w:r>
              <w:t xml:space="preserve"> </w:t>
            </w:r>
            <w:r>
              <w:t xml:space="preserve">and others</w:t>
            </w:r>
          </w:p>
        </w:tc>
        <w:tc>
          <w:tcPr/>
          <w:p>
            <w:pPr>
              <w:pStyle w:val="Compact"/>
            </w:pPr>
            <w:r>
              <w:rPr>
                <w:rStyle w:val="VerbatimChar"/>
              </w:rPr>
              <w:t xml:space="preserve">privatelink.api.ml.azure.us</w:t>
            </w:r>
            <w:r>
              <w:t xml:space="preserve">,</w:t>
            </w:r>
            <w:r>
              <w:t xml:space="preserve"> </w:t>
            </w:r>
            <w:r>
              <w:rPr>
                <w:rStyle w:val="VerbatimChar"/>
              </w:rPr>
              <w:t xml:space="preserve">privatelink.notebooks.usgovcloudapi.net</w:t>
            </w:r>
          </w:p>
        </w:tc>
      </w:tr>
    </w:tbl>
    <w:p>
      <w:pPr>
        <w:pStyle w:val="BodyText"/>
      </w:pPr>
      <w:r>
        <w:t xml:space="preserve">Microsoft’s full list is long and changes; treat this table as the common set and check the source before adding a service.</w:t>
      </w:r>
      <w:r>
        <w:rPr>
          <w:rStyle w:val="FootnoteReference"/>
        </w:rPr>
        <w:footnoteReference w:id="461"/>
      </w:r>
    </w:p>
    <w:p>
      <w:pPr>
        <w:pStyle w:val="BodyText"/>
      </w:pPr>
      <w:r>
        <w:t xml:space="preserve">Two kinds of record live in a private zone, and they are managed differently. Private endpoint records come from the private DNS zone group, which is the default and right choice for most endpoints; manual records are needed only for custom names or where policy requires explicit record management.</w:t>
      </w:r>
      <w:r>
        <w:rPr>
          <w:rStyle w:val="FootnoteReference"/>
        </w:rPr>
        <w:footnoteReference w:id="462"/>
      </w:r>
      <w:r>
        <w:t xml:space="preserve"> </w:t>
      </w:r>
      <w:r>
        <w:t xml:space="preserve">Virtual machine records come from</w:t>
      </w:r>
      <w:r>
        <w:t xml:space="preserve"> </w:t>
      </w:r>
      <w:r>
        <w:rPr>
          <w:b/>
          <w:bCs/>
        </w:rPr>
        <w:t xml:space="preserve">autoregistration</w:t>
      </w:r>
      <w:r>
        <w:t xml:space="preserve"> </w:t>
      </w:r>
      <w:r>
        <w:t xml:space="preserve">on a virtual network link, which creates and removes A records as VMs are created, stopped or deleted. Autoregistration covers only VMs and only their primary NIC, does not create PTR records, and lets each virtual network autoregister into only one zone.</w:t>
      </w:r>
      <w:r>
        <w:rPr>
          <w:rStyle w:val="FootnoteReference"/>
        </w:rPr>
        <w:footnoteReference w:id="463"/>
      </w:r>
      <w:r>
        <w:t xml:space="preserve"> </w:t>
      </w:r>
      <w:r>
        <w:t xml:space="preserve">It has no role in</w:t>
      </w:r>
      <w:r>
        <w:t xml:space="preserve"> </w:t>
      </w:r>
      <w:r>
        <w:rPr>
          <w:rStyle w:val="VerbatimChar"/>
        </w:rPr>
        <w:t xml:space="preserve">privatelink</w:t>
      </w:r>
      <w:r>
        <w:t xml:space="preserve"> </w:t>
      </w:r>
      <w:r>
        <w:t xml:space="preserve">zones; link those without registration.</w:t>
      </w:r>
    </w:p>
    <w:bookmarkEnd w:id="465"/>
    <w:bookmarkStart w:id="471" w:name="X9b08442f478ca29e7ba9354fef6a2dd83d7848a"/>
    <w:p>
      <w:pPr>
        <w:pStyle w:val="Heading3"/>
      </w:pPr>
      <w:r>
        <w:t xml:space="preserve">Recommended pattern with a unified control plane</w:t>
      </w:r>
    </w:p>
    <w:p>
      <w:pPr>
        <w:pStyle w:val="Compact"/>
        <w:numPr>
          <w:ilvl w:val="0"/>
          <w:numId w:val="1032"/>
        </w:numPr>
      </w:pPr>
      <w:r>
        <w:t xml:space="preserve">Make the DDI policy plane the system of record for the private namespaces and their forwarding rules (Chapter 08, Decision 3).</w:t>
      </w:r>
    </w:p>
    <w:p>
      <w:pPr>
        <w:pStyle w:val="Compact"/>
        <w:numPr>
          <w:ilvl w:val="0"/>
          <w:numId w:val="1032"/>
        </w:numPr>
      </w:pPr>
      <w:r>
        <w:t xml:space="preserve">Configure conditional forwarding so that on-premises resolvers, Route 53 VPC Resolver outbound rules, Google Cloud DNS forwarding zones and branch SD-WAN paths all send each service’s public zone to the Azure DNS Private Resolver inbound endpoint, or to an agency resolver that forwards there.</w:t>
      </w:r>
      <w:r>
        <w:rPr>
          <w:rStyle w:val="FootnoteReference"/>
        </w:rPr>
        <w:footnoteReference w:id="466"/>
      </w:r>
    </w:p>
    <w:p>
      <w:pPr>
        <w:pStyle w:val="Compact"/>
        <w:numPr>
          <w:ilvl w:val="0"/>
          <w:numId w:val="1032"/>
        </w:numPr>
      </w:pPr>
      <w:r>
        <w:t xml:space="preserve">Link the private DNS zones to the virtual network that hosts the inbound endpoint, and to any other network whose workloads resolve through the Azure-provided resolver.</w:t>
      </w:r>
      <w:r>
        <w:rPr>
          <w:rStyle w:val="FootnoteReference"/>
        </w:rPr>
        <w:footnoteReference w:id="467"/>
      </w:r>
    </w:p>
    <w:p>
      <w:pPr>
        <w:pStyle w:val="Compact"/>
        <w:numPr>
          <w:ilvl w:val="0"/>
          <w:numId w:val="1032"/>
        </w:numPr>
      </w:pPr>
      <w:r>
        <w:t xml:space="preserve">Validate end to end, from every major origin (on-premises, AWS, Google Cloud, branches), that the FQDN returns the private address and that traffic stays on the private path.</w:t>
      </w:r>
    </w:p>
    <w:p>
      <w:pPr>
        <w:pStyle w:val="Compact"/>
        <w:numPr>
          <w:ilvl w:val="0"/>
          <w:numId w:val="1032"/>
        </w:numPr>
      </w:pPr>
      <w:r>
        <w:t xml:space="preserve">Monitor for resolution-path anomalies, so that a missing or stale forwarding rule is found before it causes a silent fallback to the public path.</w:t>
      </w:r>
    </w:p>
    <w:p>
      <w:pPr>
        <w:pStyle w:val="FirstParagraph"/>
      </w:pPr>
      <w:r>
        <w:t xml:space="preserve">DDI platforms that synchronize records with Azure DNS have documented limits. Infoblox’s Azure DNS integration, for example, does not sync Azure DNS tags or records with non-simple routing policies, splits multi-value record sets into separate records, cannot change or delete Azure’s NS records, does not sync the SOA MNAME or serial number, and converts Azure alias records to CNAME or address records.</w:t>
      </w:r>
      <w:r>
        <w:rPr>
          <w:rStyle w:val="FootnoteReference"/>
        </w:rPr>
        <w:footnoteReference w:id="469"/>
      </w:r>
      <w:r>
        <w:t xml:space="preserve"> </w:t>
      </w:r>
      <w:r>
        <w:t xml:space="preserve">The vendor page does not say how synchronization interacts with private endpoint zones. Review the current documentation for any platform before relying on synchronization for a given zone; owning the forwarding rules and leaving</w:t>
      </w:r>
      <w:r>
        <w:t xml:space="preserve"> </w:t>
      </w:r>
      <w:r>
        <w:rPr>
          <w:rStyle w:val="VerbatimChar"/>
        </w:rPr>
        <w:t xml:space="preserve">privatelink</w:t>
      </w:r>
      <w:r>
        <w:t xml:space="preserve"> </w:t>
      </w:r>
      <w:r>
        <w:t xml:space="preserve">zones to Azure is often the simpler choice.</w:t>
      </w:r>
    </w:p>
    <w:bookmarkEnd w:id="471"/>
    <w:bookmarkStart w:id="495" w:name="X0276d33e07f4d17accac1644921d7d5fed9db50"/>
    <w:p>
      <w:pPr>
        <w:pStyle w:val="Heading3"/>
      </w:pPr>
      <w:r>
        <w:t xml:space="preserve">The Azure DNS Private Resolver in a hub-and-spoke network</w:t>
      </w:r>
    </w:p>
    <w:bookmarkStart w:id="475" w:name="fig-ch07-hub-spoke-resolver"/>
    <w:p>
      <w:pPr>
        <w:pStyle w:val="CaptionedFigure"/>
      </w:pPr>
      <w:r>
        <w:drawing>
          <wp:inline>
            <wp:extent cx="4576787" cy="4567212"/>
            <wp:effectExtent b="0" l="0" r="0" t="0"/>
            <wp:docPr descr="The resolver in the hub serves both directions of hybrid resolution." title="" id="473" name="Picture"/>
            <a:graphic>
              <a:graphicData uri="http://schemas.openxmlformats.org/drawingml/2006/picture">
                <pic:pic>
                  <pic:nvPicPr>
                    <pic:cNvPr descr="/home/runner/work/modernization-workbook/modernization-workbook/docs/images/diagrams/b08-ddi/png/ch07-hub-spoke-resolver.png" id="474" name="Picture"/>
                    <pic:cNvPicPr>
                      <a:picLocks noChangeArrowheads="1" noChangeAspect="1"/>
                    </pic:cNvPicPr>
                  </pic:nvPicPr>
                  <pic:blipFill>
                    <a:blip r:embed="rId472"/>
                    <a:stretch>
                      <a:fillRect/>
                    </a:stretch>
                  </pic:blipFill>
                  <pic:spPr bwMode="auto">
                    <a:xfrm>
                      <a:off x="0" y="0"/>
                      <a:ext cx="4576787" cy="4567212"/>
                    </a:xfrm>
                    <a:prstGeom prst="rect">
                      <a:avLst/>
                    </a:prstGeom>
                    <a:noFill/>
                    <a:ln w="9525">
                      <a:noFill/>
                      <a:headEnd/>
                      <a:tailEnd/>
                    </a:ln>
                  </pic:spPr>
                </pic:pic>
              </a:graphicData>
            </a:graphic>
          </wp:inline>
        </w:drawing>
      </w:r>
    </w:p>
    <w:p>
      <w:pPr>
        <w:pStyle w:val="ImageCaption"/>
      </w:pPr>
      <w:r>
        <w:t xml:space="preserve">The resolver in the hub serves both directions of hybrid resolution.</w:t>
      </w:r>
    </w:p>
    <w:bookmarkEnd w:id="475"/>
    <w:p>
      <w:pPr>
        <w:pStyle w:val="BodyText"/>
      </w:pPr>
      <w:r>
        <w:t xml:space="preserve">The DNS Private Resolver is the managed bridge between on-premises DNS and Azure: inbound endpoints receive queries from on-premises (over ExpressRoute or VPN) and answer from private zones linked to their virtual network; outbound endpoints, with forwarding rulesets linked to virtual networks, send Azure-originated queries for named domains to on-premises or other clouds.</w:t>
      </w:r>
      <w:r>
        <w:rPr>
          <w:rStyle w:val="FootnoteReference"/>
        </w:rPr>
        <w:footnoteReference w:id="476"/>
      </w:r>
      <w:r>
        <w:t xml:space="preserve"> </w:t>
      </w:r>
      <w:r>
        <w:t xml:space="preserve">It is a recursive resolver and forwarding service, not an authoritative server, so on-premises DNS reaches Azure private zones by conditional forwarding to the inbound endpoint, never by NS delegation to it.</w:t>
      </w:r>
      <w:r>
        <w:rPr>
          <w:rStyle w:val="FootnoteReference"/>
        </w:rPr>
        <w:footnoteReference w:id="477"/>
      </w:r>
      <w:r>
        <w:t xml:space="preserve"> </w:t>
      </w:r>
      <w:r>
        <w:t xml:space="preserve">In a hub-and-spoke network the resolver sits in the hub. The design rules that matter:</w:t>
      </w:r>
    </w:p>
    <w:p>
      <w:pPr>
        <w:pStyle w:val="Compact"/>
        <w:numPr>
          <w:ilvl w:val="0"/>
          <w:numId w:val="1033"/>
        </w:numPr>
      </w:pPr>
      <w:r>
        <w:rPr>
          <w:b/>
          <w:bCs/>
        </w:rPr>
        <w:t xml:space="preserve">Dedicated subnets.</w:t>
      </w:r>
      <w:r>
        <w:t xml:space="preserve"> </w:t>
      </w:r>
      <w:r>
        <w:t xml:space="preserve">Each endpoint needs its own subnet, delegated to</w:t>
      </w:r>
      <w:r>
        <w:t xml:space="preserve"> </w:t>
      </w:r>
      <w:r>
        <w:rPr>
          <w:rStyle w:val="VerbatimChar"/>
        </w:rPr>
        <w:t xml:space="preserve">Microsoft.Network/dnsResolvers</w:t>
      </w:r>
      <w:r>
        <w:t xml:space="preserve"> </w:t>
      </w:r>
      <w:r>
        <w:t xml:space="preserve">and used for nothing else, between /28 and /24; a /28 accommodates current limits.</w:t>
      </w:r>
      <w:r>
        <w:rPr>
          <w:rStyle w:val="FootnoteReference"/>
        </w:rPr>
        <w:footnoteReference w:id="479"/>
      </w:r>
    </w:p>
    <w:p>
      <w:pPr>
        <w:pStyle w:val="Compact"/>
        <w:numPr>
          <w:ilvl w:val="0"/>
          <w:numId w:val="1033"/>
        </w:numPr>
      </w:pPr>
      <w:r>
        <w:rPr>
          <w:b/>
          <w:bCs/>
        </w:rPr>
        <w:t xml:space="preserve">Limits.</w:t>
      </w:r>
      <w:r>
        <w:t xml:space="preserve"> </w:t>
      </w:r>
      <w:r>
        <w:t xml:space="preserve">Each resolver supports 5 inbound and 5 outbound endpoints and references one virtual network in its own region; a ruleset holds up to 1,000 rules and links to up to 500 virtual networks in the same region; a rule takes up to 6 target servers; each endpoint handles up to 10,000 queries per second.</w:t>
      </w:r>
      <w:r>
        <w:rPr>
          <w:rStyle w:val="FootnoteReference"/>
        </w:rPr>
        <w:footnoteReference w:id="480"/>
      </w:r>
    </w:p>
    <w:p>
      <w:pPr>
        <w:pStyle w:val="Compact"/>
        <w:numPr>
          <w:ilvl w:val="0"/>
          <w:numId w:val="1033"/>
        </w:numPr>
      </w:pPr>
      <w:r>
        <w:rPr>
          <w:b/>
          <w:bCs/>
        </w:rPr>
        <w:t xml:space="preserve">Platform constraints.</w:t>
      </w:r>
      <w:r>
        <w:t xml:space="preserve"> </w:t>
      </w:r>
      <w:r>
        <w:t xml:space="preserve">The resolver does not support virtual networks with encryption enabled, IPv6-enabled subnets, ExpressRoute FastPath or Azure Lighthouse, and rulesets cannot be linked across tenants.</w:t>
      </w:r>
      <w:r>
        <w:rPr>
          <w:rStyle w:val="FootnoteReference"/>
        </w:rPr>
        <w:footnoteReference w:id="481"/>
      </w:r>
    </w:p>
    <w:p>
      <w:pPr>
        <w:pStyle w:val="Compact"/>
        <w:numPr>
          <w:ilvl w:val="0"/>
          <w:numId w:val="1033"/>
        </w:numPr>
      </w:pPr>
      <w:r>
        <w:rPr>
          <w:b/>
          <w:bCs/>
        </w:rPr>
        <w:t xml:space="preserve">Static inbound address.</w:t>
      </w:r>
      <w:r>
        <w:t xml:space="preserve"> </w:t>
      </w:r>
      <w:r>
        <w:t xml:space="preserve">An inbound endpoint takes a static or dynamic address; a dynamic one changes only if the endpoint is reprovisioned.</w:t>
      </w:r>
      <w:r>
        <w:rPr>
          <w:rStyle w:val="FootnoteReference"/>
        </w:rPr>
        <w:footnoteReference w:id="482"/>
      </w:r>
      <w:r>
        <w:t xml:space="preserve"> </w:t>
      </w:r>
      <w:r>
        <w:t xml:space="preserve">The program uses static addresses so that every on-premises and cross-cloud forwarder can be written once.</w:t>
      </w:r>
    </w:p>
    <w:p>
      <w:pPr>
        <w:pStyle w:val="Compact"/>
        <w:numPr>
          <w:ilvl w:val="0"/>
          <w:numId w:val="1033"/>
        </w:numPr>
      </w:pPr>
      <w:r>
        <w:rPr>
          <w:b/>
          <w:bCs/>
        </w:rPr>
        <w:t xml:space="preserve">Two ways to reach it from spokes.</w:t>
      </w:r>
      <w:r>
        <w:t xml:space="preserve"> </w:t>
      </w:r>
      <w:r>
        <w:t xml:space="preserve">Link the forwarding ruleset to spoke networks (spokes need no peering or zone links; a rule forwards the private zone to the hub’s inbound endpoint), or set the inbound endpoint as the spoke networks’ custom DNS server (the hub must then be linked to the private zones).</w:t>
      </w:r>
      <w:r>
        <w:rPr>
          <w:rStyle w:val="FootnoteReference"/>
        </w:rPr>
        <w:footnoteReference w:id="483"/>
      </w:r>
    </w:p>
    <w:p>
      <w:pPr>
        <w:pStyle w:val="Compact"/>
        <w:numPr>
          <w:ilvl w:val="0"/>
          <w:numId w:val="1033"/>
        </w:numPr>
      </w:pPr>
      <w:r>
        <w:rPr>
          <w:b/>
          <w:bCs/>
        </w:rPr>
        <w:t xml:space="preserve">Avoid loops.</w:t>
      </w:r>
      <w:r>
        <w:t xml:space="preserve"> </w:t>
      </w:r>
      <w:r>
        <w:t xml:space="preserve">If a ruleset contains a rule whose target is an inbound endpoint, do not link that ruleset to the virtual network where the inbound endpoint lives.</w:t>
      </w:r>
      <w:r>
        <w:t xml:space="preserve"> </w:t>
      </w:r>
      <w:r>
        <w:rPr>
          <w:rStyle w:val="VerbatimChar"/>
        </w:rPr>
        <w:t xml:space="preserve">168.63.129.16</w:t>
      </w:r>
      <w:r>
        <w:t xml:space="preserve"> </w:t>
      </w:r>
      <w:r>
        <w:t xml:space="preserve">cannot be a rule target.</w:t>
      </w:r>
      <w:r>
        <w:rPr>
          <w:rStyle w:val="FootnoteReference"/>
        </w:rPr>
        <w:footnoteReference w:id="484"/>
      </w:r>
    </w:p>
    <w:p>
      <w:pPr>
        <w:pStyle w:val="Compact"/>
        <w:numPr>
          <w:ilvl w:val="0"/>
          <w:numId w:val="1033"/>
        </w:numPr>
      </w:pPr>
      <w:r>
        <w:rPr>
          <w:b/>
          <w:bCs/>
        </w:rPr>
        <w:t xml:space="preserve">Don’t mix custom and Azure-provided DNS.</w:t>
      </w:r>
      <w:r>
        <w:t xml:space="preserve"> </w:t>
      </w:r>
      <w:r>
        <w:t xml:space="preserve">A virtual network’s DNS server list is not a dependable primary-and-fallback chain; some clients (CoreDNS in AKS, for example) pick among the listed servers, so listing a custom resolver alongside</w:t>
      </w:r>
      <w:r>
        <w:t xml:space="preserve"> </w:t>
      </w:r>
      <w:r>
        <w:rPr>
          <w:rStyle w:val="VerbatimChar"/>
        </w:rPr>
        <w:t xml:space="preserve">168.63.129.16</w:t>
      </w:r>
      <w:r>
        <w:t xml:space="preserve"> </w:t>
      </w:r>
      <w:r>
        <w:t xml:space="preserve">sends some queries to a server that cannot answer the custom namespace. Microsoft’s guidance is to list only the custom servers and have them forward to Azure.</w:t>
      </w:r>
      <w:r>
        <w:rPr>
          <w:rStyle w:val="FootnoteReference"/>
        </w:rPr>
        <w:footnoteReference w:id="485"/>
      </w:r>
      <w:r>
        <w:t xml:space="preserve"> </w:t>
      </w:r>
      <w:r>
        <w:t xml:space="preserve">(Microsoft makes one exception: with Azure VPN Gateway and custom DNS servers,</w:t>
      </w:r>
      <w:r>
        <w:t xml:space="preserve"> </w:t>
      </w:r>
      <w:r>
        <w:rPr>
          <w:rStyle w:val="VerbatimChar"/>
        </w:rPr>
        <w:t xml:space="preserve">168.63.129.16</w:t>
      </w:r>
      <w:r>
        <w:t xml:space="preserve"> </w:t>
      </w:r>
      <w:r>
        <w:t xml:space="preserve">must be added to the list.</w:t>
      </w:r>
      <w:r>
        <w:rPr>
          <w:rStyle w:val="FootnoteReference"/>
        </w:rPr>
        <w:footnoteReference w:id="487"/>
      </w:r>
      <w:r>
        <w:t xml:space="preserve">)</w:t>
      </w:r>
    </w:p>
    <w:p>
      <w:pPr>
        <w:pStyle w:val="Compact"/>
        <w:numPr>
          <w:ilvl w:val="0"/>
          <w:numId w:val="1033"/>
        </w:numPr>
      </w:pPr>
      <w:r>
        <w:rPr>
          <w:b/>
          <w:bCs/>
        </w:rPr>
        <w:t xml:space="preserve">Wildcard rules.</w:t>
      </w:r>
      <w:r>
        <w:t xml:space="preserve"> </w:t>
      </w:r>
      <w:r>
        <w:t xml:space="preserve">A</w:t>
      </w:r>
      <w:r>
        <w:t xml:space="preserve"> </w:t>
      </w:r>
      <w:r>
        <w:rPr>
          <w:rStyle w:val="VerbatimChar"/>
        </w:rPr>
        <w:t xml:space="preserve">.</w:t>
      </w:r>
      <w:r>
        <w:t xml:space="preserve"> </w:t>
      </w:r>
      <w:r>
        <w:t xml:space="preserve">rule must point at a server that resolves public names, because some Azure services depend on public resolution.</w:t>
      </w:r>
      <w:r>
        <w:rPr>
          <w:rStyle w:val="FootnoteReference"/>
        </w:rPr>
        <w:footnoteReference w:id="489"/>
      </w:r>
    </w:p>
    <w:p>
      <w:pPr>
        <w:pStyle w:val="Compact"/>
        <w:numPr>
          <w:ilvl w:val="0"/>
          <w:numId w:val="1033"/>
        </w:numPr>
      </w:pPr>
      <w:r>
        <w:rPr>
          <w:b/>
          <w:bCs/>
        </w:rPr>
        <w:t xml:space="preserve">Resilience.</w:t>
      </w:r>
      <w:r>
        <w:t xml:space="preserve"> </w:t>
      </w:r>
      <w:r>
        <w:t xml:space="preserve">The service has built-in high availability and zone redundancy within a region.</w:t>
      </w:r>
      <w:r>
        <w:rPr>
          <w:rStyle w:val="FootnoteReference"/>
        </w:rPr>
        <w:footnoteReference w:id="490"/>
      </w:r>
      <w:r>
        <w:t xml:space="preserve"> </w:t>
      </w:r>
      <w:r>
        <w:t xml:space="preserve">For regional resilience, deploy a resolver in each region the landing zone spans and configure on-premises forwarders with the inbound endpoints of both regions.</w:t>
      </w:r>
      <w:r>
        <w:rPr>
          <w:rStyle w:val="FootnoteReference"/>
        </w:rPr>
        <w:footnoteReference w:id="491"/>
      </w:r>
    </w:p>
    <w:p>
      <w:pPr>
        <w:pStyle w:val="FirstParagraph"/>
      </w:pPr>
      <w:r>
        <w:t xml:space="preserve">Microsoft’s public DNS zones, used for internet-facing names, are a separate service hosted on an anycast network of authoritative servers.</w:t>
      </w:r>
      <w:r>
        <w:rPr>
          <w:rStyle w:val="FootnoteReference"/>
        </w:rPr>
        <w:footnoteReference w:id="493"/>
      </w:r>
      <w:r>
        <w:t xml:space="preserve"> </w:t>
      </w:r>
      <w:r>
        <w:t xml:space="preserve">They matter here only as the public half of the split-horizon pattern below.</w:t>
      </w:r>
    </w:p>
    <w:bookmarkEnd w:id="495"/>
    <w:bookmarkStart w:id="499" w:name="illustrative-deployment"/>
    <w:p>
      <w:pPr>
        <w:pStyle w:val="Heading3"/>
      </w:pPr>
      <w:r>
        <w:t xml:space="preserve">Illustrative deployment</w:t>
      </w:r>
    </w:p>
    <w:p>
      <w:pPr>
        <w:pStyle w:val="FirstParagraph"/>
      </w:pPr>
      <w:r>
        <w:t xml:space="preserve">The PowerShell below is illustrative. It has not been tested against a production tenant or forest. Names, addresses and zones are examples; review every line, and run it in a test subscription first.</w:t>
      </w:r>
    </w:p>
    <w:p>
      <w:pPr>
        <w:pStyle w:val="BodyText"/>
      </w:pPr>
      <w:r>
        <w:t xml:space="preserve">The sequence creates the resolver in the hub, both endpoints, a ruleset for on-premises namespaces, ruleset links for the spokes, a zone link for the hub, and the on-premises conditional forwarders. The Azure cmdlets follow Microsoft’s quickstart; the</w:t>
      </w:r>
      <w:r>
        <w:t xml:space="preserve"> </w:t>
      </w:r>
      <w:r>
        <w:rPr>
          <w:rStyle w:val="VerbatimChar"/>
        </w:rPr>
        <w:t xml:space="preserve">Az.DnsResolver</w:t>
      </w:r>
      <w:r>
        <w:t xml:space="preserve"> </w:t>
      </w:r>
      <w:r>
        <w:t xml:space="preserve">and</w:t>
      </w:r>
      <w:r>
        <w:t xml:space="preserve"> </w:t>
      </w:r>
      <w:r>
        <w:rPr>
          <w:rStyle w:val="VerbatimChar"/>
        </w:rPr>
        <w:t xml:space="preserve">Az.PrivateDns</w:t>
      </w:r>
      <w:r>
        <w:t xml:space="preserve"> </w:t>
      </w:r>
      <w:r>
        <w:t xml:space="preserve">modules are required.</w:t>
      </w:r>
      <w:r>
        <w:rPr>
          <w:rStyle w:val="FootnoteReference"/>
        </w:rPr>
        <w:footnoteReference w:id="496"/>
      </w:r>
    </w:p>
    <w:p>
      <w:pPr>
        <w:pStyle w:val="SourceCode"/>
      </w:pPr>
      <w:r>
        <w:rPr>
          <w:rStyle w:val="CommentTok"/>
        </w:rPr>
        <w:t xml:space="preserve"># Example names and addresses; replace before use</w:t>
      </w:r>
      <w:r>
        <w:br/>
      </w:r>
      <w:r>
        <w:rPr>
          <w:rStyle w:val="VariableTok"/>
        </w:rPr>
        <w:t xml:space="preserve">$rg</w:t>
      </w:r>
      <w:r>
        <w:rPr>
          <w:rStyle w:val="NormalTok"/>
        </w:rPr>
        <w:t xml:space="preserve">        </w:t>
      </w:r>
      <w:r>
        <w:rPr>
          <w:rStyle w:val="OperatorTok"/>
        </w:rPr>
        <w:t xml:space="preserve">=</w:t>
      </w:r>
      <w:r>
        <w:rPr>
          <w:rStyle w:val="NormalTok"/>
        </w:rPr>
        <w:t xml:space="preserve"> </w:t>
      </w:r>
      <w:r>
        <w:rPr>
          <w:rStyle w:val="StringTok"/>
        </w:rPr>
        <w:t xml:space="preserve">"rg-hub-networking"</w:t>
      </w:r>
      <w:r>
        <w:br/>
      </w:r>
      <w:r>
        <w:rPr>
          <w:rStyle w:val="VariableTok"/>
        </w:rPr>
        <w:t xml:space="preserve">$location</w:t>
      </w:r>
      <w:r>
        <w:rPr>
          <w:rStyle w:val="NormalTok"/>
        </w:rPr>
        <w:t xml:space="preserve">  </w:t>
      </w:r>
      <w:r>
        <w:rPr>
          <w:rStyle w:val="OperatorTok"/>
        </w:rPr>
        <w:t xml:space="preserve">=</w:t>
      </w:r>
      <w:r>
        <w:rPr>
          <w:rStyle w:val="NormalTok"/>
        </w:rPr>
        <w:t xml:space="preserve"> </w:t>
      </w:r>
      <w:r>
        <w:rPr>
          <w:rStyle w:val="StringTok"/>
        </w:rPr>
        <w:t xml:space="preserve">"eastus"</w:t>
      </w:r>
      <w:r>
        <w:br/>
      </w:r>
      <w:r>
        <w:rPr>
          <w:rStyle w:val="VariableTok"/>
        </w:rPr>
        <w:t xml:space="preserve">$resolver</w:t>
      </w:r>
      <w:r>
        <w:rPr>
          <w:rStyle w:val="NormalTok"/>
        </w:rPr>
        <w:t xml:space="preserve">  </w:t>
      </w:r>
      <w:r>
        <w:rPr>
          <w:rStyle w:val="OperatorTok"/>
        </w:rPr>
        <w:t xml:space="preserve">=</w:t>
      </w:r>
      <w:r>
        <w:rPr>
          <w:rStyle w:val="NormalTok"/>
        </w:rPr>
        <w:t xml:space="preserve"> </w:t>
      </w:r>
      <w:r>
        <w:rPr>
          <w:rStyle w:val="StringTok"/>
        </w:rPr>
        <w:t xml:space="preserve">"dnspr-hub-eastus-001"</w:t>
      </w:r>
      <w:r>
        <w:br/>
      </w:r>
      <w:r>
        <w:rPr>
          <w:rStyle w:val="VariableTok"/>
        </w:rPr>
        <w:t xml:space="preserve">$ruleset</w:t>
      </w:r>
      <w:r>
        <w:rPr>
          <w:rStyle w:val="NormalTok"/>
        </w:rPr>
        <w:t xml:space="preserve">   </w:t>
      </w:r>
      <w:r>
        <w:rPr>
          <w:rStyle w:val="OperatorTok"/>
        </w:rPr>
        <w:t xml:space="preserve">=</w:t>
      </w:r>
      <w:r>
        <w:rPr>
          <w:rStyle w:val="NormalTok"/>
        </w:rPr>
        <w:t xml:space="preserve"> </w:t>
      </w:r>
      <w:r>
        <w:rPr>
          <w:rStyle w:val="StringTok"/>
        </w:rPr>
        <w:t xml:space="preserve">"fwdrs-hub-eastus-001"</w:t>
      </w:r>
      <w:r>
        <w:br/>
      </w:r>
      <w:r>
        <w:rPr>
          <w:rStyle w:val="VariableTok"/>
        </w:rPr>
        <w:t xml:space="preserve">$inboundIP</w:t>
      </w:r>
      <w:r>
        <w:rPr>
          <w:rStyle w:val="NormalTok"/>
        </w:rPr>
        <w:t xml:space="preserve"> </w:t>
      </w:r>
      <w:r>
        <w:rPr>
          <w:rStyle w:val="OperatorTok"/>
        </w:rPr>
        <w:t xml:space="preserve">=</w:t>
      </w:r>
      <w:r>
        <w:rPr>
          <w:rStyle w:val="NormalTok"/>
        </w:rPr>
        <w:t xml:space="preserve"> </w:t>
      </w:r>
      <w:r>
        <w:rPr>
          <w:rStyle w:val="StringTok"/>
        </w:rPr>
        <w:t xml:space="preserve">"10.0.4.4"</w:t>
      </w:r>
      <w:r>
        <w:br/>
      </w:r>
      <w:r>
        <w:br/>
      </w:r>
      <w:r>
        <w:rPr>
          <w:rStyle w:val="CommentTok"/>
        </w:rPr>
        <w:t xml:space="preserve"># 1. Two dedicated /28 subnets, each delegated to the resolver</w:t>
      </w:r>
      <w:r>
        <w:br/>
      </w:r>
      <w:r>
        <w:rPr>
          <w:rStyle w:val="VariableTok"/>
        </w:rPr>
        <w:t xml:space="preserve">$hubVNet</w:t>
      </w:r>
      <w:r>
        <w:rPr>
          <w:rStyle w:val="NormalTok"/>
        </w:rPr>
        <w:t xml:space="preserve"> </w:t>
      </w:r>
      <w:r>
        <w:rPr>
          <w:rStyle w:val="OperatorTok"/>
        </w:rPr>
        <w:t xml:space="preserve">=</w:t>
      </w:r>
      <w:r>
        <w:rPr>
          <w:rStyle w:val="NormalTok"/>
        </w:rPr>
        <w:t xml:space="preserve"> Get-AzVirtualNetwork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StringTok"/>
        </w:rPr>
        <w:t xml:space="preserve">"vnet-hub-eastus"</w:t>
      </w:r>
      <w:r>
        <w:br/>
      </w:r>
      <w:r>
        <w:rPr>
          <w:rStyle w:val="NormalTok"/>
        </w:rPr>
        <w:t xml:space="preserve">Add-AzVirtualNetworkSubnetConfig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"snet-dnspr-inbound"</w:t>
      </w:r>
      <w:r>
        <w:rPr>
          <w:rStyle w:val="NormalTok"/>
        </w:rPr>
        <w:t xml:space="preserve"> `</w:t>
      </w:r>
      <w:r>
        <w:br/>
      </w:r>
      <w:r>
        <w:rPr>
          <w:rStyle w:val="NormalTok"/>
        </w:rPr>
        <w:t xml:space="preserve">    </w:t>
      </w:r>
      <w:r>
        <w:rPr>
          <w:rStyle w:val="OperatorTok"/>
        </w:rPr>
        <w:t xml:space="preserve">-</w:t>
      </w:r>
      <w:r>
        <w:rPr>
          <w:rStyle w:val="NormalTok"/>
        </w:rPr>
        <w:t xml:space="preserve">AddressPrefix </w:t>
      </w:r>
      <w:r>
        <w:rPr>
          <w:rStyle w:val="StringTok"/>
        </w:rPr>
        <w:t xml:space="preserve">"10.0.4.0/28"</w:t>
      </w:r>
      <w:r>
        <w:rPr>
          <w:rStyle w:val="NormalTok"/>
        </w:rPr>
        <w:t xml:space="preserve"> `</w:t>
      </w:r>
      <w:r>
        <w:br/>
      </w:r>
      <w:r>
        <w:rPr>
          <w:rStyle w:val="NormalTok"/>
        </w:rPr>
        <w:t xml:space="preserve">    </w:t>
      </w:r>
      <w:r>
        <w:rPr>
          <w:rStyle w:val="OperatorTok"/>
        </w:rPr>
        <w:t xml:space="preserve">-</w:t>
      </w:r>
      <w:r>
        <w:rPr>
          <w:rStyle w:val="NormalTok"/>
        </w:rPr>
        <w:t xml:space="preserve">Delegation </w:t>
      </w:r>
      <w:r>
        <w:rPr>
          <w:rStyle w:val="OperatorTok"/>
        </w:rPr>
        <w:t xml:space="preserve">(</w:t>
      </w:r>
      <w:r>
        <w:rPr>
          <w:rStyle w:val="NormalTok"/>
        </w:rPr>
        <w:t xml:space="preserve">New-AzDelegation </w:t>
      </w:r>
      <w:r>
        <w:rPr>
          <w:rStyle w:val="OperatorTok"/>
        </w:rPr>
        <w:t xml:space="preserve">-</w:t>
      </w:r>
      <w:r>
        <w:rPr>
          <w:rStyle w:val="NormalTok"/>
        </w:rPr>
        <w:t xml:space="preserve">Name </w:t>
      </w:r>
      <w:r>
        <w:rPr>
          <w:rStyle w:val="StringTok"/>
        </w:rPr>
        <w:t xml:space="preserve">"dnspr-in"</w:t>
      </w:r>
      <w:r>
        <w:rPr>
          <w:rStyle w:val="NormalTok"/>
        </w:rPr>
        <w:t xml:space="preserve"> </w:t>
      </w:r>
      <w:r>
        <w:rPr>
          <w:rStyle w:val="OperatorTok"/>
        </w:rPr>
        <w:t xml:space="preserve">-</w:t>
      </w:r>
      <w:r>
        <w:rPr>
          <w:rStyle w:val="NormalTok"/>
        </w:rPr>
        <w:t xml:space="preserve">ServiceName </w:t>
      </w:r>
      <w:r>
        <w:rPr>
          <w:rStyle w:val="StringTok"/>
        </w:rPr>
        <w:t xml:space="preserve">"Microsoft.Network/dnsResolvers"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NormalTok"/>
        </w:rPr>
        <w:t xml:space="preserve">Add-AzVirtualNetworkSubnetConfig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"snet-dnspr-outbound"</w:t>
      </w:r>
      <w:r>
        <w:rPr>
          <w:rStyle w:val="NormalTok"/>
        </w:rPr>
        <w:t xml:space="preserve"> `</w:t>
      </w:r>
      <w:r>
        <w:br/>
      </w:r>
      <w:r>
        <w:rPr>
          <w:rStyle w:val="NormalTok"/>
        </w:rPr>
        <w:t xml:space="preserve">    </w:t>
      </w:r>
      <w:r>
        <w:rPr>
          <w:rStyle w:val="OperatorTok"/>
        </w:rPr>
        <w:t xml:space="preserve">-</w:t>
      </w:r>
      <w:r>
        <w:rPr>
          <w:rStyle w:val="NormalTok"/>
        </w:rPr>
        <w:t xml:space="preserve">AddressPrefix </w:t>
      </w:r>
      <w:r>
        <w:rPr>
          <w:rStyle w:val="StringTok"/>
        </w:rPr>
        <w:t xml:space="preserve">"10.0.4.16/28"</w:t>
      </w:r>
      <w:r>
        <w:rPr>
          <w:rStyle w:val="NormalTok"/>
        </w:rPr>
        <w:t xml:space="preserve"> `</w:t>
      </w:r>
      <w:r>
        <w:br/>
      </w:r>
      <w:r>
        <w:rPr>
          <w:rStyle w:val="NormalTok"/>
        </w:rPr>
        <w:t xml:space="preserve">    </w:t>
      </w:r>
      <w:r>
        <w:rPr>
          <w:rStyle w:val="OperatorTok"/>
        </w:rPr>
        <w:t xml:space="preserve">-</w:t>
      </w:r>
      <w:r>
        <w:rPr>
          <w:rStyle w:val="NormalTok"/>
        </w:rPr>
        <w:t xml:space="preserve">Delegation </w:t>
      </w:r>
      <w:r>
        <w:rPr>
          <w:rStyle w:val="OperatorTok"/>
        </w:rPr>
        <w:t xml:space="preserve">(</w:t>
      </w:r>
      <w:r>
        <w:rPr>
          <w:rStyle w:val="NormalTok"/>
        </w:rPr>
        <w:t xml:space="preserve">New-AzDelegation </w:t>
      </w:r>
      <w:r>
        <w:rPr>
          <w:rStyle w:val="OperatorTok"/>
        </w:rPr>
        <w:t xml:space="preserve">-</w:t>
      </w:r>
      <w:r>
        <w:rPr>
          <w:rStyle w:val="NormalTok"/>
        </w:rPr>
        <w:t xml:space="preserve">Name </w:t>
      </w:r>
      <w:r>
        <w:rPr>
          <w:rStyle w:val="StringTok"/>
        </w:rPr>
        <w:t xml:space="preserve">"dnspr-out"</w:t>
      </w:r>
      <w:r>
        <w:rPr>
          <w:rStyle w:val="NormalTok"/>
        </w:rPr>
        <w:t xml:space="preserve"> </w:t>
      </w:r>
      <w:r>
        <w:rPr>
          <w:rStyle w:val="OperatorTok"/>
        </w:rPr>
        <w:t xml:space="preserve">-</w:t>
      </w:r>
      <w:r>
        <w:rPr>
          <w:rStyle w:val="NormalTok"/>
        </w:rPr>
        <w:t xml:space="preserve">ServiceName </w:t>
      </w:r>
      <w:r>
        <w:rPr>
          <w:rStyle w:val="StringTok"/>
        </w:rPr>
        <w:t xml:space="preserve">"Microsoft.Network/dnsResolvers"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Out-Null</w:t>
      </w:r>
      <w:r>
        <w:br/>
      </w:r>
      <w:r>
        <w:rPr>
          <w:rStyle w:val="VariableTok"/>
        </w:rPr>
        <w:t xml:space="preserve">$hubVNet</w:t>
      </w:r>
      <w:r>
        <w:rPr>
          <w:rStyle w:val="NormalTok"/>
        </w:rPr>
        <w:t xml:space="preserve"> </w:t>
      </w:r>
      <w:r>
        <w:rPr>
          <w:rStyle w:val="OperatorTok"/>
        </w:rPr>
        <w:t xml:space="preserve">=</w:t>
      </w:r>
      <w:r>
        <w:rPr>
          <w:rStyle w:val="NormalTok"/>
        </w:rPr>
        <w:t xml:space="preserve"> </w:t>
      </w:r>
      <w:r>
        <w:rPr>
          <w:rStyle w:val="VariableTok"/>
        </w:rPr>
        <w:t xml:space="preserve">$hubVNet</w:t>
      </w:r>
      <w:r>
        <w:rPr>
          <w:rStyle w:val="NormalTok"/>
        </w:rPr>
        <w:t xml:space="preserve"> </w:t>
      </w:r>
      <w:r>
        <w:rPr>
          <w:rStyle w:val="OperatorTok"/>
        </w:rPr>
        <w:t xml:space="preserve">|</w:t>
      </w:r>
      <w:r>
        <w:rPr>
          <w:rStyle w:val="NormalTok"/>
        </w:rPr>
        <w:t xml:space="preserve"> Set-AzVirtualNetwork</w:t>
      </w:r>
      <w:r>
        <w:br/>
      </w:r>
      <w:r>
        <w:br/>
      </w:r>
      <w:r>
        <w:rPr>
          <w:rStyle w:val="CommentTok"/>
        </w:rPr>
        <w:t xml:space="preserve"># 2. The resolver, bound to the hub virtual network</w:t>
      </w:r>
      <w:r>
        <w:br/>
      </w:r>
      <w:r>
        <w:rPr>
          <w:rStyle w:val="NormalTok"/>
        </w:rPr>
        <w:t xml:space="preserve">New-AzDnsResolver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VariableTok"/>
        </w:rPr>
        <w:t xml:space="preserve">$resolver</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br/>
      </w:r>
      <w:r>
        <w:rPr>
          <w:rStyle w:val="NormalTok"/>
        </w:rPr>
        <w:t xml:space="preserve">    </w:t>
      </w:r>
      <w:r>
        <w:rPr>
          <w:rStyle w:val="OperatorTok"/>
        </w:rPr>
        <w:t xml:space="preserve">-</w:t>
      </w:r>
      <w:r>
        <w:rPr>
          <w:rStyle w:val="NormalTok"/>
        </w:rPr>
        <w:t xml:space="preserve">VirtualNetworkId </w:t>
      </w:r>
      <w:r>
        <w:rPr>
          <w:rStyle w:val="VariableTok"/>
        </w:rPr>
        <w:t xml:space="preserve">$hubVNet</w:t>
      </w:r>
      <w:r>
        <w:rPr>
          <w:rStyle w:val="OperatorTok"/>
        </w:rPr>
        <w:t xml:space="preserve">.</w:t>
      </w:r>
      <w:r>
        <w:rPr>
          <w:rStyle w:val="FunctionTok"/>
        </w:rPr>
        <w:t xml:space="preserve">Id</w:t>
      </w:r>
      <w:r>
        <w:br/>
      </w:r>
      <w:r>
        <w:br/>
      </w:r>
      <w:r>
        <w:rPr>
          <w:rStyle w:val="CommentTok"/>
        </w:rPr>
        <w:t xml:space="preserve"># 3. Inbound endpoint with a static address</w:t>
      </w:r>
      <w:r>
        <w:br/>
      </w:r>
      <w:r>
        <w:rPr>
          <w:rStyle w:val="VariableTok"/>
        </w:rPr>
        <w:t xml:space="preserve">$inSubnet</w:t>
      </w:r>
      <w:r>
        <w:rPr>
          <w:rStyle w:val="NormalTok"/>
        </w:rPr>
        <w:t xml:space="preserve"> </w:t>
      </w:r>
      <w:r>
        <w:rPr>
          <w:rStyle w:val="OperatorTok"/>
        </w:rPr>
        <w:t xml:space="preserve">=</w:t>
      </w:r>
      <w:r>
        <w:rPr>
          <w:rStyle w:val="NormalTok"/>
        </w:rPr>
        <w:t xml:space="preserve"> Get-AzVirtualNetworkSubnetConfig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"snet-dnspr-inbound"</w:t>
      </w:r>
      <w:r>
        <w:br/>
      </w:r>
      <w:r>
        <w:rPr>
          <w:rStyle w:val="VariableTok"/>
        </w:rPr>
        <w:t xml:space="preserve">$ipConfig</w:t>
      </w:r>
      <w:r>
        <w:rPr>
          <w:rStyle w:val="NormalTok"/>
        </w:rPr>
        <w:t xml:space="preserve"> </w:t>
      </w:r>
      <w:r>
        <w:rPr>
          <w:rStyle w:val="OperatorTok"/>
        </w:rPr>
        <w:t xml:space="preserve">=</w:t>
      </w:r>
      <w:r>
        <w:rPr>
          <w:rStyle w:val="NormalTok"/>
        </w:rPr>
        <w:t xml:space="preserve"> New-AzDnsResolverIPConfigurationObject </w:t>
      </w:r>
      <w:r>
        <w:rPr>
          <w:rStyle w:val="OperatorTok"/>
        </w:rPr>
        <w:t xml:space="preserve">-</w:t>
      </w:r>
      <w:r>
        <w:rPr>
          <w:rStyle w:val="NormalTok"/>
        </w:rPr>
        <w:t xml:space="preserve">PrivateIPAllocationMethod Static `</w:t>
      </w:r>
      <w:r>
        <w:br/>
      </w:r>
      <w:r>
        <w:rPr>
          <w:rStyle w:val="NormalTok"/>
        </w:rPr>
        <w:t xml:space="preserve">    </w:t>
      </w:r>
      <w:r>
        <w:rPr>
          <w:rStyle w:val="OperatorTok"/>
        </w:rPr>
        <w:t xml:space="preserve">-</w:t>
      </w:r>
      <w:r>
        <w:rPr>
          <w:rStyle w:val="NormalTok"/>
        </w:rPr>
        <w:t xml:space="preserve">PrivateIPAddress </w:t>
      </w:r>
      <w:r>
        <w:rPr>
          <w:rStyle w:val="VariableTok"/>
        </w:rPr>
        <w:t xml:space="preserve">$inboundIP</w:t>
      </w:r>
      <w:r>
        <w:rPr>
          <w:rStyle w:val="NormalTok"/>
        </w:rPr>
        <w:t xml:space="preserve"> </w:t>
      </w:r>
      <w:r>
        <w:rPr>
          <w:rStyle w:val="OperatorTok"/>
        </w:rPr>
        <w:t xml:space="preserve">-</w:t>
      </w:r>
      <w:r>
        <w:rPr>
          <w:rStyle w:val="NormalTok"/>
        </w:rPr>
        <w:t xml:space="preserve">SubnetId </w:t>
      </w:r>
      <w:r>
        <w:rPr>
          <w:rStyle w:val="VariableTok"/>
        </w:rPr>
        <w:t xml:space="preserve">$inSubnet</w:t>
      </w:r>
      <w:r>
        <w:rPr>
          <w:rStyle w:val="OperatorTok"/>
        </w:rPr>
        <w:t xml:space="preserve">.</w:t>
      </w:r>
      <w:r>
        <w:rPr>
          <w:rStyle w:val="FunctionTok"/>
        </w:rPr>
        <w:t xml:space="preserve">Id</w:t>
      </w:r>
      <w:r>
        <w:br/>
      </w:r>
      <w:r>
        <w:rPr>
          <w:rStyle w:val="NormalTok"/>
        </w:rPr>
        <w:t xml:space="preserve">New-AzDnsResolverInboundEndpoint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"ep-inbound-001"</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rPr>
          <w:rStyle w:val="OperatorTok"/>
        </w:rPr>
        <w:t xml:space="preserve">-</w:t>
      </w:r>
      <w:r>
        <w:rPr>
          <w:rStyle w:val="NormalTok"/>
        </w:rPr>
        <w:t xml:space="preserve">IpConfiguration </w:t>
      </w:r>
      <w:r>
        <w:rPr>
          <w:rStyle w:val="VariableTok"/>
        </w:rPr>
        <w:t xml:space="preserve">$ipConfig</w:t>
      </w:r>
      <w:r>
        <w:br/>
      </w:r>
      <w:r>
        <w:br/>
      </w:r>
      <w:r>
        <w:rPr>
          <w:rStyle w:val="CommentTok"/>
        </w:rPr>
        <w:t xml:space="preserve"># 4. Outbound endpoint and forwarding ruleset</w:t>
      </w:r>
      <w:r>
        <w:br/>
      </w:r>
      <w:r>
        <w:rPr>
          <w:rStyle w:val="VariableTok"/>
        </w:rPr>
        <w:t xml:space="preserve">$outSubnet</w:t>
      </w:r>
      <w:r>
        <w:rPr>
          <w:rStyle w:val="NormalTok"/>
        </w:rPr>
        <w:t xml:space="preserve"> </w:t>
      </w:r>
      <w:r>
        <w:rPr>
          <w:rStyle w:val="OperatorTok"/>
        </w:rPr>
        <w:t xml:space="preserve">=</w:t>
      </w:r>
      <w:r>
        <w:rPr>
          <w:rStyle w:val="NormalTok"/>
        </w:rPr>
        <w:t xml:space="preserve"> Get-AzVirtualNetworkSubnetConfig </w:t>
      </w:r>
      <w:r>
        <w:rPr>
          <w:rStyle w:val="OperatorTok"/>
        </w:rPr>
        <w:t xml:space="preserve">-</w:t>
      </w:r>
      <w:r>
        <w:rPr>
          <w:rStyle w:val="NormalTok"/>
        </w:rPr>
        <w:t xml:space="preserve">VirtualNetwork </w:t>
      </w:r>
      <w:r>
        <w:rPr>
          <w:rStyle w:val="VariableTok"/>
        </w:rPr>
        <w:t xml:space="preserve">$hubVNet</w:t>
      </w:r>
      <w:r>
        <w:rPr>
          <w:rStyle w:val="NormalTok"/>
        </w:rPr>
        <w:t xml:space="preserve"> </w:t>
      </w:r>
      <w:r>
        <w:rPr>
          <w:rStyle w:val="OperatorTok"/>
        </w:rPr>
        <w:t xml:space="preserve">-</w:t>
      </w:r>
      <w:r>
        <w:rPr>
          <w:rStyle w:val="NormalTok"/>
        </w:rPr>
        <w:t xml:space="preserve">Name </w:t>
      </w:r>
      <w:r>
        <w:rPr>
          <w:rStyle w:val="StringTok"/>
        </w:rPr>
        <w:t xml:space="preserve">"snet-dnspr-outbound"</w:t>
      </w:r>
      <w:r>
        <w:br/>
      </w:r>
      <w:r>
        <w:rPr>
          <w:rStyle w:val="NormalTok"/>
        </w:rPr>
        <w:t xml:space="preserve">New-AzDnsResolverOutboundEndpoint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"ep-outbound-001"</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rPr>
          <w:rStyle w:val="OperatorTok"/>
        </w:rPr>
        <w:t xml:space="preserve">-</w:t>
      </w:r>
      <w:r>
        <w:rPr>
          <w:rStyle w:val="NormalTok"/>
        </w:rPr>
        <w:t xml:space="preserve">SubnetId </w:t>
      </w:r>
      <w:r>
        <w:rPr>
          <w:rStyle w:val="VariableTok"/>
        </w:rPr>
        <w:t xml:space="preserve">$outSubnet</w:t>
      </w:r>
      <w:r>
        <w:rPr>
          <w:rStyle w:val="OperatorTok"/>
        </w:rPr>
        <w:t xml:space="preserve">.</w:t>
      </w:r>
      <w:r>
        <w:rPr>
          <w:rStyle w:val="FunctionTok"/>
        </w:rPr>
        <w:t xml:space="preserve">Id</w:t>
      </w:r>
      <w:r>
        <w:br/>
      </w:r>
      <w:r>
        <w:rPr>
          <w:rStyle w:val="VariableTok"/>
        </w:rPr>
        <w:t xml:space="preserve">$outboundEP</w:t>
      </w:r>
      <w:r>
        <w:rPr>
          <w:rStyle w:val="NormalTok"/>
        </w:rPr>
        <w:t xml:space="preserve"> </w:t>
      </w:r>
      <w:r>
        <w:rPr>
          <w:rStyle w:val="OperatorTok"/>
        </w:rPr>
        <w:t xml:space="preserve">=</w:t>
      </w:r>
      <w:r>
        <w:rPr>
          <w:rStyle w:val="NormalTok"/>
        </w:rPr>
        <w:t xml:space="preserve"> Get-AzDnsResolverOutboundEndpoint </w:t>
      </w:r>
      <w:r>
        <w:rPr>
          <w:rStyle w:val="OperatorTok"/>
        </w:rPr>
        <w:t xml:space="preserve">-</w:t>
      </w:r>
      <w:r>
        <w:rPr>
          <w:rStyle w:val="NormalTok"/>
        </w:rPr>
        <w:t xml:space="preserve">ResourceGroupName </w:t>
      </w:r>
      <w:r>
        <w:rPr>
          <w:rStyle w:val="VariableTok"/>
        </w:rPr>
        <w:t xml:space="preserve">$rg</w:t>
      </w:r>
      <w:r>
        <w:rPr>
          <w:rStyle w:val="NormalTok"/>
        </w:rPr>
        <w:t xml:space="preserve"> `</w:t>
      </w:r>
      <w:r>
        <w:br/>
      </w:r>
      <w:r>
        <w:rPr>
          <w:rStyle w:val="NormalTok"/>
        </w:rPr>
        <w:t xml:space="preserve">    </w:t>
      </w:r>
      <w:r>
        <w:rPr>
          <w:rStyle w:val="OperatorTok"/>
        </w:rPr>
        <w:t xml:space="preserve">-</w:t>
      </w:r>
      <w:r>
        <w:rPr>
          <w:rStyle w:val="NormalTok"/>
        </w:rPr>
        <w:t xml:space="preserve">DnsResolverName </w:t>
      </w:r>
      <w:r>
        <w:rPr>
          <w:rStyle w:val="VariableTok"/>
        </w:rPr>
        <w:t xml:space="preserve">$resolver</w:t>
      </w:r>
      <w:r>
        <w:rPr>
          <w:rStyle w:val="NormalTok"/>
        </w:rPr>
        <w:t xml:space="preserve"> </w:t>
      </w:r>
      <w:r>
        <w:rPr>
          <w:rStyle w:val="OperatorTok"/>
        </w:rPr>
        <w:t xml:space="preserve">-</w:t>
      </w:r>
      <w:r>
        <w:rPr>
          <w:rStyle w:val="NormalTok"/>
        </w:rPr>
        <w:t xml:space="preserve">Name </w:t>
      </w:r>
      <w:r>
        <w:rPr>
          <w:rStyle w:val="StringTok"/>
        </w:rPr>
        <w:t xml:space="preserve">"ep-outbound-001"</w:t>
      </w:r>
      <w:r>
        <w:br/>
      </w:r>
      <w:r>
        <w:rPr>
          <w:rStyle w:val="NormalTok"/>
        </w:rPr>
        <w:t xml:space="preserve">New-AzDnsForwardingRuleset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Name </w:t>
      </w:r>
      <w:r>
        <w:rPr>
          <w:rStyle w:val="VariableTok"/>
        </w:rPr>
        <w:t xml:space="preserve">$ruleset</w:t>
      </w:r>
      <w:r>
        <w:rPr>
          <w:rStyle w:val="NormalTok"/>
        </w:rPr>
        <w:t xml:space="preserve"> </w:t>
      </w:r>
      <w:r>
        <w:rPr>
          <w:rStyle w:val="OperatorTok"/>
        </w:rPr>
        <w:t xml:space="preserve">-</w:t>
      </w:r>
      <w:r>
        <w:rPr>
          <w:rStyle w:val="NormalTok"/>
        </w:rPr>
        <w:t xml:space="preserve">Location </w:t>
      </w:r>
      <w:r>
        <w:rPr>
          <w:rStyle w:val="VariableTok"/>
        </w:rPr>
        <w:t xml:space="preserve">$location</w:t>
      </w:r>
      <w:r>
        <w:rPr>
          <w:rStyle w:val="NormalTok"/>
        </w:rPr>
        <w:t xml:space="preserve"> `</w:t>
      </w:r>
      <w:r>
        <w:br/>
      </w:r>
      <w:r>
        <w:rPr>
          <w:rStyle w:val="NormalTok"/>
        </w:rPr>
        <w:t xml:space="preserve">    </w:t>
      </w:r>
      <w:r>
        <w:rPr>
          <w:rStyle w:val="OperatorTok"/>
        </w:rPr>
        <w:t xml:space="preserve">-</w:t>
      </w:r>
      <w:r>
        <w:rPr>
          <w:rStyle w:val="NormalTok"/>
        </w:rPr>
        <w:t xml:space="preserve">DnsResolverOutboundEndpoint </w:t>
      </w:r>
      <w:r>
        <w:rPr>
          <w:rStyle w:val="VariableTok"/>
        </w:rPr>
        <w:t xml:space="preserve">$outboundEP</w:t>
      </w:r>
      <w:r>
        <w:br/>
      </w:r>
      <w:r>
        <w:br/>
      </w:r>
      <w:r>
        <w:rPr>
          <w:rStyle w:val="CommentTok"/>
        </w:rPr>
        <w:t xml:space="preserve"># 5. Rules: on-premises namespaces to on-premises DNS; the Azure private namespace to the inbound endpoint</w:t>
      </w:r>
      <w:r>
        <w:br/>
      </w:r>
      <w:r>
        <w:rPr>
          <w:rStyle w:val="VariableTok"/>
        </w:rPr>
        <w:t xml:space="preserve">$onPrem1</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StringTok"/>
        </w:rPr>
        <w:t xml:space="preserve">"10.1.0.10"</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VariableTok"/>
        </w:rPr>
        <w:t xml:space="preserve">$onPrem2</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StringTok"/>
        </w:rPr>
        <w:t xml:space="preserve">"10.1.0.11"</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VariableTok"/>
        </w:rPr>
        <w:t xml:space="preserve">$hubIn</w:t>
      </w:r>
      <w:r>
        <w:rPr>
          <w:rStyle w:val="NormalTok"/>
        </w:rPr>
        <w:t xml:space="preserve">   </w:t>
      </w:r>
      <w:r>
        <w:rPr>
          <w:rStyle w:val="OperatorTok"/>
        </w:rPr>
        <w:t xml:space="preserve">=</w:t>
      </w:r>
      <w:r>
        <w:rPr>
          <w:rStyle w:val="NormalTok"/>
        </w:rPr>
        <w:t xml:space="preserve"> New-AzDnsResolverTargetDnsServerObject </w:t>
      </w:r>
      <w:r>
        <w:rPr>
          <w:rStyle w:val="OperatorTok"/>
        </w:rPr>
        <w:t xml:space="preserve">-</w:t>
      </w:r>
      <w:r>
        <w:rPr>
          <w:rStyle w:val="NormalTok"/>
        </w:rPr>
        <w:t xml:space="preserve">IPAddress </w:t>
      </w:r>
      <w:r>
        <w:rPr>
          <w:rStyle w:val="VariableTok"/>
        </w:rPr>
        <w:t xml:space="preserve">$inboundIP</w:t>
      </w:r>
      <w:r>
        <w:rPr>
          <w:rStyle w:val="NormalTok"/>
        </w:rPr>
        <w:t xml:space="preserve"> </w:t>
      </w:r>
      <w:r>
        <w:rPr>
          <w:rStyle w:val="OperatorTok"/>
        </w:rPr>
        <w:t xml:space="preserve">-</w:t>
      </w:r>
      <w:r>
        <w:rPr>
          <w:rStyle w:val="NormalTok"/>
        </w:rPr>
        <w:t xml:space="preserve">Port </w:t>
      </w:r>
      <w:r>
        <w:rPr>
          <w:rStyle w:val="DecValTok"/>
        </w:rPr>
        <w:t xml:space="preserve">53</w:t>
      </w:r>
      <w:r>
        <w:br/>
      </w:r>
      <w:r>
        <w:rPr>
          <w:rStyle w:val="DataTypeTok"/>
        </w:rPr>
        <w:t xml:space="preserve">New</w:t>
      </w:r>
      <w:r>
        <w:rPr>
          <w:rStyle w:val="OperatorTok"/>
        </w:rPr>
        <w:t xml:space="preserve">-</w:t>
      </w:r>
      <w:r>
        <w:rPr>
          <w:rStyle w:val="NormalTok"/>
        </w:rPr>
        <w:t xml:space="preserve">AzDnsForwardingRulesetForwardingRule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"rule-corp-contoso-com"</w:t>
      </w:r>
      <w:r>
        <w:rPr>
          <w:rStyle w:val="NormalTok"/>
        </w:rPr>
        <w:t xml:space="preserve"> </w:t>
      </w:r>
      <w:r>
        <w:rPr>
          <w:rStyle w:val="OperatorTok"/>
        </w:rPr>
        <w:t xml:space="preserve">-</w:t>
      </w:r>
      <w:r>
        <w:rPr>
          <w:rStyle w:val="NormalTok"/>
        </w:rPr>
        <w:t xml:space="preserve">DomainName </w:t>
      </w:r>
      <w:r>
        <w:rPr>
          <w:rStyle w:val="StringTok"/>
        </w:rPr>
        <w:t xml:space="preserve">"corp.contoso.com."</w:t>
      </w:r>
      <w:r>
        <w:rPr>
          <w:rStyle w:val="NormalTok"/>
        </w:rPr>
        <w:t xml:space="preserve"> `</w:t>
      </w:r>
      <w:r>
        <w:br/>
      </w:r>
      <w:r>
        <w:rPr>
          <w:rStyle w:val="NormalTok"/>
        </w:rPr>
        <w:t xml:space="preserve">    </w:t>
      </w:r>
      <w:r>
        <w:rPr>
          <w:rStyle w:val="OperatorTok"/>
        </w:rPr>
        <w:t xml:space="preserve">-</w:t>
      </w:r>
      <w:r>
        <w:rPr>
          <w:rStyle w:val="NormalTok"/>
        </w:rPr>
        <w:t xml:space="preserve">ForwardingRuleState </w:t>
      </w:r>
      <w:r>
        <w:rPr>
          <w:rStyle w:val="StringTok"/>
        </w:rPr>
        <w:t xml:space="preserve">"Enabled"</w:t>
      </w:r>
      <w:r>
        <w:rPr>
          <w:rStyle w:val="NormalTok"/>
        </w:rPr>
        <w:t xml:space="preserve"> </w:t>
      </w:r>
      <w:r>
        <w:rPr>
          <w:rStyle w:val="OperatorTok"/>
        </w:rPr>
        <w:t xml:space="preserve">-</w:t>
      </w:r>
      <w:r>
        <w:rPr>
          <w:rStyle w:val="NormalTok"/>
        </w:rPr>
        <w:t xml:space="preserve">TargetDnsServer </w:t>
      </w:r>
      <w:r>
        <w:rPr>
          <w:rStyle w:val="OperatorTok"/>
        </w:rPr>
        <w:t xml:space="preserve">@(</w:t>
      </w:r>
      <w:r>
        <w:rPr>
          <w:rStyle w:val="VariableTok"/>
        </w:rPr>
        <w:t xml:space="preserve">$onPrem1</w:t>
      </w:r>
      <w:r>
        <w:rPr>
          <w:rStyle w:val="OperatorTok"/>
        </w:rPr>
        <w:t xml:space="preserve">,</w:t>
      </w:r>
      <w:r>
        <w:rPr>
          <w:rStyle w:val="NormalTok"/>
        </w:rPr>
        <w:t xml:space="preserve"> </w:t>
      </w:r>
      <w:r>
        <w:rPr>
          <w:rStyle w:val="VariableTok"/>
        </w:rPr>
        <w:t xml:space="preserve">$onPrem2</w:t>
      </w:r>
      <w:r>
        <w:rPr>
          <w:rStyle w:val="OperatorTok"/>
        </w:rPr>
        <w:t xml:space="preserve">)</w:t>
      </w:r>
      <w:r>
        <w:br/>
      </w:r>
      <w:r>
        <w:rPr>
          <w:rStyle w:val="NormalTok"/>
        </w:rPr>
        <w:t xml:space="preserve">New-AzDnsForwardingRulesetForwardingRule </w:t>
      </w:r>
      <w:r>
        <w:rPr>
          <w:rStyle w:val="OperatorTok"/>
        </w:rPr>
        <w:t xml:space="preserve">-</w:t>
      </w:r>
      <w:r>
        <w:rPr>
          <w:rStyle w:val="NormalTok"/>
        </w:rPr>
        <w:t xml:space="preserve">ResourceGroupName </w:t>
      </w:r>
      <w:r>
        <w:rPr>
          <w:rStyle w:val="VariableTok"/>
        </w:rPr>
        <w:t xml:space="preserve">$rg</w:t>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"rule-azure-contoso-com"</w:t>
      </w:r>
      <w:r>
        <w:rPr>
          <w:rStyle w:val="NormalTok"/>
        </w:rPr>
        <w:t xml:space="preserve"> </w:t>
      </w:r>
      <w:r>
        <w:rPr>
          <w:rStyle w:val="OperatorTok"/>
        </w:rPr>
        <w:t xml:space="preserve">-</w:t>
      </w:r>
      <w:r>
        <w:rPr>
          <w:rStyle w:val="NormalTok"/>
        </w:rPr>
        <w:t xml:space="preserve">DomainName </w:t>
      </w:r>
      <w:r>
        <w:rPr>
          <w:rStyle w:val="StringTok"/>
        </w:rPr>
        <w:t xml:space="preserve">"azure.contoso.com."</w:t>
      </w:r>
      <w:r>
        <w:rPr>
          <w:rStyle w:val="NormalTok"/>
        </w:rPr>
        <w:t xml:space="preserve"> `</w:t>
      </w:r>
      <w:r>
        <w:br/>
      </w:r>
      <w:r>
        <w:rPr>
          <w:rStyle w:val="NormalTok"/>
        </w:rPr>
        <w:t xml:space="preserve">    </w:t>
      </w:r>
      <w:r>
        <w:rPr>
          <w:rStyle w:val="OperatorTok"/>
        </w:rPr>
        <w:t xml:space="preserve">-</w:t>
      </w:r>
      <w:r>
        <w:rPr>
          <w:rStyle w:val="NormalTok"/>
        </w:rPr>
        <w:t xml:space="preserve">ForwardingRuleState </w:t>
      </w:r>
      <w:r>
        <w:rPr>
          <w:rStyle w:val="StringTok"/>
        </w:rPr>
        <w:t xml:space="preserve">"Enabled"</w:t>
      </w:r>
      <w:r>
        <w:rPr>
          <w:rStyle w:val="NormalTok"/>
        </w:rPr>
        <w:t xml:space="preserve"> </w:t>
      </w:r>
      <w:r>
        <w:rPr>
          <w:rStyle w:val="OperatorTok"/>
        </w:rPr>
        <w:t xml:space="preserve">-</w:t>
      </w:r>
      <w:r>
        <w:rPr>
          <w:rStyle w:val="NormalTok"/>
        </w:rPr>
        <w:t xml:space="preserve">TargetDnsServer </w:t>
      </w:r>
      <w:r>
        <w:rPr>
          <w:rStyle w:val="VariableTok"/>
        </w:rPr>
        <w:t xml:space="preserve">$hubIn</w:t>
      </w:r>
      <w:r>
        <w:br/>
      </w:r>
      <w:r>
        <w:br/>
      </w:r>
      <w:r>
        <w:rPr>
          <w:rStyle w:val="CommentTok"/>
        </w:rPr>
        <w:t xml:space="preserve"># 6. Link the ruleset to the spokes only (never to the hub: rule-azure-contoso-com targets its inbound endpoint)</w:t>
      </w:r>
      <w:r>
        <w:br/>
      </w:r>
      <w:r>
        <w:rPr>
          <w:rStyle w:val="ControlFlowTok"/>
        </w:rPr>
        <w:t xml:space="preserve">foreach</w:t>
      </w:r>
      <w:r>
        <w:rPr>
          <w:rStyle w:val="NormalTok"/>
        </w:rPr>
        <w:t xml:space="preserve"> </w:t>
      </w:r>
      <w:r>
        <w:rPr>
          <w:rStyle w:val="OperatorTok"/>
        </w:rPr>
        <w:t xml:space="preserve">(</w:t>
      </w:r>
      <w:r>
        <w:rPr>
          <w:rStyle w:val="VariableTok"/>
        </w:rPr>
        <w:t xml:space="preserve">$spokeName</w:t>
      </w:r>
      <w:r>
        <w:rPr>
          <w:rStyle w:val="NormalTok"/>
        </w:rPr>
        <w:t xml:space="preserve"> </w:t>
      </w:r>
      <w:r>
        <w:rPr>
          <w:rStyle w:val="KeywordTok"/>
        </w:rPr>
        <w:t xml:space="preserve">in</w:t>
      </w:r>
      <w:r>
        <w:rPr>
          <w:rStyle w:val="NormalTok"/>
        </w:rPr>
        <w:t xml:space="preserve"> </w:t>
      </w:r>
      <w:r>
        <w:rPr>
          <w:rStyle w:val="OperatorTok"/>
        </w:rPr>
        <w:t xml:space="preserve">@(</w:t>
      </w:r>
      <w:r>
        <w:rPr>
          <w:rStyle w:val="StringTok"/>
        </w:rPr>
        <w:t xml:space="preserve">"vnet-spoke-workload-001"</w:t>
      </w:r>
      <w:r>
        <w:rPr>
          <w:rStyle w:val="OperatorTok"/>
        </w:rPr>
        <w:t xml:space="preserve">,</w:t>
      </w:r>
      <w:r>
        <w:rPr>
          <w:rStyle w:val="NormalTok"/>
        </w:rPr>
        <w:t xml:space="preserve"> </w:t>
      </w:r>
      <w:r>
        <w:rPr>
          <w:rStyle w:val="StringTok"/>
        </w:rPr>
        <w:t xml:space="preserve">"vnet-spoke-workload-002"</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$spoke</w:t>
      </w:r>
      <w:r>
        <w:rPr>
          <w:rStyle w:val="NormalTok"/>
        </w:rPr>
        <w:t xml:space="preserve"> </w:t>
      </w:r>
      <w:r>
        <w:rPr>
          <w:rStyle w:val="OperatorTok"/>
        </w:rPr>
        <w:t xml:space="preserve">=</w:t>
      </w:r>
      <w:r>
        <w:rPr>
          <w:rStyle w:val="NormalTok"/>
        </w:rPr>
        <w:t xml:space="preserve"> Get-AzVirtualNetwork </w:t>
      </w:r>
      <w:r>
        <w:rPr>
          <w:rStyle w:val="OperatorTok"/>
        </w:rPr>
        <w:t xml:space="preserve">-</w:t>
      </w:r>
      <w:r>
        <w:rPr>
          <w:rStyle w:val="NormalTok"/>
        </w:rPr>
        <w:t xml:space="preserve">ResourceGroupName </w:t>
      </w:r>
      <w:r>
        <w:rPr>
          <w:rStyle w:val="StringTok"/>
        </w:rPr>
        <w:t xml:space="preserve">"rg-spoke-networking"</w:t>
      </w:r>
      <w:r>
        <w:rPr>
          <w:rStyle w:val="NormalTok"/>
        </w:rPr>
        <w:t xml:space="preserve"> </w:t>
      </w:r>
      <w:r>
        <w:rPr>
          <w:rStyle w:val="OperatorTok"/>
        </w:rPr>
        <w:t xml:space="preserve">-</w:t>
      </w:r>
      <w:r>
        <w:rPr>
          <w:rStyle w:val="NormalTok"/>
        </w:rPr>
        <w:t xml:space="preserve">Name </w:t>
      </w:r>
      <w:r>
        <w:rPr>
          <w:rStyle w:val="VariableTok"/>
        </w:rPr>
        <w:t xml:space="preserve">$spokeName</w:t>
      </w:r>
      <w:r>
        <w:br/>
      </w:r>
      <w:r>
        <w:rPr>
          <w:rStyle w:val="NormalTok"/>
        </w:rPr>
        <w:t xml:space="preserve">    New-AzDnsForwardingRulesetVirtualNetworkLink </w:t>
      </w:r>
      <w:r>
        <w:rPr>
          <w:rStyle w:val="OperatorTok"/>
        </w:rPr>
        <w:t xml:space="preserve">-</w:t>
      </w:r>
      <w:r>
        <w:rPr>
          <w:rStyle w:val="NormalTok"/>
        </w:rPr>
        <w:t xml:space="preserve">ResourceGroupName </w:t>
      </w:r>
      <w:r>
        <w:rPr>
          <w:rStyle w:val="VariableTok"/>
        </w:rPr>
        <w:t xml:space="preserve">$rg</w:t>
      </w:r>
      <w:r>
        <w:rPr>
          <w:rStyle w:val="NormalTok"/>
        </w:rPr>
        <w:t xml:space="preserve"> `</w:t>
      </w:r>
      <w:r>
        <w:br/>
      </w:r>
      <w:r>
        <w:rPr>
          <w:rStyle w:val="NormalTok"/>
        </w:rPr>
        <w:t xml:space="preserve">        </w:t>
      </w:r>
      <w:r>
        <w:rPr>
          <w:rStyle w:val="OperatorTok"/>
        </w:rPr>
        <w:t xml:space="preserve">-</w:t>
      </w:r>
      <w:r>
        <w:rPr>
          <w:rStyle w:val="NormalTok"/>
        </w:rPr>
        <w:t xml:space="preserve">DnsForwardingRulesetName </w:t>
      </w:r>
      <w:r>
        <w:rPr>
          <w:rStyle w:val="VariableTok"/>
        </w:rPr>
        <w:t xml:space="preserve">$ruleset</w:t>
      </w:r>
      <w:r>
        <w:rPr>
          <w:rStyle w:val="NormalTok"/>
        </w:rPr>
        <w:t xml:space="preserve"> </w:t>
      </w:r>
      <w:r>
        <w:rPr>
          <w:rStyle w:val="OperatorTok"/>
        </w:rPr>
        <w:t xml:space="preserve">-</w:t>
      </w:r>
      <w:r>
        <w:rPr>
          <w:rStyle w:val="NormalTok"/>
        </w:rPr>
        <w:t xml:space="preserve">VirtualNetworkLinkName </w:t>
      </w:r>
      <w:r>
        <w:rPr>
          <w:rStyle w:val="StringTok"/>
        </w:rPr>
        <w:t xml:space="preserve">"link-</w:t>
      </w:r>
      <w:r>
        <w:rPr>
          <w:rStyle w:val="VariableTok"/>
        </w:rPr>
        <w:t xml:space="preserve">$spokeName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VirtualNetworkId </w:t>
      </w:r>
      <w:r>
        <w:rPr>
          <w:rStyle w:val="VariableTok"/>
        </w:rPr>
        <w:t xml:space="preserve">$spoke</w:t>
      </w:r>
      <w:r>
        <w:rPr>
          <w:rStyle w:val="OperatorTok"/>
        </w:rPr>
        <w:t xml:space="preserve">.</w:t>
      </w:r>
      <w:r>
        <w:rPr>
          <w:rStyle w:val="FunctionTok"/>
        </w:rPr>
        <w:t xml:space="preserve">Id</w:t>
      </w:r>
      <w:r>
        <w:br/>
      </w:r>
      <w:r>
        <w:rPr>
          <w:rStyle w:val="OperatorTok"/>
        </w:rPr>
        <w:t xml:space="preserve">}</w:t>
      </w:r>
      <w:r>
        <w:br/>
      </w:r>
      <w:r>
        <w:br/>
      </w:r>
      <w:r>
        <w:rPr>
          <w:rStyle w:val="CommentTok"/>
        </w:rPr>
        <w:t xml:space="preserve"># 7. Link the private zones to the hub so the inbound endpoint can answer them</w:t>
      </w:r>
      <w:r>
        <w:br/>
      </w:r>
      <w:r>
        <w:rPr>
          <w:rStyle w:val="NormalTok"/>
        </w:rPr>
        <w:t xml:space="preserve">New-AzPrivateDnsVirtualNetworkLink </w:t>
      </w:r>
      <w:r>
        <w:rPr>
          <w:rStyle w:val="OperatorTok"/>
        </w:rPr>
        <w:t xml:space="preserve">-</w:t>
      </w:r>
      <w:r>
        <w:rPr>
          <w:rStyle w:val="NormalTok"/>
        </w:rPr>
        <w:t xml:space="preserve">ResourceGroupName </w:t>
      </w:r>
      <w:r>
        <w:rPr>
          <w:rStyle w:val="StringTok"/>
        </w:rPr>
        <w:t xml:space="preserve">"rg-dns"</w:t>
      </w:r>
      <w:r>
        <w:rPr>
          <w:rStyle w:val="NormalTok"/>
        </w:rPr>
        <w:t xml:space="preserve"> `</w:t>
      </w:r>
      <w:r>
        <w:br/>
      </w:r>
      <w:r>
        <w:rPr>
          <w:rStyle w:val="NormalTok"/>
        </w:rPr>
        <w:t xml:space="preserve">    </w:t>
      </w:r>
      <w:r>
        <w:rPr>
          <w:rStyle w:val="OperatorTok"/>
        </w:rPr>
        <w:t xml:space="preserve">-</w:t>
      </w:r>
      <w:r>
        <w:rPr>
          <w:rStyle w:val="NormalTok"/>
        </w:rPr>
        <w:t xml:space="preserve">ZoneName </w:t>
      </w:r>
      <w:r>
        <w:rPr>
          <w:rStyle w:val="StringTok"/>
        </w:rPr>
        <w:t xml:space="preserve">"privatelink.blob.core.windows.net"</w:t>
      </w:r>
      <w:r>
        <w:rPr>
          <w:rStyle w:val="NormalTok"/>
        </w:rPr>
        <w:t xml:space="preserve"> </w:t>
      </w:r>
      <w:r>
        <w:rPr>
          <w:rStyle w:val="OperatorTok"/>
        </w:rPr>
        <w:t xml:space="preserve">-</w:t>
      </w:r>
      <w:r>
        <w:rPr>
          <w:rStyle w:val="NormalTok"/>
        </w:rPr>
        <w:t xml:space="preserve">Name </w:t>
      </w:r>
      <w:r>
        <w:rPr>
          <w:rStyle w:val="StringTok"/>
        </w:rPr>
        <w:t xml:space="preserve">"link-hub"</w:t>
      </w:r>
      <w:r>
        <w:rPr>
          <w:rStyle w:val="NormalTok"/>
        </w:rPr>
        <w:t xml:space="preserve"> </w:t>
      </w:r>
      <w:r>
        <w:rPr>
          <w:rStyle w:val="OperatorTok"/>
        </w:rPr>
        <w:t xml:space="preserve">-</w:t>
      </w:r>
      <w:r>
        <w:rPr>
          <w:rStyle w:val="NormalTok"/>
        </w:rPr>
        <w:t xml:space="preserve">VirtualNetworkId </w:t>
      </w:r>
      <w:r>
        <w:rPr>
          <w:rStyle w:val="VariableTok"/>
        </w:rPr>
        <w:t xml:space="preserve">$hubVNet</w:t>
      </w:r>
      <w:r>
        <w:rPr>
          <w:rStyle w:val="OperatorTok"/>
        </w:rPr>
        <w:t xml:space="preserve">.</w:t>
      </w:r>
      <w:r>
        <w:rPr>
          <w:rStyle w:val="FunctionTok"/>
        </w:rPr>
        <w:t xml:space="preserve">Id</w:t>
      </w:r>
    </w:p>
    <w:p>
      <w:pPr>
        <w:pStyle w:val="FirstParagraph"/>
      </w:pPr>
      <w:r>
        <w:t xml:space="preserve">On each on-premises Windows DNS server, forward the public service zones (not the</w:t>
      </w:r>
      <w:r>
        <w:t xml:space="preserve"> </w:t>
      </w:r>
      <w:r>
        <w:rPr>
          <w:rStyle w:val="VerbatimChar"/>
        </w:rPr>
        <w:t xml:space="preserve">privatelink</w:t>
      </w:r>
      <w:r>
        <w:t xml:space="preserve"> </w:t>
      </w:r>
      <w:r>
        <w:t xml:space="preserve">zones) and the Azure private namespace to the inbound endpoints of both regions:</w:t>
      </w:r>
    </w:p>
    <w:p>
      <w:pPr>
        <w:pStyle w:val="SourceCode"/>
      </w:pPr>
      <w:r>
        <w:rPr>
          <w:rStyle w:val="CommentTok"/>
        </w:rPr>
        <w:t xml:space="preserve"># Run on on-premises Windows DNS servers; 10.2.4.4 is the second region's inbound endpoint</w:t>
      </w:r>
      <w:r>
        <w:br/>
      </w:r>
      <w:r>
        <w:rPr>
          <w:rStyle w:val="VariableTok"/>
        </w:rPr>
        <w:t xml:space="preserve">$inboundIPs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"10.0.4.4"</w:t>
      </w:r>
      <w:r>
        <w:rPr>
          <w:rStyle w:val="OperatorTok"/>
        </w:rPr>
        <w:t xml:space="preserve">,</w:t>
      </w:r>
      <w:r>
        <w:rPr>
          <w:rStyle w:val="NormalTok"/>
        </w:rPr>
        <w:t xml:space="preserve"> </w:t>
      </w:r>
      <w:r>
        <w:rPr>
          <w:rStyle w:val="StringTok"/>
        </w:rPr>
        <w:t xml:space="preserve">"10.2.4.4"</w:t>
      </w:r>
      <w:r>
        <w:rPr>
          <w:rStyle w:val="OperatorTok"/>
        </w:rPr>
        <w:t xml:space="preserve">)</w:t>
      </w:r>
      <w:r>
        <w:br/>
      </w:r>
      <w:r>
        <w:rPr>
          <w:rStyle w:val="VariableTok"/>
        </w:rPr>
        <w:t xml:space="preserve">$zones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"blob.core.windows.net"</w:t>
      </w:r>
      <w:r>
        <w:rPr>
          <w:rStyle w:val="OperatorTok"/>
        </w:rPr>
        <w:t xml:space="preserve">,</w:t>
      </w:r>
      <w:r>
        <w:br/>
      </w:r>
      <w:r>
        <w:rPr>
          <w:rStyle w:val="NormalTok"/>
        </w:rPr>
        <w:t xml:space="preserve">    </w:t>
      </w:r>
      <w:r>
        <w:rPr>
          <w:rStyle w:val="StringTok"/>
        </w:rPr>
        <w:t xml:space="preserve">"file.core.windows.net"</w:t>
      </w:r>
      <w:r>
        <w:rPr>
          <w:rStyle w:val="OperatorTok"/>
        </w:rPr>
        <w:t xml:space="preserve">,</w:t>
      </w:r>
      <w:r>
        <w:br/>
      </w:r>
      <w:r>
        <w:rPr>
          <w:rStyle w:val="NormalTok"/>
        </w:rPr>
        <w:t xml:space="preserve">    </w:t>
      </w:r>
      <w:r>
        <w:rPr>
          <w:rStyle w:val="StringTok"/>
        </w:rPr>
        <w:t xml:space="preserve">"database.windows.net"</w:t>
      </w:r>
      <w:r>
        <w:rPr>
          <w:rStyle w:val="OperatorTok"/>
        </w:rPr>
        <w:t xml:space="preserve">,</w:t>
      </w:r>
      <w:r>
        <w:br/>
      </w:r>
      <w:r>
        <w:rPr>
          <w:rStyle w:val="NormalTok"/>
        </w:rPr>
        <w:t xml:space="preserve">    </w:t>
      </w:r>
      <w:r>
        <w:rPr>
          <w:rStyle w:val="StringTok"/>
        </w:rPr>
        <w:t xml:space="preserve">"vault.azure.net"</w:t>
      </w:r>
      <w:r>
        <w:rPr>
          <w:rStyle w:val="OperatorTok"/>
        </w:rPr>
        <w:t xml:space="preserve">,</w:t>
      </w:r>
      <w:r>
        <w:br/>
      </w:r>
      <w:r>
        <w:rPr>
          <w:rStyle w:val="NormalTok"/>
        </w:rPr>
        <w:t xml:space="preserve">    </w:t>
      </w:r>
      <w:r>
        <w:rPr>
          <w:rStyle w:val="StringTok"/>
        </w:rPr>
        <w:t xml:space="preserve">"vaultcore.azure.net"</w:t>
      </w:r>
      <w:r>
        <w:rPr>
          <w:rStyle w:val="OperatorTok"/>
        </w:rPr>
        <w:t xml:space="preserve">,</w:t>
      </w:r>
      <w:r>
        <w:br/>
      </w:r>
      <w:r>
        <w:rPr>
          <w:rStyle w:val="NormalTok"/>
        </w:rPr>
        <w:t xml:space="preserve">    </w:t>
      </w:r>
      <w:r>
        <w:rPr>
          <w:rStyle w:val="StringTok"/>
        </w:rPr>
        <w:t xml:space="preserve">"azurewebsites.net"</w:t>
      </w:r>
      <w:r>
        <w:rPr>
          <w:rStyle w:val="OperatorTok"/>
        </w:rPr>
        <w:t xml:space="preserve">,</w:t>
      </w:r>
      <w:r>
        <w:br/>
      </w:r>
      <w:r>
        <w:rPr>
          <w:rStyle w:val="NormalTok"/>
        </w:rPr>
        <w:t xml:space="preserve">    </w:t>
      </w:r>
      <w:r>
        <w:rPr>
          <w:rStyle w:val="StringTok"/>
        </w:rPr>
        <w:t xml:space="preserve">"servicebus.windows.net"</w:t>
      </w:r>
      <w:r>
        <w:rPr>
          <w:rStyle w:val="OperatorTok"/>
        </w:rPr>
        <w:t xml:space="preserve">,</w:t>
      </w:r>
      <w:r>
        <w:br/>
      </w:r>
      <w:r>
        <w:rPr>
          <w:rStyle w:val="NormalTok"/>
        </w:rPr>
        <w:t xml:space="preserve">    </w:t>
      </w:r>
      <w:r>
        <w:rPr>
          <w:rStyle w:val="StringTok"/>
        </w:rPr>
        <w:t xml:space="preserve">"azure.contoso.com"</w:t>
      </w:r>
      <w:r>
        <w:br/>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$zone</w:t>
      </w:r>
      <w:r>
        <w:rPr>
          <w:rStyle w:val="NormalTok"/>
        </w:rPr>
        <w:t xml:space="preserve"> </w:t>
      </w:r>
      <w:r>
        <w:rPr>
          <w:rStyle w:val="KeywordTok"/>
        </w:rPr>
        <w:t xml:space="preserve">in</w:t>
      </w:r>
      <w:r>
        <w:rPr>
          <w:rStyle w:val="NormalTok"/>
        </w:rPr>
        <w:t xml:space="preserve"> </w:t>
      </w:r>
      <w:r>
        <w:rPr>
          <w:rStyle w:val="VariableTok"/>
        </w:rPr>
        <w:t xml:space="preserve">$zones</w:t>
      </w:r>
      <w:r>
        <w:rPr>
          <w:rStyle w:val="OperatorTok"/>
        </w:rPr>
        <w:t xml:space="preserve">)</w:t>
      </w:r>
      <w:r>
        <w:rPr>
          <w:rStyle w:val="NormalTok"/>
        </w:rPr>
        <w:t xml:space="preserve"> </w:t>
      </w:r>
      <w:r>
        <w:rPr>
          <w:rStyle w:val="OperatorTok"/>
        </w:rPr>
        <w:t xml:space="preserve">{</w:t>
      </w:r>
      <w:r>
        <w:br/>
      </w:r>
      <w:r>
        <w:rPr>
          <w:rStyle w:val="NormalTok"/>
        </w:rPr>
        <w:t xml:space="preserve">    Add-DnsServerConditionalForwarderZone </w:t>
      </w:r>
      <w:r>
        <w:rPr>
          <w:rStyle w:val="OperatorTok"/>
        </w:rPr>
        <w:t xml:space="preserve">-</w:t>
      </w:r>
      <w:r>
        <w:rPr>
          <w:rStyle w:val="NormalTok"/>
        </w:rPr>
        <w:t xml:space="preserve">Name </w:t>
      </w:r>
      <w:r>
        <w:rPr>
          <w:rStyle w:val="VariableTok"/>
        </w:rPr>
        <w:t xml:space="preserve">$zone</w:t>
      </w:r>
      <w:r>
        <w:rPr>
          <w:rStyle w:val="NormalTok"/>
        </w:rPr>
        <w:t xml:space="preserve"> </w:t>
      </w:r>
      <w:r>
        <w:rPr>
          <w:rStyle w:val="OperatorTok"/>
        </w:rPr>
        <w:t xml:space="preserve">-</w:t>
      </w:r>
      <w:r>
        <w:rPr>
          <w:rStyle w:val="NormalTok"/>
        </w:rPr>
        <w:t xml:space="preserve">MasterServers </w:t>
      </w:r>
      <w:r>
        <w:rPr>
          <w:rStyle w:val="VariableTok"/>
        </w:rPr>
        <w:t xml:space="preserve">$inboundIPs</w:t>
      </w:r>
      <w:r>
        <w:rPr>
          <w:rStyle w:val="NormalTok"/>
        </w:rPr>
        <w:t xml:space="preserve"> `</w:t>
      </w:r>
      <w:r>
        <w:br/>
      </w:r>
      <w:r>
        <w:rPr>
          <w:rStyle w:val="NormalTok"/>
        </w:rPr>
        <w:t xml:space="preserve">        </w:t>
      </w:r>
      <w:r>
        <w:rPr>
          <w:rStyle w:val="OperatorTok"/>
        </w:rPr>
        <w:t xml:space="preserve">-</w:t>
      </w:r>
      <w:r>
        <w:rPr>
          <w:rStyle w:val="NormalTok"/>
        </w:rPr>
        <w:t xml:space="preserve">ReplicationScope </w:t>
      </w:r>
      <w:r>
        <w:rPr>
          <w:rStyle w:val="StringTok"/>
        </w:rPr>
        <w:t xml:space="preserve">"Forest"</w:t>
      </w:r>
      <w:r>
        <w:br/>
      </w:r>
      <w:r>
        <w:rPr>
          <w:rStyle w:val="OperatorTok"/>
        </w:rPr>
        <w:t xml:space="preserve">}</w:t>
      </w:r>
      <w:r>
        <w:br/>
      </w:r>
      <w:r>
        <w:br/>
      </w:r>
      <w:r>
        <w:rPr>
          <w:rStyle w:val="CommentTok"/>
        </w:rPr>
        <w:t xml:space="preserve"># Validate from on-premises, then repeat from an Azure VM, an AWS instance and a branch</w:t>
      </w:r>
      <w:r>
        <w:br/>
      </w:r>
      <w:r>
        <w:rPr>
          <w:rStyle w:val="NormalTok"/>
        </w:rPr>
        <w:t xml:space="preserve">Resolve-DnsName </w:t>
      </w:r>
      <w:r>
        <w:rPr>
          <w:rStyle w:val="OperatorTok"/>
        </w:rPr>
        <w:t xml:space="preserve">-</w:t>
      </w:r>
      <w:r>
        <w:rPr>
          <w:rStyle w:val="NormalTok"/>
        </w:rPr>
        <w:t xml:space="preserve">Name </w:t>
      </w:r>
      <w:r>
        <w:rPr>
          <w:rStyle w:val="StringTok"/>
        </w:rPr>
        <w:t xml:space="preserve">"storageacct.blob.core.windows.net"</w:t>
      </w:r>
      <w:r>
        <w:rPr>
          <w:rStyle w:val="NormalTok"/>
        </w:rPr>
        <w:t xml:space="preserve"> </w:t>
      </w:r>
      <w:r>
        <w:rPr>
          <w:rStyle w:val="OperatorTok"/>
        </w:rPr>
        <w:t xml:space="preserve">-</w:t>
      </w:r>
      <w:r>
        <w:rPr>
          <w:rStyle w:val="NormalTok"/>
        </w:rPr>
        <w:t xml:space="preserve">Type A</w:t>
      </w:r>
      <w:r>
        <w:br/>
      </w:r>
      <w:r>
        <w:rPr>
          <w:rStyle w:val="NormalTok"/>
        </w:rPr>
        <w:t xml:space="preserve">Resolve-DnsName </w:t>
      </w:r>
      <w:r>
        <w:rPr>
          <w:rStyle w:val="OperatorTok"/>
        </w:rPr>
        <w:t xml:space="preserve">-</w:t>
      </w:r>
      <w:r>
        <w:rPr>
          <w:rStyle w:val="NormalTok"/>
        </w:rPr>
        <w:t xml:space="preserve">Name </w:t>
      </w:r>
      <w:r>
        <w:rPr>
          <w:rStyle w:val="StringTok"/>
        </w:rPr>
        <w:t xml:space="preserve">"azvm01.azure.contoso.com"</w:t>
      </w:r>
      <w:r>
        <w:rPr>
          <w:rStyle w:val="NormalTok"/>
        </w:rPr>
        <w:t xml:space="preserve"> </w:t>
      </w:r>
      <w:r>
        <w:rPr>
          <w:rStyle w:val="OperatorTok"/>
        </w:rPr>
        <w:t xml:space="preserve">-</w:t>
      </w:r>
      <w:r>
        <w:rPr>
          <w:rStyle w:val="NormalTok"/>
        </w:rPr>
        <w:t xml:space="preserve">Type A</w:t>
      </w:r>
      <w:r>
        <w:br/>
      </w:r>
      <w:r>
        <w:rPr>
          <w:rStyle w:val="CommentTok"/>
        </w:rPr>
        <w:t xml:space="preserve"># From an Azure VM in a spoke: an on-premises name</w:t>
      </w:r>
      <w:r>
        <w:br/>
      </w:r>
      <w:r>
        <w:rPr>
          <w:rStyle w:val="NormalTok"/>
        </w:rPr>
        <w:t xml:space="preserve">Resolve-DnsName </w:t>
      </w:r>
      <w:r>
        <w:rPr>
          <w:rStyle w:val="OperatorTok"/>
        </w:rPr>
        <w:t xml:space="preserve">-</w:t>
      </w:r>
      <w:r>
        <w:rPr>
          <w:rStyle w:val="NormalTok"/>
        </w:rPr>
        <w:t xml:space="preserve">Name </w:t>
      </w:r>
      <w:r>
        <w:rPr>
          <w:rStyle w:val="StringTok"/>
        </w:rPr>
        <w:t xml:space="preserve">"dc01.corp.contoso.com"</w:t>
      </w:r>
      <w:r>
        <w:rPr>
          <w:rStyle w:val="NormalTok"/>
        </w:rPr>
        <w:t xml:space="preserve"> </w:t>
      </w:r>
      <w:r>
        <w:rPr>
          <w:rStyle w:val="OperatorTok"/>
        </w:rPr>
        <w:t xml:space="preserve">-</w:t>
      </w:r>
      <w:r>
        <w:rPr>
          <w:rStyle w:val="NormalTok"/>
        </w:rPr>
        <w:t xml:space="preserve">Type A</w:t>
      </w:r>
    </w:p>
    <w:p>
      <w:pPr>
        <w:pStyle w:val="FirstParagraph"/>
      </w:pPr>
      <w:r>
        <w:t xml:space="preserve">Forwarding a whole public service zone sends every lookup in it through Azure, including lookups for other organizations’ resources; set</w:t>
      </w:r>
      <w:r>
        <w:t xml:space="preserve"> </w:t>
      </w:r>
      <w:r>
        <w:t xml:space="preserve">“fallback to internet”</w:t>
      </w:r>
      <w:r>
        <w:t xml:space="preserve"> </w:t>
      </w:r>
      <w:r>
        <w:t xml:space="preserve">on the zone links so that those still resolve.</w:t>
      </w:r>
      <w:r>
        <w:rPr>
          <w:rStyle w:val="FootnoteReference"/>
        </w:rPr>
        <w:footnoteReference w:id="498"/>
      </w:r>
      <w:r>
        <w:t xml:space="preserve"> </w:t>
      </w:r>
      <w:r>
        <w:t xml:space="preserve">Where the DDI platform is the agency resolver, the same forwarders live there instead (Chapter 08, Decision 3).</w:t>
      </w:r>
    </w:p>
    <w:bookmarkEnd w:id="499"/>
    <w:bookmarkStart w:id="502" w:name="hybrid-resolution-patterns"/>
    <w:p>
      <w:pPr>
        <w:pStyle w:val="Heading3"/>
      </w:pPr>
      <w:r>
        <w:t xml:space="preserve">Hybrid resolution patterns</w:t>
      </w:r>
    </w:p>
    <w:p>
      <w:pPr>
        <w:pStyle w:val="FirstParagraph"/>
      </w:pPr>
      <w:r>
        <w:t xml:space="preserve">Three patterns cover most hybrid namespaces. Each needs a validation step from both sides and a rollback that is cheap to run.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Pattern</w:t>
            </w:r>
          </w:p>
        </w:tc>
        <w:tc>
          <w:tcPr/>
          <w:p>
            <w:pPr>
              <w:pStyle w:val="Compact"/>
            </w:pPr>
            <w:r>
              <w:t xml:space="preserve">Use when</w:t>
            </w:r>
          </w:p>
        </w:tc>
        <w:tc>
          <w:tcPr/>
          <w:p>
            <w:pPr>
              <w:pStyle w:val="Compact"/>
            </w:pPr>
            <w:r>
              <w:t xml:space="preserve">Configuration</w:t>
            </w:r>
          </w:p>
        </w:tc>
        <w:tc>
          <w:tcPr/>
          <w:p>
            <w:pPr>
              <w:pStyle w:val="Compact"/>
            </w:pPr>
            <w:r>
              <w:t xml:space="preserve">Validation</w:t>
            </w:r>
          </w:p>
        </w:tc>
        <w:tc>
          <w:tcPr/>
          <w:p>
            <w:pPr>
              <w:pStyle w:val="Compact"/>
            </w:pPr>
            <w:r>
              <w:t xml:space="preserve">Rollback</w:t>
            </w:r>
          </w:p>
        </w:tc>
      </w:tr>
      <w:tr>
        <w:tc>
          <w:tcPr/>
          <w:p>
            <w:pPr>
              <w:pStyle w:val="Compact"/>
            </w:pPr>
            <w:r>
              <w:t xml:space="preserve">Same namespace, different answers (split horizon)</w:t>
            </w:r>
          </w:p>
        </w:tc>
        <w:tc>
          <w:tcPr/>
          <w:p>
            <w:pPr>
              <w:pStyle w:val="Compact"/>
            </w:pPr>
            <w:r>
              <w:t xml:space="preserve">An application needs a private answer inside Azure and a public answer outside, under one name</w:t>
            </w:r>
          </w:p>
        </w:tc>
        <w:tc>
          <w:tcPr/>
          <w:p>
            <w:pPr>
              <w:pStyle w:val="Compact"/>
            </w:pPr>
            <w:r>
              <w:t xml:space="preserve">Public zone</w:t>
            </w:r>
            <w:r>
              <w:t xml:space="preserve"> </w:t>
            </w:r>
            <w:r>
              <w:rPr>
                <w:rStyle w:val="VerbatimChar"/>
              </w:rPr>
              <w:t xml:space="preserve">contoso.com</w:t>
            </w:r>
            <w:r>
              <w:t xml:space="preserve"> </w:t>
            </w:r>
            <w:r>
              <w:t xml:space="preserve">with</w:t>
            </w:r>
            <w:r>
              <w:t xml:space="preserve"> </w:t>
            </w:r>
            <w:r>
              <w:rPr>
                <w:rStyle w:val="VerbatimChar"/>
              </w:rPr>
              <w:t xml:space="preserve">app</w:t>
            </w:r>
            <w:r>
              <w:t xml:space="preserve"> </w:t>
            </w:r>
            <w:r>
              <w:t xml:space="preserve">→ public address; private zone</w:t>
            </w:r>
            <w:r>
              <w:t xml:space="preserve"> </w:t>
            </w:r>
            <w:r>
              <w:rPr>
                <w:rStyle w:val="VerbatimChar"/>
              </w:rPr>
              <w:t xml:space="preserve">contoso.com</w:t>
            </w:r>
            <w:r>
              <w:t xml:space="preserve"> </w:t>
            </w:r>
            <w:r>
              <w:t xml:space="preserve">with</w:t>
            </w:r>
            <w:r>
              <w:t xml:space="preserve"> </w:t>
            </w:r>
            <w:r>
              <w:rPr>
                <w:rStyle w:val="VerbatimChar"/>
              </w:rPr>
              <w:t xml:space="preserve">app</w:t>
            </w:r>
            <w:r>
              <w:t xml:space="preserve"> </w:t>
            </w:r>
            <w:r>
              <w:t xml:space="preserve">→ private address; link the private zone to every network that must get the private answer; those networks use Azure-provided DNS or the inbound endpoint</w:t>
            </w:r>
          </w:p>
        </w:tc>
        <w:tc>
          <w:tcPr/>
          <w:p>
            <w:pPr>
              <w:pStyle w:val="Compact"/>
            </w:pPr>
            <w:r>
              <w:t xml:space="preserve">From a linked VM,</w:t>
            </w:r>
            <w:r>
              <w:t xml:space="preserve"> </w:t>
            </w:r>
            <w:r>
              <w:rPr>
                <w:rStyle w:val="VerbatimChar"/>
              </w:rPr>
              <w:t xml:space="preserve">app.contoso.com</w:t>
            </w:r>
            <w:r>
              <w:t xml:space="preserve"> </w:t>
            </w:r>
            <w:r>
              <w:t xml:space="preserve">returns the private address; from outside, querying a public resolver returns the public address</w:t>
            </w:r>
          </w:p>
        </w:tc>
        <w:tc>
          <w:tcPr/>
          <w:p>
            <w:pPr>
              <w:pStyle w:val="Compact"/>
            </w:pPr>
            <w:r>
              <w:t xml:space="preserve">Remove the private zone’s network link; internal clients fall back to public resolution</w:t>
            </w:r>
          </w:p>
        </w:tc>
      </w:tr>
      <w:tr>
        <w:tc>
          <w:tcPr/>
          <w:p>
            <w:pPr>
              <w:pStyle w:val="Compact"/>
            </w:pPr>
            <w:r>
              <w:t xml:space="preserve">Subdomain delegation</w:t>
            </w:r>
          </w:p>
        </w:tc>
        <w:tc>
          <w:tcPr/>
          <w:p>
            <w:pPr>
              <w:pStyle w:val="Compact"/>
            </w:pPr>
            <w:r>
              <w:t xml:space="preserve">A subdomain such as</w:t>
            </w:r>
            <w:r>
              <w:t xml:space="preserve"> </w:t>
            </w:r>
            <w:r>
              <w:rPr>
                <w:rStyle w:val="VerbatimChar"/>
              </w:rPr>
              <w:t xml:space="preserve">azure.contoso.com</w:t>
            </w:r>
            <w:r>
              <w:t xml:space="preserve"> </w:t>
            </w:r>
            <w:r>
              <w:t xml:space="preserve">moves to Azure while the parent stays on premises</w:t>
            </w:r>
          </w:p>
        </w:tc>
        <w:tc>
          <w:tcPr/>
          <w:p>
            <w:pPr>
              <w:pStyle w:val="Compact"/>
            </w:pPr>
            <w:r>
              <w:t xml:space="preserve">Create the public zone in Azure DNS; add NS records (and glue if needed) in the on-premises parent; for internal names create a private zone of the same name, link it, and forward it from on premises to the inbound endpoint</w:t>
            </w:r>
          </w:p>
        </w:tc>
        <w:tc>
          <w:tcPr/>
          <w:p>
            <w:pPr>
              <w:pStyle w:val="Compact"/>
            </w:pPr>
            <w:r>
              <w:t xml:space="preserve">A test name under the subdomain resolves from on premises; an on-premises name resolves from Azure through the ruleset</w:t>
            </w:r>
          </w:p>
        </w:tc>
        <w:tc>
          <w:tcPr/>
          <w:p>
            <w:pPr>
              <w:pStyle w:val="Compact"/>
            </w:pPr>
            <w:r>
              <w:t xml:space="preserve">Remove the NS delegation and the Azure zone</w:t>
            </w:r>
          </w:p>
        </w:tc>
      </w:tr>
      <w:tr>
        <w:tc>
          <w:tcPr/>
          <w:p>
            <w:pPr>
              <w:pStyle w:val="Compact"/>
            </w:pPr>
            <w:r>
              <w:t xml:space="preserve">Progressive migration with conditional forwarding</w:t>
            </w:r>
          </w:p>
        </w:tc>
        <w:tc>
          <w:tcPr/>
          <w:p>
            <w:pPr>
              <w:pStyle w:val="Compact"/>
            </w:pPr>
            <w:r>
              <w:t xml:space="preserve">Zones move to Azure one at a time</w:t>
            </w:r>
          </w:p>
        </w:tc>
        <w:tc>
          <w:tcPr/>
          <w:p>
            <w:pPr>
              <w:pStyle w:val="Compact"/>
            </w:pPr>
            <w:r>
              <w:t xml:space="preserve">Deploy the resolver; add ruleset rules for every on-premises namespace; forward Azure-hosted namespaces from on premises to the inbound endpoint; move one zone at a time, then remove its ruleset rule; when all zones have moved, remove the on-premises forwarders</w:t>
            </w:r>
          </w:p>
        </w:tc>
        <w:tc>
          <w:tcPr/>
          <w:p>
            <w:pPr>
              <w:pStyle w:val="Compact"/>
            </w:pPr>
            <w:r>
              <w:t xml:space="preserve">After each zone, test every migrated and unmigrated zone from on-premises and Azure vantage points</w:t>
            </w:r>
          </w:p>
        </w:tc>
        <w:tc>
          <w:tcPr/>
          <w:p>
            <w:pPr>
              <w:pStyle w:val="Compact"/>
            </w:pPr>
            <w:r>
              <w:t xml:space="preserve">Recreate the zone on premises from backup and point the forwarders back</w:t>
            </w:r>
          </w:p>
        </w:tc>
      </w:tr>
    </w:tbl>
    <w:p>
      <w:pPr>
        <w:pStyle w:val="BodyText"/>
      </w:pPr>
      <w:r>
        <w:t xml:space="preserve">Microsoft supports split horizon directly: a private and a public zone can share a name and give different answers inside a virtual network and on the internet.</w:t>
      </w:r>
      <w:r>
        <w:rPr>
          <w:rStyle w:val="FootnoteReference"/>
        </w:rPr>
        <w:footnoteReference w:id="500"/>
      </w:r>
      <w:r>
        <w:t xml:space="preserve"> </w:t>
      </w:r>
      <w:r>
        <w:t xml:space="preserve">The private half of the delegation pattern must use forwarding, because the resolver cannot be the target of an NS delegation.</w:t>
      </w:r>
      <w:r>
        <w:rPr>
          <w:rStyle w:val="FootnoteReference"/>
        </w:rPr>
        <w:footnoteReference w:id="501"/>
      </w:r>
      <w:r>
        <w:t xml:space="preserve"> </w:t>
      </w:r>
      <w:r>
        <w:t xml:space="preserve">Chapter 10 places the third pattern inside the book’s migration sequence, and Chapter 02 explains why every split-horizon name must be published from one source of truth.</w:t>
      </w:r>
    </w:p>
    <w:bookmarkEnd w:id="502"/>
    <w:bookmarkEnd w:id="503"/>
    <w:bookmarkStart w:id="523" w:name="Xda816d5ef14a625a5e785d637db93d405aa7fc5"/>
    <w:p>
      <w:pPr>
        <w:pStyle w:val="Heading2"/>
      </w:pPr>
      <w:bookmarkStart w:id="1087" w:name="_Toc00001087"/>
      <w:r>
        <w:t xml:space="preserve">SDN–IPAM consistency across cloud providers and VMware</w:t>
      </w:r>
      <w:bookmarkEnd w:id="1087"/>
    </w:p>
    <w:bookmarkStart w:id="507" w:name="fig-ch07-sdn-ipam"/>
    <w:p>
      <w:pPr>
        <w:pStyle w:val="CaptionedFigure"/>
      </w:pPr>
      <w:r>
        <w:drawing>
          <wp:inline>
            <wp:extent cx="4586362" cy="3906546"/>
            <wp:effectExtent b="0" l="0" r="0" t="0"/>
            <wp:docPr descr="Enterprise IPAM is the authority; integration depth differs by platform." title="" id="505" name="Picture"/>
            <a:graphic>
              <a:graphicData uri="http://schemas.openxmlformats.org/drawingml/2006/picture">
                <pic:pic>
                  <pic:nvPicPr>
                    <pic:cNvPr descr="/home/runner/work/modernization-workbook/modernization-workbook/docs/images/diagrams/b08-ddi/png/ch07-sdn-ipam.png" id="506" name="Picture"/>
                    <pic:cNvPicPr>
                      <a:picLocks noChangeArrowheads="1" noChangeAspect="1"/>
                    </pic:cNvPicPr>
                  </pic:nvPicPr>
                  <pic:blipFill>
                    <a:blip r:embed="rId504"/>
                    <a:stretch>
                      <a:fillRect/>
                    </a:stretch>
                  </pic:blipFill>
                  <pic:spPr bwMode="auto">
                    <a:xfrm>
                      <a:off x="0" y="0"/>
                      <a:ext cx="4586362" cy="3906546"/>
                    </a:xfrm>
                    <a:prstGeom prst="rect">
                      <a:avLst/>
                    </a:prstGeom>
                    <a:noFill/>
                    <a:ln w="9525">
                      <a:noFill/>
                      <a:headEnd/>
                      <a:tailEnd/>
                    </a:ln>
                  </pic:spPr>
                </pic:pic>
              </a:graphicData>
            </a:graphic>
          </wp:inline>
        </w:drawing>
      </w:r>
    </w:p>
    <w:p>
      <w:pPr>
        <w:pStyle w:val="ImageCaption"/>
      </w:pPr>
      <w:r>
        <w:t xml:space="preserve">Enterprise IPAM is the authority; integration depth differs by platform.</w:t>
      </w:r>
    </w:p>
    <w:bookmarkEnd w:id="507"/>
    <w:p>
      <w:pPr>
        <w:pStyle w:val="BodyText"/>
      </w:pPr>
      <w:r>
        <w:t xml:space="preserve">Each cloud provider, and VMware, has its own software-defined networking constructs and native address management. Unintegrated, they allocate address space independently of the enterprise DDI plane, recreating for addresses the same divergence that split-brain DNS creates for names.</w:t>
      </w:r>
    </w:p>
    <w:bookmarkStart w:id="508" w:name="the-consistency-problem"/>
    <w:p>
      <w:pPr>
        <w:pStyle w:val="Heading3"/>
      </w:pPr>
      <w:r>
        <w:t xml:space="preserve">The consistency problem</w:t>
      </w:r>
    </w:p>
    <w:p>
      <w:pPr>
        <w:pStyle w:val="FirstParagraph"/>
      </w:pPr>
      <w:r>
        <w:t xml:space="preserve">AWS VPCs, Azure virtual networks, Google Cloud VPC networks and VMware NSX segments each have their own address pools and allocation logic. When cloud teams create networks directly in a provider console or in VCF Automation, the resulting CIDRs can overlap with on-premises space, with other clouds or with other divisions, and the enterprise DDI system does not know until discovery runs or a conflict appears. DNS shows the same pattern: private zones and records are created inside the provider or NSX with no synchronized policy or inventory in the central policy plane.</w:t>
      </w:r>
    </w:p>
    <w:bookmarkEnd w:id="508"/>
    <w:bookmarkStart w:id="512" w:name="aws-vpc-ipam-integration"/>
    <w:p>
      <w:pPr>
        <w:pStyle w:val="Heading3"/>
      </w:pPr>
      <w:r>
        <w:t xml:space="preserve">AWS VPC IPAM integration</w:t>
      </w:r>
    </w:p>
    <w:p>
      <w:pPr>
        <w:pStyle w:val="FirstParagraph"/>
      </w:pPr>
      <w:r>
        <w:t xml:space="preserve">Amazon VPC IPAM can use an external IPAM as the authority for a scope. Since November 2025 it has integrated with Infoblox Universal IPAM: the VPC IPAM administrator sets a private scope’s authority to Infoblox, creates a top-level pool, and provisions a CIDR, either any available block (Infoblox chooses from its allowed range) or a specific one (Infoblox accepts or rejects it). Child pools and VPCs then come from that block through standard VPC IPAM operations. The integration requires the VPC IPAM Advanced Tier, applies only to private scopes, and is not available in the AWS GovCloud (US) or China Regions, so it does not help a GovCloud estate today.</w:t>
      </w:r>
      <w:r>
        <w:rPr>
          <w:rStyle w:val="FootnoteReference"/>
        </w:rPr>
        <w:footnoteReference w:id="509"/>
      </w:r>
    </w:p>
    <w:bookmarkEnd w:id="512"/>
    <w:bookmarkStart w:id="517" w:name="azure-and-google-cloud"/>
    <w:p>
      <w:pPr>
        <w:pStyle w:val="Heading3"/>
      </w:pPr>
      <w:r>
        <w:t xml:space="preserve">Azure and Google Cloud</w:t>
      </w:r>
    </w:p>
    <w:p>
      <w:pPr>
        <w:pStyle w:val="FirstParagraph"/>
      </w:pPr>
      <w:r>
        <w:t xml:space="preserve">Azure Virtual Network Manager IPAM provides hierarchical pools (a root pool and up to seven layers of child pools) that assign non-overlapping CIDRs to virtual networks, support IPv4 and IPv6, and accept static CIDR allocations for ranges in use outside Azure, so that Azure allocations avoid on-premises and other-cloud space.</w:t>
      </w:r>
      <w:r>
        <w:rPr>
          <w:rStyle w:val="FootnoteReference"/>
        </w:rPr>
        <w:footnoteReference w:id="513"/>
      </w:r>
      <w:r>
        <w:t xml:space="preserve"> </w:t>
      </w:r>
      <w:r>
        <w:t xml:space="preserve">Google Cloud internal ranges reserve blocks of internal addresses in a VPC network, including ranges reserved for use outside the network so that its own resources cannot take them.</w:t>
      </w:r>
      <w:r>
        <w:rPr>
          <w:rStyle w:val="FootnoteReference"/>
        </w:rPr>
        <w:footnoteReference w:id="515"/>
      </w:r>
      <w:r>
        <w:t xml:space="preserve"> </w:t>
      </w:r>
      <w:r>
        <w:t xml:space="preserve">Neither offers the AWS pattern of handing allocation authority to an external IPAM. On Azure, the practical control is to mirror the enterprise IPAM’s reservations into Virtual Network Manager pools as static CIDRs and reconcile; on Google Cloud, to mirror them as internal ranges. On both, DDI discovery and cloud federation bring networks, subnets and DNS zones into the central inventory, so that overlaps and policy gaps become visible, and address-block governance still needs an explicit process or API integration.</w:t>
      </w:r>
    </w:p>
    <w:bookmarkEnd w:id="517"/>
    <w:bookmarkStart w:id="520" w:name="vmware-cloud-foundation-and-nsx"/>
    <w:p>
      <w:pPr>
        <w:pStyle w:val="Heading3"/>
      </w:pPr>
      <w:r>
        <w:t xml:space="preserve">VMware Cloud Foundation and NSX</w:t>
      </w:r>
    </w:p>
    <w:p>
      <w:pPr>
        <w:pStyle w:val="FirstParagraph"/>
      </w:pPr>
      <w:r>
        <w:t xml:space="preserve">VMware Cloud Foundation 9.1 added native integration with Infoblox. When vCenter administrators or VCF Automation tenants provision networks, VCF allocates and reserves the address blocks from Infoblox, and when tenants deploy workloads, their FQDN records are registered in Infoblox DNS automatically. The enterprise IPAM thus stays the authority for physical and virtual address space while cloud teams keep self-service.</w:t>
      </w:r>
      <w:r>
        <w:rPr>
          <w:rStyle w:val="FootnoteReference"/>
        </w:rPr>
        <w:footnoteReference w:id="518"/>
      </w:r>
      <w:r>
        <w:t xml:space="preserve"> </w:t>
      </w:r>
      <w:r>
        <w:t xml:space="preserve">The announcement does not detail IPv6 support, certificate requirements or limits; confirm the current scope against VMware and Infoblox documentation before relying on it.</w:t>
      </w:r>
    </w:p>
    <w:bookmarkEnd w:id="520"/>
    <w:bookmarkStart w:id="521" w:name="discovery-and-the-inventory"/>
    <w:p>
      <w:pPr>
        <w:pStyle w:val="Heading3"/>
      </w:pPr>
      <w:r>
        <w:t xml:space="preserve">Discovery and the inventory</w:t>
      </w:r>
    </w:p>
    <w:p>
      <w:pPr>
        <w:pStyle w:val="FirstParagraph"/>
      </w:pPr>
      <w:r>
        <w:t xml:space="preserve">Federation is what turns separate address managers into one inventory. A DDI platform that imports allocation data from each provider’s API can present on-premises and cloud private address space as one hierarchy, which is what makes three tasks possible: detecting overlap before two networks are peered or joined through a transit gateway, planning new allocations without collisions, and reporting the full inventory of IP-connected assets for SP 800-53 CM-8 (Chapter 03 maps the control). Active discovery (network device polling and DHCP lease correlation) and passive discovery (the source addresses seen by the agency’s recursive resolvers) fill in what the APIs do not report, including devices that block scans. The program’s design position is that IPAM must also track the name side: which FQDNs and wildcard namespaces exist and which certificates are bound to them, because in a Layer 7 estate the FQDN namespace is the application registry (Chapter 06).</w:t>
      </w:r>
    </w:p>
    <w:bookmarkEnd w:id="521"/>
    <w:bookmarkStart w:id="522" w:name="operational-implications"/>
    <w:p>
      <w:pPr>
        <w:pStyle w:val="Heading3"/>
      </w:pPr>
      <w:r>
        <w:t xml:space="preserve">Operational implications</w:t>
      </w:r>
    </w:p>
    <w:p>
      <w:pPr>
        <w:pStyle w:val="Compact"/>
        <w:numPr>
          <w:ilvl w:val="0"/>
          <w:numId w:val="1034"/>
        </w:numPr>
      </w:pPr>
      <w:r>
        <w:t xml:space="preserve">Treat the enterprise IPAM as the authoritative source for address blocks used across on-premises, cloud and VMware environments.</w:t>
      </w:r>
    </w:p>
    <w:p>
      <w:pPr>
        <w:pStyle w:val="Compact"/>
        <w:numPr>
          <w:ilvl w:val="0"/>
          <w:numId w:val="1034"/>
        </w:numPr>
      </w:pPr>
      <w:r>
        <w:t xml:space="preserve">Where native integration exists (AWS VPC IPAM in commercial Regions, VCF 9.1 and NSX), enable it so that cloud and VCF tenants allocate from the central authority rather than inventing CIDRs.</w:t>
      </w:r>
    </w:p>
    <w:p>
      <w:pPr>
        <w:pStyle w:val="Compact"/>
        <w:numPr>
          <w:ilvl w:val="0"/>
          <w:numId w:val="1034"/>
        </w:numPr>
      </w:pPr>
      <w:r>
        <w:t xml:space="preserve">Where it does not (Azure, Google Cloud and AWS GovCloud), require address blocks to be reserved in the enterprise IPAM before cloud or NSX networks are created, mirror those reservations into the native pools, and run continuous discovery and reconciliation.</w:t>
      </w:r>
    </w:p>
    <w:p>
      <w:pPr>
        <w:pStyle w:val="Compact"/>
        <w:numPr>
          <w:ilvl w:val="0"/>
          <w:numId w:val="1034"/>
        </w:numPr>
      </w:pPr>
      <w:r>
        <w:t xml:space="preserve">Pair address consistency with DNS consistency: private zones and records created in cloud or NSX DNS services must be synchronized or conditionally forwarded, so that resolution matches the address that was allocated.</w:t>
      </w:r>
    </w:p>
    <w:p>
      <w:pPr>
        <w:pStyle w:val="Compact"/>
        <w:numPr>
          <w:ilvl w:val="0"/>
          <w:numId w:val="1034"/>
        </w:numPr>
      </w:pPr>
      <w:r>
        <w:t xml:space="preserve">Monitor synchronization health. Integration reduces independent authoring but adds a failure mode if the central IPAM is unreachable or sync lag allows a conflicting allocation (Chapter 12).</w:t>
      </w:r>
    </w:p>
    <w:p>
      <w:pPr>
        <w:pStyle w:val="FirstParagraph"/>
      </w:pPr>
      <w:r>
        <w:t xml:space="preserve">SDN–IPAM consistency is the address-layer counterpart to split-brain DNS. A single authoritative DDI plane that federates with cloud and VMware networking prevents the overlaps and inventory gaps that otherwise surface only when connectivity fails or an audit finds undocumented address space. The landing-zone build for each provider is in Federal Compliance Volume I, Book 01 and Volume VIII.</w:t>
      </w:r>
    </w:p>
    <w:bookmarkEnd w:id="522"/>
    <w:bookmarkEnd w:id="523"/>
    <w:bookmarkStart w:id="527" w:name="X1c9556118fc69ce80f05077bc26fa7efb04bb8c"/>
    <w:p>
      <w:pPr>
        <w:pStyle w:val="Heading2"/>
      </w:pPr>
      <w:bookmarkStart w:id="1088" w:name="_Toc00001088"/>
      <w:r>
        <w:t xml:space="preserve">IPv6 lifecycle and dual-stack considerations</w:t>
      </w:r>
      <w:bookmarkEnd w:id="1088"/>
    </w:p>
    <w:p>
      <w:pPr>
        <w:pStyle w:val="FirstParagraph"/>
      </w:pPr>
      <w:r>
        <w:t xml:space="preserve">OMB M-21-07 sets IPv6-only targets for IP-enabled assets on federal networks: at least 20% by the end of FY2023, 50% by the end of FY2024 and 80% by the end of FY2025.</w:t>
      </w:r>
      <w:r>
        <w:rPr>
          <w:rStyle w:val="FootnoteReference"/>
        </w:rPr>
        <w:footnoteReference w:id="524"/>
      </w:r>
      <w:r>
        <w:t xml:space="preserve"> </w:t>
      </w:r>
      <w:r>
        <w:t xml:space="preserve">A unified DDI plane supports dual-stack and IPv6-only operation through:</w:t>
      </w:r>
    </w:p>
    <w:p>
      <w:pPr>
        <w:pStyle w:val="Compact"/>
        <w:numPr>
          <w:ilvl w:val="0"/>
          <w:numId w:val="1035"/>
        </w:numPr>
      </w:pPr>
      <w:r>
        <w:t xml:space="preserve">Unified IPv4 and IPv6 address planning and allocation, to prevent overlaps. Azure Virtual Network Manager IPAM pools accept IPv6 as well as IPv4.</w:t>
      </w:r>
      <w:r>
        <w:rPr>
          <w:rStyle w:val="FootnoteReference"/>
        </w:rPr>
        <w:footnoteReference w:id="525"/>
      </w:r>
    </w:p>
    <w:p>
      <w:pPr>
        <w:pStyle w:val="Compact"/>
        <w:numPr>
          <w:ilvl w:val="0"/>
          <w:numId w:val="1035"/>
        </w:numPr>
      </w:pPr>
      <w:r>
        <w:t xml:space="preserve">DHCPv6, router advertisement governance and dynamic DNS with consistent lifecycle management for both protocols.</w:t>
      </w:r>
    </w:p>
    <w:p>
      <w:pPr>
        <w:pStyle w:val="Compact"/>
        <w:numPr>
          <w:ilvl w:val="0"/>
          <w:numId w:val="1035"/>
        </w:numPr>
      </w:pPr>
      <w:r>
        <w:t xml:space="preserve">DNS views and conditional forwarding that handle dual-stack resolution paths correctly, including AAAA records for private endpoints where the cloud service supports them.</w:t>
      </w:r>
    </w:p>
    <w:p>
      <w:pPr>
        <w:pStyle w:val="Compact"/>
        <w:numPr>
          <w:ilvl w:val="0"/>
          <w:numId w:val="1035"/>
        </w:numPr>
      </w:pPr>
      <w:r>
        <w:t xml:space="preserve">Hygiene and discovery that surface dual-stack assets for inventory and Zero Trust policy.</w:t>
      </w:r>
    </w:p>
    <w:p>
      <w:pPr>
        <w:pStyle w:val="FirstParagraph"/>
      </w:pPr>
      <w:r>
        <w:t xml:space="preserve">Cloud resolvers lag here. The Azure DNS Private Resolver cannot use IPv6-enabled subnets,</w:t>
      </w:r>
      <w:r>
        <w:rPr>
          <w:rStyle w:val="FootnoteReference"/>
        </w:rPr>
        <w:footnoteReference w:id="526"/>
      </w:r>
      <w:r>
        <w:t xml:space="preserve"> </w:t>
      </w:r>
      <w:r>
        <w:t xml:space="preserve">so its endpoints sit in IPv4 subnets even in a network that is otherwise dual-stack. Split-brain risk rises in dual-stack environments when IPv4 and IPv6 resolution paths are managed separately; a single policy plane reduces it.</w:t>
      </w:r>
    </w:p>
    <w:bookmarkEnd w:id="527"/>
    <w:bookmarkStart w:id="528" w:name="what-this-chapter-establishes-6"/>
    <w:p>
      <w:pPr>
        <w:pStyle w:val="Heading2"/>
      </w:pPr>
      <w:bookmarkStart w:id="1089" w:name="_Toc00001089"/>
      <w:r>
        <w:t xml:space="preserve">What this chapter establishes</w:t>
      </w:r>
      <w:bookmarkEnd w:id="1089"/>
    </w:p>
    <w:p>
      <w:pPr>
        <w:pStyle w:val="Compact"/>
        <w:numPr>
          <w:ilvl w:val="0"/>
          <w:numId w:val="1036"/>
        </w:numPr>
      </w:pPr>
      <w:r>
        <w:t xml:space="preserve">Every origin must forward each Azure service’s public zone to a resolution point linked to the</w:t>
      </w:r>
      <w:r>
        <w:t xml:space="preserve"> </w:t>
      </w:r>
      <w:r>
        <w:rPr>
          <w:rStyle w:val="VerbatimChar"/>
        </w:rPr>
        <w:t xml:space="preserve">privatelink</w:t>
      </w:r>
      <w:r>
        <w:t xml:space="preserve"> </w:t>
      </w:r>
      <w:r>
        <w:t xml:space="preserve">zone, or private endpoints fall back silently to public addresses.</w:t>
      </w:r>
    </w:p>
    <w:p>
      <w:pPr>
        <w:pStyle w:val="Compact"/>
        <w:numPr>
          <w:ilvl w:val="0"/>
          <w:numId w:val="1036"/>
        </w:numPr>
      </w:pPr>
      <w:r>
        <w:t xml:space="preserve">The Private Resolver is a forwarding bridge, not an authority: dedicated subnets, static inbound addresses, no ruleset loops, no mixed DNS server lists, and a resolver per region.</w:t>
      </w:r>
    </w:p>
    <w:p>
      <w:pPr>
        <w:pStyle w:val="Compact"/>
        <w:numPr>
          <w:ilvl w:val="0"/>
          <w:numId w:val="1036"/>
        </w:numPr>
      </w:pPr>
      <w:r>
        <w:t xml:space="preserve">The enterprise IPAM is the authority for address blocks; integration depth differs by platform and is absent in AWS GovCloud.</w:t>
      </w:r>
    </w:p>
    <w:p>
      <w:pPr>
        <w:pStyle w:val="Compact"/>
        <w:numPr>
          <w:ilvl w:val="0"/>
          <w:numId w:val="1036"/>
        </w:numPr>
      </w:pPr>
      <w:r>
        <w:t xml:space="preserve">Address consistency and name consistency are the same problem and need the same policy plane.</w:t>
      </w:r>
    </w:p>
    <w:bookmarkEnd w:id="528"/>
    <w:bookmarkStart w:id="529" w:name="continue-the-book-6"/>
    <w:p>
      <w:pPr>
        <w:pStyle w:val="Heading2"/>
      </w:pPr>
      <w:bookmarkStart w:id="1090" w:name="_Toc00001090"/>
      <w:r>
        <w:t xml:space="preserve">Continue the book</w:t>
      </w:r>
      <w:bookmarkEnd w:id="1090"/>
    </w:p>
    <w:p>
      <w:pPr>
        <w:pStyle w:val="FirstParagraph"/>
      </w:pPr>
      <w:r>
        <w:t xml:space="preserve">← Previous: Chapter 06 — DNS Identity, Certificates and DNSSEC · Book index · Next: Chapter 08 — Reference Architecture and the Five Critical Decisions →</w:t>
      </w:r>
    </w:p>
    <w:bookmarkEnd w:id="529"/>
    <w:bookmarkEnd w:id="530"/>
    <w:bookmarkStart w:id="565" w:name="Xf7a4501d055e998db833032d7c3b7b1f9db4355"/>
    <w:p>
      <w:pPr>
        <w:pStyle w:val="Heading1"/>
      </w:pPr>
      <w:bookmarkStart w:id="1091" w:name="_Toc00001091"/>
      <w:r>
        <w:t xml:space="preserve">Chapter 08 — Reference Architecture and the Five Critical Decisions</w:t>
      </w:r>
      <w:bookmarkEnd w:id="1091"/>
    </w:p>
    <w:p>
      <w:pPr>
        <w:pStyle w:val="FirstParagraph"/>
      </w:pPr>
      <w:r>
        <w:rPr>
          <w:i/>
          <w:iCs/>
        </w:rPr>
        <w:t xml:space="preserve">The architecture is simple to draw; the risk sits in five settings that are easy to get wrong and hard to see when they are.</w:t>
      </w:r>
    </w:p>
    <w:bookmarkStart w:id="531" w:name="in-this-chapter-7"/>
    <w:p>
      <w:pPr>
        <w:pStyle w:val="Heading2"/>
      </w:pPr>
      <w:bookmarkStart w:id="1092" w:name="_Toc00001092"/>
      <w:r>
        <w:t xml:space="preserve">In this chapter</w:t>
      </w:r>
      <w:bookmarkEnd w:id="1092"/>
    </w:p>
    <w:p>
      <w:pPr>
        <w:pStyle w:val="FirstParagraph"/>
      </w:pPr>
      <w:r>
        <w:t xml:space="preserve">The governed resolution path from the branch edge to the per-cloud private zones, and the five configuration decisions that carry almost all of its operational risk, each with the check to run before the next change. What a DDI policy plane is made of and how it relates to the cloud DNS services it governs. The target operating model for agencies that already copy records into every cloud, how the design differs between commercial and federal clouds, and the vendor questions that are still open.</w:t>
      </w:r>
    </w:p>
    <w:bookmarkEnd w:id="531"/>
    <w:bookmarkStart w:id="545" w:name="X6c04e50abcbfcfe7e2cf29e9067624df33f3217"/>
    <w:p>
      <w:pPr>
        <w:pStyle w:val="Heading2"/>
      </w:pPr>
      <w:bookmarkStart w:id="1093" w:name="_Toc00001093"/>
      <w:r>
        <w:t xml:space="preserve">The end-to-end resolution flow and five decisions</w:t>
      </w:r>
      <w:bookmarkEnd w:id="1093"/>
    </w:p>
    <w:bookmarkStart w:id="535" w:name="fig-ch08-reference-architecture"/>
    <w:p>
      <w:pPr>
        <w:pStyle w:val="CaptionedFigure"/>
      </w:pPr>
      <w:r>
        <w:drawing>
          <wp:inline>
            <wp:extent cx="5334000" cy="4239610"/>
            <wp:effectExtent b="0" l="0" r="0" t="0"/>
            <wp:docPr descr="Reference architecture: a single authoritative DDI policy plane and the five decisions." title="" id="533" name="Picture"/>
            <a:graphic>
              <a:graphicData uri="http://schemas.openxmlformats.org/drawingml/2006/picture">
                <pic:pic>
                  <pic:nvPicPr>
                    <pic:cNvPr descr="/home/runner/work/modernization-workbook/modernization-workbook/docs/images/diagrams/b08-ddi/png/ch08-reference-architecture.png" id="534" name="Picture"/>
                    <pic:cNvPicPr>
                      <a:picLocks noChangeArrowheads="1" noChangeAspect="1"/>
                    </pic:cNvPicPr>
                  </pic:nvPicPr>
                  <pic:blipFill>
                    <a:blip r:embed="rId532"/>
                    <a:stretch>
                      <a:fillRect/>
                    </a:stretch>
                  </pic:blipFill>
                  <pic:spPr bwMode="auto">
                    <a:xfrm>
                      <a:off x="0" y="0"/>
                      <a:ext cx="5334000" cy="4239610"/>
                    </a:xfrm>
                    <a:prstGeom prst="rect">
                      <a:avLst/>
                    </a:prstGeom>
                    <a:noFill/>
                    <a:ln w="9525">
                      <a:noFill/>
                      <a:headEnd/>
                      <a:tailEnd/>
                    </a:ln>
                  </pic:spPr>
                </pic:pic>
              </a:graphicData>
            </a:graphic>
          </wp:inline>
        </w:drawing>
      </w:r>
    </w:p>
    <w:p>
      <w:pPr>
        <w:pStyle w:val="ImageCaption"/>
      </w:pPr>
      <w:r>
        <w:t xml:space="preserve">Reference architecture: a single authoritative DDI policy plane and the five decisions.</w:t>
      </w:r>
    </w:p>
    <w:bookmarkEnd w:id="535"/>
    <w:p>
      <w:pPr>
        <w:pStyle w:val="BodyText"/>
      </w:pPr>
      <w:r>
        <w:t xml:space="preserve">The end-to-end resolution flow runs from the SD-WAN branch edge, through a network-addressable agency-controlled resolver, into the DDI policy plane (policy, response policy zones, DNSSEC, IPAM) and on to per-cloud private zones and authoritative services. Internet-bound recursion leaves through CISA’s Protective DNS Resolver, which federal civilian executive branch agencies are required to use and which blocks, redirects or sinkholes queries that match threat indicators before they reach a malicious destination.</w:t>
      </w:r>
      <w:r>
        <w:rPr>
          <w:rStyle w:val="FootnoteReference"/>
        </w:rPr>
        <w:footnoteReference w:id="536"/>
      </w:r>
      <w:r>
        <w:t xml:space="preserve"> </w:t>
      </w:r>
      <w:r>
        <w:t xml:space="preserve">The same path covers on-premises clients, which reach the agency resolver directly, and cloud workloads, which reach the policy plane through the per-cloud forwarding in Chapter 07.</w:t>
      </w:r>
    </w:p>
    <w:p>
      <w:pPr>
        <w:pStyle w:val="BodyText"/>
      </w:pPr>
      <w:r>
        <w:t xml:space="preserve">Five decisions carry almost all of the operational risk. Each one fails silently: the query still resolves, just outside policy or to the wrong address. Each therefore comes with a check to run in the live configuration, not the design document, before the next SD-WAN or DDI change.</w:t>
      </w:r>
    </w:p>
    <w:bookmarkStart w:id="538" w:name="decision-1-the-redirect-dns-destination"/>
    <w:p>
      <w:pPr>
        <w:pStyle w:val="Heading3"/>
      </w:pPr>
      <w:r>
        <w:t xml:space="preserve">Decision 1 — the redirect-dns destination</w:t>
      </w:r>
    </w:p>
    <w:p>
      <w:pPr>
        <w:pStyle w:val="FirstParagraph"/>
      </w:pPr>
      <w:r>
        <w:t xml:space="preserve">The SD-WAN redirect-dns target (Chapter 05) must be a network-addressable resolver under agency control: a DDI resolver or forwarding proxy at the branch or in a regional hub. It must never be a client-side loopback stub, because the edge redirects to an IP address on the network and cannot reach an agent listening on the client itself. Endpoint DNS agents commonly work that way; Infoblox Endpoint, for example, listens on port 53 on the device’s loopback address (127.0.0.1, or 127.0.0.2 on macOS) and forwards over DNS over TLS on TCP 443.</w:t>
      </w:r>
      <w:r>
        <w:rPr>
          <w:rStyle w:val="FootnoteReference"/>
        </w:rPr>
        <w:footnoteReference w:id="537"/>
      </w:r>
      <w:r>
        <w:t xml:space="preserve"> </w:t>
      </w:r>
      <w:r>
        <w:t xml:space="preserve">An endpoint agent protects the roaming device; it does not replace the branch resolver.</w:t>
      </w:r>
    </w:p>
    <w:p>
      <w:pPr>
        <w:pStyle w:val="Compact"/>
        <w:numPr>
          <w:ilvl w:val="0"/>
          <w:numId w:val="1037"/>
        </w:numPr>
      </w:pPr>
      <w:r>
        <w:rPr>
          <w:b/>
          <w:bCs/>
        </w:rPr>
        <w:t xml:space="preserve">Check:</w:t>
      </w:r>
      <w:r>
        <w:t xml:space="preserve"> </w:t>
      </w:r>
      <w:r>
        <w:t xml:space="preserve">read the redirect-dns target from every branch’s running data policy and confirm each is an agency resolver address. Any other target bypasses the policy plane for every query from that branch, and nothing alerts on it.</w:t>
      </w:r>
    </w:p>
    <w:bookmarkEnd w:id="538"/>
    <w:bookmarkStart w:id="539" w:name="decision-2-forwarding-chain-order"/>
    <w:p>
      <w:pPr>
        <w:pStyle w:val="Heading3"/>
      </w:pPr>
      <w:r>
        <w:t xml:space="preserve">Decision 2 — forwarding chain order</w:t>
      </w:r>
    </w:p>
    <w:p>
      <w:pPr>
        <w:pStyle w:val="FirstParagraph"/>
      </w:pPr>
      <w:r>
        <w:t xml:space="preserve">Any additional resolver, such as a SASE provider’s DNS service, must be a forwarding target of the agency-controlled resolver, never the redirect-dns target. The agency resolver is always the first hop under agency policy control, so its response policy zones, DNSSEC validation and logging apply before anything else sees the query. The correct order is: branch or on-premises client → agency resolver → DDI policy plane → optional SASE DNS → CISA Protective DNS or other approved recursion.</w:t>
      </w:r>
    </w:p>
    <w:p>
      <w:pPr>
        <w:pStyle w:val="Compact"/>
        <w:numPr>
          <w:ilvl w:val="0"/>
          <w:numId w:val="1038"/>
        </w:numPr>
      </w:pPr>
      <w:r>
        <w:rPr>
          <w:b/>
          <w:bCs/>
        </w:rPr>
        <w:t xml:space="preserve">Check:</w:t>
      </w:r>
      <w:r>
        <w:t xml:space="preserve"> </w:t>
      </w:r>
      <w:r>
        <w:t xml:space="preserve">trace the order in the running configuration, not just the presence of each element. A chain with every component present but the SASE service first is the common failure.</w:t>
      </w:r>
    </w:p>
    <w:bookmarkEnd w:id="539"/>
    <w:bookmarkStart w:id="542" w:name="Xbf21e1dbc904360ec8edc25e1e32c68d2df14a7"/>
    <w:p>
      <w:pPr>
        <w:pStyle w:val="Heading3"/>
      </w:pPr>
      <w:r>
        <w:t xml:space="preserve">Decision 3 — per-cloud conditional forwarding</w:t>
      </w:r>
    </w:p>
    <w:p>
      <w:pPr>
        <w:pStyle w:val="FirstParagraph"/>
      </w:pPr>
      <w:r>
        <w:t xml:space="preserve">The policy plane holds the authoritative forwarding rules for every private namespace across every cloud and VMware environment, and pushes the same rules to every resolver that clients use, branch resolvers included. Rules kept in only one place (for example on the data center grid but not on branch resolvers) leave the other origins without private resolution. The targets differ by platform (Chapter 07):</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Namespace</w:t>
            </w:r>
          </w:p>
        </w:tc>
        <w:tc>
          <w:tcPr/>
          <w:p>
            <w:pPr>
              <w:pStyle w:val="Compact"/>
            </w:pPr>
            <w:r>
              <w:t xml:space="preserve">Forward to</w:t>
            </w:r>
          </w:p>
        </w:tc>
      </w:tr>
      <w:tr>
        <w:tc>
          <w:tcPr/>
          <w:p>
            <w:pPr>
              <w:pStyle w:val="Compact"/>
            </w:pPr>
            <w:r>
              <w:t xml:space="preserve">Azure services behind private endpoints</w:t>
            </w:r>
          </w:p>
        </w:tc>
        <w:tc>
          <w:tcPr/>
          <w:p>
            <w:pPr>
              <w:pStyle w:val="Compact"/>
            </w:pPr>
            <w:r>
              <w:t xml:space="preserve">Azure DNS Private Resolver inbound endpoints, for each service’s public zone (for example</w:t>
            </w:r>
            <w:r>
              <w:t xml:space="preserve"> </w:t>
            </w:r>
            <w:r>
              <w:rPr>
                <w:rStyle w:val="VerbatimChar"/>
              </w:rPr>
              <w:t xml:space="preserve">database.windows.net</w:t>
            </w:r>
            <w:r>
              <w:t xml:space="preserve">), not the</w:t>
            </w:r>
            <w:r>
              <w:t xml:space="preserve"> </w:t>
            </w:r>
            <w:r>
              <w:rPr>
                <w:rStyle w:val="VerbatimChar"/>
              </w:rPr>
              <w:t xml:space="preserve">privatelink</w:t>
            </w:r>
            <w:r>
              <w:t xml:space="preserve"> </w:t>
            </w:r>
            <w:r>
              <w:t xml:space="preserve">zone</w:t>
            </w:r>
            <w:r>
              <w:rPr>
                <w:rStyle w:val="FootnoteReference"/>
              </w:rPr>
              <w:footnoteReference w:id="540"/>
            </w:r>
          </w:p>
        </w:tc>
      </w:tr>
      <w:tr>
        <w:tc>
          <w:tcPr/>
          <w:p>
            <w:pPr>
              <w:pStyle w:val="Compact"/>
            </w:pPr>
            <w:r>
              <w:t xml:space="preserve">Azure private zones for agency namespaces</w:t>
            </w:r>
          </w:p>
        </w:tc>
        <w:tc>
          <w:tcPr/>
          <w:p>
            <w:pPr>
              <w:pStyle w:val="Compact"/>
            </w:pPr>
            <w:r>
              <w:t xml:space="preserve">Azure DNS Private Resolver inbound endpoints</w:t>
            </w:r>
          </w:p>
        </w:tc>
      </w:tr>
      <w:tr>
        <w:tc>
          <w:tcPr/>
          <w:p>
            <w:pPr>
              <w:pStyle w:val="Compact"/>
            </w:pPr>
            <w:r>
              <w:t xml:space="preserve">Route 53 private hosted zones</w:t>
            </w:r>
          </w:p>
        </w:tc>
        <w:tc>
          <w:tcPr/>
          <w:p>
            <w:pPr>
              <w:pStyle w:val="Compact"/>
            </w:pPr>
            <w:r>
              <w:t xml:space="preserve">Route 53 VPC Resolver inbound endpoints</w:t>
            </w:r>
            <w:r>
              <w:rPr>
                <w:rStyle w:val="FootnoteReference"/>
              </w:rPr>
              <w:footnoteReference w:id="541"/>
            </w:r>
          </w:p>
        </w:tc>
      </w:tr>
      <w:tr>
        <w:tc>
          <w:tcPr/>
          <w:p>
            <w:pPr>
              <w:pStyle w:val="Compact"/>
            </w:pPr>
            <w:r>
              <w:t xml:space="preserve">Google Cloud private zones</w:t>
            </w:r>
          </w:p>
        </w:tc>
        <w:tc>
          <w:tcPr/>
          <w:p>
            <w:pPr>
              <w:pStyle w:val="Compact"/>
            </w:pPr>
            <w:r>
              <w:t xml:space="preserve">Cloud DNS inbound server policy entry points</w:t>
            </w:r>
          </w:p>
        </w:tc>
      </w:tr>
      <w:tr>
        <w:tc>
          <w:tcPr/>
          <w:p>
            <w:pPr>
              <w:pStyle w:val="Compact"/>
            </w:pPr>
            <w:r>
              <w:t xml:space="preserve">On-premises namespaces, from each cloud</w:t>
            </w:r>
          </w:p>
        </w:tc>
        <w:tc>
          <w:tcPr/>
          <w:p>
            <w:pPr>
              <w:pStyle w:val="Compact"/>
            </w:pPr>
            <w:r>
              <w:t xml:space="preserve">The agency resolvers, through each cloud’s outbound path (Resolver rules, forwarding rulesets, forwarding zones, NSX FQDN zones)</w:t>
            </w:r>
          </w:p>
        </w:tc>
      </w:tr>
    </w:tbl>
    <w:p>
      <w:pPr>
        <w:pStyle w:val="Compact"/>
        <w:numPr>
          <w:ilvl w:val="0"/>
          <w:numId w:val="1039"/>
        </w:numPr>
      </w:pPr>
      <w:r>
        <w:rPr>
          <w:b/>
          <w:bCs/>
        </w:rPr>
        <w:t xml:space="preserve">Check:</w:t>
      </w:r>
      <w:r>
        <w:t xml:space="preserve"> </w:t>
      </w:r>
      <w:r>
        <w:t xml:space="preserve">for one representative name in each private namespace, resolve it from on-premises, from each cloud and from a branch, and compare the answers. Any origin that returns a public address or NXDOMAIN has a missing or stale rule.</w:t>
      </w:r>
    </w:p>
    <w:bookmarkEnd w:id="542"/>
    <w:bookmarkStart w:id="543" w:name="Xaccbfcb9d1bcb918b482b18d4ff733dcb455f1e"/>
    <w:p>
      <w:pPr>
        <w:pStyle w:val="Heading3"/>
      </w:pPr>
      <w:r>
        <w:t xml:space="preserve">Decision 4 — AD DNS inventory before retirement</w:t>
      </w:r>
    </w:p>
    <w:p>
      <w:pPr>
        <w:pStyle w:val="FirstParagraph"/>
      </w:pPr>
      <w:r>
        <w:t xml:space="preserve">SRV records, conditional forwarders and namespace delegations held in AD DNS are inventoried and reprovisioned in the policy plane before any domain controller is decommissioned (Chapter 04). Skipping this step cannot be undone: once the last domain controller holding a zone is gone, its records cannot be recovered from it.</w:t>
      </w:r>
    </w:p>
    <w:p>
      <w:pPr>
        <w:pStyle w:val="Compact"/>
        <w:numPr>
          <w:ilvl w:val="0"/>
          <w:numId w:val="1040"/>
        </w:numPr>
      </w:pPr>
      <w:r>
        <w:rPr>
          <w:b/>
          <w:bCs/>
        </w:rPr>
        <w:t xml:space="preserve">Check:</w:t>
      </w:r>
      <w:r>
        <w:t xml:space="preserve"> </w:t>
      </w:r>
      <w:r>
        <w:t xml:space="preserve">the inventory export exists, is dated, and has been reconciled against the policy plane before a decommissioning change is approved.</w:t>
      </w:r>
    </w:p>
    <w:bookmarkEnd w:id="543"/>
    <w:bookmarkStart w:id="544" w:name="Xd8472b253266e72acbf03678bb01f6b4a8de2ce"/>
    <w:p>
      <w:pPr>
        <w:pStyle w:val="Heading3"/>
      </w:pPr>
      <w:r>
        <w:t xml:space="preserve">Decision 5 — OCSP and CRL reachability from every origin</w:t>
      </w:r>
    </w:p>
    <w:p>
      <w:pPr>
        <w:pStyle w:val="FirstParagraph"/>
      </w:pPr>
      <w:r>
        <w:t xml:space="preserve">PKI validation endpoints must resolve consistently from on-premises, every cloud and every branch (Chapter 06). OCSP and CRL names that exist only in AD DNS today must be published in the policy plane with forwarding that makes them reachable from cloud-originated queries; otherwise certificate validation fails in the cloud while it succeeds on premises, and the failure looks like a certificate problem.</w:t>
      </w:r>
    </w:p>
    <w:p>
      <w:pPr>
        <w:pStyle w:val="Compact"/>
        <w:numPr>
          <w:ilvl w:val="0"/>
          <w:numId w:val="1041"/>
        </w:numPr>
      </w:pPr>
      <w:r>
        <w:rPr>
          <w:b/>
          <w:bCs/>
        </w:rPr>
        <w:t xml:space="preserve">Check:</w:t>
      </w:r>
      <w:r>
        <w:t xml:space="preserve"> </w:t>
      </w:r>
      <w:r>
        <w:t xml:space="preserve">resolve every OCSP responder and CRL distribution point named in the agency’s issuing CA certificates from each origin, and fetch one response from each.</w:t>
      </w:r>
    </w:p>
    <w:bookmarkEnd w:id="544"/>
    <w:bookmarkEnd w:id="545"/>
    <w:bookmarkStart w:id="550" w:name="what-a-ddi-policy-plane-is-made-of"/>
    <w:p>
      <w:pPr>
        <w:pStyle w:val="Heading2"/>
      </w:pPr>
      <w:bookmarkStart w:id="1094" w:name="_Toc00001094"/>
      <w:r>
        <w:t xml:space="preserve">What a DDI policy plane is made of</w:t>
      </w:r>
      <w:bookmarkEnd w:id="1094"/>
    </w:p>
    <w:p>
      <w:pPr>
        <w:pStyle w:val="FirstParagraph"/>
      </w:pPr>
      <w:r>
        <w:t xml:space="preserve">The policy plane is not one box. It has three parts, and products package them differently:</w:t>
      </w:r>
    </w:p>
    <w:p>
      <w:pPr>
        <w:pStyle w:val="Compact"/>
        <w:numPr>
          <w:ilvl w:val="0"/>
          <w:numId w:val="1042"/>
        </w:numPr>
      </w:pPr>
      <w:r>
        <w:rPr>
          <w:b/>
          <w:bCs/>
        </w:rPr>
        <w:t xml:space="preserve">An authoritative and recursive DNS and DHCP layer</w:t>
      </w:r>
      <w:r>
        <w:t xml:space="preserve"> </w:t>
      </w:r>
      <w:r>
        <w:t xml:space="preserve">on premises: appliances or virtual appliances that host internal zones (replacing AD DNS), act as the recursive resolvers clients use, and apply response policy zones and DNSSEC. In a replicated grid each member answers from its local copy of the database, so a change made at the primary reaches remote members after a replication delay that grows with distance. The program’s design position is that grid changes converge in seconds, not milliseconds, and that time-critical security changes (an emergency block, for example) must be verified on the members that serve the affected clients.</w:t>
      </w:r>
    </w:p>
    <w:p>
      <w:pPr>
        <w:pStyle w:val="Compact"/>
        <w:numPr>
          <w:ilvl w:val="0"/>
          <w:numId w:val="1042"/>
        </w:numPr>
      </w:pPr>
      <w:r>
        <w:rPr>
          <w:b/>
          <w:bCs/>
        </w:rPr>
        <w:t xml:space="preserve">A management and policy plane</w:t>
      </w:r>
      <w:r>
        <w:t xml:space="preserve">, increasingly delivered as a cloud service, that holds the system of record for zones, forwarding rules, IPAM data and security policy and pushes them to every managed surface.</w:t>
      </w:r>
    </w:p>
    <w:p>
      <w:pPr>
        <w:pStyle w:val="Compact"/>
        <w:numPr>
          <w:ilvl w:val="0"/>
          <w:numId w:val="1042"/>
        </w:numPr>
      </w:pPr>
      <w:r>
        <w:rPr>
          <w:b/>
          <w:bCs/>
        </w:rPr>
        <w:t xml:space="preserve">Local resolvers and agents</w:t>
      </w:r>
      <w:r>
        <w:t xml:space="preserve"> </w:t>
      </w:r>
      <w:r>
        <w:t xml:space="preserve">at branches, in cloud networks and on roaming endpoints, which keep resolving from local state if the management plane is unreachable (Chapter 12).</w:t>
      </w:r>
    </w:p>
    <w:p>
      <w:pPr>
        <w:pStyle w:val="FirstParagraph"/>
      </w:pPr>
      <w:r>
        <w:t xml:space="preserve">The relationship to cloud DNS is overlay management, not replacement. Route 53 still serves Route 53 zones and Azure Private DNS still serves Azure private zones; the policy plane holds one policy object, propagates it to every managed surface, and shows the state of all of them in one place.</w:t>
      </w:r>
    </w:p>
    <w:p>
      <w:pPr>
        <w:pStyle w:val="BodyText"/>
      </w:pPr>
      <w:r>
        <w:t xml:space="preserve">Infoblox is one example. Its on-premises grid is NIOS (with NIOS-X as the newer server form), and its cloud-delivered management plane is Universal DDI, formerly BloxOne DDI, whose management now covers DNS records in Amazon Route 53, Azure DNS and Google Cloud DNS, Windows Server DNS and DHCP configuration, and external authoritative DNS providers such as Cloudflare and Akamai.</w:t>
      </w:r>
      <w:r>
        <w:rPr>
          <w:rStyle w:val="FootnoteReference"/>
        </w:rPr>
        <w:footnoteReference w:id="546"/>
      </w:r>
      <w:r>
        <w:t xml:space="preserve"> </w:t>
      </w:r>
      <w:r>
        <w:t xml:space="preserve">Its documented Azure DNS limits are in Chapter 07. On authorization, the FedRAMP-listed offering is</w:t>
      </w:r>
      <w:r>
        <w:t xml:space="preserve"> </w:t>
      </w:r>
      <w:r>
        <w:rPr>
          <w:b/>
          <w:bCs/>
        </w:rPr>
        <w:t xml:space="preserve">Infoblox Government Cloud</w:t>
      </w:r>
      <w:r>
        <w:t xml:space="preserve">, a SaaS service in AWS GovCloud (US) that is FedRAMP Certified at Moderate (package FR2017257053) and whose listed scope includes Universal DDI and Universal Asset Insights.</w:t>
      </w:r>
      <w:r>
        <w:rPr>
          <w:rStyle w:val="FootnoteReference"/>
        </w:rPr>
        <w:footnoteReference w:id="548"/>
      </w:r>
      <w:r>
        <w:t xml:space="preserve"> </w:t>
      </w:r>
      <w:r>
        <w:t xml:space="preserve">In July 2026 Infoblox announced that Universal DDI Management, NIOS-X Servers and Universal Asset Insights had been added to that authorized offering.</w:t>
      </w:r>
      <w:r>
        <w:rPr>
          <w:rStyle w:val="FootnoteReference"/>
        </w:rPr>
        <w:footnoteReference w:id="549"/>
      </w:r>
      <w:r>
        <w:t xml:space="preserve"> </w:t>
      </w:r>
      <w:r>
        <w:t xml:space="preserve">On-premises NIOS appliances are not a FedRAMP cloud service; they sit inside the agency’s own authorization boundary (Chapter 03). Other enterprise DDI platforms, and cloud-native resolvers managed as code, are evaluated against the same requirements in Chapter 12.</w:t>
      </w:r>
    </w:p>
    <w:bookmarkEnd w:id="550"/>
    <w:bookmarkStart w:id="553" w:name="Xa2c5b2ff6c7419211ce62ed15a0862d7a9f44c9"/>
    <w:p>
      <w:pPr>
        <w:pStyle w:val="Heading2"/>
      </w:pPr>
      <w:bookmarkStart w:id="1095" w:name="_Toc00001095"/>
      <w:r>
        <w:t xml:space="preserve">Moving from per-cloud local syncs to a unified control plane</w:t>
      </w:r>
      <w:bookmarkEnd w:id="1095"/>
    </w:p>
    <w:p>
      <w:pPr>
        <w:pStyle w:val="FirstParagraph"/>
      </w:pPr>
      <w:r>
        <w:t xml:space="preserve">Agencies that already copy DNS records into each cloud provider should change the operating model from</w:t>
      </w:r>
      <w:r>
        <w:t xml:space="preserve"> </w:t>
      </w:r>
      <w:r>
        <w:t xml:space="preserve">“author copies in every silo”</w:t>
      </w:r>
      <w:r>
        <w:t xml:space="preserve"> </w:t>
      </w:r>
      <w:r>
        <w:t xml:space="preserve">to</w:t>
      </w:r>
      <w:r>
        <w:t xml:space="preserve"> </w:t>
      </w:r>
      <w:r>
        <w:t xml:space="preserve">“one authoritative policy and state plane that the silos consume.”</w:t>
      </w:r>
    </w:p>
    <w:bookmarkStart w:id="551" w:name="target-operating-model"/>
    <w:p>
      <w:pPr>
        <w:pStyle w:val="Heading3"/>
      </w:pPr>
      <w:r>
        <w:t xml:space="preserve">Target operating model</w:t>
      </w:r>
    </w:p>
    <w:p>
      <w:pPr>
        <w:pStyle w:val="Compact"/>
        <w:numPr>
          <w:ilvl w:val="0"/>
          <w:numId w:val="1043"/>
        </w:numPr>
      </w:pPr>
      <w:r>
        <w:t xml:space="preserve">The DDI policy plane holds the system of record for zones, forwarding rules, IPAM data and security policy.</w:t>
      </w:r>
    </w:p>
    <w:p>
      <w:pPr>
        <w:pStyle w:val="Compact"/>
        <w:numPr>
          <w:ilvl w:val="0"/>
          <w:numId w:val="1043"/>
        </w:numPr>
      </w:pPr>
      <w:r>
        <w:t xml:space="preserve">Cloud DNS services (Route 53, Azure Private DNS, Google Cloud DNS and others) become synchronized targets or forwarding destinations rather than independently authored sources.</w:t>
      </w:r>
    </w:p>
    <w:p>
      <w:pPr>
        <w:pStyle w:val="Compact"/>
        <w:numPr>
          <w:ilvl w:val="0"/>
          <w:numId w:val="1043"/>
        </w:numPr>
      </w:pPr>
      <w:r>
        <w:t xml:space="preserve">SD-WAN redirect-dns and other edge interceptors point at network-addressable resolvers inside the governed path.</w:t>
      </w:r>
    </w:p>
    <w:p>
      <w:pPr>
        <w:pStyle w:val="Compact"/>
        <w:numPr>
          <w:ilvl w:val="0"/>
          <w:numId w:val="1043"/>
        </w:numPr>
      </w:pPr>
      <w:r>
        <w:t xml:space="preserve">AD DNS is inventoried and either coexists during the transition or is migrated; Entra ID does not inherit SRV, LDAP or Kerberos records (Chapter 04 and Book 02’s hidden migration surface).</w:t>
      </w:r>
    </w:p>
    <w:bookmarkEnd w:id="551"/>
    <w:bookmarkStart w:id="552" w:name="expected-improvements"/>
    <w:p>
      <w:pPr>
        <w:pStyle w:val="Heading3"/>
      </w:pPr>
      <w:r>
        <w:t xml:space="preserve">Expected improvements</w:t>
      </w:r>
    </w:p>
    <w:p>
      <w:pPr>
        <w:pStyle w:val="Compact"/>
        <w:numPr>
          <w:ilvl w:val="0"/>
          <w:numId w:val="1044"/>
        </w:numPr>
      </w:pPr>
      <w:r>
        <w:t xml:space="preserve">Far less unintentional split-brain for private endpoints and SaaS resolution.</w:t>
      </w:r>
    </w:p>
    <w:p>
      <w:pPr>
        <w:pStyle w:val="Compact"/>
        <w:numPr>
          <w:ilvl w:val="0"/>
          <w:numId w:val="1044"/>
        </w:numPr>
      </w:pPr>
      <w:r>
        <w:t xml:space="preserve">Faster, safer change: a new private endpoint or application namespace is published once.</w:t>
      </w:r>
    </w:p>
    <w:p>
      <w:pPr>
        <w:pStyle w:val="Compact"/>
        <w:numPr>
          <w:ilvl w:val="0"/>
          <w:numId w:val="1044"/>
        </w:numPr>
      </w:pPr>
      <w:r>
        <w:t xml:space="preserve">Uniform Protective DNS, logging and, where required, DNSSEC validation for the queries that matter.</w:t>
      </w:r>
    </w:p>
    <w:p>
      <w:pPr>
        <w:pStyle w:val="Compact"/>
        <w:numPr>
          <w:ilvl w:val="0"/>
          <w:numId w:val="1044"/>
        </w:numPr>
      </w:pPr>
      <w:r>
        <w:t xml:space="preserve">One hybrid inventory instead of islands of address and name data.</w:t>
      </w:r>
    </w:p>
    <w:p>
      <w:pPr>
        <w:pStyle w:val="Compact"/>
        <w:numPr>
          <w:ilvl w:val="0"/>
          <w:numId w:val="1044"/>
        </w:numPr>
      </w:pPr>
      <w:r>
        <w:t xml:space="preserve">A cleaner AD retirement path and fewer</w:t>
      </w:r>
      <w:r>
        <w:t xml:space="preserve"> </w:t>
      </w:r>
      <w:r>
        <w:t xml:space="preserve">“works in one cloud but not another”</w:t>
      </w:r>
      <w:r>
        <w:t xml:space="preserve"> </w:t>
      </w:r>
      <w:r>
        <w:t xml:space="preserve">incidents.</w:t>
      </w:r>
    </w:p>
    <w:bookmarkEnd w:id="552"/>
    <w:bookmarkEnd w:id="553"/>
    <w:bookmarkStart w:id="560" w:name="commercial-and-federal-clouds-compared"/>
    <w:p>
      <w:pPr>
        <w:pStyle w:val="Heading2"/>
      </w:pPr>
      <w:bookmarkStart w:id="1096" w:name="_Toc00001096"/>
      <w:r>
        <w:t xml:space="preserve">Commercial and federal clouds compared</w:t>
      </w:r>
      <w:bookmarkEnd w:id="1096"/>
    </w:p>
    <w:p>
      <w:pPr>
        <w:pStyle w:val="FirstParagraph"/>
      </w:pPr>
      <w:r>
        <w:t xml:space="preserve">The architecture is the same in every environment; authorization and a few integrations change. The Applicability page explains each environment, and the table summarizes what changes for this chapter’s components.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Component</w:t>
            </w:r>
          </w:p>
        </w:tc>
        <w:tc>
          <w:tcPr/>
          <w:p>
            <w:pPr>
              <w:pStyle w:val="Compact"/>
            </w:pPr>
            <w:r>
              <w:t xml:space="preserve">Commercial clouds at FedRAMP Moderate (including Microsoft 365 GCC-Moderate)</w:t>
            </w:r>
          </w:p>
        </w:tc>
        <w:tc>
          <w:tcPr/>
          <w:p>
            <w:pPr>
              <w:pStyle w:val="Compact"/>
            </w:pPr>
            <w:r>
              <w:t xml:space="preserve">GCC High, Azure Government, AWS GovCloud, DoD</w:t>
            </w:r>
          </w:p>
        </w:tc>
      </w:tr>
      <w:tr>
        <w:tc>
          <w:tcPr/>
          <w:p>
            <w:pPr>
              <w:pStyle w:val="Compact"/>
            </w:pPr>
            <w:r>
              <w:t xml:space="preserve">Cloud-delivered DDI management plane</w:t>
            </w:r>
          </w:p>
        </w:tc>
        <w:tc>
          <w:tcPr/>
          <w:p>
            <w:pPr>
              <w:pStyle w:val="Compact"/>
            </w:pPr>
            <w:r>
              <w:t xml:space="preserve">Must hold FedRAMP Moderate or better plus an agency ATO; Infoblox Government Cloud is listed at Moderate</w:t>
            </w:r>
            <w:r>
              <w:rPr>
                <w:rStyle w:val="FootnoteReference"/>
              </w:rPr>
              <w:footnoteReference w:id="554"/>
            </w:r>
          </w:p>
        </w:tc>
        <w:tc>
          <w:tcPr/>
          <w:p>
            <w:pPr>
              <w:pStyle w:val="Compact"/>
            </w:pPr>
            <w:r>
              <w:t xml:space="preserve">A Moderate authorization does not cover High; use a service authorized at the required level or keep the policy plane inside the agency’s boundary</w:t>
            </w:r>
          </w:p>
        </w:tc>
      </w:tr>
      <w:tr>
        <w:tc>
          <w:tcPr/>
          <w:p>
            <w:pPr>
              <w:pStyle w:val="Compact"/>
            </w:pPr>
            <w:r>
              <w:t xml:space="preserve">On-premises and in-tenant resolvers and grid</w:t>
            </w:r>
          </w:p>
        </w:tc>
        <w:tc>
          <w:tcPr/>
          <w:p>
            <w:pPr>
              <w:pStyle w:val="Compact"/>
            </w:pPr>
            <w:r>
              <w:t xml:space="preserve">Inside the agency boundary</w:t>
            </w:r>
          </w:p>
        </w:tc>
        <w:tc>
          <w:tcPr/>
          <w:p>
            <w:pPr>
              <w:pStyle w:val="Compact"/>
            </w:pPr>
            <w:r>
              <w:t xml:space="preserve">Inside the agency boundary</w:t>
            </w:r>
          </w:p>
        </w:tc>
      </w:tr>
      <w:tr>
        <w:tc>
          <w:tcPr/>
          <w:p>
            <w:pPr>
              <w:pStyle w:val="Compact"/>
            </w:pPr>
            <w:r>
              <w:t xml:space="preserve">SD-WAN redirect-dns to agency resolvers (Decisions 1 and 2)</w:t>
            </w:r>
          </w:p>
        </w:tc>
        <w:tc>
          <w:tcPr/>
          <w:p>
            <w:pPr>
              <w:pStyle w:val="Compact"/>
            </w:pPr>
            <w:r>
              <w:t xml:space="preserve">Applies</w:t>
            </w:r>
          </w:p>
        </w:tc>
        <w:tc>
          <w:tcPr/>
          <w:p>
            <w:pPr>
              <w:pStyle w:val="Compact"/>
            </w:pPr>
            <w:r>
              <w:t xml:space="preserve">Applies</w:t>
            </w:r>
          </w:p>
        </w:tc>
      </w:tr>
      <w:tr>
        <w:tc>
          <w:tcPr/>
          <w:p>
            <w:pPr>
              <w:pStyle w:val="Compact"/>
            </w:pPr>
            <w:r>
              <w:t xml:space="preserve">Response policy zones, DNSSEC, Protective DNS forwarding</w:t>
            </w:r>
          </w:p>
        </w:tc>
        <w:tc>
          <w:tcPr/>
          <w:p>
            <w:pPr>
              <w:pStyle w:val="Compact"/>
            </w:pPr>
            <w:r>
              <w:t xml:space="preserve">Applies</w:t>
            </w:r>
          </w:p>
        </w:tc>
        <w:tc>
          <w:tcPr/>
          <w:p>
            <w:pPr>
              <w:pStyle w:val="Compact"/>
            </w:pPr>
            <w:r>
              <w:t xml:space="preserve">Applies (air-gapped enclaves differ; see Applicability)</w:t>
            </w:r>
          </w:p>
        </w:tc>
      </w:tr>
      <w:tr>
        <w:tc>
          <w:tcPr/>
          <w:p>
            <w:pPr>
              <w:pStyle w:val="Compact"/>
            </w:pPr>
            <w:r>
              <w:t xml:space="preserve">AD DNS inventory before retirement (Decision 4)</w:t>
            </w:r>
          </w:p>
        </w:tc>
        <w:tc>
          <w:tcPr/>
          <w:p>
            <w:pPr>
              <w:pStyle w:val="Compact"/>
            </w:pPr>
            <w:r>
              <w:t xml:space="preserve">Required</w:t>
            </w:r>
          </w:p>
        </w:tc>
        <w:tc>
          <w:tcPr/>
          <w:p>
            <w:pPr>
              <w:pStyle w:val="Compact"/>
            </w:pPr>
            <w:r>
              <w:t xml:space="preserve">Required</w:t>
            </w:r>
          </w:p>
        </w:tc>
      </w:tr>
      <w:tr>
        <w:tc>
          <w:tcPr/>
          <w:p>
            <w:pPr>
              <w:pStyle w:val="Compact"/>
            </w:pPr>
            <w:r>
              <w:t xml:space="preserve">OCSP and CRL reachability (Decision 5)</w:t>
            </w:r>
          </w:p>
        </w:tc>
        <w:tc>
          <w:tcPr/>
          <w:p>
            <w:pPr>
              <w:pStyle w:val="Compact"/>
            </w:pPr>
            <w:r>
              <w:t xml:space="preserve">Required</w:t>
            </w:r>
          </w:p>
        </w:tc>
        <w:tc>
          <w:tcPr/>
          <w:p>
            <w:pPr>
              <w:pStyle w:val="Compact"/>
            </w:pPr>
            <w:r>
              <w:t xml:space="preserve">Required</w:t>
            </w:r>
          </w:p>
        </w:tc>
      </w:tr>
      <w:tr>
        <w:tc>
          <w:tcPr/>
          <w:p>
            <w:pPr>
              <w:pStyle w:val="Compact"/>
            </w:pPr>
            <w:r>
              <w:t xml:space="preserve">Azure private endpoint zones</w:t>
            </w:r>
          </w:p>
        </w:tc>
        <w:tc>
          <w:tcPr/>
          <w:p>
            <w:pPr>
              <w:pStyle w:val="Compact"/>
            </w:pPr>
            <w:r>
              <w:t xml:space="preserve">Commercial zone names (</w:t>
            </w:r>
            <w:r>
              <w:rPr>
                <w:rStyle w:val="VerbatimChar"/>
              </w:rPr>
              <w:t xml:space="preserve">privatelink.*.windows.net</w:t>
            </w:r>
            <w:r>
              <w:t xml:space="preserve"> </w:t>
            </w:r>
            <w:r>
              <w:t xml:space="preserve">and similar)</w:t>
            </w:r>
          </w:p>
        </w:tc>
        <w:tc>
          <w:tcPr/>
          <w:p>
            <w:pPr>
              <w:pStyle w:val="Compact"/>
            </w:pPr>
            <w:r>
              <w:t xml:space="preserve">Azure Government zone names (</w:t>
            </w:r>
            <w:r>
              <w:rPr>
                <w:rStyle w:val="VerbatimChar"/>
              </w:rPr>
              <w:t xml:space="preserve">*.usgovcloudapi.net</w:t>
            </w:r>
            <w:r>
              <w:t xml:space="preserve">,</w:t>
            </w:r>
            <w:r>
              <w:t xml:space="preserve"> </w:t>
            </w:r>
            <w:r>
              <w:rPr>
                <w:rStyle w:val="VerbatimChar"/>
              </w:rPr>
              <w:t xml:space="preserve">*.azure.us</w:t>
            </w:r>
            <w:r>
              <w:t xml:space="preserve"> </w:t>
            </w:r>
            <w:r>
              <w:t xml:space="preserve">and similar); Chapter 07</w:t>
            </w:r>
            <w:r>
              <w:rPr>
                <w:rStyle w:val="FootnoteReference"/>
              </w:rPr>
              <w:footnoteReference w:id="555"/>
            </w:r>
          </w:p>
        </w:tc>
      </w:tr>
      <w:tr>
        <w:tc>
          <w:tcPr/>
          <w:p>
            <w:pPr>
              <w:pStyle w:val="Compact"/>
            </w:pPr>
            <w:r>
              <w:t xml:space="preserve">AWS VPC IPAM allocation from an external IPAM</w:t>
            </w:r>
          </w:p>
        </w:tc>
        <w:tc>
          <w:tcPr/>
          <w:p>
            <w:pPr>
              <w:pStyle w:val="Compact"/>
            </w:pPr>
            <w:r>
              <w:t xml:space="preserve">Available in commercial Regions</w:t>
            </w:r>
          </w:p>
        </w:tc>
        <w:tc>
          <w:tcPr/>
          <w:p>
            <w:pPr>
              <w:pStyle w:val="Compact"/>
            </w:pPr>
            <w:r>
              <w:t xml:space="preserve">Not available in AWS GovCloud (US); use reservation and reconciliation</w:t>
            </w:r>
            <w:r>
              <w:rPr>
                <w:rStyle w:val="FootnoteReference"/>
              </w:rPr>
              <w:footnoteReference w:id="556"/>
            </w:r>
          </w:p>
        </w:tc>
      </w:tr>
      <w:tr>
        <w:tc>
          <w:tcPr/>
          <w:p>
            <w:pPr>
              <w:pStyle w:val="Compact"/>
            </w:pPr>
            <w:r>
              <w:t xml:space="preserve">Microsoft 365 informed network routing</w:t>
            </w:r>
          </w:p>
        </w:tc>
        <w:tc>
          <w:tcPr/>
          <w:p>
            <w:pPr>
              <w:pStyle w:val="Compact"/>
            </w:pPr>
            <w:r>
              <w:t xml:space="preserve">Worldwide commercial tenants only; not GCC-Moderate</w:t>
            </w:r>
            <w:r>
              <w:rPr>
                <w:rStyle w:val="FootnoteReference"/>
              </w:rPr>
              <w:footnoteReference w:id="557"/>
            </w:r>
          </w:p>
        </w:tc>
        <w:tc>
          <w:tcPr/>
          <w:p>
            <w:pPr>
              <w:pStyle w:val="Compact"/>
            </w:pPr>
            <w:r>
              <w:t xml:space="preserve">Not available</w:t>
            </w:r>
            <w:r>
              <w:rPr>
                <w:rStyle w:val="FootnoteReference"/>
              </w:rPr>
              <w:footnoteReference w:id="559"/>
            </w:r>
          </w:p>
        </w:tc>
      </w:tr>
      <w:tr>
        <w:tc>
          <w:tcPr/>
          <w:p>
            <w:pPr>
              <w:pStyle w:val="Compact"/>
            </w:pPr>
            <w:r>
              <w:t xml:space="preserve">Microsoft 365 optimization</w:t>
            </w:r>
          </w:p>
        </w:tc>
        <w:tc>
          <w:tcPr/>
          <w:p>
            <w:pPr>
              <w:pStyle w:val="Compact"/>
            </w:pPr>
            <w:r>
              <w:t xml:space="preserve">Local breakout and application-aware routing (Chapter 05)</w:t>
            </w:r>
          </w:p>
        </w:tc>
        <w:tc>
          <w:tcPr/>
          <w:p>
            <w:pPr>
              <w:pStyle w:val="Compact"/>
            </w:pPr>
            <w:r>
              <w:t xml:space="preserve">Same</w:t>
            </w:r>
          </w:p>
        </w:tc>
      </w:tr>
    </w:tbl>
    <w:bookmarkEnd w:id="560"/>
    <w:bookmarkStart w:id="562" w:name="questions-to-settle-with-vendors"/>
    <w:p>
      <w:pPr>
        <w:pStyle w:val="Heading2"/>
      </w:pPr>
      <w:bookmarkStart w:id="1097" w:name="_Toc00001097"/>
      <w:r>
        <w:t xml:space="preserve">Questions to settle with vendors</w:t>
      </w:r>
      <w:bookmarkEnd w:id="1097"/>
    </w:p>
    <w:p>
      <w:pPr>
        <w:pStyle w:val="FirstParagraph"/>
      </w:pPr>
      <w:r>
        <w:t xml:space="preserve">Some behaviors that the five decisions depend on are not documented by any vendor. Take these to the vendors directly rather than designing around assumptions:</w:t>
      </w:r>
    </w:p>
    <w:p>
      <w:pPr>
        <w:pStyle w:val="Compact"/>
        <w:numPr>
          <w:ilvl w:val="0"/>
          <w:numId w:val="1045"/>
        </w:numPr>
      </w:pPr>
      <w:r>
        <w:rPr>
          <w:b/>
          <w:bCs/>
        </w:rPr>
        <w:t xml:space="preserve">Endpoint agents and redirect-dns.</w:t>
      </w:r>
      <w:r>
        <w:t xml:space="preserve"> </w:t>
      </w:r>
      <w:r>
        <w:t xml:space="preserve">Can the DDI vendor’s endpoint agent act as a network-addressable proxy that redirect-dns can target, or only as a loopback stub? Infoblox’s documentation describes a loopback listener,</w:t>
      </w:r>
      <w:r>
        <w:rPr>
          <w:rStyle w:val="FootnoteReference"/>
        </w:rPr>
        <w:footnoteReference w:id="561"/>
      </w:r>
      <w:r>
        <w:t xml:space="preserve"> </w:t>
      </w:r>
      <w:r>
        <w:t xml:space="preserve">which is why Decision 1 requires a branch resolver; confirm with each vendor.</w:t>
      </w:r>
    </w:p>
    <w:p>
      <w:pPr>
        <w:pStyle w:val="Compact"/>
        <w:numPr>
          <w:ilvl w:val="0"/>
          <w:numId w:val="1045"/>
        </w:numPr>
      </w:pPr>
      <w:r>
        <w:rPr>
          <w:b/>
          <w:bCs/>
        </w:rPr>
        <w:t xml:space="preserve">Cloud DNS synchronization and private endpoints.</w:t>
      </w:r>
      <w:r>
        <w:t xml:space="preserve"> </w:t>
      </w:r>
      <w:r>
        <w:t xml:space="preserve">Do the vendor’s documented Azure DNS synchronization limits affect private endpoint zones or conditional forwarding for Azure-managed namespaces? The limits are published; their effect on private endpoints is not (Chapter 07).</w:t>
      </w:r>
    </w:p>
    <w:p>
      <w:pPr>
        <w:pStyle w:val="Compact"/>
        <w:numPr>
          <w:ilvl w:val="0"/>
          <w:numId w:val="1045"/>
        </w:numPr>
      </w:pPr>
      <w:r>
        <w:rPr>
          <w:b/>
          <w:bCs/>
        </w:rPr>
        <w:t xml:space="preserve">Namespace tracking.</w:t>
      </w:r>
      <w:r>
        <w:t xml:space="preserve"> </w:t>
      </w:r>
      <w:r>
        <w:t xml:space="preserve">Does the vendor’s IPAM track wildcard records and subdomain occupancy, or only host-level A and AAAA records?</w:t>
      </w:r>
    </w:p>
    <w:p>
      <w:pPr>
        <w:pStyle w:val="Compact"/>
        <w:numPr>
          <w:ilvl w:val="0"/>
          <w:numId w:val="1045"/>
        </w:numPr>
      </w:pPr>
      <w:r>
        <w:rPr>
          <w:b/>
          <w:bCs/>
        </w:rPr>
        <w:t xml:space="preserve">Source address under redirect-dns.</w:t>
      </w:r>
      <w:r>
        <w:t xml:space="preserve"> </w:t>
      </w:r>
      <w:r>
        <w:t xml:space="preserve">When the SD-WAN edge redirects a query, does the resolver see the client’s address or the edge router’s? The answer decides whether per-client policy and logging work at the branch.</w:t>
      </w:r>
    </w:p>
    <w:p>
      <w:pPr>
        <w:pStyle w:val="Compact"/>
        <w:numPr>
          <w:ilvl w:val="0"/>
          <w:numId w:val="1045"/>
        </w:numPr>
      </w:pPr>
      <w:r>
        <w:rPr>
          <w:b/>
          <w:bCs/>
        </w:rPr>
        <w:t xml:space="preserve">Telemetry in government clouds.</w:t>
      </w:r>
      <w:r>
        <w:t xml:space="preserve"> </w:t>
      </w:r>
      <w:r>
        <w:t xml:space="preserve">Is there a roadmap for informed network routing, or an equivalent telemetry mechanism, in GCC-Moderate or GCC High?</w:t>
      </w:r>
    </w:p>
    <w:p>
      <w:pPr>
        <w:pStyle w:val="Compact"/>
        <w:numPr>
          <w:ilvl w:val="0"/>
          <w:numId w:val="1045"/>
        </w:numPr>
      </w:pPr>
      <w:r>
        <w:rPr>
          <w:b/>
          <w:bCs/>
        </w:rPr>
        <w:t xml:space="preserve">Migration guidance.</w:t>
      </w:r>
      <w:r>
        <w:t xml:space="preserve"> </w:t>
      </w:r>
      <w:r>
        <w:t xml:space="preserve">Is there a published path from AD DNS to the vendor’s grid and management plane for agencies part-way through AD retirement?</w:t>
      </w:r>
    </w:p>
    <w:bookmarkEnd w:id="562"/>
    <w:bookmarkStart w:id="563" w:name="what-this-chapter-establishes-7"/>
    <w:p>
      <w:pPr>
        <w:pStyle w:val="Heading2"/>
      </w:pPr>
      <w:bookmarkStart w:id="1098" w:name="_Toc00001098"/>
      <w:r>
        <w:t xml:space="preserve">What this chapter establishes</w:t>
      </w:r>
      <w:bookmarkEnd w:id="1098"/>
    </w:p>
    <w:p>
      <w:pPr>
        <w:pStyle w:val="Compact"/>
        <w:numPr>
          <w:ilvl w:val="0"/>
          <w:numId w:val="1046"/>
        </w:numPr>
      </w:pPr>
      <w:r>
        <w:t xml:space="preserve">The governed path is SD-WAN edge, agency resolver, DDI policy plane, per-cloud private zones, with egress through Protective DNS.</w:t>
      </w:r>
    </w:p>
    <w:p>
      <w:pPr>
        <w:pStyle w:val="Compact"/>
        <w:numPr>
          <w:ilvl w:val="0"/>
          <w:numId w:val="1046"/>
        </w:numPr>
      </w:pPr>
      <w:r>
        <w:t xml:space="preserve">Five decisions carry almost all of the operational risk; each fails silently and needs a check in the running configuration.</w:t>
      </w:r>
    </w:p>
    <w:p>
      <w:pPr>
        <w:pStyle w:val="Compact"/>
        <w:numPr>
          <w:ilvl w:val="0"/>
          <w:numId w:val="1046"/>
        </w:numPr>
      </w:pPr>
      <w:r>
        <w:t xml:space="preserve">Cloud DNS services become consumers of one authoritative state, not independently authored sources; the policy plane overlays them rather than replacing them.</w:t>
      </w:r>
    </w:p>
    <w:p>
      <w:pPr>
        <w:pStyle w:val="Compact"/>
        <w:numPr>
          <w:ilvl w:val="0"/>
          <w:numId w:val="1046"/>
        </w:numPr>
      </w:pPr>
      <w:r>
        <w:t xml:space="preserve">Authorization, not architecture, is what changes between commercial and federal clouds.</w:t>
      </w:r>
    </w:p>
    <w:bookmarkEnd w:id="563"/>
    <w:bookmarkStart w:id="564" w:name="continue-the-book-7"/>
    <w:p>
      <w:pPr>
        <w:pStyle w:val="Heading2"/>
      </w:pPr>
      <w:bookmarkStart w:id="1099" w:name="_Toc00001099"/>
      <w:r>
        <w:t xml:space="preserve">Continue the book</w:t>
      </w:r>
      <w:bookmarkEnd w:id="1099"/>
    </w:p>
    <w:p>
      <w:pPr>
        <w:pStyle w:val="FirstParagraph"/>
      </w:pPr>
      <w:r>
        <w:t xml:space="preserve">← Previous: Chapter 07 — Cloud Private Endpoints, SDN and IPAM Consistency · Book index · Next: Chapter 09 — Who Owns DNS, DHCP and IPAM →</w:t>
      </w:r>
    </w:p>
    <w:bookmarkEnd w:id="564"/>
    <w:bookmarkEnd w:id="565"/>
    <w:bookmarkStart w:id="625" w:name="chapter-09-who-owns-dns-dhcp-and-ipam"/>
    <w:p>
      <w:pPr>
        <w:pStyle w:val="Heading1"/>
      </w:pPr>
      <w:bookmarkStart w:id="1100" w:name="_Toc00001100"/>
      <w:r>
        <w:t xml:space="preserve">Chapter 09 — Who Owns DNS, DHCP and IPAM</w:t>
      </w:r>
      <w:bookmarkEnd w:id="1100"/>
    </w:p>
    <w:p>
      <w:pPr>
        <w:pStyle w:val="FirstParagraph"/>
      </w:pPr>
      <w:r>
        <w:rPr>
          <w:i/>
          <w:iCs/>
        </w:rPr>
        <w:t xml:space="preserve">In an Active Directory estate, DNS belonged to whoever ran the domain controllers; a single policy plane concentrates that authority, so its owners have to be named on purpose, one decider per decision, or the cloud, network and directory teams will each own a piece of it by accident.</w:t>
      </w:r>
    </w:p>
    <w:bookmarkStart w:id="566" w:name="in-this-chapter-8"/>
    <w:p>
      <w:pPr>
        <w:pStyle w:val="Heading2"/>
      </w:pPr>
      <w:bookmarkStart w:id="1101" w:name="_Toc00001101"/>
      <w:r>
        <w:t xml:space="preserve">In this chapter</w:t>
      </w:r>
      <w:bookmarkEnd w:id="1101"/>
    </w:p>
    <w:p>
      <w:pPr>
        <w:pStyle w:val="FirstParagraph"/>
      </w:pPr>
      <w:r>
        <w:t xml:space="preserve">The people who decide, do and advise on name and address services: the sponsor and CIO, the CISO and ISSO, the authorizing official, network engineering, the DNS/DDI team, AD administrators during the AD DNS departure, cloud platform teams, security operations, application owners and the help desk. A responsibility matrix covers zones and delegation, split-horizon design, the resolver path, DNSSEC, encrypted DNS, IPAM, DHCP, record change approval and platform selection. A record-change model and a role map show how the decisions turn into permissions in each system.</w:t>
      </w:r>
    </w:p>
    <w:bookmarkEnd w:id="566"/>
    <w:p>
      <w:pPr>
        <w:pStyle w:val="BodyText"/>
      </w:pPr>
      <w:r>
        <w:t xml:space="preserve">Ownership of DNS was rarely written down in an Active Directory estate, because AD wrote it down for you. The DnsAdmins group has full control of every zone and record in the domain by default,</w:t>
      </w:r>
      <w:r>
        <w:rPr>
          <w:rStyle w:val="FootnoteReference"/>
        </w:rPr>
        <w:footnoteReference w:id="567"/>
      </w:r>
      <w:r>
        <w:t xml:space="preserve"> </w:t>
      </w:r>
      <w:r>
        <w:t xml:space="preserve">and Microsoft describes it as a privileged group with administrative control over the DNS Server service.</w:t>
      </w:r>
      <w:r>
        <w:rPr>
          <w:rStyle w:val="FootnoteReference"/>
        </w:rPr>
        <w:footnoteReference w:id="569"/>
      </w:r>
      <w:r>
        <w:t xml:space="preserve"> </w:t>
      </w:r>
      <w:r>
        <w:t xml:space="preserve">Any authenticated user can create A and PTR records in an AD-integrated zone unless the default ACL is changed.</w:t>
      </w:r>
      <w:r>
        <w:rPr>
          <w:rStyle w:val="FootnoteReference"/>
        </w:rPr>
        <w:footnoteReference w:id="571"/>
      </w:r>
      <w:r>
        <w:t xml:space="preserve"> </w:t>
      </w:r>
      <w:r>
        <w:t xml:space="preserve">DHCP servers register records on behalf of their clients, and the DnsUpdateProxy group exists to let them.</w:t>
      </w:r>
      <w:r>
        <w:rPr>
          <w:rStyle w:val="FootnoteReference"/>
        </w:rPr>
        <w:footnoteReference w:id="572"/>
      </w:r>
      <w:r>
        <w:t xml:space="preserve"> </w:t>
      </w:r>
      <w:r>
        <w:t xml:space="preserve">Change approval, where it existed, sat in the same small team that ran the domain controllers. Microsoft’s own AD DS planning guidance names a</w:t>
      </w:r>
      <w:r>
        <w:t xml:space="preserve"> </w:t>
      </w:r>
      <w:r>
        <w:t xml:space="preserve">“DNS for AD DS owner”</w:t>
      </w:r>
      <w:r>
        <w:t xml:space="preserve"> </w:t>
      </w:r>
      <w:r>
        <w:t xml:space="preserve">who coordinates with the organization’s separate DNS and DHCP groups,</w:t>
      </w:r>
      <w:r>
        <w:rPr>
          <w:rStyle w:val="FootnoteReference"/>
        </w:rPr>
        <w:footnoteReference w:id="574"/>
      </w:r>
      <w:r>
        <w:t xml:space="preserve"> </w:t>
      </w:r>
      <w:r>
        <w:t xml:space="preserve">which is a fair description of how many agencies still work.</w:t>
      </w:r>
    </w:p>
    <w:p>
      <w:pPr>
        <w:pStyle w:val="BodyText"/>
      </w:pPr>
      <w:r>
        <w:t xml:space="preserve">That arrangement doesn’t survive this book’s target. Chapter 08 puts zones, forwarding rules, IPAM data and security policy in one authoritative policy plane, and makes every cloud DNS service a consumer of it. Concentrating authority is the point, and it means a single team now holds the power to break resolution for every user, every cloud and every branch at once. Meanwhile each cloud keeps its own role system, the SD-WAN edge decides which resolver a branch query reaches, and security policy (encrypted DNS, Protective DNS, DNSSEC) has become a federal requirement, not a preference (Chapter 03). The decisions that the domain controller team used to make by default now belong to several teams, and some of them carry risk that only the authorizing official can accept.</w:t>
      </w:r>
    </w:p>
    <w:p>
      <w:pPr>
        <w:pStyle w:val="BodyText"/>
      </w:pPr>
      <w:r>
        <w:t xml:space="preserve">Book 02, Chapter 06 sets out the migration-wide ownership model, including the Risk Management Framework definitions of the authorizing official, CISO, ISSO and system owner. Book 05, Chapter 06 applies it to endpoints, which matters here because encrypted DNS settings are pushed to devices by the endpoint team. This chapter applies the same model to DNS, DHCP and IPAM. The roles, the matrix, the change classes and the role map below are the program’s recommended model. Adapt them to the agency’s governance, but keep one decider per row.</w:t>
      </w:r>
    </w:p>
    <w:bookmarkStart w:id="579" w:name="fig-ch09-ddi-owners"/>
    <w:p>
      <w:pPr>
        <w:pStyle w:val="CaptionedFigure"/>
      </w:pPr>
      <w:r>
        <w:drawing>
          <wp:inline>
            <wp:extent cx="5334000" cy="2981739"/>
            <wp:effectExtent b="0" l="0" r="0" t="0"/>
            <wp:docPr descr="Who decides, who builds and runs, and who supports DNS, DHCP and IPAM." title="" id="577" name="Picture"/>
            <a:graphic>
              <a:graphicData uri="http://schemas.openxmlformats.org/drawingml/2006/picture">
                <pic:pic>
                  <pic:nvPicPr>
                    <pic:cNvPr descr="/home/runner/work/modernization-workbook/modernization-workbook/docs/images/diagrams/b08-ddi/png/ch09-ddi-owners.png" id="578" name="Picture"/>
                    <pic:cNvPicPr>
                      <a:picLocks noChangeArrowheads="1" noChangeAspect="1"/>
                    </pic:cNvPicPr>
                  </pic:nvPicPr>
                  <pic:blipFill>
                    <a:blip r:embed="rId576"/>
                    <a:stretch>
                      <a:fillRect/>
                    </a:stretch>
                  </pic:blipFill>
                  <pic:spPr bwMode="auto">
                    <a:xfrm>
                      <a:off x="0" y="0"/>
                      <a:ext cx="5334000" cy="2981739"/>
                    </a:xfrm>
                    <a:prstGeom prst="rect">
                      <a:avLst/>
                    </a:prstGeom>
                    <a:noFill/>
                    <a:ln w="9525">
                      <a:noFill/>
                      <a:headEnd/>
                      <a:tailEnd/>
                    </a:ln>
                  </pic:spPr>
                </pic:pic>
              </a:graphicData>
            </a:graphic>
          </wp:inline>
        </w:drawing>
      </w:r>
    </w:p>
    <w:p>
      <w:pPr>
        <w:pStyle w:val="ImageCaption"/>
      </w:pPr>
      <w:r>
        <w:t xml:space="preserve">Who decides, who builds and runs, and who supports DNS, DHCP and IPAM.</w:t>
      </w:r>
    </w:p>
    <w:bookmarkEnd w:id="579"/>
    <w:bookmarkStart w:id="580" w:name="where-the-roles-come-from"/>
    <w:p>
      <w:pPr>
        <w:pStyle w:val="Heading2"/>
      </w:pPr>
      <w:bookmarkStart w:id="1102" w:name="_Toc00001102"/>
      <w:r>
        <w:t xml:space="preserve">Where the roles come from</w:t>
      </w:r>
      <w:bookmarkEnd w:id="1102"/>
    </w:p>
    <w:p>
      <w:pPr>
        <w:pStyle w:val="FirstParagraph"/>
      </w:pPr>
      <w:r>
        <w:t xml:space="preserve">Three parts of the series supply the inputs. Chapter 08 names the five configuration decisions that carry most of the operational risk: the redirect-dns target, the forwarding chain order, per-cloud conditional forwarding, the AD DNS inventory before retirement, and OCSP and CRL reachability. Each of those decisions needs one owner, and the owner isn’t always the team that types the configuration. The redirect-dns target is configured on the SD-WAN edge by network engineering, but what it must point at is a policy-plane decision.</w:t>
      </w:r>
    </w:p>
    <w:p>
      <w:pPr>
        <w:pStyle w:val="BodyText"/>
      </w:pPr>
      <w:r>
        <w:t xml:space="preserve">Chapter 11 supplies the delegation model: corporate administrators with full visibility and policy over the estate, divisional scopes covering each division’s zones, IP spaces and DHCP scopes, predefined manager, operator and auditor roles, and non-interactive automation accounts held to the same scopes. That model describes how permissions are cut inside the policy plane. This chapter decides who holds them.</w:t>
      </w:r>
    </w:p>
    <w:p>
      <w:pPr>
        <w:pStyle w:val="BodyText"/>
      </w:pPr>
      <w:r>
        <w:t xml:space="preserve">The program’s DNS modernization runbooks supply the operating gates that Chapter 10 sequences. Platform engineering owns the runbooks. Every migration phase needs change control approval. Legacy DNS servers stay in place through a validation window with no SRV failures and a period of parallel operation before they’re decommissioned. Any zone that loses DNSSEC protection in the move, such as an internal zone moved to a cloud private zone service, is accepted with documented compensating controls. Each of those gates hides a decision. Somebody approves the phase, somebody declares the validation window passed, and somebody accepts the loss of signing. The matrix below names them.</w:t>
      </w:r>
    </w:p>
    <w:bookmarkEnd w:id="580"/>
    <w:bookmarkStart w:id="583" w:name="Xfa9ed56c1c9737786807b6269637f7da913930c"/>
    <w:p>
      <w:pPr>
        <w:pStyle w:val="Heading2"/>
      </w:pPr>
      <w:bookmarkStart w:id="1103" w:name="_Toc00001103"/>
      <w:r>
        <w:t xml:space="preserve">Decision rights and work are different things</w:t>
      </w:r>
      <w:bookmarkEnd w:id="1103"/>
    </w:p>
    <w:p>
      <w:pPr>
        <w:pStyle w:val="FirstParagraph"/>
      </w:pPr>
      <w:r>
        <w:t xml:space="preserve">The program separates three kinds of involvement, as Book 02 does.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for DNS because name changes are cheap to make and expensive to get wrong. Nearly every DNS decision is made in a console or a pull request by someone who can make it, and many of them are risk decisions in disguise. Leaving a branch’s redirect-dns pointed at a public resolver turns off Protective DNS for that branch. Exempting a device class from encrypted DNS policy creates a monitoring gap. Creating a private zone named after a public namespace silently changes what every linked network sees. Moving an internal zone to a service that doesn’t sign it removes DNSSEC. The authorizing official is the official who accepts security and privacy risk on the organization’s behalf under the Risk Management Framework,</w:t>
      </w:r>
      <w:r>
        <w:rPr>
          <w:rStyle w:val="FootnoteReference"/>
        </w:rPr>
        <w:footnoteReference w:id="581"/>
      </w:r>
      <w:r>
        <w:t xml:space="preserve"> </w:t>
      </w:r>
      <w:r>
        <w:t xml:space="preserve">so decisions that amount to accepting risk have to reach that person, not stop at the console.</w:t>
      </w:r>
    </w:p>
    <w:bookmarkEnd w:id="583"/>
    <w:bookmarkStart w:id="605" w:name="the-roles"/>
    <w:p>
      <w:pPr>
        <w:pStyle w:val="Heading2"/>
      </w:pPr>
      <w:bookmarkStart w:id="1104" w:name="_Toc00001104"/>
      <w:r>
        <w:t xml:space="preserve">The roles</w:t>
      </w:r>
      <w:bookmarkEnd w:id="1104"/>
    </w:p>
    <w:p>
      <w:pPr>
        <w:pStyle w:val="FirstParagraph"/>
      </w:pPr>
      <w:r>
        <w:t xml:space="preserve">The</w:t>
      </w:r>
      <w:r>
        <w:t xml:space="preserve"> </w:t>
      </w:r>
      <w:r>
        <w:rPr>
          <w:b/>
          <w:bCs/>
        </w:rPr>
        <w:t xml:space="preserve">sponsor and CIO</w:t>
      </w:r>
      <w:r>
        <w:t xml:space="preserve"> </w:t>
      </w:r>
      <w:r>
        <w:t xml:space="preserve">set scope, funding and sequence. In the program’s model they decide which platform model the agency adopts (Chapter 12), when AD DNS and Windows DHCP are decommissioned, and how divisions are scoped in the policy plane. They also break ties between network engineering, the DNS/DDI team and the cloud platform teams, which will happen, because all three can reasonably claim the resolver path.</w:t>
      </w:r>
    </w:p>
    <w:p>
      <w:pPr>
        <w:pStyle w:val="BodyText"/>
      </w:pPr>
      <w:r>
        <w:t xml:space="preserve">The</w:t>
      </w:r>
      <w:r>
        <w:t xml:space="preserve"> </w:t>
      </w:r>
      <w:r>
        <w:rPr>
          <w:b/>
          <w:bCs/>
        </w:rPr>
        <w:t xml:space="preserve">CISO and ISSO</w:t>
      </w:r>
      <w:r>
        <w:t xml:space="preserve"> </w:t>
      </w:r>
      <w:r>
        <w:t xml:space="preserve">decide the control requirements the name layer has to meet. OMB M-22-09 requires agencies to resolve DNS queries using encrypted DNS wherever it is technically supported, to configure endpoints to use agency-designated encrypted DNS servers rather than automatic network discovery, and to log the contents of encrypted requests at the agency’s designated resolvers.</w:t>
      </w:r>
      <w:r>
        <w:rPr>
          <w:rStyle w:val="FootnoteReference"/>
        </w:rPr>
        <w:footnoteReference w:id="584"/>
      </w:r>
      <w:r>
        <w:t xml:space="preserve"> </w:t>
      </w:r>
      <w:r>
        <w:t xml:space="preserve">Federal civilian executive branch agencies are required to use CISA’s Protective DNS service.</w:t>
      </w:r>
      <w:r>
        <w:rPr>
          <w:rStyle w:val="FootnoteReference"/>
        </w:rPr>
        <w:footnoteReference w:id="585"/>
      </w:r>
      <w:r>
        <w:t xml:space="preserve"> </w:t>
      </w:r>
      <w:r>
        <w:t xml:space="preserve">The CISO turns those requirements into policy: which resolvers are designated, which transports are allowed, where DNSSEC signing and validation apply, what is logged and how long it is kept. The ISSO assembles the evidence an assessor will read (Chapter 11 lists it), tracks findings to closure, and is consulted on every change that alters a control.</w:t>
      </w:r>
    </w:p>
    <w:p>
      <w:pPr>
        <w:pStyle w:val="BodyText"/>
      </w:pPr>
      <w:r>
        <w:t xml:space="preserve">The</w:t>
      </w:r>
      <w:r>
        <w:t xml:space="preserve"> </w:t>
      </w:r>
      <w:r>
        <w:rPr>
          <w:b/>
          <w:bCs/>
        </w:rPr>
        <w:t xml:space="preserve">authorizing official</w:t>
      </w:r>
      <w:r>
        <w:t xml:space="preserve"> </w:t>
      </w:r>
      <w:r>
        <w:t xml:space="preserve">accepts residual risk. For DNS, DHCP and IPAM that means the authorization of any cloud-delivered management plane at the right impact level (Chapter 03 and Appendix C), and every standing exception: a zone that can’t be signed in its new home, an application or device class that can’t use encrypted DNS, a branch that can’t be redirected to an agency resolver, a policy-plane design that keeps a management dependency outside the agency’s boundary. The program routes each one to the authorizing official with an owner and a review date, so that a temporary exception doesn’t quietly become a permanent risk acceptance.</w:t>
      </w:r>
    </w:p>
    <w:p>
      <w:pPr>
        <w:pStyle w:val="BodyText"/>
      </w:pPr>
      <w:r>
        <w:rPr>
          <w:b/>
          <w:bCs/>
        </w:rPr>
        <w:t xml:space="preserve">Network engineering</w:t>
      </w:r>
      <w:r>
        <w:t xml:space="preserve"> </w:t>
      </w:r>
      <w:r>
        <w:t xml:space="preserve">owns the transport and the edge. It configures SD-WAN redirect-dns and other edge interceptors, DHCP relay toward the authorized DHCP servers, the connectivity that carries port 53 and encrypted DNS between sites and clouds, and the access-switch controls (DHCP snooping, RA Guard) that Chapter 05 relies on against rogue DHCP. In the program’s model network engineering</w:t>
      </w:r>
      <w:r>
        <w:t xml:space="preserve"> </w:t>
      </w:r>
      <w:r>
        <w:rPr>
          <w:i/>
          <w:iCs/>
        </w:rPr>
        <w:t xml:space="preserve">does</w:t>
      </w:r>
      <w:r>
        <w:t xml:space="preserve"> </w:t>
      </w:r>
      <w:r>
        <w:t xml:space="preserve">Decisions 1 and 2 on the edge, while the DNS/DDI team</w:t>
      </w:r>
      <w:r>
        <w:t xml:space="preserve"> </w:t>
      </w:r>
      <w:r>
        <w:rPr>
          <w:i/>
          <w:iCs/>
        </w:rPr>
        <w:t xml:space="preserve">decides</w:t>
      </w:r>
      <w:r>
        <w:t xml:space="preserve"> </w:t>
      </w:r>
      <w:r>
        <w:t xml:space="preserve">what the edge must point at and in what order. That split stops the most common failure in the series, a branch edge pointed around the governed resolver because it was convenient at the time.</w:t>
      </w:r>
    </w:p>
    <w:p>
      <w:pPr>
        <w:pStyle w:val="BodyText"/>
      </w:pPr>
      <w:r>
        <w:t xml:space="preserve">The</w:t>
      </w:r>
      <w:r>
        <w:t xml:space="preserve"> </w:t>
      </w:r>
      <w:r>
        <w:rPr>
          <w:b/>
          <w:bCs/>
        </w:rPr>
        <w:t xml:space="preserve">DNS/DDI team</w:t>
      </w:r>
      <w:r>
        <w:t xml:space="preserve"> </w:t>
      </w:r>
      <w:r>
        <w:t xml:space="preserve">owns the policy plane. It designs and runs the authoritative internal zones, the forwarding rules for every private namespace (Decision 3), the IPAM system of record, DHCP scopes and options, response policy zones, and DNSSEC signing operations. In Chapter 11’s terms it holds the corporate administrator role. It decides the split-horizon design and the namespace structure, approves high-impact record changes, and is the approver of record for platform-level change. Like identity engineering in Book 02, it is the team most likely to be over-trusted, because it holds roles that can change every answer at once. The program’s answer is to scope its own automation accounts, put a second approver in front of zone, delegation and forwarding changes, and keep its privileged roles eligible rather than standing where the platform supports it. In many agencies this team is part of network engineering or of platform engineering. That is fine, as long as the decision rights below are assigned to a named group and not to</w:t>
      </w:r>
      <w:r>
        <w:t xml:space="preserve"> </w:t>
      </w:r>
      <w:r>
        <w:t xml:space="preserve">“the network team”</w:t>
      </w:r>
      <w:r>
        <w:t xml:space="preserve"> </w:t>
      </w:r>
      <w:r>
        <w:t xml:space="preserve">in general.</w:t>
      </w:r>
    </w:p>
    <w:p>
      <w:pPr>
        <w:pStyle w:val="BodyText"/>
      </w:pPr>
      <w:r>
        <w:rPr>
          <w:b/>
          <w:bCs/>
        </w:rPr>
        <w:t xml:space="preserve">Active Directory administrators</w:t>
      </w:r>
      <w:r>
        <w:t xml:space="preserve"> </w:t>
      </w:r>
      <w:r>
        <w:t xml:space="preserve">run AD DNS and Windows DHCP until they are retired. During the departure (Chapter 04) they own the inventory behind Decision 4: every AD-integrated zone, the SRV and</w:t>
      </w:r>
      <w:r>
        <w:t xml:space="preserve"> </w:t>
      </w:r>
      <w:r>
        <w:rPr>
          <w:rStyle w:val="VerbatimChar"/>
        </w:rPr>
        <w:t xml:space="preserve">_msdcs</w:t>
      </w:r>
      <w:r>
        <w:t xml:space="preserve"> </w:t>
      </w:r>
      <w:r>
        <w:t xml:space="preserve">records, conditional forwarders, dynamic-update clients and DHCP scopes. They also own two things that are easy to miss. One is DnsAdmins membership. Microsoft Defender for Identity flags non-privileged members of DnsAdmins as an exposure, because the group can be delegated to network staff and becomes an attractive target.</w:t>
      </w:r>
      <w:r>
        <w:rPr>
          <w:rStyle w:val="FootnoteReference"/>
        </w:rPr>
        <w:footnoteReference w:id="586"/>
      </w:r>
      <w:r>
        <w:t xml:space="preserve"> </w:t>
      </w:r>
      <w:r>
        <w:t xml:space="preserve">The program treats DnsAdmins as a privileged group and empties it of anyone who isn’t a domain administrator before the transition starts. The other is the DNSSEC Key Master. On Windows DNS, one server per signed zone generates and manages the keys and performs key rollovers. For AD-integrated zones the Key Master is a domain controller and the private keys can replicate through AD, and if the Key Master is lost without access to the key material the zone has to be re-signed with new keys.</w:t>
      </w:r>
      <w:r>
        <w:rPr>
          <w:rStyle w:val="FootnoteReference"/>
        </w:rPr>
        <w:footnoteReference w:id="587"/>
      </w:r>
      <w:r>
        <w:t xml:space="preserve"> </w:t>
      </w:r>
      <w:r>
        <w:t xml:space="preserve">Moving signing to the policy plane is a planned handover, not something that happens when the last domain controller goes. AD administrators execute the decommission, but they don’t decide its timing.</w:t>
      </w:r>
    </w:p>
    <w:p>
      <w:pPr>
        <w:pStyle w:val="BodyText"/>
      </w:pPr>
      <w:r>
        <w:rPr>
          <w:b/>
          <w:bCs/>
        </w:rPr>
        <w:t xml:space="preserve">Cloud platform teams</w:t>
      </w:r>
      <w:r>
        <w:t xml:space="preserve"> </w:t>
      </w:r>
      <w:r>
        <w:t xml:space="preserve">run the cloud-native DNS, resolver and IPAM services as consumers of policy-plane state, not as independent authors (Chapter 08). Their work is shaped by each provider’s role model:</w:t>
      </w:r>
    </w:p>
    <w:p>
      <w:pPr>
        <w:pStyle w:val="Compact"/>
        <w:numPr>
          <w:ilvl w:val="0"/>
          <w:numId w:val="1047"/>
        </w:numPr>
      </w:pPr>
      <w:r>
        <w:rPr>
          <w:b/>
          <w:bCs/>
        </w:rPr>
        <w:t xml:space="preserve">Azure.</w:t>
      </w:r>
      <w:r>
        <w:t xml:space="preserve"> </w:t>
      </w:r>
      <w:r>
        <w:t xml:space="preserve">Microsoft’s landing-zone guidance hosts the</w:t>
      </w:r>
      <w:r>
        <w:t xml:space="preserve"> </w:t>
      </w:r>
      <w:r>
        <w:rPr>
          <w:rStyle w:val="VerbatimChar"/>
        </w:rPr>
        <w:t xml:space="preserve">privatelink</w:t>
      </w:r>
      <w:r>
        <w:t xml:space="preserve"> </w:t>
      </w:r>
      <w:r>
        <w:t xml:space="preserve">private DNS zones centrally in the connectivity subscription, notes that typically only networking and identity administrators manage records there, and denies workload teams the ability to create their own</w:t>
      </w:r>
      <w:r>
        <w:t xml:space="preserve"> </w:t>
      </w:r>
      <w:r>
        <w:rPr>
          <w:rStyle w:val="VerbatimChar"/>
        </w:rPr>
        <w:t xml:space="preserve">privatelink</w:t>
      </w:r>
      <w:r>
        <w:t xml:space="preserve"> </w:t>
      </w:r>
      <w:r>
        <w:t xml:space="preserve">zones. A</w:t>
      </w:r>
      <w:r>
        <w:t xml:space="preserve"> </w:t>
      </w:r>
      <w:r>
        <w:rPr>
          <w:rStyle w:val="VerbatimChar"/>
        </w:rPr>
        <w:t xml:space="preserve">DeployIfNotExists</w:t>
      </w:r>
      <w:r>
        <w:t xml:space="preserve"> </w:t>
      </w:r>
      <w:r>
        <w:t xml:space="preserve">policy, whose managed identity holds Private DNS Zone Contributor on the central zones, writes and removes the private endpoint records instead.</w:t>
      </w:r>
      <w:r>
        <w:rPr>
          <w:rStyle w:val="FootnoteReference"/>
        </w:rPr>
        <w:footnoteReference w:id="590"/>
      </w:r>
      <w:r>
        <w:t xml:space="preserve"> </w:t>
      </w:r>
      <w:r>
        <w:t xml:space="preserve">Private DNS Zone Contributor manages private zone resources but not the virtual networks they’re linked to; DNS Zone Contributor covers public zones only.</w:t>
      </w:r>
      <w:r>
        <w:rPr>
          <w:rStyle w:val="FootnoteReference"/>
        </w:rPr>
        <w:footnoteReference w:id="592"/>
      </w:r>
      <w:r>
        <w:t xml:space="preserve"> </w:t>
      </w:r>
      <w:r>
        <w:t xml:space="preserve">IPAM pools in Azure Virtual Network Manager need Network Contributor on the network manager to create, and pool access can be delegated to other users.</w:t>
      </w:r>
      <w:r>
        <w:rPr>
          <w:rStyle w:val="FootnoteReference"/>
        </w:rPr>
        <w:footnoteReference w:id="595"/>
      </w:r>
    </w:p>
    <w:p>
      <w:pPr>
        <w:pStyle w:val="Compact"/>
        <w:numPr>
          <w:ilvl w:val="0"/>
          <w:numId w:val="1047"/>
        </w:numPr>
      </w:pPr>
      <w:r>
        <w:rPr>
          <w:b/>
          <w:bCs/>
        </w:rPr>
        <w:t xml:space="preserve">AWS.</w:t>
      </w:r>
      <w:r>
        <w:t xml:space="preserve"> </w:t>
      </w:r>
      <w:r>
        <w:t xml:space="preserve">Route 53 VPC Resolver forwarding rules can be shared with other accounts through AWS Resource Access Manager. An account that receives a shared rule can associate it with its VPCs but can’t change or delete it.</w:t>
      </w:r>
      <w:r>
        <w:rPr>
          <w:rStyle w:val="FootnoteReference"/>
        </w:rPr>
        <w:footnoteReference w:id="597"/>
      </w:r>
      <w:r>
        <w:t xml:space="preserve"> </w:t>
      </w:r>
      <w:r>
        <w:t xml:space="preserve">VPC IPAM integrates with AWS Organizations through a delegated IPAM account, which must be a member account, not the management account.</w:t>
      </w:r>
      <w:r>
        <w:rPr>
          <w:rStyle w:val="FootnoteReference"/>
        </w:rPr>
        <w:footnoteReference w:id="599"/>
      </w:r>
    </w:p>
    <w:p>
      <w:pPr>
        <w:pStyle w:val="FirstParagraph"/>
      </w:pPr>
      <w:r>
        <w:t xml:space="preserve">Both models support the same split: the platform team owns the shared rules, central zones and address pools, and workload accounts or subscriptions consume them. The program’s rule is that what the platform team publishes in each cloud is generated from, or reconciled against, the policy plane, so that a forwarding rule or address pool exists in one authoritative place.</w:t>
      </w:r>
    </w:p>
    <w:p>
      <w:pPr>
        <w:pStyle w:val="BodyText"/>
      </w:pPr>
      <w:r>
        <w:rPr>
          <w:b/>
          <w:bCs/>
        </w:rPr>
        <w:t xml:space="preserve">Security operations</w:t>
      </w:r>
      <w:r>
        <w:t xml:space="preserve"> </w:t>
      </w:r>
      <w:r>
        <w:t xml:space="preserve">receives what the name layer emits: Protective DNS alerts, response policy zone hits, query logs and resolution-path anomalies such as hosts whose queries never appear in the governed resolver logs (Chapter 05). CISA’s Protective DNS service blocks, redirects or sinkholes queries that match threat indicators and alerts the originating agency.</w:t>
      </w:r>
      <w:r>
        <w:rPr>
          <w:rStyle w:val="FootnoteReference"/>
        </w:rPr>
        <w:footnoteReference w:id="601"/>
      </w:r>
      <w:r>
        <w:t xml:space="preserve"> </w:t>
      </w:r>
      <w:r>
        <w:t xml:space="preserve">Security operations is consulted on response policy changes and on every encrypted DNS exception, because it’s the team that finds out when an exception gets used.</w:t>
      </w:r>
    </w:p>
    <w:p>
      <w:pPr>
        <w:pStyle w:val="BodyText"/>
      </w:pPr>
      <w:r>
        <w:rPr>
          <w:b/>
          <w:bCs/>
        </w:rPr>
        <w:t xml:space="preserve">Application owners</w:t>
      </w:r>
      <w:r>
        <w:t xml:space="preserve"> </w:t>
      </w:r>
      <w:r>
        <w:t xml:space="preserve">request and own the names of their applications. They know which FQDNs their certificates, token audiences and connection strings depend on (Chapter 06), and they’re the only people who can accept a cutover window for their own namespace. In the program’s model an application owner can be given a delegated namespace in the policy plane, with a scoped automation account that can write records under it (for example, ACME DNS-01 challenge records, as Chapter 11 describes), but can’t create zones, delegations or wildcard records. Certificate issuance itself is Book 07’s subject.</w:t>
      </w:r>
    </w:p>
    <w:p>
      <w:pPr>
        <w:pStyle w:val="BodyText"/>
      </w:pPr>
      <w:r>
        <w:t xml:space="preserve">The</w:t>
      </w:r>
      <w:r>
        <w:t xml:space="preserve"> </w:t>
      </w:r>
      <w:r>
        <w:rPr>
          <w:b/>
          <w:bCs/>
        </w:rPr>
        <w:t xml:space="preserve">help desk</w:t>
      </w:r>
      <w:r>
        <w:t xml:space="preserve"> </w:t>
      </w:r>
      <w:r>
        <w:t xml:space="preserve">fields resolution failures that users report as certificate errors, access denials or</w:t>
      </w:r>
      <w:r>
        <w:t xml:space="preserve"> </w:t>
      </w:r>
      <w:r>
        <w:t xml:space="preserve">“the app is down.”</w:t>
      </w:r>
      <w:r>
        <w:t xml:space="preserve"> </w:t>
      </w:r>
      <w:r>
        <w:t xml:space="preserve">It needs read access and runbooks: resolution tests from the client’s vantage point, the expected answer for each origin, and a clear escalation path to the DNS/DDI team. In the program’s model the help desk holds the auditor role in the policy plane and no write roles. Clearing a client cache is a help desk action. Changing a record isn’t.</w:t>
      </w:r>
    </w:p>
    <w:p>
      <w:pPr>
        <w:pStyle w:val="BodyText"/>
      </w:pPr>
      <w:r>
        <w:t xml:space="preserve">Two further roles are small but carry outsized risk.</w:t>
      </w:r>
      <w:r>
        <w:t xml:space="preserve"> </w:t>
      </w:r>
      <w:r>
        <w:rPr>
          <w:b/>
          <w:bCs/>
        </w:rPr>
        <w:t xml:space="preserve">.gov domain managers</w:t>
      </w:r>
      <w:r>
        <w:t xml:space="preserve"> </w:t>
      </w:r>
      <w:r>
        <w:t xml:space="preserve">control the agency’s public delegation in the .gov registrar. Only domain managers can change a domain’s name servers or enter its DNSSEC DS data, and the registrar warns that incorrect DNSSEC setup can make the domain stop working.</w:t>
      </w:r>
      <w:r>
        <w:rPr>
          <w:rStyle w:val="FootnoteReference"/>
        </w:rPr>
        <w:footnoteReference w:id="602"/>
      </w:r>
      <w:r>
        <w:t xml:space="preserve"> </w:t>
      </w:r>
      <w:r>
        <w:t xml:space="preserve">An organization’s senior official authorizes domain requests.</w:t>
      </w:r>
      <w:r>
        <w:rPr>
          <w:rStyle w:val="FootnoteReference"/>
        </w:rPr>
        <w:footnoteReference w:id="604"/>
      </w:r>
      <w:r>
        <w:t xml:space="preserve"> </w:t>
      </w:r>
      <w:r>
        <w:t xml:space="preserve">The program assigns domain manager rights to named members of the DNS/DDI team, keeps the senior official current, and treats any name server or DS change as a high-impact change.</w:t>
      </w:r>
      <w:r>
        <w:t xml:space="preserve"> </w:t>
      </w:r>
      <w:r>
        <w:rPr>
          <w:b/>
          <w:bCs/>
        </w:rPr>
        <w:t xml:space="preserve">Endpoint engineering</w:t>
      </w:r>
      <w:r>
        <w:t xml:space="preserve"> </w:t>
      </w:r>
      <w:r>
        <w:t xml:space="preserve">configures encrypted DNS and resolver settings on managed devices to the CISO’s policy, as Book 05 describes. It does the work. It doesn’t decide which resolvers are designated.</w:t>
      </w:r>
    </w:p>
    <w:bookmarkEnd w:id="605"/>
    <w:bookmarkStart w:id="606" w:name="the-responsibility-matrix"/>
    <w:p>
      <w:pPr>
        <w:pStyle w:val="Heading2"/>
      </w:pPr>
      <w:bookmarkStart w:id="1105" w:name="_Toc00001105"/>
      <w:r>
        <w:t xml:space="preserve">The responsibility matrix</w:t>
      </w:r>
      <w:bookmarkEnd w:id="1105"/>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 / ISSO</w:t>
            </w:r>
          </w:p>
        </w:tc>
        <w:tc>
          <w:tcPr/>
          <w:p>
            <w:pPr>
              <w:pStyle w:val="Compact"/>
            </w:pPr>
            <w:r>
              <w:t xml:space="preserve">AO</w:t>
            </w:r>
          </w:p>
        </w:tc>
        <w:tc>
          <w:tcPr/>
          <w:p>
            <w:pPr>
              <w:pStyle w:val="Compact"/>
            </w:pPr>
            <w:r>
              <w:t xml:space="preserve">Network eng.</w:t>
            </w:r>
          </w:p>
        </w:tc>
        <w:tc>
          <w:tcPr/>
          <w:p>
            <w:pPr>
              <w:pStyle w:val="Compact"/>
            </w:pPr>
            <w:r>
              <w:t xml:space="preserve">DNS/DDI team</w:t>
            </w:r>
          </w:p>
        </w:tc>
        <w:tc>
          <w:tcPr/>
          <w:p>
            <w:pPr>
              <w:pStyle w:val="Compact"/>
            </w:pPr>
            <w:r>
              <w:t xml:space="preserve">AD admins</w:t>
            </w:r>
          </w:p>
        </w:tc>
        <w:tc>
          <w:tcPr/>
          <w:p>
            <w:pPr>
              <w:pStyle w:val="Compact"/>
            </w:pPr>
            <w:r>
              <w:t xml:space="preserve">Cloud platform</w:t>
            </w:r>
          </w:p>
        </w:tc>
        <w:tc>
          <w:tcPr/>
          <w:p>
            <w:pPr>
              <w:pStyle w:val="Compact"/>
            </w:pPr>
            <w:r>
              <w:t xml:space="preserve">SecOps</w:t>
            </w:r>
          </w:p>
        </w:tc>
        <w:tc>
          <w:tcPr/>
          <w:p>
            <w:pPr>
              <w:pStyle w:val="Compact"/>
            </w:pPr>
            <w:r>
              <w:t xml:space="preserve">App owners</w:t>
            </w:r>
          </w:p>
        </w:tc>
        <w:tc>
          <w:tcPr/>
          <w:p>
            <w:pPr>
              <w:pStyle w:val="Compact"/>
            </w:pPr>
            <w:r>
              <w:t xml:space="preserve">Help desk</w:t>
            </w:r>
          </w:p>
        </w:tc>
      </w:tr>
      <w:tr>
        <w:tc>
          <w:tcPr/>
          <w:p>
            <w:pPr>
              <w:pStyle w:val="Compact"/>
            </w:pPr>
            <w:r>
              <w:t xml:space="preserve">Platform selection and deployment model (Chapter 12)</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Authorization of a cloud-delivered management plane</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Namespace design: internal zones and delegation to divisions and apps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Public zones, .gov name servers and DS records</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Split-horizon design: which names answer differently, from where</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Resolver path: redirect-dns targets at the edge (Decision 1)</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Forwarding chain order (Decision 2)</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 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Per-cloud conditional forwarding rules (Decision 3)</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DNSSEC signing of public zones and key rollover</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r>
      <w:tr>
        <w:tc>
          <w:tcPr/>
          <w:p>
            <w:pPr>
              <w:pStyle w:val="Compact"/>
            </w:pPr>
            <w:r>
              <w:t xml:space="preserve">DNSSEC for internal zones, and accepting zones that lose it</w:t>
            </w: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r>
      <w:tr>
        <w:tc>
          <w:tcPr/>
          <w:p>
            <w:pPr>
              <w:pStyle w:val="Compact"/>
            </w:pPr>
            <w:r>
              <w:t xml:space="preserve">DNSSEC validation on agency resolvers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Encrypted DNS policy: designated resolvers, allowed transports</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Encrypted DNS exceptions, standing or past the agency’s limit</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IPAM as source of truth: address plan and top-level blocks</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Cloud CIDR allocation from delegated pools</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DHCP scopes, reservations and options 6 and RDNSS</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D, R</w:t>
            </w:r>
          </w:p>
        </w:tc>
        <w:tc>
          <w:tcPr/>
          <w:p>
            <w:pPr>
              <w:pStyle w:val="Compact"/>
            </w:pPr>
            <w:r>
              <w:t xml:space="preserve">R</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Rogue DHCP and router advertisement detection</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p>
        </w:tc>
      </w:tr>
      <w:tr>
        <w:tc>
          <w:tcPr/>
          <w:p>
            <w:pPr>
              <w:pStyle w:val="Compact"/>
            </w:pPr>
            <w:r>
              <w:t xml:space="preserve">Standard record changes in a delegated namespace</w:t>
            </w:r>
          </w:p>
        </w:tc>
        <w:tc>
          <w:tcPr/>
          <w:p>
            <w:pPr>
              <w:pStyle w:val="Compact"/>
            </w:pPr>
          </w:p>
        </w:tc>
        <w:tc>
          <w:tcPr/>
          <w:p>
            <w:pPr>
              <w:pStyle w:val="Compact"/>
            </w:pP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r>
      <w:tr>
        <w:tc>
          <w:tcPr/>
          <w:p>
            <w:pPr>
              <w:pStyle w:val="Compact"/>
            </w:pPr>
            <w:r>
              <w:t xml:space="preserve">High-impact record changes (zones, NS, SRV, apex, mail policy, wildcards, RPZ)</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Private endpoint record automation (policy-driven)</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r>
        <w:tc>
          <w:tcPr/>
          <w:p>
            <w:pPr>
              <w:pStyle w:val="Compact"/>
            </w:pPr>
            <w:r>
              <w:t xml:space="preserve">Protective DNS forwarding and query logging</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r>
      <w:tr>
        <w:tc>
          <w:tcPr/>
          <w:p>
            <w:pPr>
              <w:pStyle w:val="Compact"/>
            </w:pPr>
            <w:r>
              <w:t xml:space="preserve">AD DNS inventory and reconciliation (Decision 4)</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AD DNS and Windows DHCP decommission timing</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Migration phase go/no-go (Chapter 10)</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r>
      <w:tr>
        <w:tc>
          <w:tcPr/>
          <w:p>
            <w:pPr>
              <w:pStyle w:val="Compact"/>
            </w:pPr>
            <w:r>
              <w:t xml:space="preserve">OCSP and CRL resolution from every origin (Decision 5)</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p>
        </w:tc>
      </w:tr>
    </w:tbl>
    <w:p>
      <w:pPr>
        <w:pStyle w:val="BodyText"/>
      </w:pPr>
      <w:r>
        <w:t xml:space="preserve">Four rows need comment. The resolver-path rows split deciding from doing on purpose: network engineering configures the edge, but the DNS/DDI team decides what the edge points at, because getting Decisions 1 and 2 wrong silently removes Protective DNS, logging and response policy for a whole branch. The DNSSEC rows split three ways. Signing public zones and validating answers are control requirements the CISO sets. Moving an internal zone to a service that won’t sign it is a risk acceptance, so the authorizing official decides it, with the compensating controls written down. The encrypted DNS rows split on time, like the exception rows in Book 05: the CISO sets the policy and can grant a temporary exception, but one that has no end date, or has outlived the agency’s limit, goes to the authorizing official. And the standard record change row gives the decision to the DNS/DDI team even though the application owner does the work, because the team decided in advance what a standard change is and pre-approved it.</w:t>
      </w:r>
    </w:p>
    <w:bookmarkEnd w:id="606"/>
    <w:bookmarkStart w:id="614" w:name="record-change-approval"/>
    <w:p>
      <w:pPr>
        <w:pStyle w:val="Heading2"/>
      </w:pPr>
      <w:bookmarkStart w:id="1106" w:name="_Toc00001106"/>
      <w:r>
        <w:t xml:space="preserve">Record change approval</w:t>
      </w:r>
      <w:bookmarkEnd w:id="1106"/>
    </w:p>
    <w:p>
      <w:pPr>
        <w:pStyle w:val="FirstParagraph"/>
      </w:pPr>
      <w:r>
        <w:t xml:space="preserve">Most DNS changes don’t need a change board, and treating them all the same way is how agencies end up with either a six-week wait for a CNAME or no control at all. The program sorts record changes into three classes.</w:t>
      </w:r>
    </w:p>
    <w:bookmarkStart w:id="610" w:name="fig-ch09-record-change-classes"/>
    <w:p>
      <w:pPr>
        <w:pStyle w:val="CaptionedFigure"/>
      </w:pPr>
      <w:r>
        <w:drawing>
          <wp:inline>
            <wp:extent cx="5334000" cy="3218793"/>
            <wp:effectExtent b="0" l="0" r="0" t="0"/>
            <wp:docPr descr="Three classes of DNS record change and who approves each." title="" id="608" name="Picture"/>
            <a:graphic>
              <a:graphicData uri="http://schemas.openxmlformats.org/drawingml/2006/picture">
                <pic:pic>
                  <pic:nvPicPr>
                    <pic:cNvPr descr="/home/runner/work/modernization-workbook/modernization-workbook/docs/images/diagrams/b08-ddi/png/ch09-record-change-classes.png" id="609" name="Picture"/>
                    <pic:cNvPicPr>
                      <a:picLocks noChangeArrowheads="1" noChangeAspect="1"/>
                    </pic:cNvPicPr>
                  </pic:nvPicPr>
                  <pic:blipFill>
                    <a:blip r:embed="rId607"/>
                    <a:stretch>
                      <a:fillRect/>
                    </a:stretch>
                  </pic:blipFill>
                  <pic:spPr bwMode="auto">
                    <a:xfrm>
                      <a:off x="0" y="0"/>
                      <a:ext cx="5334000" cy="3218793"/>
                    </a:xfrm>
                    <a:prstGeom prst="rect">
                      <a:avLst/>
                    </a:prstGeom>
                    <a:noFill/>
                    <a:ln w="9525">
                      <a:noFill/>
                      <a:headEnd/>
                      <a:tailEnd/>
                    </a:ln>
                  </pic:spPr>
                </pic:pic>
              </a:graphicData>
            </a:graphic>
          </wp:inline>
        </w:drawing>
      </w:r>
    </w:p>
    <w:p>
      <w:pPr>
        <w:pStyle w:val="ImageCaption"/>
      </w:pPr>
      <w:r>
        <w:t xml:space="preserve">Three classes of DNS record change and who approves each.</w:t>
      </w:r>
    </w:p>
    <w:bookmarkEnd w:id="610"/>
    <w:p>
      <w:pPr>
        <w:pStyle w:val="Compact"/>
        <w:numPr>
          <w:ilvl w:val="0"/>
          <w:numId w:val="1048"/>
        </w:numPr>
      </w:pPr>
      <w:r>
        <w:rPr>
          <w:b/>
          <w:bCs/>
        </w:rPr>
        <w:t xml:space="preserve">Standard changes</w:t>
      </w:r>
      <w:r>
        <w:t xml:space="preserve"> </w:t>
      </w:r>
      <w:r>
        <w:t xml:space="preserve">are A, AAAA, CNAME and TXT records inside a namespace already delegated to a division or an application. They are pre-approved, requested through an ITSM catalog item or a pipeline, and written by a scoped service account (Chapter 11). The application owner is the requester of record.</w:t>
      </w:r>
    </w:p>
    <w:p>
      <w:pPr>
        <w:pStyle w:val="Compact"/>
        <w:numPr>
          <w:ilvl w:val="0"/>
          <w:numId w:val="1048"/>
        </w:numPr>
      </w:pPr>
      <w:r>
        <w:rPr>
          <w:b/>
          <w:bCs/>
        </w:rPr>
        <w:t xml:space="preserve">Policy-driven changes</w:t>
      </w:r>
      <w:r>
        <w:t xml:space="preserve"> </w:t>
      </w:r>
      <w:r>
        <w:t xml:space="preserve">are records that a system writes and removes as part of a lifecycle: private endpoint records written by policy, VM registrations, and DHCP-driven dynamic updates. Microsoft’s landing-zone pattern is an example: the</w:t>
      </w:r>
      <w:r>
        <w:t xml:space="preserve"> </w:t>
      </w:r>
      <w:r>
        <w:rPr>
          <w:rStyle w:val="VerbatimChar"/>
        </w:rPr>
        <w:t xml:space="preserve">DeployIfNotExists</w:t>
      </w:r>
      <w:r>
        <w:t xml:space="preserve"> </w:t>
      </w:r>
      <w:r>
        <w:t xml:space="preserve">policy adds the record when a private endpoint is created and removes it when the endpoint is deleted.</w:t>
      </w:r>
      <w:r>
        <w:rPr>
          <w:rStyle w:val="FootnoteReference"/>
        </w:rPr>
        <w:footnoteReference w:id="611"/>
      </w:r>
      <w:r>
        <w:t xml:space="preserve"> </w:t>
      </w:r>
      <w:r>
        <w:t xml:space="preserve">These need no per-change approval. The policy that writes them is itself a high-impact change.</w:t>
      </w:r>
    </w:p>
    <w:p>
      <w:pPr>
        <w:pStyle w:val="Compact"/>
        <w:numPr>
          <w:ilvl w:val="0"/>
          <w:numId w:val="1048"/>
        </w:numPr>
      </w:pPr>
      <w:r>
        <w:rPr>
          <w:b/>
          <w:bCs/>
        </w:rPr>
        <w:t xml:space="preserve">High-impact changes</w:t>
      </w:r>
      <w:r>
        <w:t xml:space="preserve"> </w:t>
      </w:r>
      <w:r>
        <w:t xml:space="preserve">are zone creation and deletion, NS and DS records, forwarding rules, SRV and</w:t>
      </w:r>
      <w:r>
        <w:t xml:space="preserve"> </w:t>
      </w:r>
      <w:r>
        <w:rPr>
          <w:rStyle w:val="VerbatimChar"/>
        </w:rPr>
        <w:t xml:space="preserve">_msdcs</w:t>
      </w:r>
      <w:r>
        <w:t xml:space="preserve"> </w:t>
      </w:r>
      <w:r>
        <w:t xml:space="preserve">records, apex records, MX and mail-authentication records, wildcard records, and response policy. They go to the change board with the DNS/DDI team as approver and the CISO consulted, and to the authorizing official when the change accepts risk.</w:t>
      </w:r>
    </w:p>
    <w:p>
      <w:pPr>
        <w:pStyle w:val="FirstParagraph"/>
      </w:pPr>
      <w:r>
        <w:t xml:space="preserve">Permissions have to match the classes, and they can’t do all of the work. Microsoft notes that an Azure custom role that blocks record-set deletion while allowing updates isn’t an effective control, because an update can remove every record from a set, which has the same effect on resolution as deleting it.</w:t>
      </w:r>
      <w:r>
        <w:rPr>
          <w:rStyle w:val="FootnoteReference"/>
        </w:rPr>
        <w:footnoteReference w:id="612"/>
      </w:r>
      <w:r>
        <w:t xml:space="preserve"> </w:t>
      </w:r>
      <w:r>
        <w:t xml:space="preserve">The program’s answer is to scope who can write at all (zone or record-set scope, not resource group or subscription), route high-impact changes through an approval, and watch the audit trail for record sets that suddenly go empty.</w:t>
      </w:r>
    </w:p>
    <w:bookmarkEnd w:id="614"/>
    <w:bookmarkStart w:id="622" w:name="roles-in-each-system"/>
    <w:p>
      <w:pPr>
        <w:pStyle w:val="Heading2"/>
      </w:pPr>
      <w:bookmarkStart w:id="1107" w:name="_Toc00001107"/>
      <w:r>
        <w:t xml:space="preserve">Roles in each system</w:t>
      </w:r>
      <w:bookmarkEnd w:id="1107"/>
    </w:p>
    <w:p>
      <w:pPr>
        <w:pStyle w:val="FirstParagraph"/>
      </w:pPr>
      <w:r>
        <w:t xml:space="preserve">Decision rights don’t change what a console lets someone do. Roles do, and during the transition there are up to four role systems: the policy plane’s own roles, Windows DNS and DHCP, and each cloud’s access model. The program maps each team to the least-privileged role in each system it touches.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Team</w:t>
            </w:r>
          </w:p>
        </w:tc>
        <w:tc>
          <w:tcPr/>
          <w:p>
            <w:pPr>
              <w:pStyle w:val="Compact"/>
            </w:pPr>
            <w:r>
              <w:t xml:space="preserve">Policy plane (Chapter 11 model)</w:t>
            </w:r>
          </w:p>
        </w:tc>
        <w:tc>
          <w:tcPr/>
          <w:p>
            <w:pPr>
              <w:pStyle w:val="Compact"/>
            </w:pPr>
            <w:r>
              <w:t xml:space="preserve">Windows DNS and DHCP (until retired)</w:t>
            </w:r>
          </w:p>
        </w:tc>
        <w:tc>
          <w:tcPr/>
          <w:p>
            <w:pPr>
              <w:pStyle w:val="Compact"/>
            </w:pPr>
            <w:r>
              <w:t xml:space="preserve">Azure</w:t>
            </w:r>
          </w:p>
        </w:tc>
        <w:tc>
          <w:tcPr/>
          <w:p>
            <w:pPr>
              <w:pStyle w:val="Compact"/>
            </w:pPr>
            <w:r>
              <w:t xml:space="preserve">AWS</w:t>
            </w:r>
          </w:p>
        </w:tc>
      </w:tr>
      <w:tr>
        <w:tc>
          <w:tcPr/>
          <w:p>
            <w:pPr>
              <w:pStyle w:val="Compact"/>
            </w:pPr>
            <w:r>
              <w:t xml:space="preserve">DNS/DDI team</w:t>
            </w:r>
          </w:p>
        </w:tc>
        <w:tc>
          <w:tcPr/>
          <w:p>
            <w:pPr>
              <w:pStyle w:val="Compact"/>
            </w:pPr>
            <w:r>
              <w:t xml:space="preserve">Corporate administrator; privileged roles eligible, not standing</w:t>
            </w:r>
          </w:p>
        </w:tc>
        <w:tc>
          <w:tcPr/>
          <w:p>
            <w:pPr>
              <w:pStyle w:val="Compact"/>
            </w:pPr>
            <w:r>
              <w:t xml:space="preserve">None routinely; zone-specific delegation for cutover work</w:t>
            </w:r>
          </w:p>
        </w:tc>
        <w:tc>
          <w:tcPr/>
          <w:p>
            <w:pPr>
              <w:pStyle w:val="Compact"/>
            </w:pPr>
            <w:r>
              <w:t xml:space="preserve">Private DNS Zone Contributor and DNS Zone Contributor on central DNS resource groups</w:t>
            </w:r>
            <w:r>
              <w:rPr>
                <w:rStyle w:val="FootnoteReference"/>
              </w:rPr>
              <w:footnoteReference w:id="615"/>
            </w:r>
          </w:p>
        </w:tc>
        <w:tc>
          <w:tcPr/>
          <w:p>
            <w:pPr>
              <w:pStyle w:val="Compact"/>
            </w:pPr>
            <w:r>
              <w:t xml:space="preserve">IAM permissions for Route 53 and VPC Resolver in the network account</w:t>
            </w:r>
          </w:p>
        </w:tc>
      </w:tr>
      <w:tr>
        <w:tc>
          <w:tcPr/>
          <w:p>
            <w:pPr>
              <w:pStyle w:val="Compact"/>
            </w:pPr>
            <w:r>
              <w:t xml:space="preserve">Network engineering</w:t>
            </w:r>
          </w:p>
        </w:tc>
        <w:tc>
          <w:tcPr/>
          <w:p>
            <w:pPr>
              <w:pStyle w:val="Compact"/>
            </w:pPr>
            <w:r>
              <w:t xml:space="preserve">Read; operator for DHCP options and relay targets</w:t>
            </w:r>
          </w:p>
        </w:tc>
        <w:tc>
          <w:tcPr/>
          <w:p>
            <w:pPr>
              <w:pStyle w:val="Compact"/>
            </w:pPr>
            <w:r>
              <w:t xml:space="preserve">None</w:t>
            </w:r>
          </w:p>
        </w:tc>
        <w:tc>
          <w:tcPr/>
          <w:p>
            <w:pPr>
              <w:pStyle w:val="Compact"/>
            </w:pPr>
            <w:r>
              <w:t xml:space="preserve">Network Contributor on hub networking, not on DNS zones</w:t>
            </w:r>
            <w:r>
              <w:rPr>
                <w:rStyle w:val="FootnoteReference"/>
              </w:rPr>
              <w:footnoteReference w:id="616"/>
            </w:r>
          </w:p>
        </w:tc>
        <w:tc>
          <w:tcPr/>
          <w:p>
            <w:pPr>
              <w:pStyle w:val="Compact"/>
            </w:pPr>
            <w:r>
              <w:t xml:space="preserve">Network-account VPC permissions</w:t>
            </w:r>
          </w:p>
        </w:tc>
      </w:tr>
      <w:tr>
        <w:tc>
          <w:tcPr/>
          <w:p>
            <w:pPr>
              <w:pStyle w:val="Compact"/>
            </w:pPr>
            <w:r>
              <w:t xml:space="preserve">AD administrators</w:t>
            </w:r>
          </w:p>
        </w:tc>
        <w:tc>
          <w:tcPr/>
          <w:p>
            <w:pPr>
              <w:pStyle w:val="Compact"/>
            </w:pPr>
            <w:r>
              <w:t xml:space="preserve">Read, then operator for reconciliation</w:t>
            </w:r>
          </w:p>
        </w:tc>
        <w:tc>
          <w:tcPr/>
          <w:p>
            <w:pPr>
              <w:pStyle w:val="Compact"/>
            </w:pPr>
            <w:r>
              <w:t xml:space="preserve">DnsAdmins and DHCP Administrators, held only by domain administrators</w:t>
            </w:r>
            <w:r>
              <w:rPr>
                <w:rStyle w:val="FootnoteReference"/>
              </w:rPr>
              <w:footnoteReference w:id="617"/>
            </w:r>
          </w:p>
        </w:tc>
        <w:tc>
          <w:tcPr/>
          <w:p>
            <w:pPr>
              <w:pStyle w:val="Compact"/>
            </w:pPr>
            <w:r>
              <w:t xml:space="preserve">None</w:t>
            </w:r>
          </w:p>
        </w:tc>
        <w:tc>
          <w:tcPr/>
          <w:p>
            <w:pPr>
              <w:pStyle w:val="Compact"/>
            </w:pPr>
            <w:r>
              <w:t xml:space="preserve">None</w:t>
            </w:r>
          </w:p>
        </w:tc>
      </w:tr>
      <w:tr>
        <w:tc>
          <w:tcPr/>
          <w:p>
            <w:pPr>
              <w:pStyle w:val="Compact"/>
            </w:pPr>
            <w:r>
              <w:t xml:space="preserve">Cloud platform teams</w:t>
            </w:r>
          </w:p>
        </w:tc>
        <w:tc>
          <w:tcPr/>
          <w:p>
            <w:pPr>
              <w:pStyle w:val="Compact"/>
            </w:pPr>
            <w:r>
              <w:t xml:space="preserve">Operator scoped to cloud-synchronized zones and IP spaces</w:t>
            </w:r>
          </w:p>
        </w:tc>
        <w:tc>
          <w:tcPr/>
          <w:p>
            <w:pPr>
              <w:pStyle w:val="Compact"/>
            </w:pPr>
            <w:r>
              <w:t xml:space="preserve">None</w:t>
            </w:r>
          </w:p>
        </w:tc>
        <w:tc>
          <w:tcPr/>
          <w:p>
            <w:pPr>
              <w:pStyle w:val="Compact"/>
            </w:pPr>
            <w:r>
              <w:t xml:space="preserve">Policy managed identity with Private DNS Zone Contributor on central</w:t>
            </w:r>
            <w:r>
              <w:t xml:space="preserve"> </w:t>
            </w:r>
            <w:r>
              <w:rPr>
                <w:rStyle w:val="VerbatimChar"/>
              </w:rPr>
              <w:t xml:space="preserve">privatelink</w:t>
            </w:r>
            <w:r>
              <w:t xml:space="preserve"> </w:t>
            </w:r>
            <w:r>
              <w:t xml:space="preserve">zones; Network Contributor on network manager IPAM pools</w:t>
            </w:r>
            <w:r>
              <w:rPr>
                <w:rStyle w:val="FootnoteReference"/>
              </w:rPr>
              <w:footnoteReference w:id="618"/>
            </w:r>
            <w:r>
              <w:rPr>
                <w:rStyle w:val="FootnoteReference"/>
              </w:rPr>
              <w:footnoteReference w:id="619"/>
            </w:r>
          </w:p>
        </w:tc>
        <w:tc>
          <w:tcPr/>
          <w:p>
            <w:pPr>
              <w:pStyle w:val="Compact"/>
            </w:pPr>
            <w:r>
              <w:t xml:space="preserve">Owner of shared Resolver rules and the delegated IPAM account</w:t>
            </w:r>
            <w:r>
              <w:rPr>
                <w:rStyle w:val="FootnoteReference"/>
              </w:rPr>
              <w:footnoteReference w:id="620"/>
            </w:r>
            <w:r>
              <w:rPr>
                <w:rStyle w:val="FootnoteReference"/>
              </w:rPr>
              <w:footnoteReference w:id="621"/>
            </w:r>
          </w:p>
        </w:tc>
      </w:tr>
      <w:tr>
        <w:tc>
          <w:tcPr/>
          <w:p>
            <w:pPr>
              <w:pStyle w:val="Compact"/>
            </w:pPr>
            <w:r>
              <w:t xml:space="preserve">Divisions and application owners</w:t>
            </w:r>
          </w:p>
        </w:tc>
        <w:tc>
          <w:tcPr/>
          <w:p>
            <w:pPr>
              <w:pStyle w:val="Compact"/>
            </w:pPr>
            <w:r>
              <w:t xml:space="preserve">Manager or operator within their scope; scoped automation accounts</w:t>
            </w:r>
          </w:p>
        </w:tc>
        <w:tc>
          <w:tcPr/>
          <w:p>
            <w:pPr>
              <w:pStyle w:val="Compact"/>
            </w:pPr>
            <w:r>
              <w:t xml:space="preserve">None</w:t>
            </w:r>
          </w:p>
        </w:tc>
        <w:tc>
          <w:tcPr/>
          <w:p>
            <w:pPr>
              <w:pStyle w:val="Compact"/>
            </w:pPr>
            <w:r>
              <w:t xml:space="preserve">Allocation from delegated IPAM pools; no DNS zone roles</w:t>
            </w:r>
          </w:p>
        </w:tc>
        <w:tc>
          <w:tcPr/>
          <w:p>
            <w:pPr>
              <w:pStyle w:val="Compact"/>
            </w:pPr>
            <w:r>
              <w:t xml:space="preserve">Associate shared rules; allocate from shared pools</w:t>
            </w:r>
          </w:p>
        </w:tc>
      </w:tr>
      <w:tr>
        <w:tc>
          <w:tcPr/>
          <w:p>
            <w:pPr>
              <w:pStyle w:val="Compact"/>
            </w:pPr>
            <w:r>
              <w:t xml:space="preserve">Security operations</w:t>
            </w:r>
          </w:p>
        </w:tc>
        <w:tc>
          <w:tcPr/>
          <w:p>
            <w:pPr>
              <w:pStyle w:val="Compact"/>
            </w:pPr>
            <w:r>
              <w:t xml:space="preserve">Auditor; response policy operator if the CISO assigns it</w:t>
            </w:r>
          </w:p>
        </w:tc>
        <w:tc>
          <w:tcPr/>
          <w:p>
            <w:pPr>
              <w:pStyle w:val="Compact"/>
            </w:pPr>
            <w:r>
              <w:t xml:space="preserve">Read</w:t>
            </w:r>
          </w:p>
        </w:tc>
        <w:tc>
          <w:tcPr/>
          <w:p>
            <w:pPr>
              <w:pStyle w:val="Compact"/>
            </w:pPr>
            <w:r>
              <w:t xml:space="preserve">Reader on DNS and resolver resources</w:t>
            </w:r>
          </w:p>
        </w:tc>
        <w:tc>
          <w:tcPr/>
          <w:p>
            <w:pPr>
              <w:pStyle w:val="Compact"/>
            </w:pPr>
            <w:r>
              <w:t xml:space="preserve">Read</w:t>
            </w:r>
          </w:p>
        </w:tc>
      </w:tr>
      <w:tr>
        <w:tc>
          <w:tcPr/>
          <w:p>
            <w:pPr>
              <w:pStyle w:val="Compact"/>
            </w:pPr>
            <w:r>
              <w:t xml:space="preserve">ISSO and assessors</w:t>
            </w:r>
          </w:p>
        </w:tc>
        <w:tc>
          <w:tcPr/>
          <w:p>
            <w:pPr>
              <w:pStyle w:val="Compact"/>
            </w:pPr>
            <w:r>
              <w:t xml:space="preserve">Auditor</w:t>
            </w:r>
          </w:p>
        </w:tc>
        <w:tc>
          <w:tcPr/>
          <w:p>
            <w:pPr>
              <w:pStyle w:val="Compact"/>
            </w:pPr>
            <w:r>
              <w:t xml:space="preserve">Read</w:t>
            </w:r>
          </w:p>
        </w:tc>
        <w:tc>
          <w:tcPr/>
          <w:p>
            <w:pPr>
              <w:pStyle w:val="Compact"/>
            </w:pPr>
            <w:r>
              <w:t xml:space="preserve">Reader</w:t>
            </w:r>
          </w:p>
        </w:tc>
        <w:tc>
          <w:tcPr/>
          <w:p>
            <w:pPr>
              <w:pStyle w:val="Compact"/>
            </w:pPr>
            <w:r>
              <w:t xml:space="preserve">Read</w:t>
            </w:r>
          </w:p>
        </w:tc>
      </w:tr>
      <w:tr>
        <w:tc>
          <w:tcPr/>
          <w:p>
            <w:pPr>
              <w:pStyle w:val="Compact"/>
            </w:pPr>
            <w:r>
              <w:t xml:space="preserve">Help desk</w:t>
            </w:r>
          </w:p>
        </w:tc>
        <w:tc>
          <w:tcPr/>
          <w:p>
            <w:pPr>
              <w:pStyle w:val="Compact"/>
            </w:pPr>
            <w:r>
              <w:t xml:space="preserve">Auditor</w:t>
            </w:r>
          </w:p>
        </w:tc>
        <w:tc>
          <w:tcPr/>
          <w:p>
            <w:pPr>
              <w:pStyle w:val="Compact"/>
            </w:pPr>
            <w:r>
              <w:t xml:space="preserve">None</w:t>
            </w:r>
          </w:p>
        </w:tc>
        <w:tc>
          <w:tcPr/>
          <w:p>
            <w:pPr>
              <w:pStyle w:val="Compact"/>
            </w:pPr>
            <w:r>
              <w:t xml:space="preserve">None</w:t>
            </w:r>
          </w:p>
        </w:tc>
        <w:tc>
          <w:tcPr/>
          <w:p>
            <w:pPr>
              <w:pStyle w:val="Compact"/>
            </w:pPr>
            <w:r>
              <w:t xml:space="preserve">None</w:t>
            </w:r>
          </w:p>
        </w:tc>
      </w:tr>
    </w:tbl>
    <w:p>
      <w:pPr>
        <w:pStyle w:val="BodyText"/>
      </w:pPr>
      <w:r>
        <w:t xml:space="preserve">Two notes. The Windows column gets shorter every phase; by the time AD DNS is decommissioned it is empty, and DnsAdmins membership should have been reduced well before that. The cloud columns use the provider’s built-in roles where Microsoft or AWS documents them. Where the policy plane writes to a cloud through an integration account, that account is the most powerful identity in the design, because it can change every synchronized zone. It belongs to the DNS/DDI team, it is non-interactive, and its credentials are rotated and evidenced like any other privileged secret.</w:t>
      </w:r>
    </w:p>
    <w:bookmarkEnd w:id="622"/>
    <w:bookmarkStart w:id="623" w:name="what-changes-from-ad-dns-in-one-table"/>
    <w:p>
      <w:pPr>
        <w:pStyle w:val="Heading2"/>
      </w:pPr>
      <w:bookmarkStart w:id="1108" w:name="_Toc00001108"/>
      <w:r>
        <w:t xml:space="preserve">What changes from AD DNS, in one table</w:t>
      </w:r>
      <w:bookmarkEnd w:id="1108"/>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DNS habit</w:t>
            </w:r>
          </w:p>
        </w:tc>
        <w:tc>
          <w:tcPr/>
          <w:p>
            <w:pPr>
              <w:pStyle w:val="Compact"/>
            </w:pPr>
            <w:r>
              <w:t xml:space="preserve">What replaces it</w:t>
            </w:r>
          </w:p>
        </w:tc>
      </w:tr>
      <w:tr>
        <w:tc>
          <w:tcPr/>
          <w:p>
            <w:pPr>
              <w:pStyle w:val="Compact"/>
            </w:pPr>
            <w:r>
              <w:t xml:space="preserve">DnsAdmins has full control of every zone in the domain</w:t>
            </w:r>
          </w:p>
        </w:tc>
        <w:tc>
          <w:tcPr/>
          <w:p>
            <w:pPr>
              <w:pStyle w:val="Compact"/>
            </w:pPr>
            <w:r>
              <w:t xml:space="preserve">One decider per row in the matrix; doers hold scoped roles in each system</w:t>
            </w:r>
          </w:p>
        </w:tc>
      </w:tr>
      <w:tr>
        <w:tc>
          <w:tcPr/>
          <w:p>
            <w:pPr>
              <w:pStyle w:val="Compact"/>
            </w:pPr>
            <w:r>
              <w:t xml:space="preserve">Any authenticated user can create A and PTR records</w:t>
            </w:r>
          </w:p>
        </w:tc>
        <w:tc>
          <w:tcPr/>
          <w:p>
            <w:pPr>
              <w:pStyle w:val="Compact"/>
            </w:pPr>
            <w:r>
              <w:t xml:space="preserve">Standard changes inside delegated namespaces, written by scoped accounts</w:t>
            </w:r>
          </w:p>
        </w:tc>
      </w:tr>
      <w:tr>
        <w:tc>
          <w:tcPr/>
          <w:p>
            <w:pPr>
              <w:pStyle w:val="Compact"/>
            </w:pPr>
            <w:r>
              <w:t xml:space="preserve">The domain controller team decides DNS by default</w:t>
            </w:r>
          </w:p>
        </w:tc>
        <w:tc>
          <w:tcPr/>
          <w:p>
            <w:pPr>
              <w:pStyle w:val="Compact"/>
            </w:pPr>
            <w:r>
              <w:t xml:space="preserve">The DNS/DDI team decides, network and cloud teams do, the CISO sets requirements, the AO accepts risk</w:t>
            </w:r>
          </w:p>
        </w:tc>
      </w:tr>
      <w:tr>
        <w:tc>
          <w:tcPr/>
          <w:p>
            <w:pPr>
              <w:pStyle w:val="Compact"/>
            </w:pPr>
            <w:r>
              <w:t xml:space="preserve">Each cloud team authors its own zones and forwarders</w:t>
            </w:r>
          </w:p>
        </w:tc>
        <w:tc>
          <w:tcPr/>
          <w:p>
            <w:pPr>
              <w:pStyle w:val="Compact"/>
            </w:pPr>
            <w:r>
              <w:t xml:space="preserve">Cloud services consume policy-plane state; shared rules and central zones owned by the platform team</w:t>
            </w:r>
          </w:p>
        </w:tc>
      </w:tr>
      <w:tr>
        <w:tc>
          <w:tcPr/>
          <w:p>
            <w:pPr>
              <w:pStyle w:val="Compact"/>
            </w:pPr>
            <w:r>
              <w:t xml:space="preserve">The SD-WAN edge points wherever was convenient</w:t>
            </w:r>
          </w:p>
        </w:tc>
        <w:tc>
          <w:tcPr/>
          <w:p>
            <w:pPr>
              <w:pStyle w:val="Compact"/>
            </w:pPr>
            <w:r>
              <w:t xml:space="preserve">The redirect-dns target is a policy-plane decision that network engineering implements</w:t>
            </w:r>
          </w:p>
        </w:tc>
      </w:tr>
      <w:tr>
        <w:tc>
          <w:tcPr/>
          <w:p>
            <w:pPr>
              <w:pStyle w:val="Compact"/>
            </w:pPr>
            <w:r>
              <w:t xml:space="preserve">DNSSEC keys live with a domain controller Key Master</w:t>
            </w:r>
          </w:p>
        </w:tc>
        <w:tc>
          <w:tcPr/>
          <w:p>
            <w:pPr>
              <w:pStyle w:val="Compact"/>
            </w:pPr>
            <w:r>
              <w:t xml:space="preserve">Signing moves to the policy plane in a planned handover; zones that lose signing are an AO decision</w:t>
            </w:r>
          </w:p>
        </w:tc>
      </w:tr>
      <w:tr>
        <w:tc>
          <w:tcPr/>
          <w:p>
            <w:pPr>
              <w:pStyle w:val="Compact"/>
            </w:pPr>
            <w:r>
              <w:t xml:space="preserve">Change history is a zone’s serial number</w:t>
            </w:r>
          </w:p>
        </w:tc>
        <w:tc>
          <w:tcPr/>
          <w:p>
            <w:pPr>
              <w:pStyle w:val="Compact"/>
            </w:pPr>
            <w:r>
              <w:t xml:space="preserve">One audit trail across UI, API and workflow, plus the approval record for high-impact changes</w:t>
            </w:r>
          </w:p>
        </w:tc>
      </w:tr>
    </w:tbl>
    <w:bookmarkEnd w:id="623"/>
    <w:bookmarkStart w:id="624" w:name="continue-the-book-8"/>
    <w:p>
      <w:pPr>
        <w:pStyle w:val="Heading2"/>
      </w:pPr>
      <w:bookmarkStart w:id="1109" w:name="_Toc00001109"/>
      <w:r>
        <w:t xml:space="preserve">Continue the book</w:t>
      </w:r>
      <w:bookmarkEnd w:id="1109"/>
    </w:p>
    <w:p>
      <w:pPr>
        <w:pStyle w:val="FirstParagraph"/>
      </w:pPr>
      <w:r>
        <w:t xml:space="preserve">← Previous: Chapter 08 — Reference Architecture and the Five Critical Decisions · Book index · Next: Chapter 10 — The Migration Sequence →</w:t>
      </w:r>
    </w:p>
    <w:bookmarkEnd w:id="624"/>
    <w:bookmarkEnd w:id="625"/>
    <w:bookmarkStart w:id="700" w:name="chapter-10-the-migration-sequence"/>
    <w:p>
      <w:pPr>
        <w:pStyle w:val="Heading1"/>
      </w:pPr>
      <w:bookmarkStart w:id="1110" w:name="_Toc00001110"/>
      <w:r>
        <w:t xml:space="preserve">Chapter 10 — The Migration Sequence</w:t>
      </w:r>
      <w:bookmarkEnd w:id="1110"/>
    </w:p>
    <w:p>
      <w:pPr>
        <w:pStyle w:val="FirstParagraph"/>
      </w:pPr>
      <w:r>
        <w:rPr>
          <w:i/>
          <w:iCs/>
        </w:rPr>
        <w:t xml:space="preserve">Name resolution has to keep working while its authority moves, so the migration is a series of small, reversible cutovers, each proven from every origin before the next one starts.</w:t>
      </w:r>
    </w:p>
    <w:bookmarkStart w:id="626" w:name="in-this-chapter-9"/>
    <w:p>
      <w:pPr>
        <w:pStyle w:val="Heading2"/>
      </w:pPr>
      <w:bookmarkStart w:id="1111" w:name="_Toc00001111"/>
      <w:r>
        <w:t xml:space="preserve">In this chapter</w:t>
      </w:r>
      <w:bookmarkEnd w:id="1111"/>
    </w:p>
    <w:p>
      <w:pPr>
        <w:pStyle w:val="FirstParagraph"/>
      </w:pPr>
      <w:r>
        <w:t xml:space="preserve">The six phases that move an agency from AD-integrated DNS and DHCP, plus independent cloud DNS, to a single authoritative DDI policy plane. For each phase: what it changes, how it is validated, and where its rollback point is. The chapter also maps the detailed operational playbook onto the six phases, gives the per-zone cutover loop and the three cutover patterns, and sets the gates for decommissioning AD DNS and DHCP. Operating the result is Chapter 11.</w:t>
      </w:r>
    </w:p>
    <w:bookmarkEnd w:id="626"/>
    <w:p>
      <w:pPr>
        <w:pStyle w:val="BodyText"/>
      </w:pPr>
      <w:r>
        <w:t xml:space="preserve">This is the book’s canonical sequence (Inventory → Coexist → Migrate authority → Federate clouds → Decommission AD DNS and DHCP → Harden and evidence), applied to the move from AD-integrated DNS and DHCP plus independent cloud DNS to a unified DDI plane while keeping services running. The people who approve and run each phase are set out in Chapter 09; the architecture the sequence builds is Chapter 08.</w:t>
      </w:r>
    </w:p>
    <w:bookmarkStart w:id="630" w:name="fig-ch10-migration-phases"/>
    <w:p>
      <w:pPr>
        <w:pStyle w:val="CaptionedFigure"/>
      </w:pPr>
      <w:r>
        <w:drawing>
          <wp:inline>
            <wp:extent cx="4844883" cy="5572573"/>
            <wp:effectExtent b="0" l="0" r="0" t="0"/>
            <wp:docPr descr="Six-phase migration sequence." title="" id="628" name="Picture"/>
            <a:graphic>
              <a:graphicData uri="http://schemas.openxmlformats.org/drawingml/2006/picture">
                <pic:pic>
                  <pic:nvPicPr>
                    <pic:cNvPr descr="/home/runner/work/modernization-workbook/modernization-workbook/docs/images/diagrams/b08-ddi/png/ch10-migration-phases.png" id="629" name="Picture"/>
                    <pic:cNvPicPr>
                      <a:picLocks noChangeArrowheads="1" noChangeAspect="1"/>
                    </pic:cNvPicPr>
                  </pic:nvPicPr>
                  <pic:blipFill>
                    <a:blip r:embed="rId627"/>
                    <a:stretch>
                      <a:fillRect/>
                    </a:stretch>
                  </pic:blipFill>
                  <pic:spPr bwMode="auto">
                    <a:xfrm>
                      <a:off x="0" y="0"/>
                      <a:ext cx="4844883" cy="5572573"/>
                    </a:xfrm>
                    <a:prstGeom prst="rect">
                      <a:avLst/>
                    </a:prstGeom>
                    <a:noFill/>
                    <a:ln w="9525">
                      <a:noFill/>
                      <a:headEnd/>
                      <a:tailEnd/>
                    </a:ln>
                  </pic:spPr>
                </pic:pic>
              </a:graphicData>
            </a:graphic>
          </wp:inline>
        </w:drawing>
      </w:r>
    </w:p>
    <w:p>
      <w:pPr>
        <w:pStyle w:val="ImageCaption"/>
      </w:pPr>
      <w:r>
        <w:t xml:space="preserve">Six-phase migration sequence.</w:t>
      </w:r>
    </w:p>
    <w:bookmarkEnd w:id="630"/>
    <w:bookmarkStart w:id="631" w:name="the-six-phases"/>
    <w:p>
      <w:pPr>
        <w:pStyle w:val="Heading2"/>
      </w:pPr>
      <w:bookmarkStart w:id="1112" w:name="_Toc00001112"/>
      <w:r>
        <w:t xml:space="preserve">The six phases</w:t>
      </w:r>
      <w:bookmarkEnd w:id="1112"/>
    </w:p>
    <w:p>
      <w:pPr>
        <w:pStyle w:val="Compact"/>
        <w:numPr>
          <w:ilvl w:val="0"/>
          <w:numId w:val="1049"/>
        </w:numPr>
      </w:pPr>
      <w:r>
        <w:rPr>
          <w:b/>
          <w:bCs/>
        </w:rPr>
        <w:t xml:space="preserve">Phase 1 — Inventory and baseline.</w:t>
      </w:r>
      <w:r>
        <w:t xml:space="preserve"> </w:t>
      </w:r>
      <w:r>
        <w:t xml:space="preserve">Export every AD DNS zone, SRV record, conditional forwarder and DHCP scope. Document current resolution paths, including SD-WAN redirect-dns targets, and the OCSP and CRL endpoints in use.</w:t>
      </w:r>
    </w:p>
    <w:p>
      <w:pPr>
        <w:pStyle w:val="Compact"/>
        <w:numPr>
          <w:ilvl w:val="0"/>
          <w:numId w:val="1049"/>
        </w:numPr>
      </w:pPr>
      <w:r>
        <w:rPr>
          <w:b/>
          <w:bCs/>
        </w:rPr>
        <w:t xml:space="preserve">Phase 2 — Deploy coexistence.</w:t>
      </w:r>
      <w:r>
        <w:t xml:space="preserve"> </w:t>
      </w:r>
      <w:r>
        <w:t xml:space="preserve">Stand up the DDI platform’s resolvers and its Microsoft DNS and DHCP synchronization. Establish conditional forwarding so that both systems can answer during the transition.</w:t>
      </w:r>
    </w:p>
    <w:p>
      <w:pPr>
        <w:pStyle w:val="Compact"/>
        <w:numPr>
          <w:ilvl w:val="0"/>
          <w:numId w:val="1049"/>
        </w:numPr>
      </w:pPr>
      <w:r>
        <w:rPr>
          <w:b/>
          <w:bCs/>
        </w:rPr>
        <w:t xml:space="preserve">Phase 3 — Migrate authority.</w:t>
      </w:r>
      <w:r>
        <w:t xml:space="preserve"> </w:t>
      </w:r>
      <w:r>
        <w:t xml:space="preserve">Move authoritative zones and DHCP scopes to the DDI platform, zone by zone, and move clients onto the governed resolvers in waves. Retarget SD-WAN redirect-dns to network-addressable agency resolvers (Chapter 08, Decision 1).</w:t>
      </w:r>
    </w:p>
    <w:p>
      <w:pPr>
        <w:pStyle w:val="Compact"/>
        <w:numPr>
          <w:ilvl w:val="0"/>
          <w:numId w:val="1049"/>
        </w:numPr>
      </w:pPr>
      <w:r>
        <w:rPr>
          <w:b/>
          <w:bCs/>
        </w:rPr>
        <w:t xml:space="preserve">Phase 4 — Cloud federation.</w:t>
      </w:r>
      <w:r>
        <w:t xml:space="preserve"> </w:t>
      </w:r>
      <w:r>
        <w:t xml:space="preserve">Enable cloud discovery and IPAM federation with AWS, Azure and Google Cloud, and VMware where it applies. Validate private endpoint resolution end to end from every origin.</w:t>
      </w:r>
    </w:p>
    <w:p>
      <w:pPr>
        <w:pStyle w:val="Compact"/>
        <w:numPr>
          <w:ilvl w:val="0"/>
          <w:numId w:val="1049"/>
        </w:numPr>
      </w:pPr>
      <w:r>
        <w:rPr>
          <w:b/>
          <w:bCs/>
        </w:rPr>
        <w:t xml:space="preserve">Phase 5 — Decommission AD DNS and DHCP.</w:t>
      </w:r>
      <w:r>
        <w:t xml:space="preserve"> </w:t>
      </w:r>
      <w:r>
        <w:t xml:space="preserve">Only after full inventory reconciliation and successful failover testing. Preserve the SRV and</w:t>
      </w:r>
      <w:r>
        <w:t xml:space="preserve"> </w:t>
      </w:r>
      <w:r>
        <w:rPr>
          <w:rStyle w:val="VerbatimChar"/>
        </w:rPr>
        <w:t xml:space="preserve">_msdcs</w:t>
      </w:r>
      <w:r>
        <w:t xml:space="preserve"> </w:t>
      </w:r>
      <w:r>
        <w:t xml:space="preserve">records that remaining domain controllers and domain-joined systems still need.</w:t>
      </w:r>
    </w:p>
    <w:p>
      <w:pPr>
        <w:pStyle w:val="Compact"/>
        <w:numPr>
          <w:ilvl w:val="0"/>
          <w:numId w:val="1049"/>
        </w:numPr>
      </w:pPr>
      <w:r>
        <w:rPr>
          <w:b/>
          <w:bCs/>
        </w:rPr>
        <w:t xml:space="preserve">Phase 6 — Policy and compliance hardening.</w:t>
      </w:r>
      <w:r>
        <w:t xml:space="preserve"> </w:t>
      </w:r>
      <w:r>
        <w:t xml:space="preserve">Enable Protective DNS forwarding, encrypted DNS, DNSSEC signing and validation where required, and continuous monitoring dashboards, and assemble the evidence in Chapter 11.</w:t>
      </w:r>
    </w:p>
    <w:p>
      <w:pPr>
        <w:pStyle w:val="FirstParagraph"/>
      </w:pPr>
      <w:r>
        <w:t xml:space="preserve">Each phase ends with a rollback point and a resolution-path consistency test (the success measure defined in Chapter 12), not with a calendar date. A phase is finished when its validation criteria pass and its evidence is filed; the next phase does not start before then.</w:t>
      </w:r>
    </w:p>
    <w:bookmarkEnd w:id="631"/>
    <w:bookmarkStart w:id="632" w:name="X9a725602cf6961ddcb67d284e9cc82d56df9eef"/>
    <w:p>
      <w:pPr>
        <w:pStyle w:val="Heading2"/>
      </w:pPr>
      <w:bookmarkStart w:id="1113" w:name="_Toc00001113"/>
      <w:r>
        <w:t xml:space="preserve">How the operational playbook maps to the six phases</w:t>
      </w:r>
      <w:bookmarkEnd w:id="1113"/>
    </w:p>
    <w:p>
      <w:pPr>
        <w:pStyle w:val="FirstParagraph"/>
      </w:pPr>
      <w:r>
        <w:t xml:space="preserve">The program’s operational DNS playbook breaks the same work into eleven smaller steps, written for the common case of an Azure-heavy estate. The table maps them onto the six phases so that a team working from the playbook and a program office tracking the phases see the same progress. The durations are the program’s planning estimates for a single forest and a hub-and-spoke Azure footprint; they are not commitments, and the gates, not the estimates, decide when a step ends.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Playbook step</w:t>
            </w:r>
          </w:p>
        </w:tc>
        <w:tc>
          <w:tcPr/>
          <w:p>
            <w:pPr>
              <w:pStyle w:val="Compact"/>
            </w:pPr>
            <w:r>
              <w:t xml:space="preserve">Book phase</w:t>
            </w:r>
          </w:p>
        </w:tc>
        <w:tc>
          <w:tcPr/>
          <w:p>
            <w:pPr>
              <w:pStyle w:val="Compact"/>
            </w:pPr>
            <w:r>
              <w:t xml:space="preserve">Validation that closes it</w:t>
            </w:r>
          </w:p>
        </w:tc>
        <w:tc>
          <w:tcPr/>
          <w:p>
            <w:pPr>
              <w:pStyle w:val="Compact"/>
            </w:pPr>
            <w:r>
              <w:t xml:space="preserve">Planning estimate</w:t>
            </w:r>
          </w:p>
        </w:tc>
      </w:tr>
      <w:tr>
        <w:tc>
          <w:tcPr/>
          <w:p>
            <w:pPr>
              <w:pStyle w:val="Compact"/>
            </w:pPr>
            <w:r>
              <w:t xml:space="preserve">0 — Assessment</w:t>
            </w:r>
          </w:p>
        </w:tc>
        <w:tc>
          <w:tcPr/>
          <w:p>
            <w:pPr>
              <w:pStyle w:val="Compact"/>
            </w:pPr>
            <w:r>
              <w:t xml:space="preserve">1 Inventory</w:t>
            </w:r>
          </w:p>
        </w:tc>
        <w:tc>
          <w:tcPr/>
          <w:p>
            <w:pPr>
              <w:pStyle w:val="Compact"/>
            </w:pPr>
            <w:r>
              <w:t xml:space="preserve">Every DNS server queried without error; complete zone, forwarder and SRV inventory; health findings reviewed</w:t>
            </w:r>
          </w:p>
        </w:tc>
        <w:tc>
          <w:tcPr/>
          <w:p>
            <w:pPr>
              <w:pStyle w:val="Compact"/>
            </w:pPr>
            <w:r>
              <w:t xml:space="preserve">1–2 days</w:t>
            </w:r>
          </w:p>
        </w:tc>
      </w:tr>
      <w:tr>
        <w:tc>
          <w:tcPr/>
          <w:p>
            <w:pPr>
              <w:pStyle w:val="Compact"/>
            </w:pPr>
            <w:r>
              <w:t xml:space="preserve">1 — Deploy cloud private resolver</w:t>
            </w:r>
          </w:p>
        </w:tc>
        <w:tc>
          <w:tcPr/>
          <w:p>
            <w:pPr>
              <w:pStyle w:val="Compact"/>
            </w:pPr>
            <w:r>
              <w:t xml:space="preserve">2 Coexist</w:t>
            </w:r>
          </w:p>
        </w:tc>
        <w:tc>
          <w:tcPr/>
          <w:p>
            <w:pPr>
              <w:pStyle w:val="Compact"/>
            </w:pPr>
            <w:r>
              <w:t xml:space="preserve">Resolver provisioned; inbound endpoint address recorded; outbound endpoint and ruleset in place</w:t>
            </w:r>
          </w:p>
        </w:tc>
        <w:tc>
          <w:tcPr/>
          <w:p>
            <w:pPr>
              <w:pStyle w:val="Compact"/>
            </w:pPr>
            <w:r>
              <w:t xml:space="preserve">1 day</w:t>
            </w:r>
          </w:p>
        </w:tc>
      </w:tr>
      <w:tr>
        <w:tc>
          <w:tcPr/>
          <w:p>
            <w:pPr>
              <w:pStyle w:val="Compact"/>
            </w:pPr>
            <w:r>
              <w:t xml:space="preserve">2 — Create private zones; import non-AD zones</w:t>
            </w:r>
          </w:p>
        </w:tc>
        <w:tc>
          <w:tcPr/>
          <w:p>
            <w:pPr>
              <w:pStyle w:val="Compact"/>
            </w:pPr>
            <w:r>
              <w:t xml:space="preserve">3 Migrate authority</w:t>
            </w:r>
          </w:p>
        </w:tc>
        <w:tc>
          <w:tcPr/>
          <w:p>
            <w:pPr>
              <w:pStyle w:val="Compact"/>
            </w:pPr>
            <w:r>
              <w:t xml:space="preserve">Record counts match source and target; answers correct from cloud workloads</w:t>
            </w:r>
          </w:p>
        </w:tc>
        <w:tc>
          <w:tcPr/>
          <w:p>
            <w:pPr>
              <w:pStyle w:val="Compact"/>
            </w:pPr>
            <w:r>
              <w:t xml:space="preserve">2–3 days</w:t>
            </w:r>
          </w:p>
        </w:tc>
      </w:tr>
      <w:tr>
        <w:tc>
          <w:tcPr/>
          <w:p>
            <w:pPr>
              <w:pStyle w:val="Compact"/>
            </w:pPr>
            <w:r>
              <w:t xml:space="preserve">3 — Configure forwarding rulesets</w:t>
            </w:r>
          </w:p>
        </w:tc>
        <w:tc>
          <w:tcPr/>
          <w:p>
            <w:pPr>
              <w:pStyle w:val="Compact"/>
            </w:pPr>
            <w:r>
              <w:t xml:space="preserve">2 Coexist</w:t>
            </w:r>
          </w:p>
        </w:tc>
        <w:tc>
          <w:tcPr/>
          <w:p>
            <w:pPr>
              <w:pStyle w:val="Compact"/>
            </w:pPr>
            <w:r>
              <w:t xml:space="preserve">Resolution works in both directions: cloud to on-premises and on-premises to cloud</w:t>
            </w:r>
          </w:p>
        </w:tc>
        <w:tc>
          <w:tcPr/>
          <w:p>
            <w:pPr>
              <w:pStyle w:val="Compact"/>
            </w:pPr>
            <w:r>
              <w:t xml:space="preserve">1–2 days</w:t>
            </w:r>
          </w:p>
        </w:tc>
      </w:tr>
      <w:tr>
        <w:tc>
          <w:tcPr/>
          <w:p>
            <w:pPr>
              <w:pStyle w:val="Compact"/>
            </w:pPr>
            <w:r>
              <w:t xml:space="preserve">4 — Migrate conditional forwarders</w:t>
            </w:r>
          </w:p>
        </w:tc>
        <w:tc>
          <w:tcPr/>
          <w:p>
            <w:pPr>
              <w:pStyle w:val="Compact"/>
            </w:pPr>
            <w:r>
              <w:t xml:space="preserve">3 Migrate authority</w:t>
            </w:r>
          </w:p>
        </w:tc>
        <w:tc>
          <w:tcPr/>
          <w:p>
            <w:pPr>
              <w:pStyle w:val="Compact"/>
            </w:pPr>
            <w:r>
              <w:t xml:space="preserve">Every previously forwarded namespace resolves from the cloud</w:t>
            </w:r>
          </w:p>
        </w:tc>
        <w:tc>
          <w:tcPr/>
          <w:p>
            <w:pPr>
              <w:pStyle w:val="Compact"/>
            </w:pPr>
            <w:r>
              <w:t xml:space="preserve">1 day</w:t>
            </w:r>
          </w:p>
        </w:tc>
      </w:tr>
      <w:tr>
        <w:tc>
          <w:tcPr/>
          <w:p>
            <w:pPr>
              <w:pStyle w:val="Compact"/>
            </w:pPr>
            <w:r>
              <w:t xml:space="preserve">5 — Migrate GlobalNames zone</w:t>
            </w:r>
          </w:p>
        </w:tc>
        <w:tc>
          <w:tcPr/>
          <w:p>
            <w:pPr>
              <w:pStyle w:val="Compact"/>
            </w:pPr>
            <w:r>
              <w:t xml:space="preserve">3 Migrate authority</w:t>
            </w:r>
          </w:p>
        </w:tc>
        <w:tc>
          <w:tcPr/>
          <w:p>
            <w:pPr>
              <w:pStyle w:val="Compact"/>
            </w:pPr>
            <w:r>
              <w:t xml:space="preserve">Single-label names resolve through the DNS suffix search list</w:t>
            </w:r>
          </w:p>
        </w:tc>
        <w:tc>
          <w:tcPr/>
          <w:p>
            <w:pPr>
              <w:pStyle w:val="Compact"/>
            </w:pPr>
            <w:r>
              <w:t xml:space="preserve">1 day</w:t>
            </w:r>
          </w:p>
        </w:tc>
      </w:tr>
      <w:tr>
        <w:tc>
          <w:tcPr/>
          <w:p>
            <w:pPr>
              <w:pStyle w:val="Compact"/>
            </w:pPr>
            <w:r>
              <w:t xml:space="preserve">6 — Private endpoint DNS zones</w:t>
            </w:r>
          </w:p>
        </w:tc>
        <w:tc>
          <w:tcPr/>
          <w:p>
            <w:pPr>
              <w:pStyle w:val="Compact"/>
            </w:pPr>
            <w:r>
              <w:t xml:space="preserve">4 Federate clouds</w:t>
            </w:r>
          </w:p>
        </w:tc>
        <w:tc>
          <w:tcPr/>
          <w:p>
            <w:pPr>
              <w:pStyle w:val="Compact"/>
            </w:pPr>
            <w:r>
              <w:t xml:space="preserve">Private endpoint names resolve to private addresses from on-premises and every cloud</w:t>
            </w:r>
          </w:p>
        </w:tc>
        <w:tc>
          <w:tcPr/>
          <w:p>
            <w:pPr>
              <w:pStyle w:val="Compact"/>
            </w:pPr>
            <w:r>
              <w:t xml:space="preserve">2 days</w:t>
            </w:r>
          </w:p>
        </w:tc>
      </w:tr>
      <w:tr>
        <w:tc>
          <w:tcPr/>
          <w:p>
            <w:pPr>
              <w:pStyle w:val="Compact"/>
            </w:pPr>
            <w:r>
              <w:t xml:space="preserve">7 — Migrate reverse lookup zones</w:t>
            </w:r>
          </w:p>
        </w:tc>
        <w:tc>
          <w:tcPr/>
          <w:p>
            <w:pPr>
              <w:pStyle w:val="Compact"/>
            </w:pPr>
            <w:r>
              <w:t xml:space="preserve">3 Migrate authority</w:t>
            </w:r>
          </w:p>
        </w:tc>
        <w:tc>
          <w:tcPr/>
          <w:p>
            <w:pPr>
              <w:pStyle w:val="Compact"/>
            </w:pPr>
            <w:r>
              <w:t xml:space="preserve">Reverse lookups return the right names; zones align with IPAM</w:t>
            </w:r>
          </w:p>
        </w:tc>
        <w:tc>
          <w:tcPr/>
          <w:p>
            <w:pPr>
              <w:pStyle w:val="Compact"/>
            </w:pPr>
            <w:r>
              <w:t xml:space="preserve">1–2 days</w:t>
            </w:r>
          </w:p>
        </w:tc>
      </w:tr>
      <w:tr>
        <w:tc>
          <w:tcPr/>
          <w:p>
            <w:pPr>
              <w:pStyle w:val="Compact"/>
            </w:pPr>
            <w:r>
              <w:t xml:space="preserve">8 — Move clients in waves</w:t>
            </w:r>
          </w:p>
        </w:tc>
        <w:tc>
          <w:tcPr/>
          <w:p>
            <w:pPr>
              <w:pStyle w:val="Compact"/>
            </w:pPr>
            <w:r>
              <w:t xml:space="preserve">3 Migrate authority</w:t>
            </w:r>
          </w:p>
        </w:tc>
        <w:tc>
          <w:tcPr/>
          <w:p>
            <w:pPr>
              <w:pStyle w:val="Compact"/>
            </w:pPr>
            <w:r>
              <w:t xml:space="preserve">No resolution, authentication or application failures in each wave</w:t>
            </w:r>
          </w:p>
        </w:tc>
        <w:tc>
          <w:tcPr/>
          <w:p>
            <w:pPr>
              <w:pStyle w:val="Compact"/>
            </w:pPr>
            <w:r>
              <w:t xml:space="preserve">1–2 weeks</w:t>
            </w:r>
          </w:p>
        </w:tc>
      </w:tr>
      <w:tr>
        <w:tc>
          <w:tcPr/>
          <w:p>
            <w:pPr>
              <w:pStyle w:val="Compact"/>
            </w:pPr>
            <w:r>
              <w:t xml:space="preserve">9 — SRV validation and monitoring</w:t>
            </w:r>
          </w:p>
        </w:tc>
        <w:tc>
          <w:tcPr/>
          <w:p>
            <w:pPr>
              <w:pStyle w:val="Compact"/>
            </w:pPr>
            <w:r>
              <w:t xml:space="preserve">5 Decommission (gate)</w:t>
            </w:r>
          </w:p>
        </w:tc>
        <w:tc>
          <w:tcPr/>
          <w:p>
            <w:pPr>
              <w:pStyle w:val="Compact"/>
            </w:pPr>
            <w:r>
              <w:t xml:space="preserve">Every critical SRV record resolves from every location for 30 consecutive days</w:t>
            </w:r>
          </w:p>
        </w:tc>
        <w:tc>
          <w:tcPr/>
          <w:p>
            <w:pPr>
              <w:pStyle w:val="Compact"/>
            </w:pPr>
            <w:r>
              <w:t xml:space="preserve">30 days</w:t>
            </w:r>
          </w:p>
        </w:tc>
      </w:tr>
      <w:tr>
        <w:tc>
          <w:tcPr/>
          <w:p>
            <w:pPr>
              <w:pStyle w:val="Compact"/>
            </w:pPr>
            <w:r>
              <w:t xml:space="preserve">10 — Decommission legacy DNS servers</w:t>
            </w:r>
          </w:p>
        </w:tc>
        <w:tc>
          <w:tcPr/>
          <w:p>
            <w:pPr>
              <w:pStyle w:val="Compact"/>
            </w:pPr>
            <w:r>
              <w:t xml:space="preserve">5 Decommission</w:t>
            </w:r>
          </w:p>
        </w:tc>
        <w:tc>
          <w:tcPr/>
          <w:p>
            <w:pPr>
              <w:pStyle w:val="Compact"/>
            </w:pPr>
            <w:r>
              <w:t xml:space="preserve">No client impact after a 7-day burn-in; no queries reach the old servers</w:t>
            </w:r>
          </w:p>
        </w:tc>
        <w:tc>
          <w:tcPr/>
          <w:p>
            <w:pPr>
              <w:pStyle w:val="Compact"/>
            </w:pPr>
            <w:r>
              <w:t xml:space="preserve">1–2 weeks</w:t>
            </w:r>
          </w:p>
        </w:tc>
      </w:tr>
    </w:tbl>
    <w:p>
      <w:pPr>
        <w:pStyle w:val="BodyText"/>
      </w:pPr>
      <w:r>
        <w:t xml:space="preserve">Phase 6 (harden and evidence) has no playbook step of its own because its work runs through every step: logging is enabled in step 1, evidence is filed at the close of each step, and the hardening controls in Chapter 05 and Chapter 06 are switched on once authority has moved.</w:t>
      </w:r>
    </w:p>
    <w:bookmarkEnd w:id="632"/>
    <w:bookmarkStart w:id="637" w:name="the-cutover-loop-every-phase-repeats"/>
    <w:p>
      <w:pPr>
        <w:pStyle w:val="Heading2"/>
      </w:pPr>
      <w:bookmarkStart w:id="1114" w:name="_Toc00001114"/>
      <w:r>
        <w:t xml:space="preserve">The cutover loop every phase repeats</w:t>
      </w:r>
      <w:bookmarkEnd w:id="1114"/>
    </w:p>
    <w:p>
      <w:pPr>
        <w:pStyle w:val="FirstParagraph"/>
      </w:pPr>
      <w:r>
        <w:t xml:space="preserve">Every change that moves authority, whether one zone, one forwarder, one DHCP scope or one wave of clients, runs the same loop. The old authority keeps answering until the new one has been proven, so each step has a cheap way back.</w:t>
      </w:r>
    </w:p>
    <w:bookmarkStart w:id="636" w:name="fig-ch10-cutover-loop"/>
    <w:p>
      <w:pPr>
        <w:pStyle w:val="CaptionedFigure"/>
      </w:pPr>
      <w:r>
        <w:drawing>
          <wp:inline>
            <wp:extent cx="5334000" cy="4370716"/>
            <wp:effectExtent b="0" l="0" r="0" t="0"/>
            <wp:docPr descr="The per-zone cutover loop and its rollback point." title="" id="634" name="Picture"/>
            <a:graphic>
              <a:graphicData uri="http://schemas.openxmlformats.org/drawingml/2006/picture">
                <pic:pic>
                  <pic:nvPicPr>
                    <pic:cNvPr descr="/home/runner/work/modernization-workbook/modernization-workbook/docs/images/diagrams/b08-ddi/png/ch10-cutover-loop.png" id="635" name="Picture"/>
                    <pic:cNvPicPr>
                      <a:picLocks noChangeArrowheads="1" noChangeAspect="1"/>
                    </pic:cNvPicPr>
                  </pic:nvPicPr>
                  <pic:blipFill>
                    <a:blip r:embed="rId633"/>
                    <a:stretch>
                      <a:fillRect/>
                    </a:stretch>
                  </pic:blipFill>
                  <pic:spPr bwMode="auto">
                    <a:xfrm>
                      <a:off x="0" y="0"/>
                      <a:ext cx="5334000" cy="4370716"/>
                    </a:xfrm>
                    <a:prstGeom prst="rect">
                      <a:avLst/>
                    </a:prstGeom>
                    <a:noFill/>
                    <a:ln w="9525">
                      <a:noFill/>
                      <a:headEnd/>
                      <a:tailEnd/>
                    </a:ln>
                  </pic:spPr>
                </pic:pic>
              </a:graphicData>
            </a:graphic>
          </wp:inline>
        </w:drawing>
      </w:r>
    </w:p>
    <w:p>
      <w:pPr>
        <w:pStyle w:val="ImageCaption"/>
      </w:pPr>
      <w:r>
        <w:t xml:space="preserve">The per-zone cutover loop and its rollback point.</w:t>
      </w:r>
    </w:p>
    <w:bookmarkEnd w:id="636"/>
    <w:p>
      <w:pPr>
        <w:pStyle w:val="Compact"/>
        <w:numPr>
          <w:ilvl w:val="0"/>
          <w:numId w:val="1050"/>
        </w:numPr>
      </w:pPr>
      <w:r>
        <w:rPr>
          <w:b/>
          <w:bCs/>
        </w:rPr>
        <w:t xml:space="preserve">Lower the TTL ahead of the change.</w:t>
      </w:r>
      <w:r>
        <w:t xml:space="preserve"> </w:t>
      </w:r>
      <w:r>
        <w:t xml:space="preserve">Cached answers outlive the change by up to the old TTL, so reduce TTLs on the records that will move (the program uses 300 seconds, set at least 48 hours before cutover) and record the original values so they can be restored.</w:t>
      </w:r>
    </w:p>
    <w:p>
      <w:pPr>
        <w:pStyle w:val="Compact"/>
        <w:numPr>
          <w:ilvl w:val="0"/>
          <w:numId w:val="1050"/>
        </w:numPr>
      </w:pPr>
      <w:r>
        <w:rPr>
          <w:b/>
          <w:bCs/>
        </w:rPr>
        <w:t xml:space="preserve">Export, transform and import, dry run first.</w:t>
      </w:r>
      <w:r>
        <w:t xml:space="preserve"> </w:t>
      </w:r>
      <w:r>
        <w:t xml:space="preserve">Never migrate the SOA or apex NS records; the target platform creates its own. Leave Active Directory locator records (SRV and</w:t>
      </w:r>
      <w:r>
        <w:t xml:space="preserve"> </w:t>
      </w:r>
      <w:r>
        <w:rPr>
          <w:rStyle w:val="VerbatimChar"/>
        </w:rPr>
        <w:t xml:space="preserve">_msdcs</w:t>
      </w:r>
      <w:r>
        <w:t xml:space="preserve">) where domain controllers can still register them (see Phase 5).</w:t>
      </w:r>
    </w:p>
    <w:p>
      <w:pPr>
        <w:pStyle w:val="Compact"/>
        <w:numPr>
          <w:ilvl w:val="0"/>
          <w:numId w:val="1050"/>
        </w:numPr>
      </w:pPr>
      <w:r>
        <w:rPr>
          <w:b/>
          <w:bCs/>
        </w:rPr>
        <w:t xml:space="preserve">Validate from every origin.</w:t>
      </w:r>
      <w:r>
        <w:t xml:space="preserve"> </w:t>
      </w:r>
      <w:r>
        <w:t xml:space="preserve">Query the moved names, forward and reverse, from on-premises, each cloud, and the branch path. A name that resolves only from where it was tested has not been validated.</w:t>
      </w:r>
    </w:p>
    <w:p>
      <w:pPr>
        <w:pStyle w:val="Compact"/>
        <w:numPr>
          <w:ilvl w:val="0"/>
          <w:numId w:val="1050"/>
        </w:numPr>
      </w:pPr>
      <w:r>
        <w:rPr>
          <w:b/>
          <w:bCs/>
        </w:rPr>
        <w:t xml:space="preserve">Switch authority.</w:t>
      </w:r>
      <w:r>
        <w:t xml:space="preserve"> </w:t>
      </w:r>
      <w:r>
        <w:t xml:space="preserve">Change the delegation, the forwarders or the clients’ resolver settings, one at a time.</w:t>
      </w:r>
    </w:p>
    <w:p>
      <w:pPr>
        <w:pStyle w:val="Compact"/>
        <w:numPr>
          <w:ilvl w:val="0"/>
          <w:numId w:val="1050"/>
        </w:numPr>
      </w:pPr>
      <w:r>
        <w:rPr>
          <w:b/>
          <w:bCs/>
        </w:rPr>
        <w:t xml:space="preserve">Hold and observe.</w:t>
      </w:r>
      <w:r>
        <w:t xml:space="preserve"> </w:t>
      </w:r>
      <w:r>
        <w:t xml:space="preserve">Watch query logs, drift reports and SRV checks (Chapter 11) and confirm that no client still queries the old server directly.</w:t>
      </w:r>
    </w:p>
    <w:p>
      <w:pPr>
        <w:pStyle w:val="Compact"/>
        <w:numPr>
          <w:ilvl w:val="0"/>
          <w:numId w:val="1050"/>
        </w:numPr>
      </w:pPr>
      <w:r>
        <w:rPr>
          <w:b/>
          <w:bCs/>
        </w:rPr>
        <w:t xml:space="preserve">Restore the TTL and close the change,</w:t>
      </w:r>
      <w:r>
        <w:t xml:space="preserve"> </w:t>
      </w:r>
      <w:r>
        <w:t xml:space="preserve">with its evidence filed. Retire the old copy only at decommissioning.</w:t>
      </w:r>
    </w:p>
    <w:p>
      <w:pPr>
        <w:pStyle w:val="FirstParagraph"/>
      </w:pPr>
      <w:r>
        <w:t xml:space="preserve">A failed check at step 3 or step 5 sends the change back to the rollback point: revert the switch and the old authority, still intact, answers again.</w:t>
      </w:r>
    </w:p>
    <w:bookmarkEnd w:id="637"/>
    <w:bookmarkStart w:id="638" w:name="phase-1-inventory-and-baseline"/>
    <w:p>
      <w:pPr>
        <w:pStyle w:val="Heading2"/>
      </w:pPr>
      <w:bookmarkStart w:id="1115" w:name="_Toc00001115"/>
      <w:r>
        <w:t xml:space="preserve">Phase 1 — Inventory and baseline</w:t>
      </w:r>
      <w:bookmarkEnd w:id="1115"/>
    </w:p>
    <w:p>
      <w:pPr>
        <w:pStyle w:val="FirstParagraph"/>
      </w:pPr>
      <w:r>
        <w:t xml:space="preserve">The inventory is read-only, so it carries no rollback risk, and it is the step whose omission cannot be repaired later: records maintained by AD DNS cannot be recovered from a decommissioned domain controller (Chapter 04; Book 02, Chapter 04 covers DNS, DHCP and IPAM as AD dependencies). The program’s assessment collects the following and commits the output, as JSON, to the program’s assessment repository: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What to collect</w:t>
            </w:r>
          </w:p>
        </w:tc>
        <w:tc>
          <w:tcPr/>
          <w:p>
            <w:pPr>
              <w:pStyle w:val="Compact"/>
            </w:pPr>
            <w:r>
              <w:t xml:space="preserve">Why it matters</w:t>
            </w:r>
          </w:p>
        </w:tc>
      </w:tr>
      <w:tr>
        <w:tc>
          <w:tcPr/>
          <w:p>
            <w:pPr>
              <w:pStyle w:val="Compact"/>
            </w:pPr>
            <w:r>
              <w:t xml:space="preserve">Every zone on every DNS server: type, AD integration and replication scope, dynamic-update setting, signing state, record count, notify and secondary servers</w:t>
            </w:r>
          </w:p>
        </w:tc>
        <w:tc>
          <w:tcPr/>
          <w:p>
            <w:pPr>
              <w:pStyle w:val="Compact"/>
            </w:pPr>
            <w:r>
              <w:t xml:space="preserve">Decides the target and method for each zone</w:t>
            </w:r>
          </w:p>
        </w:tc>
      </w:tr>
      <w:tr>
        <w:tc>
          <w:tcPr/>
          <w:p>
            <w:pPr>
              <w:pStyle w:val="Compact"/>
            </w:pPr>
            <w:r>
              <w:t xml:space="preserve">Every record in every zone, with type, TTL and timestamp</w:t>
            </w:r>
          </w:p>
        </w:tc>
        <w:tc>
          <w:tcPr/>
          <w:p>
            <w:pPr>
              <w:pStyle w:val="Compact"/>
            </w:pPr>
            <w:r>
              <w:t xml:space="preserve">The source for import and for reconciliation after cutover</w:t>
            </w:r>
          </w:p>
        </w:tc>
      </w:tr>
      <w:tr>
        <w:tc>
          <w:tcPr/>
          <w:p>
            <w:pPr>
              <w:pStyle w:val="Compact"/>
            </w:pPr>
            <w:r>
              <w:t xml:space="preserve">Zone health: aging and scavenging state, stale records, duplicate host names, reverse records with no matching forward record</w:t>
            </w:r>
          </w:p>
        </w:tc>
        <w:tc>
          <w:tcPr/>
          <w:p>
            <w:pPr>
              <w:pStyle w:val="Compact"/>
            </w:pPr>
            <w:r>
              <w:t xml:space="preserve">Clean up before migrating, not after; stale records migrate as faithfully as good ones</w:t>
            </w:r>
          </w:p>
        </w:tc>
      </w:tr>
      <w:tr>
        <w:tc>
          <w:tcPr/>
          <w:p>
            <w:pPr>
              <w:pStyle w:val="Compact"/>
            </w:pPr>
            <w:r>
              <w:t xml:space="preserve">The critical AD locator records, resolved from every DNS server and every site</w:t>
            </w:r>
          </w:p>
        </w:tc>
        <w:tc>
          <w:tcPr/>
          <w:p>
            <w:pPr>
              <w:pStyle w:val="Compact"/>
            </w:pPr>
            <w:r>
              <w:t xml:space="preserve">The baseline the Phase 5 gate is measured against</w:t>
            </w:r>
          </w:p>
        </w:tc>
      </w:tr>
      <w:tr>
        <w:tc>
          <w:tcPr/>
          <w:p>
            <w:pPr>
              <w:pStyle w:val="Compact"/>
            </w:pPr>
            <w:r>
              <w:t xml:space="preserve">Conditional and server-level forwarders, with a reachability test of each target over DNS, not just ICMP</w:t>
            </w:r>
          </w:p>
        </w:tc>
        <w:tc>
          <w:tcPr/>
          <w:p>
            <w:pPr>
              <w:pStyle w:val="Compact"/>
            </w:pPr>
            <w:r>
              <w:t xml:space="preserve">Forwarders that point at retired servers are common and must not be carried forward</w:t>
            </w:r>
          </w:p>
        </w:tc>
      </w:tr>
      <w:tr>
        <w:tc>
          <w:tcPr/>
          <w:p>
            <w:pPr>
              <w:pStyle w:val="Compact"/>
            </w:pPr>
            <w:r>
              <w:t xml:space="preserve">DNSSEC state: signed zones, key master, keys and rollover schedule, trust anchors</w:t>
            </w:r>
          </w:p>
        </w:tc>
        <w:tc>
          <w:tcPr/>
          <w:p>
            <w:pPr>
              <w:pStyle w:val="Compact"/>
            </w:pPr>
            <w:r>
              <w:t xml:space="preserve">Signed zones move on their own schedule (Phase 6 and Chapter 06)</w:t>
            </w:r>
          </w:p>
        </w:tc>
      </w:tr>
      <w:tr>
        <w:tc>
          <w:tcPr/>
          <w:p>
            <w:pPr>
              <w:pStyle w:val="Compact"/>
            </w:pPr>
            <w:r>
              <w:t xml:space="preserve">DHCP: scopes, exclusions, reservations, options (especially option 6, the DNS servers), failover relationships, dynamic-update credentials</w:t>
            </w:r>
          </w:p>
        </w:tc>
        <w:tc>
          <w:tcPr/>
          <w:p>
            <w:pPr>
              <w:pStyle w:val="Compact"/>
            </w:pPr>
            <w:r>
              <w:t xml:space="preserve">Scopes move with their options, or clients land on the wrong resolver</w:t>
            </w:r>
          </w:p>
        </w:tc>
      </w:tr>
      <w:tr>
        <w:tc>
          <w:tcPr/>
          <w:p>
            <w:pPr>
              <w:pStyle w:val="Compact"/>
            </w:pPr>
            <w:r>
              <w:t xml:space="preserve">Resolution paths: client resolver settings, VNet and VPC DNS settings, SD-WAN redirect-dns targets, forwarding chains</w:t>
            </w:r>
          </w:p>
        </w:tc>
        <w:tc>
          <w:tcPr/>
          <w:p>
            <w:pPr>
              <w:pStyle w:val="Compact"/>
            </w:pPr>
            <w:r>
              <w:t xml:space="preserve">The paths Chapter 08’s decisions govern</w:t>
            </w:r>
          </w:p>
        </w:tc>
      </w:tr>
      <w:tr>
        <w:tc>
          <w:tcPr/>
          <w:p>
            <w:pPr>
              <w:pStyle w:val="Compact"/>
            </w:pPr>
            <w:r>
              <w:t xml:space="preserve">OCSP and CRL endpoints, and where each resolves</w:t>
            </w:r>
          </w:p>
        </w:tc>
        <w:tc>
          <w:tcPr/>
          <w:p>
            <w:pPr>
              <w:pStyle w:val="Compact"/>
            </w:pPr>
            <w:r>
              <w:t xml:space="preserve">Decision 5: they must resolve from every origin</w:t>
            </w:r>
          </w:p>
        </w:tc>
      </w:tr>
    </w:tbl>
    <w:bookmarkEnd w:id="638"/>
    <w:bookmarkStart w:id="639" w:name="illustrative-commands-not-tested"/>
    <w:p>
      <w:pPr>
        <w:pStyle w:val="Heading2"/>
      </w:pPr>
      <w:bookmarkStart w:id="1116" w:name="_Toc00001116"/>
      <w:r>
        <w:t xml:space="preserve">Illustrative commands, not tested</w:t>
      </w:r>
      <w:bookmarkEnd w:id="1116"/>
    </w:p>
    <w:p>
      <w:pPr>
        <w:pStyle w:val="FirstParagraph"/>
      </w:pPr>
      <w:r>
        <w:t xml:space="preserve">The commands in this chapter are short illustrations of the cmdlets and CLI commands involved, checked against Microsoft Learn for name and parameter syntax. They have not been tested against a production forest or tenant. Review, adapt and test them before running them anywhere that matters.</w:t>
      </w:r>
    </w:p>
    <w:bookmarkEnd w:id="639"/>
    <w:p>
      <w:pPr>
        <w:pStyle w:val="BodyText"/>
      </w:pPr>
      <w:r>
        <w:t xml:space="preserve">The DnsServer, DhcpServer and DnsClient modules cover the collection on Windows:</w:t>
      </w:r>
      <w:r>
        <w:rPr>
          <w:rStyle w:val="FootnoteReference"/>
        </w:rPr>
        <w:footnoteReference w:id="640"/>
      </w:r>
      <w:r>
        <w:rPr>
          <w:rStyle w:val="FootnoteReference"/>
        </w:rPr>
        <w:footnoteReference w:id="642"/>
      </w:r>
      <w:r>
        <w:rPr>
          <w:rStyle w:val="FootnoteReference"/>
        </w:rPr>
        <w:footnoteReference w:id="644"/>
      </w:r>
    </w:p>
    <w:p>
      <w:pPr>
        <w:pStyle w:val="SourceCode"/>
      </w:pPr>
      <w:r>
        <w:rPr>
          <w:rStyle w:val="CommentTok"/>
        </w:rPr>
        <w:t xml:space="preserve"># Zones and their properties on one DNS server</w:t>
      </w:r>
      <w:r>
        <w:br/>
      </w:r>
      <w:r>
        <w:rPr>
          <w:rStyle w:val="NormalTok"/>
        </w:rPr>
        <w:t xml:space="preserve">Get-DnsServerZone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ZoneName</w:t>
      </w:r>
      <w:r>
        <w:rPr>
          <w:rStyle w:val="OperatorTok"/>
        </w:rPr>
        <w:t xml:space="preserve">,</w:t>
      </w:r>
      <w:r>
        <w:rPr>
          <w:rStyle w:val="NormalTok"/>
        </w:rPr>
        <w:t xml:space="preserve"> ZoneType</w:t>
      </w:r>
      <w:r>
        <w:rPr>
          <w:rStyle w:val="OperatorTok"/>
        </w:rPr>
        <w:t xml:space="preserve">,</w:t>
      </w:r>
      <w:r>
        <w:rPr>
          <w:rStyle w:val="NormalTok"/>
        </w:rPr>
        <w:t xml:space="preserve"> IsDsIntegrated</w:t>
      </w:r>
      <w:r>
        <w:rPr>
          <w:rStyle w:val="OperatorTok"/>
        </w:rPr>
        <w:t xml:space="preserve">,</w:t>
      </w:r>
      <w:r>
        <w:rPr>
          <w:rStyle w:val="NormalTok"/>
        </w:rPr>
        <w:t xml:space="preserve"> IsReverseLookupZone</w:t>
      </w:r>
      <w:r>
        <w:rPr>
          <w:rStyle w:val="OperatorTok"/>
        </w:rPr>
        <w:t xml:space="preserve">,</w:t>
      </w:r>
      <w:r>
        <w:rPr>
          <w:rStyle w:val="NormalTok"/>
        </w:rPr>
        <w:t xml:space="preserve"> IsSigned</w:t>
      </w:r>
      <w:r>
        <w:br/>
      </w:r>
      <w:r>
        <w:br/>
      </w:r>
      <w:r>
        <w:rPr>
          <w:rStyle w:val="CommentTok"/>
        </w:rPr>
        <w:t xml:space="preserve"># Every record in one zone, with TTL and timestamp</w:t>
      </w:r>
      <w:r>
        <w:br/>
      </w:r>
      <w:r>
        <w:rPr>
          <w:rStyle w:val="NormalTok"/>
        </w:rPr>
        <w:t xml:space="preserve">Get-DnsServerResourceRecord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Server-level forwarders</w:t>
      </w:r>
      <w:r>
        <w:br/>
      </w:r>
      <w:r>
        <w:rPr>
          <w:rStyle w:val="NormalTok"/>
        </w:rPr>
        <w:t xml:space="preserve">Get-DnsServerForwarder </w:t>
      </w:r>
      <w:r>
        <w:rPr>
          <w:rStyle w:val="OperatorTok"/>
        </w:rPr>
        <w:t xml:space="preserve">-</w:t>
      </w:r>
      <w:r>
        <w:rPr>
          <w:rStyle w:val="NormalTok"/>
        </w:rPr>
        <w:t xml:space="preserve">ComputerName dc01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br/>
      </w:r>
      <w:r>
        <w:br/>
      </w:r>
      <w:r>
        <w:rPr>
          <w:rStyle w:val="CommentTok"/>
        </w:rPr>
        <w:t xml:space="preserve"># A critical locator record, resolved against a specific server</w:t>
      </w:r>
      <w:r>
        <w:br/>
      </w:r>
      <w:r>
        <w:rPr>
          <w:rStyle w:val="NormalTok"/>
        </w:rPr>
        <w:t xml:space="preserve">Resolve-DnsName </w:t>
      </w:r>
      <w:r>
        <w:rPr>
          <w:rStyle w:val="OperatorTok"/>
        </w:rPr>
        <w:t xml:space="preserve">-</w:t>
      </w:r>
      <w:r>
        <w:rPr>
          <w:rStyle w:val="NormalTok"/>
        </w:rPr>
        <w:t xml:space="preserve">Name _ldap</w:t>
      </w:r>
      <w:r>
        <w:rPr>
          <w:rStyle w:val="OperatorTok"/>
        </w:rPr>
        <w:t xml:space="preserve">.</w:t>
      </w:r>
      <w:r>
        <w:rPr>
          <w:rStyle w:val="FunctionTok"/>
        </w:rPr>
        <w:t xml:space="preserve">_tcp</w:t>
      </w:r>
      <w:r>
        <w:rPr>
          <w:rStyle w:val="OperatorTok"/>
        </w:rPr>
        <w:t xml:space="preserve">.</w:t>
      </w:r>
      <w:r>
        <w:rPr>
          <w:rStyle w:val="FunctionTok"/>
        </w:rPr>
        <w:t xml:space="preserve">dc</w:t>
      </w:r>
      <w:r>
        <w:rPr>
          <w:rStyle w:val="OperatorTok"/>
        </w:rPr>
        <w:t xml:space="preserve">.</w:t>
      </w:r>
      <w:r>
        <w:rPr>
          <w:rStyle w:val="FunctionTok"/>
        </w:rPr>
        <w:t xml:space="preserve">_msdcs</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Server </w:t>
      </w:r>
      <w:r>
        <w:rPr>
          <w:rStyle w:val="DecValTok"/>
        </w:rPr>
        <w:t xml:space="preserve">10.1</w:t>
      </w:r>
      <w:r>
        <w:rPr>
          <w:rStyle w:val="OperatorTok"/>
        </w:rPr>
        <w:t xml:space="preserve">.</w:t>
      </w:r>
      <w:r>
        <w:rPr>
          <w:rStyle w:val="DecValTok"/>
        </w:rPr>
        <w:t xml:space="preserve">0.10</w:t>
      </w:r>
      <w:r>
        <w:br/>
      </w:r>
      <w:r>
        <w:br/>
      </w:r>
      <w:r>
        <w:rPr>
          <w:rStyle w:val="CommentTok"/>
        </w:rPr>
        <w:t xml:space="preserve"># DHCP configuration, scopes and leases, to an XML file</w:t>
      </w:r>
      <w:r>
        <w:br/>
      </w:r>
      <w:r>
        <w:rPr>
          <w:rStyle w:val="NormalTok"/>
        </w:rPr>
        <w:t xml:space="preserve">Export-DhcpServer </w:t>
      </w:r>
      <w:r>
        <w:rPr>
          <w:rStyle w:val="OperatorTok"/>
        </w:rPr>
        <w:t xml:space="preserve">-</w:t>
      </w:r>
      <w:r>
        <w:rPr>
          <w:rStyle w:val="NormalTok"/>
        </w:rPr>
        <w:t xml:space="preserve">ComputerName dhcp01</w:t>
      </w:r>
      <w:r>
        <w:rPr>
          <w:rStyle w:val="OperatorTok"/>
        </w:rPr>
        <w:t xml:space="preserve">.</w:t>
      </w:r>
      <w:r>
        <w:rPr>
          <w:rStyle w:val="FunctionTok"/>
        </w:rPr>
        <w:t xml:space="preserve">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File C</w:t>
      </w:r>
      <w:r>
        <w:rPr>
          <w:rStyle w:val="OperatorTok"/>
        </w:rPr>
        <w:t xml:space="preserve">:</w:t>
      </w:r>
      <w:r>
        <w:rPr>
          <w:rStyle w:val="NormalTok"/>
        </w:rPr>
        <w:t xml:space="preserve">\assess\dhcp01</w:t>
      </w:r>
      <w:r>
        <w:rPr>
          <w:rStyle w:val="OperatorTok"/>
        </w:rPr>
        <w:t xml:space="preserve">.</w:t>
      </w:r>
      <w:r>
        <w:rPr>
          <w:rStyle w:val="FunctionTok"/>
        </w:rPr>
        <w:t xml:space="preserve">xml</w:t>
      </w:r>
      <w:r>
        <w:rPr>
          <w:rStyle w:val="NormalTok"/>
        </w:rPr>
        <w:t xml:space="preserve"> </w:t>
      </w:r>
      <w:r>
        <w:rPr>
          <w:rStyle w:val="OperatorTok"/>
        </w:rPr>
        <w:t xml:space="preserve">-</w:t>
      </w:r>
      <w:r>
        <w:rPr>
          <w:rStyle w:val="NormalTok"/>
        </w:rPr>
        <w:t xml:space="preserve">Leases</w:t>
      </w:r>
    </w:p>
    <w:p>
      <w:pPr>
        <w:pStyle w:val="FirstParagraph"/>
      </w:pPr>
      <w:r>
        <w:rPr>
          <w:rStyle w:val="VerbatimChar"/>
        </w:rPr>
        <w:t xml:space="preserve">Export-DhcpServer</w:t>
      </w:r>
      <w:r>
        <w:t xml:space="preserve"> </w:t>
      </w:r>
      <w:r>
        <w:t xml:space="preserve">writes the server configuration, every DHCPv4 and DHCPv6 scope and, with</w:t>
      </w:r>
      <w:r>
        <w:t xml:space="preserve"> </w:t>
      </w:r>
      <w:r>
        <w:rPr>
          <w:rStyle w:val="VerbatimChar"/>
        </w:rPr>
        <w:t xml:space="preserve">-Leases</w:t>
      </w:r>
      <w:r>
        <w:t xml:space="preserve">, the lease data.</w:t>
      </w:r>
      <w:r>
        <w:rPr>
          <w:rStyle w:val="FootnoteReference"/>
        </w:rPr>
        <w:footnoteReference w:id="646"/>
      </w:r>
      <w:r>
        <w:t xml:space="preserve"> </w:t>
      </w:r>
      <w:r>
        <w:t xml:space="preserve">For AD-integrated zones,</w:t>
      </w:r>
      <w:r>
        <w:t xml:space="preserve"> </w:t>
      </w:r>
      <w:r>
        <w:rPr>
          <w:rStyle w:val="VerbatimChar"/>
        </w:rPr>
        <w:t xml:space="preserve">Export-DnsServerZone</w:t>
      </w:r>
      <w:r>
        <w:t xml:space="preserve"> </w:t>
      </w:r>
      <w:r>
        <w:t xml:space="preserve">writes a file to the DNS directory, but Microsoft documents it as a troubleshooting export that is not in zone-file format, so the record-level export is the better source for an import.</w:t>
      </w:r>
      <w:r>
        <w:rPr>
          <w:rStyle w:val="FootnoteReference"/>
        </w:rPr>
        <w:footnoteReference w:id="648"/>
      </w:r>
    </w:p>
    <w:bookmarkStart w:id="653" w:name="where-each-component-goes"/>
    <w:p>
      <w:pPr>
        <w:pStyle w:val="Heading3"/>
      </w:pPr>
      <w:r>
        <w:t xml:space="preserve">Where each component goes</w:t>
      </w:r>
    </w:p>
    <w:p>
      <w:pPr>
        <w:pStyle w:val="FirstParagraph"/>
      </w:pPr>
      <w:r>
        <w:t xml:space="preserve">The inventory sorts every component into a target and a method. The target is the DDI policy plane; where the agency uses Azure’s own DNS services under that plane, the Azure-native equivalent is shown too.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AD DNS component</w:t>
            </w:r>
          </w:p>
        </w:tc>
        <w:tc>
          <w:tcPr/>
          <w:p>
            <w:pPr>
              <w:pStyle w:val="Compact"/>
            </w:pPr>
            <w:r>
              <w:t xml:space="preserve">Target under the policy plane</w:t>
            </w:r>
          </w:p>
        </w:tc>
        <w:tc>
          <w:tcPr/>
          <w:p>
            <w:pPr>
              <w:pStyle w:val="Compact"/>
            </w:pPr>
            <w:r>
              <w:t xml:space="preserve">Azure-native equivalent</w:t>
            </w:r>
          </w:p>
        </w:tc>
        <w:tc>
          <w:tcPr/>
          <w:p>
            <w:pPr>
              <w:pStyle w:val="Compact"/>
            </w:pPr>
            <w:r>
              <w:t xml:space="preserve">Method</w:t>
            </w:r>
          </w:p>
        </w:tc>
        <w:tc>
          <w:tcPr/>
          <w:p>
            <w:pPr>
              <w:pStyle w:val="Compact"/>
            </w:pPr>
            <w:r>
              <w:t xml:space="preserve">Risk</w:t>
            </w:r>
          </w:p>
        </w:tc>
      </w:tr>
      <w:tr>
        <w:tc>
          <w:tcPr/>
          <w:p>
            <w:pPr>
              <w:pStyle w:val="Compact"/>
            </w:pPr>
            <w:r>
              <w:t xml:space="preserve">AD-integrated zone, internal</w:t>
            </w:r>
          </w:p>
        </w:tc>
        <w:tc>
          <w:tcPr/>
          <w:p>
            <w:pPr>
              <w:pStyle w:val="Compact"/>
            </w:pPr>
            <w:r>
              <w:t xml:space="preserve">Authoritative zone on the DDI platform</w:t>
            </w:r>
          </w:p>
        </w:tc>
        <w:tc>
          <w:tcPr/>
          <w:p>
            <w:pPr>
              <w:pStyle w:val="Compact"/>
            </w:pPr>
            <w:r>
              <w:t xml:space="preserve">Azure Private DNS zone linked to the VNets</w:t>
            </w:r>
          </w:p>
        </w:tc>
        <w:tc>
          <w:tcPr/>
          <w:p>
            <w:pPr>
              <w:pStyle w:val="Compact"/>
            </w:pPr>
            <w:r>
              <w:t xml:space="preserve">Export records, create zone, import, validate</w:t>
            </w:r>
          </w:p>
        </w:tc>
        <w:tc>
          <w:tcPr/>
          <w:p>
            <w:pPr>
              <w:pStyle w:val="Compact"/>
            </w:pPr>
            <w:r>
              <w:t xml:space="preserve">Medium</w:t>
            </w:r>
          </w:p>
        </w:tc>
      </w:tr>
      <w:tr>
        <w:tc>
          <w:tcPr/>
          <w:p>
            <w:pPr>
              <w:pStyle w:val="Compact"/>
            </w:pPr>
            <w:r>
              <w:t xml:space="preserve">AD-integrated zone, external</w:t>
            </w:r>
          </w:p>
        </w:tc>
        <w:tc>
          <w:tcPr/>
          <w:p>
            <w:pPr>
              <w:pStyle w:val="Compact"/>
            </w:pPr>
            <w:r>
              <w:t xml:space="preserve">Public authoritative zone</w:t>
            </w:r>
          </w:p>
        </w:tc>
        <w:tc>
          <w:tcPr/>
          <w:p>
            <w:pPr>
              <w:pStyle w:val="Compact"/>
            </w:pPr>
            <w:r>
              <w:t xml:space="preserve">Azure DNS public zone</w:t>
            </w:r>
          </w:p>
        </w:tc>
        <w:tc>
          <w:tcPr/>
          <w:p>
            <w:pPr>
              <w:pStyle w:val="Compact"/>
            </w:pPr>
            <w:r>
              <w:t xml:space="preserve">Export, import, then change NS delegation at the registrar</w:t>
            </w:r>
          </w:p>
        </w:tc>
        <w:tc>
          <w:tcPr/>
          <w:p>
            <w:pPr>
              <w:pStyle w:val="Compact"/>
            </w:pPr>
            <w:r>
              <w:t xml:space="preserve">High</w:t>
            </w:r>
          </w:p>
        </w:tc>
      </w:tr>
      <w:tr>
        <w:tc>
          <w:tcPr/>
          <w:p>
            <w:pPr>
              <w:pStyle w:val="Compact"/>
            </w:pPr>
            <w:r>
              <w:t xml:space="preserve">File-backed primary</w:t>
            </w:r>
          </w:p>
        </w:tc>
        <w:tc>
          <w:tcPr/>
          <w:p>
            <w:pPr>
              <w:pStyle w:val="Compact"/>
            </w:pPr>
            <w:r>
              <w:t xml:space="preserve">Authoritative zone</w:t>
            </w:r>
          </w:p>
        </w:tc>
        <w:tc>
          <w:tcPr/>
          <w:p>
            <w:pPr>
              <w:pStyle w:val="Compact"/>
            </w:pPr>
            <w:r>
              <w:t xml:space="preserve">Public or private zone</w:t>
            </w:r>
          </w:p>
        </w:tc>
        <w:tc>
          <w:tcPr/>
          <w:p>
            <w:pPr>
              <w:pStyle w:val="Compact"/>
            </w:pPr>
            <w:r>
              <w:t xml:space="preserve">Export, transform, import; check who consumes its secondaries</w:t>
            </w:r>
          </w:p>
        </w:tc>
        <w:tc>
          <w:tcPr/>
          <w:p>
            <w:pPr>
              <w:pStyle w:val="Compact"/>
            </w:pPr>
            <w:r>
              <w:t xml:space="preserve">Low</w:t>
            </w:r>
          </w:p>
        </w:tc>
      </w:tr>
      <w:tr>
        <w:tc>
          <w:tcPr/>
          <w:p>
            <w:pPr>
              <w:pStyle w:val="Compact"/>
            </w:pPr>
            <w:r>
              <w:t xml:space="preserve">Secondary zone</w:t>
            </w:r>
          </w:p>
        </w:tc>
        <w:tc>
          <w:tcPr/>
          <w:p>
            <w:pPr>
              <w:pStyle w:val="Compact"/>
            </w:pPr>
            <w:r>
              <w:t xml:space="preserve">Retired once its primary has moved</w:t>
            </w:r>
          </w:p>
        </w:tc>
        <w:tc>
          <w:tcPr/>
          <w:p>
            <w:pPr>
              <w:pStyle w:val="Compact"/>
            </w:pPr>
            <w:r>
              <w:t xml:space="preserve">Retired</w:t>
            </w:r>
          </w:p>
        </w:tc>
        <w:tc>
          <w:tcPr/>
          <w:p>
            <w:pPr>
              <w:pStyle w:val="Compact"/>
            </w:pPr>
            <w:r>
              <w:t xml:space="preserve">Confirm no client uses the secondary server as its resolver</w:t>
            </w:r>
          </w:p>
        </w:tc>
        <w:tc>
          <w:tcPr/>
          <w:p>
            <w:pPr>
              <w:pStyle w:val="Compact"/>
            </w:pPr>
            <w:r>
              <w:t xml:space="preserve">Low</w:t>
            </w:r>
          </w:p>
        </w:tc>
      </w:tr>
      <w:tr>
        <w:tc>
          <w:tcPr/>
          <w:p>
            <w:pPr>
              <w:pStyle w:val="Compact"/>
            </w:pPr>
            <w:r>
              <w:t xml:space="preserve">Stub zone or conditional forwarder</w:t>
            </w:r>
          </w:p>
        </w:tc>
        <w:tc>
          <w:tcPr/>
          <w:p>
            <w:pPr>
              <w:pStyle w:val="Compact"/>
            </w:pPr>
            <w:r>
              <w:t xml:space="preserve">Forwarding rule in the policy plane</w:t>
            </w:r>
          </w:p>
        </w:tc>
        <w:tc>
          <w:tcPr/>
          <w:p>
            <w:pPr>
              <w:pStyle w:val="Compact"/>
            </w:pPr>
            <w:r>
              <w:t xml:space="preserve">DNS forwarding ruleset rule on the Private Resolver</w:t>
            </w:r>
          </w:p>
        </w:tc>
        <w:tc>
          <w:tcPr/>
          <w:p>
            <w:pPr>
              <w:pStyle w:val="Compact"/>
            </w:pPr>
            <w:r>
              <w:t xml:space="preserve">Recreate the rule; test the targets from the new resolver</w:t>
            </w:r>
          </w:p>
        </w:tc>
        <w:tc>
          <w:tcPr/>
          <w:p>
            <w:pPr>
              <w:pStyle w:val="Compact"/>
            </w:pPr>
            <w:r>
              <w:t xml:space="preserve">Low</w:t>
            </w:r>
          </w:p>
        </w:tc>
      </w:tr>
      <w:tr>
        <w:tc>
          <w:tcPr/>
          <w:p>
            <w:pPr>
              <w:pStyle w:val="Compact"/>
            </w:pPr>
            <w:r>
              <w:t xml:space="preserve">GlobalNames zone</w:t>
            </w:r>
          </w:p>
        </w:tc>
        <w:tc>
          <w:tcPr/>
          <w:p>
            <w:pPr>
              <w:pStyle w:val="Compact"/>
            </w:pPr>
            <w:r>
              <w:t xml:space="preserve">Zone of CNAMEs plus a DNS suffix search list</w:t>
            </w:r>
          </w:p>
        </w:tc>
        <w:tc>
          <w:tcPr/>
          <w:p>
            <w:pPr>
              <w:pStyle w:val="Compact"/>
            </w:pPr>
            <w:r>
              <w:t xml:space="preserve">Private zone plus suffix search list</w:t>
            </w:r>
          </w:p>
        </w:tc>
        <w:tc>
          <w:tcPr/>
          <w:p>
            <w:pPr>
              <w:pStyle w:val="Compact"/>
            </w:pPr>
            <w:r>
              <w:t xml:space="preserve">Import CNAMEs; push the search list through policy</w:t>
            </w:r>
          </w:p>
        </w:tc>
        <w:tc>
          <w:tcPr/>
          <w:p>
            <w:pPr>
              <w:pStyle w:val="Compact"/>
            </w:pPr>
            <w:r>
              <w:t xml:space="preserve">Medium</w:t>
            </w:r>
          </w:p>
        </w:tc>
      </w:tr>
      <w:tr>
        <w:tc>
          <w:tcPr/>
          <w:p>
            <w:pPr>
              <w:pStyle w:val="Compact"/>
            </w:pPr>
            <w:r>
              <w:t xml:space="preserve">AD locator records (SRV,</w:t>
            </w:r>
            <w:r>
              <w:t xml:space="preserve"> </w:t>
            </w:r>
            <w:r>
              <w:rPr>
                <w:rStyle w:val="VerbatimChar"/>
              </w:rPr>
              <w:t xml:space="preserve">_msdcs</w:t>
            </w:r>
            <w:r>
              <w:t xml:space="preserve">)</w:t>
            </w:r>
          </w:p>
        </w:tc>
        <w:tc>
          <w:tcPr/>
          <w:p>
            <w:pPr>
              <w:pStyle w:val="Compact"/>
            </w:pPr>
            <w:r>
              <w:t xml:space="preserve">Stay with a service that accepts domain controller registration until the last DC goes</w:t>
            </w:r>
          </w:p>
        </w:tc>
        <w:tc>
          <w:tcPr/>
          <w:p>
            <w:pPr>
              <w:pStyle w:val="Compact"/>
            </w:pPr>
            <w:r>
              <w:t xml:space="preserve">None (see below)</w:t>
            </w:r>
          </w:p>
        </w:tc>
        <w:tc>
          <w:tcPr/>
          <w:p>
            <w:pPr>
              <w:pStyle w:val="Compact"/>
            </w:pPr>
            <w:r>
              <w:t xml:space="preserve">Forward the AD namespaces to the domain controllers; monitor</w:t>
            </w:r>
          </w:p>
        </w:tc>
        <w:tc>
          <w:tcPr/>
          <w:p>
            <w:pPr>
              <w:pStyle w:val="Compact"/>
            </w:pPr>
            <w:r>
              <w:t xml:space="preserve">High</w:t>
            </w:r>
          </w:p>
        </w:tc>
      </w:tr>
      <w:tr>
        <w:tc>
          <w:tcPr/>
          <w:p>
            <w:pPr>
              <w:pStyle w:val="Compact"/>
            </w:pPr>
            <w:r>
              <w:t xml:space="preserve">Dynamic registration</w:t>
            </w:r>
          </w:p>
        </w:tc>
        <w:tc>
          <w:tcPr/>
          <w:p>
            <w:pPr>
              <w:pStyle w:val="Compact"/>
            </w:pPr>
            <w:r>
              <w:t xml:space="preserve">DHCP-driven DDNS on the DDI platform</w:t>
            </w:r>
          </w:p>
        </w:tc>
        <w:tc>
          <w:tcPr/>
          <w:p>
            <w:pPr>
              <w:pStyle w:val="Compact"/>
            </w:pPr>
            <w:r>
              <w:t xml:space="preserve">Autoregistration for VMs only</w:t>
            </w:r>
          </w:p>
        </w:tc>
        <w:tc>
          <w:tcPr/>
          <w:p>
            <w:pPr>
              <w:pStyle w:val="Compact"/>
            </w:pPr>
            <w:r>
              <w:t xml:space="preserve">Re-establish per client population</w:t>
            </w:r>
          </w:p>
        </w:tc>
        <w:tc>
          <w:tcPr/>
          <w:p>
            <w:pPr>
              <w:pStyle w:val="Compact"/>
            </w:pPr>
            <w:r>
              <w:t xml:space="preserve">Medium</w:t>
            </w:r>
          </w:p>
        </w:tc>
      </w:tr>
      <w:tr>
        <w:tc>
          <w:tcPr/>
          <w:p>
            <w:pPr>
              <w:pStyle w:val="Compact"/>
            </w:pPr>
            <w:r>
              <w:t xml:space="preserve">Reverse lookup zones</w:t>
            </w:r>
          </w:p>
        </w:tc>
        <w:tc>
          <w:tcPr/>
          <w:p>
            <w:pPr>
              <w:pStyle w:val="Compact"/>
            </w:pPr>
            <w:r>
              <w:t xml:space="preserve">Reverse zones aligned to IPAM</w:t>
            </w:r>
          </w:p>
        </w:tc>
        <w:tc>
          <w:tcPr/>
          <w:p>
            <w:pPr>
              <w:pStyle w:val="Compact"/>
            </w:pPr>
            <w:r>
              <w:t xml:space="preserve">Private</w:t>
            </w:r>
            <w:r>
              <w:t xml:space="preserve"> </w:t>
            </w:r>
            <w:r>
              <w:rPr>
                <w:rStyle w:val="VerbatimChar"/>
              </w:rPr>
              <w:t xml:space="preserve">in-addr.arpa</w:t>
            </w:r>
            <w:r>
              <w:t xml:space="preserve"> </w:t>
            </w:r>
            <w:r>
              <w:t xml:space="preserve">zones</w:t>
            </w:r>
          </w:p>
        </w:tc>
        <w:tc>
          <w:tcPr/>
          <w:p>
            <w:pPr>
              <w:pStyle w:val="Compact"/>
            </w:pPr>
            <w:r>
              <w:t xml:space="preserve">Create per reverse zone, import PTRs</w:t>
            </w:r>
          </w:p>
        </w:tc>
        <w:tc>
          <w:tcPr/>
          <w:p>
            <w:pPr>
              <w:pStyle w:val="Compact"/>
            </w:pPr>
            <w:r>
              <w:t xml:space="preserve">Medium</w:t>
            </w:r>
          </w:p>
        </w:tc>
      </w:tr>
      <w:tr>
        <w:tc>
          <w:tcPr/>
          <w:p>
            <w:pPr>
              <w:pStyle w:val="Compact"/>
            </w:pPr>
            <w:r>
              <w:t xml:space="preserve">DNSSEC-signed zones</w:t>
            </w:r>
          </w:p>
        </w:tc>
        <w:tc>
          <w:tcPr/>
          <w:p>
            <w:pPr>
              <w:pStyle w:val="Compact"/>
            </w:pPr>
            <w:r>
              <w:t xml:space="preserve">Signed authoritative zone (Chapter 06)</w:t>
            </w:r>
          </w:p>
        </w:tc>
        <w:tc>
          <w:tcPr/>
          <w:p>
            <w:pPr>
              <w:pStyle w:val="Compact"/>
            </w:pPr>
            <w:r>
              <w:t xml:space="preserve">Public zones only; Azure Private DNS does not sign (Chapter 06)</w:t>
            </w:r>
          </w:p>
        </w:tc>
        <w:tc>
          <w:tcPr/>
          <w:p>
            <w:pPr>
              <w:pStyle w:val="Compact"/>
            </w:pPr>
            <w:r>
              <w:t xml:space="preserve">Stay signed on the old platform until the new chain validates (Phase 6)</w:t>
            </w:r>
          </w:p>
        </w:tc>
        <w:tc>
          <w:tcPr/>
          <w:p>
            <w:pPr>
              <w:pStyle w:val="Compact"/>
            </w:pPr>
            <w:r>
              <w:t xml:space="preserve">High</w:t>
            </w:r>
          </w:p>
        </w:tc>
      </w:tr>
    </w:tbl>
    <w:p>
      <w:pPr>
        <w:pStyle w:val="BodyText"/>
      </w:pPr>
      <w:r>
        <w:t xml:space="preserve">Two Azure behaviors drive the</w:t>
      </w:r>
      <w:r>
        <w:t xml:space="preserve"> </w:t>
      </w:r>
      <w:r>
        <w:t xml:space="preserve">“None”</w:t>
      </w:r>
      <w:r>
        <w:t xml:space="preserve"> </w:t>
      </w:r>
      <w:r>
        <w:t xml:space="preserve">and</w:t>
      </w:r>
      <w:r>
        <w:t xml:space="preserve"> </w:t>
      </w:r>
      <w:r>
        <w:t xml:space="preserve">“VMs only”</w:t>
      </w:r>
      <w:r>
        <w:t xml:space="preserve"> </w:t>
      </w:r>
      <w:r>
        <w:t xml:space="preserve">entries. Azure Private DNS populates autoregistered records from the Azure DHCP service and ignores client registration messages, so domain controllers cannot register their own locator records there; statically imported SRV records would go stale the first time a domain controller changes.</w:t>
      </w:r>
      <w:r>
        <w:rPr>
          <w:rStyle w:val="FootnoteReference"/>
        </w:rPr>
        <w:footnoteReference w:id="650"/>
      </w:r>
      <w:r>
        <w:t xml:space="preserve"> </w:t>
      </w:r>
      <w:r>
        <w:t xml:space="preserve">And autoregistration creates A records for a VM’s primary NIC only: it does not create PTR records, and it does not cover load balancers or other resources.</w:t>
      </w:r>
      <w:r>
        <w:rPr>
          <w:rStyle w:val="FootnoteReference"/>
        </w:rPr>
        <w:footnoteReference w:id="652"/>
      </w:r>
      <w:r>
        <w:t xml:space="preserve"> </w:t>
      </w:r>
      <w:r>
        <w:t xml:space="preserve">Reverse zones and non-VM records therefore need IPAM-driven or automated record management.</w:t>
      </w:r>
    </w:p>
    <w:bookmarkEnd w:id="653"/>
    <w:bookmarkStart w:id="667" w:name="phase-2-deploy-coexistence"/>
    <w:p>
      <w:pPr>
        <w:pStyle w:val="Heading2"/>
      </w:pPr>
      <w:bookmarkStart w:id="1117" w:name="_Toc00001117"/>
      <w:r>
        <w:t xml:space="preserve">Phase 2 — Deploy coexistence</w:t>
      </w:r>
      <w:bookmarkEnd w:id="1117"/>
    </w:p>
    <w:p>
      <w:pPr>
        <w:pStyle w:val="FirstParagraph"/>
      </w:pPr>
      <w:r>
        <w:t xml:space="preserve">Coexistence puts the new resolvers in place and makes both systems able to answer for each other’s namespaces, without moving any authority yet. Its rollback is simply removing what was added; existing DNS is untouched.</w:t>
      </w:r>
    </w:p>
    <w:p>
      <w:pPr>
        <w:pStyle w:val="Compact"/>
        <w:numPr>
          <w:ilvl w:val="0"/>
          <w:numId w:val="1051"/>
        </w:numPr>
      </w:pPr>
      <w:r>
        <w:rPr>
          <w:b/>
          <w:bCs/>
        </w:rPr>
        <w:t xml:space="preserve">Synchronize before you migrate.</w:t>
      </w:r>
      <w:r>
        <w:t xml:space="preserve"> </w:t>
      </w:r>
      <w:r>
        <w:t xml:space="preserve">Enterprise DDI platforms commonly read Microsoft DNS and DHCP servers into their own database, so the inventory stays current while authority moves. Infoblox NIOS, for example, manages Microsoft Windows DNS and DHCP servers from Grid Manager and synchronizes their data into the Grid.</w:t>
      </w:r>
      <w:r>
        <w:rPr>
          <w:rStyle w:val="FootnoteReference"/>
        </w:rPr>
        <w:footnoteReference w:id="654"/>
      </w:r>
      <w:r>
        <w:t xml:space="preserve"> </w:t>
      </w:r>
      <w:r>
        <w:t xml:space="preserve">Start read-only; write access comes zone by zone in Phase 3.</w:t>
      </w:r>
    </w:p>
    <w:p>
      <w:pPr>
        <w:pStyle w:val="Compact"/>
        <w:numPr>
          <w:ilvl w:val="0"/>
          <w:numId w:val="1051"/>
        </w:numPr>
      </w:pPr>
      <w:r>
        <w:rPr>
          <w:b/>
          <w:bCs/>
        </w:rPr>
        <w:t xml:space="preserve">Forward in both directions.</w:t>
      </w:r>
      <w:r>
        <w:t xml:space="preserve"> </w:t>
      </w:r>
      <w:r>
        <w:t xml:space="preserve">On-premises resolvers forward the cloud namespaces, and the public zone of every Azure service reached through a private endpoint (for example</w:t>
      </w:r>
      <w:r>
        <w:t xml:space="preserve"> </w:t>
      </w:r>
      <w:r>
        <w:rPr>
          <w:rStyle w:val="VerbatimChar"/>
        </w:rPr>
        <w:t xml:space="preserve">blob.core.windows.net</w:t>
      </w:r>
      <w:r>
        <w:t xml:space="preserve">, not</w:t>
      </w:r>
      <w:r>
        <w:t xml:space="preserve"> </w:t>
      </w:r>
      <w:r>
        <w:rPr>
          <w:rStyle w:val="VerbatimChar"/>
        </w:rPr>
        <w:t xml:space="preserve">privatelink.blob.core.windows.net</w:t>
      </w:r>
      <w:r>
        <w:t xml:space="preserve">; see Chapter 07), to the cloud resolver’s inbound address; the cloud resolver forwards the on-premises and AD namespaces back. The Azure DNS Private Resolver mechanics (dedicated subnets of at least /28 delegated to</w:t>
      </w:r>
      <w:r>
        <w:t xml:space="preserve"> </w:t>
      </w:r>
      <w:r>
        <w:rPr>
          <w:rStyle w:val="VerbatimChar"/>
        </w:rPr>
        <w:t xml:space="preserve">Microsoft.Network/dnsResolvers</w:t>
      </w:r>
      <w:r>
        <w:t xml:space="preserve">, inbound and outbound endpoints, and forwarding rulesets of up to 1,000 rules) are in Chapter 07.</w:t>
      </w:r>
      <w:r>
        <w:rPr>
          <w:rStyle w:val="FootnoteReference"/>
        </w:rPr>
        <w:footnoteReference w:id="656"/>
      </w:r>
    </w:p>
    <w:p>
      <w:pPr>
        <w:pStyle w:val="Compact"/>
        <w:numPr>
          <w:ilvl w:val="0"/>
          <w:numId w:val="1051"/>
        </w:numPr>
      </w:pPr>
      <w:r>
        <w:rPr>
          <w:b/>
          <w:bCs/>
        </w:rPr>
        <w:t xml:space="preserve">Give every namespace exactly one authoritative path.</w:t>
      </w:r>
      <w:r>
        <w:t xml:space="preserve"> </w:t>
      </w:r>
      <w:r>
        <w:t xml:space="preserve">If the cloud forwards a namespace on-premises and on-premises forwards it back, queries loop and never resolve. Document every forwarding path and review it for loops at every step.</w:t>
      </w:r>
    </w:p>
    <w:p>
      <w:pPr>
        <w:pStyle w:val="Compact"/>
        <w:numPr>
          <w:ilvl w:val="0"/>
          <w:numId w:val="1051"/>
        </w:numPr>
      </w:pPr>
      <w:r>
        <w:rPr>
          <w:b/>
          <w:bCs/>
        </w:rPr>
        <w:t xml:space="preserve">Check the transport.</w:t>
      </w:r>
      <w:r>
        <w:t xml:space="preserve"> </w:t>
      </w:r>
      <w:r>
        <w:t xml:space="preserve">UDP and TCP port 53 must be open from the resolver subnets to the targets across ExpressRoute or VPN, and network security groups on the resolver subnets must allow it.</w:t>
      </w:r>
      <w:r>
        <w:rPr>
          <w:rStyle w:val="FootnoteReference"/>
        </w:rPr>
        <w:footnoteReference w:id="657"/>
      </w:r>
    </w:p>
    <w:p>
      <w:pPr>
        <w:pStyle w:val="FirstParagraph"/>
      </w:pPr>
      <w:r>
        <w:t xml:space="preserve">On a Windows DNS server, an AD-integrated conditional forwarder to the cloud resolver’s inbound endpoint, replicated forest-wide, looks like this:</w:t>
      </w:r>
      <w:r>
        <w:rPr>
          <w:rStyle w:val="FootnoteReference"/>
        </w:rPr>
        <w:footnoteReference w:id="658"/>
      </w:r>
    </w:p>
    <w:p>
      <w:pPr>
        <w:pStyle w:val="SourceCode"/>
      </w:pPr>
      <w:r>
        <w:rPr>
          <w:rStyle w:val="NormalTok"/>
        </w:rPr>
        <w:t xml:space="preserve">Add-DnsServerConditionalForwarderZone </w:t>
      </w:r>
      <w:r>
        <w:rPr>
          <w:rStyle w:val="OperatorTok"/>
        </w:rPr>
        <w:t xml:space="preserve">-</w:t>
      </w:r>
      <w:r>
        <w:rPr>
          <w:rStyle w:val="NormalTok"/>
        </w:rPr>
        <w:t xml:space="preserve">Name </w:t>
      </w:r>
      <w:r>
        <w:rPr>
          <w:rStyle w:val="StringTok"/>
        </w:rPr>
        <w:t xml:space="preserve">"blob.core.windows.net"</w:t>
      </w:r>
      <w:r>
        <w:rPr>
          <w:rStyle w:val="NormalTok"/>
        </w:rPr>
        <w:t xml:space="preserve"> `</w:t>
      </w:r>
      <w:r>
        <w:br/>
      </w:r>
      <w:r>
        <w:rPr>
          <w:rStyle w:val="NormalTok"/>
        </w:rPr>
        <w:t xml:space="preserve">    </w:t>
      </w:r>
      <w:r>
        <w:rPr>
          <w:rStyle w:val="OperatorTok"/>
        </w:rPr>
        <w:t xml:space="preserve">-</w:t>
      </w:r>
      <w:r>
        <w:rPr>
          <w:rStyle w:val="NormalTok"/>
        </w:rPr>
        <w:t xml:space="preserve">MasterServers </w:t>
      </w:r>
      <w:r>
        <w:rPr>
          <w:rStyle w:val="DecValTok"/>
        </w:rPr>
        <w:t xml:space="preserve">10.0</w:t>
      </w:r>
      <w:r>
        <w:rPr>
          <w:rStyle w:val="OperatorTok"/>
        </w:rPr>
        <w:t xml:space="preserve">.</w:t>
      </w:r>
      <w:r>
        <w:rPr>
          <w:rStyle w:val="DecValTok"/>
        </w:rPr>
        <w:t xml:space="preserve">4.4</w:t>
      </w:r>
      <w:r>
        <w:rPr>
          <w:rStyle w:val="NormalTok"/>
        </w:rPr>
        <w:t xml:space="preserve"> </w:t>
      </w:r>
      <w:r>
        <w:rPr>
          <w:rStyle w:val="OperatorTok"/>
        </w:rPr>
        <w:t xml:space="preserve">-</w:t>
      </w:r>
      <w:r>
        <w:rPr>
          <w:rStyle w:val="NormalTok"/>
        </w:rPr>
        <w:t xml:space="preserve">ReplicationScope </w:t>
      </w:r>
      <w:r>
        <w:rPr>
          <w:rStyle w:val="StringTok"/>
        </w:rPr>
        <w:t xml:space="preserve">"Forest"</w:t>
      </w:r>
    </w:p>
    <w:p>
      <w:pPr>
        <w:pStyle w:val="FirstParagraph"/>
      </w:pPr>
      <w:r>
        <w:t xml:space="preserve">And the reverse rule in an Azure DNS forwarding ruleset, sending the AD namespace to two domain controllers (the domain name takes a trailing dot):</w:t>
      </w:r>
      <w:r>
        <w:rPr>
          <w:rStyle w:val="FootnoteReference"/>
        </w:rPr>
        <w:footnoteReference w:id="660"/>
      </w:r>
      <w:r>
        <w:rPr>
          <w:rStyle w:val="FootnoteReference"/>
        </w:rPr>
        <w:footnoteReference w:id="662"/>
      </w:r>
    </w:p>
    <w:p>
      <w:pPr>
        <w:pStyle w:val="SourceCode"/>
      </w:pPr>
      <w:r>
        <w:rPr>
          <w:rStyle w:val="ExtensionTok"/>
        </w:rPr>
        <w:t xml:space="preserve">az</w:t>
      </w:r>
      <w:r>
        <w:rPr>
          <w:rStyle w:val="NormalTok"/>
        </w:rPr>
        <w:t xml:space="preserve"> dns-resolver forwarding-rule create </w:t>
      </w:r>
      <w:r>
        <w:rPr>
          <w:rStyle w:val="DataTypeTok"/>
        </w:rPr>
        <w:t xml:space="preserve">\</w:t>
      </w:r>
      <w:r>
        <w:br/>
      </w:r>
      <w:r>
        <w:rPr>
          <w:rStyle w:val="NormalTok"/>
        </w:rPr>
        <w:t xml:space="preserve">  </w:t>
      </w:r>
      <w:r>
        <w:rPr>
          <w:rStyle w:val="AttributeTok"/>
        </w:rPr>
        <w:t xml:space="preserve">--resource-group</w:t>
      </w:r>
      <w:r>
        <w:rPr>
          <w:rStyle w:val="NormalTok"/>
        </w:rPr>
        <w:t xml:space="preserve"> rg-hub-networking </w:t>
      </w:r>
      <w:r>
        <w:rPr>
          <w:rStyle w:val="DataTypeTok"/>
        </w:rPr>
        <w:t xml:space="preserve">\</w:t>
      </w:r>
      <w:r>
        <w:br/>
      </w:r>
      <w:r>
        <w:rPr>
          <w:rStyle w:val="NormalTok"/>
        </w:rPr>
        <w:t xml:space="preserve">  </w:t>
      </w:r>
      <w:r>
        <w:rPr>
          <w:rStyle w:val="AttributeTok"/>
        </w:rPr>
        <w:t xml:space="preserve">--ruleset-name</w:t>
      </w:r>
      <w:r>
        <w:rPr>
          <w:rStyle w:val="NormalTok"/>
        </w:rPr>
        <w:t xml:space="preserve"> fwdrs-hub-001 </w:t>
      </w:r>
      <w:r>
        <w:rPr>
          <w:rStyle w:val="DataTypeTok"/>
        </w:rPr>
        <w:t xml:space="preserve">\</w:t>
      </w:r>
      <w:r>
        <w:br/>
      </w:r>
      <w:r>
        <w:rPr>
          <w:rStyle w:val="NormalTok"/>
        </w:rPr>
        <w:t xml:space="preserve">  </w:t>
      </w:r>
      <w:r>
        <w:rPr>
          <w:rStyle w:val="AttributeTok"/>
        </w:rPr>
        <w:t xml:space="preserve">--name</w:t>
      </w:r>
      <w:r>
        <w:rPr>
          <w:rStyle w:val="NormalTok"/>
        </w:rPr>
        <w:t xml:space="preserve"> rule-corp </w:t>
      </w:r>
      <w:r>
        <w:rPr>
          <w:rStyle w:val="DataTypeTok"/>
        </w:rPr>
        <w:t xml:space="preserve">\</w:t>
      </w:r>
      <w:r>
        <w:br/>
      </w:r>
      <w:r>
        <w:rPr>
          <w:rStyle w:val="NormalTok"/>
        </w:rPr>
        <w:t xml:space="preserve">  </w:t>
      </w:r>
      <w:r>
        <w:rPr>
          <w:rStyle w:val="AttributeTok"/>
        </w:rPr>
        <w:t xml:space="preserve">--domain-name</w:t>
      </w:r>
      <w:r>
        <w:rPr>
          <w:rStyle w:val="NormalTok"/>
        </w:rPr>
        <w:t xml:space="preserve"> </w:t>
      </w:r>
      <w:r>
        <w:rPr>
          <w:rStyle w:val="StringTok"/>
        </w:rPr>
        <w:t xml:space="preserve">"corp.example.gov."</w:t>
      </w:r>
      <w:r>
        <w:rPr>
          <w:rStyle w:val="NormalTok"/>
        </w:rPr>
        <w:t xml:space="preserve"> </w:t>
      </w:r>
      <w:r>
        <w:rPr>
          <w:rStyle w:val="DataTypeTok"/>
        </w:rPr>
        <w:t xml:space="preserve">\</w:t>
      </w:r>
      <w:r>
        <w:br/>
      </w:r>
      <w:r>
        <w:rPr>
          <w:rStyle w:val="NormalTok"/>
        </w:rPr>
        <w:t xml:space="preserve">  </w:t>
      </w:r>
      <w:r>
        <w:rPr>
          <w:rStyle w:val="AttributeTok"/>
        </w:rPr>
        <w:t xml:space="preserve">--forwarding-rule-state</w:t>
      </w:r>
      <w:r>
        <w:rPr>
          <w:rStyle w:val="NormalTok"/>
        </w:rPr>
        <w:t xml:space="preserve"> Enabled </w:t>
      </w:r>
      <w:r>
        <w:rPr>
          <w:rStyle w:val="DataTypeTok"/>
        </w:rPr>
        <w:t xml:space="preserve">\</w:t>
      </w:r>
      <w:r>
        <w:br/>
      </w:r>
      <w:r>
        <w:rPr>
          <w:rStyle w:val="NormalTok"/>
        </w:rPr>
        <w:t xml:space="preserve">  </w:t>
      </w:r>
      <w:r>
        <w:rPr>
          <w:rStyle w:val="AttributeTok"/>
        </w:rPr>
        <w:t xml:space="preserve">--target-dns-servers</w:t>
      </w:r>
      <w:r>
        <w:rPr>
          <w:rStyle w:val="NormalTok"/>
        </w:rPr>
        <w:t xml:space="preserve"> </w:t>
      </w:r>
      <w:r>
        <w:rPr>
          <w:rStyle w:val="StringTok"/>
        </w:rPr>
        <w:t xml:space="preserve">'[{ip-address:"10.1.0.10",port:53},{ip-address:"10.1.0.11",port:53}]'</w:t>
      </w:r>
    </w:p>
    <w:p>
      <w:pPr>
        <w:pStyle w:val="FirstParagraph"/>
      </w:pPr>
      <w:r>
        <w:t xml:space="preserve">The</w:t>
      </w:r>
      <w:r>
        <w:t xml:space="preserve"> </w:t>
      </w:r>
      <w:r>
        <w:rPr>
          <w:rStyle w:val="VerbatimChar"/>
        </w:rPr>
        <w:t xml:space="preserve">az dns-resolver</w:t>
      </w:r>
      <w:r>
        <w:t xml:space="preserve"> </w:t>
      </w:r>
      <w:r>
        <w:t xml:space="preserve">commands come from an Azure CLI extension, which installs itself the first time one is run.</w:t>
      </w:r>
      <w:r>
        <w:rPr>
          <w:rStyle w:val="FootnoteReference"/>
        </w:rPr>
        <w:footnoteReference w:id="663"/>
      </w:r>
    </w:p>
    <w:p>
      <w:pPr>
        <w:pStyle w:val="BodyText"/>
      </w:pPr>
      <w:r>
        <w:t xml:space="preserve">Two configuration errors cause most coexistence failures. First, an on-premises conditional forwarder that targets</w:t>
      </w:r>
      <w:r>
        <w:t xml:space="preserve"> </w:t>
      </w:r>
      <w:r>
        <w:rPr>
          <w:rStyle w:val="VerbatimChar"/>
        </w:rPr>
        <w:t xml:space="preserve">168.63.129.16</w:t>
      </w:r>
      <w:r>
        <w:t xml:space="preserve">: that address is reachable only from inside an Azure VNet, so the query silently falls back to public resolution and private endpoints resolve to public addresses; target the Private Resolver’s inbound endpoint instead.</w:t>
      </w:r>
      <w:r>
        <w:rPr>
          <w:rStyle w:val="FootnoteReference"/>
        </w:rPr>
        <w:footnoteReference w:id="664"/>
      </w:r>
      <w:r>
        <w:t xml:space="preserve"> </w:t>
      </w:r>
      <w:r>
        <w:t xml:space="preserve">Second, Windows DNS forwarders with a timeout of three seconds or less: when they forward to Azure, Microsoft recommends a forwarding timeout above four seconds so Azure recursion can complete, or Private DNS records can come back with public addresses.</w:t>
      </w:r>
      <w:r>
        <w:rPr>
          <w:rStyle w:val="FootnoteReference"/>
        </w:rPr>
        <w:footnoteReference w:id="666"/>
      </w:r>
    </w:p>
    <w:bookmarkEnd w:id="667"/>
    <w:bookmarkStart w:id="672" w:name="phase-3-migrate-authority"/>
    <w:p>
      <w:pPr>
        <w:pStyle w:val="Heading2"/>
      </w:pPr>
      <w:bookmarkStart w:id="1118" w:name="_Toc00001118"/>
      <w:r>
        <w:t xml:space="preserve">Phase 3 — Migrate authority</w:t>
      </w:r>
      <w:bookmarkEnd w:id="1118"/>
    </w:p>
    <w:p>
      <w:pPr>
        <w:pStyle w:val="FirstParagraph"/>
      </w:pPr>
      <w:r>
        <w:t xml:space="preserve">This is where zones, forwarders, DHCP scopes and clients move. Each move is one pass through the cutover loop, and each has its own rollback point.</w:t>
      </w:r>
    </w:p>
    <w:bookmarkStart w:id="670" w:name="zones-and-records"/>
    <w:p>
      <w:pPr>
        <w:pStyle w:val="Heading3"/>
      </w:pPr>
      <w:r>
        <w:t xml:space="preserve">Zones and records</w:t>
      </w:r>
    </w:p>
    <w:p>
      <w:pPr>
        <w:pStyle w:val="FirstParagraph"/>
      </w:pPr>
      <w:r>
        <w:t xml:space="preserve">The record migration follows the loop: export each zone’s records to structured output, transform them to the target’s record format (record sets grouped by name and type, TTLs carried across), import with a dry run first, validate from every vantage point, then switch the delegation or forwarders and observe for 30 days before the old copy is retired. To lower a record’s TTL ahead of cutover on a Windows DNS server, copy the record object, change its TTL and write it back:</w:t>
      </w:r>
      <w:r>
        <w:rPr>
          <w:rStyle w:val="FootnoteReference"/>
        </w:rPr>
        <w:footnoteReference w:id="668"/>
      </w:r>
    </w:p>
    <w:p>
      <w:pPr>
        <w:pStyle w:val="SourceCode"/>
      </w:pPr>
      <w:r>
        <w:rPr>
          <w:rStyle w:val="VariableTok"/>
        </w:rPr>
        <w:t xml:space="preserve">$old</w:t>
      </w:r>
      <w:r>
        <w:rPr>
          <w:rStyle w:val="NormalTok"/>
        </w:rPr>
        <w:t xml:space="preserve"> </w:t>
      </w:r>
      <w:r>
        <w:rPr>
          <w:rStyle w:val="OperatorTok"/>
        </w:rPr>
        <w:t xml:space="preserve">=</w:t>
      </w:r>
      <w:r>
        <w:rPr>
          <w:rStyle w:val="NormalTok"/>
        </w:rPr>
        <w:t xml:space="preserve"> Get-DnsServerResourceRecord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Name app01 </w:t>
      </w:r>
      <w:r>
        <w:rPr>
          <w:rStyle w:val="OperatorTok"/>
        </w:rPr>
        <w:t xml:space="preserve">-</w:t>
      </w:r>
      <w:r>
        <w:rPr>
          <w:rStyle w:val="NormalTok"/>
        </w:rPr>
        <w:t xml:space="preserve">RRType A</w:t>
      </w:r>
      <w:r>
        <w:br/>
      </w:r>
      <w:r>
        <w:rPr>
          <w:rStyle w:val="VariableTok"/>
        </w:rPr>
        <w:t xml:space="preserve">$new</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ciminstance</w:t>
      </w:r>
      <w:r>
        <w:rPr>
          <w:rStyle w:val="OperatorTok"/>
        </w:rPr>
        <w:t xml:space="preserve">]::</w:t>
      </w:r>
      <w:r>
        <w:rPr>
          <w:rStyle w:val="NormalTok"/>
        </w:rPr>
        <w:t xml:space="preserve">new</w:t>
      </w:r>
      <w:r>
        <w:rPr>
          <w:rStyle w:val="OperatorTok"/>
        </w:rPr>
        <w:t xml:space="preserve">(</w:t>
      </w:r>
      <w:r>
        <w:rPr>
          <w:rStyle w:val="VariableTok"/>
        </w:rPr>
        <w:t xml:space="preserve">$old</w:t>
      </w:r>
      <w:r>
        <w:rPr>
          <w:rStyle w:val="OperatorTok"/>
        </w:rPr>
        <w:t xml:space="preserve">)</w:t>
      </w:r>
      <w:r>
        <w:br/>
      </w:r>
      <w:r>
        <w:rPr>
          <w:rStyle w:val="VariableTok"/>
        </w:rPr>
        <w:t xml:space="preserve">$new</w:t>
      </w:r>
      <w:r>
        <w:rPr>
          <w:rStyle w:val="OperatorTok"/>
        </w:rPr>
        <w:t xml:space="preserve">.</w:t>
      </w:r>
      <w:r>
        <w:rPr>
          <w:rStyle w:val="FunctionTok"/>
        </w:rPr>
        <w:t xml:space="preserve">TimeToLive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TimeSpan</w:t>
      </w:r>
      <w:r>
        <w:rPr>
          <w:rStyle w:val="OperatorTok"/>
        </w:rPr>
        <w:t xml:space="preserve">]::</w:t>
      </w:r>
      <w:r>
        <w:rPr>
          <w:rStyle w:val="NormalTok"/>
        </w:rPr>
        <w:t xml:space="preserve">FromSeconds</w:t>
      </w:r>
      <w:r>
        <w:rPr>
          <w:rStyle w:val="OperatorTok"/>
        </w:rPr>
        <w:t xml:space="preserve">(</w:t>
      </w:r>
      <w:r>
        <w:rPr>
          <w:rStyle w:val="DecValTok"/>
        </w:rPr>
        <w:t xml:space="preserve">300</w:t>
      </w:r>
      <w:r>
        <w:rPr>
          <w:rStyle w:val="OperatorTok"/>
        </w:rPr>
        <w:t xml:space="preserve">)</w:t>
      </w:r>
      <w:r>
        <w:br/>
      </w:r>
      <w:r>
        <w:rPr>
          <w:rStyle w:val="NormalTok"/>
        </w:rPr>
        <w:t xml:space="preserve">Set-DnsServerResourceRecord </w:t>
      </w:r>
      <w:r>
        <w:rPr>
          <w:rStyle w:val="OperatorTok"/>
        </w:rPr>
        <w:t xml:space="preserve">-</w:t>
      </w:r>
      <w:r>
        <w:rPr>
          <w:rStyle w:val="NormalTok"/>
        </w:rPr>
        <w:t xml:space="preserve">ZoneName corp</w:t>
      </w:r>
      <w:r>
        <w:rPr>
          <w:rStyle w:val="OperatorTok"/>
        </w:rPr>
        <w:t xml:space="preserve">.</w:t>
      </w:r>
      <w:r>
        <w:rPr>
          <w:rStyle w:val="FunctionTok"/>
        </w:rPr>
        <w:t xml:space="preserve">example</w:t>
      </w:r>
      <w:r>
        <w:rPr>
          <w:rStyle w:val="OperatorTok"/>
        </w:rPr>
        <w:t xml:space="preserve">.</w:t>
      </w:r>
      <w:r>
        <w:rPr>
          <w:rStyle w:val="FunctionTok"/>
        </w:rPr>
        <w:t xml:space="preserve">gov</w:t>
      </w:r>
      <w:r>
        <w:rPr>
          <w:rStyle w:val="NormalTok"/>
        </w:rPr>
        <w:t xml:space="preserve"> </w:t>
      </w:r>
      <w:r>
        <w:rPr>
          <w:rStyle w:val="OperatorTok"/>
        </w:rPr>
        <w:t xml:space="preserve">-</w:t>
      </w:r>
      <w:r>
        <w:rPr>
          <w:rStyle w:val="NormalTok"/>
        </w:rPr>
        <w:t xml:space="preserve">OldInputObject </w:t>
      </w:r>
      <w:r>
        <w:rPr>
          <w:rStyle w:val="VariableTok"/>
        </w:rPr>
        <w:t xml:space="preserve">$old</w:t>
      </w:r>
      <w:r>
        <w:rPr>
          <w:rStyle w:val="NormalTok"/>
        </w:rPr>
        <w:t xml:space="preserve"> </w:t>
      </w:r>
      <w:r>
        <w:rPr>
          <w:rStyle w:val="OperatorTok"/>
        </w:rPr>
        <w:t xml:space="preserve">-</w:t>
      </w:r>
      <w:r>
        <w:rPr>
          <w:rStyle w:val="NormalTok"/>
        </w:rPr>
        <w:t xml:space="preserve">NewInputObject </w:t>
      </w:r>
      <w:r>
        <w:rPr>
          <w:rStyle w:val="VariableTok"/>
        </w:rPr>
        <w:t xml:space="preserve">$new</w:t>
      </w:r>
    </w:p>
    <w:p>
      <w:pPr>
        <w:pStyle w:val="FirstParagraph"/>
      </w:pPr>
      <w:r>
        <w:t xml:space="preserve">Check record types the target handles differently before the import, not after it. The record-type catalog and each platform’s support for types such as DNAME and apex aliases are in Appendix A. For TXT records, re-test SPF, DKIM and DMARC after the move; for MX, coordinate with the messaging team.</w:t>
      </w:r>
    </w:p>
    <w:bookmarkEnd w:id="670"/>
    <w:bookmarkStart w:id="671" w:name="three-cutover-patterns"/>
    <w:p>
      <w:pPr>
        <w:pStyle w:val="Heading3"/>
      </w:pPr>
      <w:r>
        <w:t xml:space="preserve">Three cutover patterns</w:t>
      </w:r>
    </w:p>
    <w:p>
      <w:pPr>
        <w:pStyle w:val="FirstParagraph"/>
      </w:pPr>
      <w:r>
        <w:t xml:space="preserve">Three patterns cover almost every zone. Each has a defined rollback.</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Pattern</w:t>
            </w:r>
          </w:p>
        </w:tc>
        <w:tc>
          <w:tcPr/>
          <w:p>
            <w:pPr>
              <w:pStyle w:val="Compact"/>
            </w:pPr>
            <w:r>
              <w:t xml:space="preserve">When to use it</w:t>
            </w:r>
          </w:p>
        </w:tc>
        <w:tc>
          <w:tcPr/>
          <w:p>
            <w:pPr>
              <w:pStyle w:val="Compact"/>
            </w:pPr>
            <w:r>
              <w:t xml:space="preserve">Configuration</w:t>
            </w:r>
          </w:p>
        </w:tc>
        <w:tc>
          <w:tcPr/>
          <w:p>
            <w:pPr>
              <w:pStyle w:val="Compact"/>
            </w:pPr>
            <w:r>
              <w:t xml:space="preserve">Rollback</w:t>
            </w:r>
          </w:p>
        </w:tc>
      </w:tr>
      <w:tr>
        <w:tc>
          <w:tcPr/>
          <w:p>
            <w:pPr>
              <w:pStyle w:val="Compact"/>
            </w:pPr>
            <w:r>
              <w:t xml:space="preserve">Split horizon (same name, different answers)</w:t>
            </w:r>
          </w:p>
        </w:tc>
        <w:tc>
          <w:tcPr/>
          <w:p>
            <w:pPr>
              <w:pStyle w:val="Compact"/>
            </w:pPr>
            <w:r>
              <w:t xml:space="preserve">A name must return a private address inside and a public one outside (Chapter 02)</w:t>
            </w:r>
          </w:p>
        </w:tc>
        <w:tc>
          <w:tcPr/>
          <w:p>
            <w:pPr>
              <w:pStyle w:val="Compact"/>
            </w:pPr>
            <w:r>
              <w:t xml:space="preserve">A public zone and a private zone of the same name with different record sets; the private zone visible only to the governed resolvers</w:t>
            </w:r>
          </w:p>
        </w:tc>
        <w:tc>
          <w:tcPr/>
          <w:p>
            <w:pPr>
              <w:pStyle w:val="Compact"/>
            </w:pPr>
            <w:r>
              <w:t xml:space="preserve">Withdraw the private view; internal clients fall through to the public answer</w:t>
            </w:r>
          </w:p>
        </w:tc>
      </w:tr>
      <w:tr>
        <w:tc>
          <w:tcPr/>
          <w:p>
            <w:pPr>
              <w:pStyle w:val="Compact"/>
            </w:pPr>
            <w:r>
              <w:t xml:space="preserve">Subdomain delegation</w:t>
            </w:r>
          </w:p>
        </w:tc>
        <w:tc>
          <w:tcPr/>
          <w:p>
            <w:pPr>
              <w:pStyle w:val="Compact"/>
            </w:pPr>
            <w:r>
              <w:t xml:space="preserve">A new namespace, such as a cloud subdomain, moves while the parent stays put</w:t>
            </w:r>
          </w:p>
        </w:tc>
        <w:tc>
          <w:tcPr/>
          <w:p>
            <w:pPr>
              <w:pStyle w:val="Compact"/>
            </w:pPr>
            <w:r>
              <w:t xml:space="preserve">NS records (and glue where needed) for the child in the parent zone, pointing at the new authority; a private view of the child for internal resolution</w:t>
            </w:r>
          </w:p>
        </w:tc>
        <w:tc>
          <w:tcPr/>
          <w:p>
            <w:pPr>
              <w:pStyle w:val="Compact"/>
            </w:pPr>
            <w:r>
              <w:t xml:space="preserve">Remove the delegation records from the parent and the child zone from the target</w:t>
            </w:r>
          </w:p>
        </w:tc>
      </w:tr>
      <w:tr>
        <w:tc>
          <w:tcPr/>
          <w:p>
            <w:pPr>
              <w:pStyle w:val="Compact"/>
            </w:pPr>
            <w:r>
              <w:t xml:space="preserve">Progressive migration with conditional forwarding</w:t>
            </w:r>
          </w:p>
        </w:tc>
        <w:tc>
          <w:tcPr/>
          <w:p>
            <w:pPr>
              <w:pStyle w:val="Compact"/>
            </w:pPr>
            <w:r>
              <w:t xml:space="preserve">Whole zones move one at a time</w:t>
            </w:r>
          </w:p>
        </w:tc>
        <w:tc>
          <w:tcPr/>
          <w:p>
            <w:pPr>
              <w:pStyle w:val="Compact"/>
            </w:pPr>
            <w:r>
              <w:t xml:space="preserve">Bidirectional forwarding from Phase 2; export, import and validate each zone, then remove the forwarder that pointed at its old home</w:t>
            </w:r>
          </w:p>
        </w:tc>
        <w:tc>
          <w:tcPr/>
          <w:p>
            <w:pPr>
              <w:pStyle w:val="Compact"/>
            </w:pPr>
            <w:r>
              <w:t xml:space="preserve">Restore the zone from the archived export and point the forwarders back</w:t>
            </w:r>
          </w:p>
        </w:tc>
      </w:tr>
    </w:tbl>
    <w:bookmarkEnd w:id="671"/>
    <w:bookmarkEnd w:id="672"/>
    <w:bookmarkStart w:id="676" w:name="Xd52b136be98aa2cd2e85acf4a1feb3310bcc919"/>
    <w:p>
      <w:pPr>
        <w:pStyle w:val="Heading2"/>
      </w:pPr>
      <w:bookmarkStart w:id="1119" w:name="_Toc00001119"/>
      <w:r>
        <w:t xml:space="preserve">Rollback can delete records in Azure Private DNS</w:t>
      </w:r>
      <w:bookmarkEnd w:id="1119"/>
    </w:p>
    <w:p>
      <w:pPr>
        <w:pStyle w:val="FirstParagraph"/>
      </w:pPr>
      <w:r>
        <w:t xml:space="preserve">Removing a VNet link from an Azure Private DNS zone removes the VM records autoregistered through it, and disabling autoregistration on an existing link deletes all of that link’s autoregistered records immediately.</w:t>
      </w:r>
      <w:r>
        <w:rPr>
          <w:rStyle w:val="FootnoteReference"/>
        </w:rPr>
        <w:footnoteReference w:id="673"/>
      </w:r>
      <w:r>
        <w:t xml:space="preserve"> </w:t>
      </w:r>
      <w:r>
        <w:t xml:space="preserve">Microsoft states that deleted autoregistered records cannot be restored.</w:t>
      </w:r>
      <w:r>
        <w:rPr>
          <w:rStyle w:val="FootnoteReference"/>
        </w:rPr>
        <w:footnoteReference w:id="674"/>
      </w:r>
      <w:r>
        <w:t xml:space="preserve"> </w:t>
      </w:r>
      <w:r>
        <w:t xml:space="preserve">Rolling back by unlinking is safe only for zones with no autoregistration; plan the rollback for the others before the change.</w:t>
      </w:r>
    </w:p>
    <w:bookmarkEnd w:id="676"/>
    <w:bookmarkStart w:id="677" w:name="globalnames-and-reverse-zones"/>
    <w:p>
      <w:pPr>
        <w:pStyle w:val="Heading3"/>
      </w:pPr>
      <w:r>
        <w:t xml:space="preserve">GlobalNames and reverse zones</w:t>
      </w:r>
    </w:p>
    <w:p>
      <w:pPr>
        <w:pStyle w:val="FirstParagraph"/>
      </w:pPr>
      <w:r>
        <w:t xml:space="preserve">The GlobalNames zone (single-label names, the WINS replacement described in Chapter 04) moves as a zone of CNAME records. Single-label resolution against it then depends on each client’s DNS suffix search list, pushed through Group Policy or Intune, so the change is validated per client population and rolled back by reverting the search list. Reverse lookup zones move per zone, but only after their boundaries are reconciled with IPAM; a reverse zone that disagrees with the address plan is a source of orphaned PTR records.</w:t>
      </w:r>
    </w:p>
    <w:bookmarkEnd w:id="677"/>
    <w:bookmarkStart w:id="683" w:name="dhcp-scopes"/>
    <w:p>
      <w:pPr>
        <w:pStyle w:val="Heading3"/>
      </w:pPr>
      <w:r>
        <w:t xml:space="preserve">DHCP scopes</w:t>
      </w:r>
    </w:p>
    <w:p>
      <w:pPr>
        <w:pStyle w:val="FirstParagraph"/>
      </w:pPr>
      <w:r>
        <w:t xml:space="preserve">DHCP moves scope by scope, with its options. On Windows,</w:t>
      </w:r>
      <w:r>
        <w:t xml:space="preserve"> </w:t>
      </w:r>
      <w:r>
        <w:rPr>
          <w:rStyle w:val="VerbatimChar"/>
        </w:rPr>
        <w:t xml:space="preserve">Export-DhcpServer</w:t>
      </w:r>
      <w:r>
        <w:t xml:space="preserve"> </w:t>
      </w:r>
      <w:r>
        <w:t xml:space="preserve">and</w:t>
      </w:r>
      <w:r>
        <w:t xml:space="preserve"> </w:t>
      </w:r>
      <w:r>
        <w:rPr>
          <w:rStyle w:val="VerbatimChar"/>
        </w:rPr>
        <w:t xml:space="preserve">Import-DhcpServer</w:t>
      </w:r>
      <w:r>
        <w:t xml:space="preserve"> </w:t>
      </w:r>
      <w:r>
        <w:t xml:space="preserve">carry the configuration, scopes and leases between servers; the import requires a backup path, because it backs up the target server’s DHCP database before changing it.</w:t>
      </w:r>
      <w:r>
        <w:rPr>
          <w:rStyle w:val="FootnoteReference"/>
        </w:rPr>
        <w:footnoteReference w:id="678"/>
      </w:r>
      <w:r>
        <w:rPr>
          <w:rStyle w:val="FootnoteReference"/>
        </w:rPr>
        <w:footnoteReference w:id="679"/>
      </w:r>
      <w:r>
        <w:t xml:space="preserve"> </w:t>
      </w:r>
      <w:r>
        <w:t xml:space="preserve">Moving to a DDI platform uses the platform’s own import or synchronization, but the order is the same: move the scope, confirm the options, then authorize the new server and de-authorize the old one.</w:t>
      </w:r>
    </w:p>
    <w:p>
      <w:pPr>
        <w:pStyle w:val="BodyText"/>
      </w:pPr>
      <w:r>
        <w:t xml:space="preserve">Three points decide whether a DHCP cutover is quiet:</w:t>
      </w:r>
    </w:p>
    <w:p>
      <w:pPr>
        <w:pStyle w:val="Compact"/>
        <w:numPr>
          <w:ilvl w:val="0"/>
          <w:numId w:val="1052"/>
        </w:numPr>
      </w:pPr>
      <w:r>
        <w:rPr>
          <w:b/>
          <w:bCs/>
        </w:rPr>
        <w:t xml:space="preserve">Option 6 moves with the scope.</w:t>
      </w:r>
      <w:r>
        <w:t xml:space="preserve"> </w:t>
      </w:r>
      <w:r>
        <w:t xml:space="preserve">The DNS-server option is what moves clients onto the governed resolvers, so it is set deliberately, per scope, and checked after import. A scope that keeps the old value keeps its clients on the old resolver. The governance of option 6 against rogue DHCP is in Chapter 05.</w:t>
      </w:r>
    </w:p>
    <w:p>
      <w:pPr>
        <w:pStyle w:val="Compact"/>
        <w:numPr>
          <w:ilvl w:val="0"/>
          <w:numId w:val="1052"/>
        </w:numPr>
      </w:pPr>
      <w:r>
        <w:rPr>
          <w:b/>
          <w:bCs/>
        </w:rPr>
        <w:t xml:space="preserve">Keep failover through the move.</w:t>
      </w:r>
      <w:r>
        <w:t xml:space="preserve"> </w:t>
      </w:r>
      <w:r>
        <w:t xml:space="preserve">Windows Server DHCP failover runs two servers in hot standby (an active server with a standby that holds a reserve, 5% by default) or load balance (both servers answering, 50:50 by default).</w:t>
      </w:r>
      <w:r>
        <w:rPr>
          <w:rStyle w:val="FootnoteReference"/>
        </w:rPr>
        <w:footnoteReference w:id="681"/>
      </w:r>
      <w:r>
        <w:t xml:space="preserve"> </w:t>
      </w:r>
      <w:r>
        <w:t xml:space="preserve">Move both partners of a relationship together, or re-create the relationship on the target, so a scope never runs on one server by accident. For sites with an unreliable WAN, enterprise DDI platforms also offer split-scope designs in which each site serves part of the pool locally.</w:t>
      </w:r>
    </w:p>
    <w:p>
      <w:pPr>
        <w:pStyle w:val="Compact"/>
        <w:numPr>
          <w:ilvl w:val="0"/>
          <w:numId w:val="1052"/>
        </w:numPr>
      </w:pPr>
      <w:r>
        <w:rPr>
          <w:b/>
          <w:bCs/>
        </w:rPr>
        <w:t xml:space="preserve">Re-establish dynamic DNS registration.</w:t>
      </w:r>
      <w:r>
        <w:t xml:space="preserve"> </w:t>
      </w:r>
      <w:r>
        <w:t xml:space="preserve">Lease events must keep creating and removing A and PTR records on the new platform, or DNS becomes a map of where devices used to be.</w:t>
      </w:r>
    </w:p>
    <w:p>
      <w:pPr>
        <w:pStyle w:val="FirstParagraph"/>
      </w:pPr>
      <w:r>
        <w:t xml:space="preserve">Three target states are common, and most agencies end with a mix: cloud-native DHCP with autoregistration for cloud VMs; on-premises DHCP for physical and legacy devices with forwarding for cross-environment resolution; and a centralized DDI platform that manages DHCP, DNS records and IPAM across both through one API.</w:t>
      </w:r>
    </w:p>
    <w:bookmarkEnd w:id="683"/>
    <w:bookmarkStart w:id="689" w:name="moving-clients-in-waves"/>
    <w:p>
      <w:pPr>
        <w:pStyle w:val="Heading3"/>
      </w:pPr>
      <w:r>
        <w:t xml:space="preserve">Moving clients in waves</w:t>
      </w:r>
    </w:p>
    <w:p>
      <w:pPr>
        <w:pStyle w:val="FirstParagraph"/>
      </w:pPr>
      <w:r>
        <w:t xml:space="preserve">Clients move last within the phase, in waves (pilot, then a department, then the whole organization), by changing DHCP option 6 on-premises and the custom DNS settings on cloud networks. Two details matter on Azure. The DNS server list on a VNet is not a dependable primary-and-fallback chain: clients that use it in order stay on the first reachable server even when it is answering badly, and some clients pick among the listed servers (Chapter 07). Either way, do not pad the list with a resolver that has a different view (such as Azure-provided DNS behind a custom resolver) as a</w:t>
      </w:r>
      <w:r>
        <w:t xml:space="preserve"> </w:t>
      </w:r>
      <w:r>
        <w:t xml:space="preserve">“fallback”</w:t>
      </w:r>
      <w:r>
        <w:t xml:space="preserve">.</w:t>
      </w:r>
      <w:r>
        <w:rPr>
          <w:rStyle w:val="FootnoteReference"/>
        </w:rPr>
        <w:footnoteReference w:id="684"/>
      </w:r>
      <w:r>
        <w:t xml:space="preserve"> </w:t>
      </w:r>
      <w:r>
        <w:t xml:space="preserve">And VMs keep their old DNS settings until they are restarted or renew their DHCP lease.</w:t>
      </w:r>
      <w:r>
        <w:rPr>
          <w:rStyle w:val="FootnoteReference"/>
        </w:rPr>
        <w:footnoteReference w:id="686"/>
      </w:r>
      <w:r>
        <w:rPr>
          <w:rStyle w:val="FootnoteReference"/>
        </w:rPr>
        <w:footnoteReference w:id="687"/>
      </w:r>
      <w:r>
        <w:t xml:space="preserve"> </w:t>
      </w:r>
      <w:r>
        <w:t xml:space="preserve">Roll a wave back by reverting option 6 or the VNet setting and renewing leases.</w:t>
      </w:r>
    </w:p>
    <w:bookmarkEnd w:id="689"/>
    <w:bookmarkStart w:id="690" w:name="retargeting-the-edge"/>
    <w:p>
      <w:pPr>
        <w:pStyle w:val="Heading3"/>
      </w:pPr>
      <w:r>
        <w:t xml:space="preserve">Retargeting the edge</w:t>
      </w:r>
    </w:p>
    <w:p>
      <w:pPr>
        <w:pStyle w:val="FirstParagraph"/>
      </w:pPr>
      <w:r>
        <w:t xml:space="preserve">At the branch, SD-WAN redirect-dns moves to network-addressable agency resolvers, and any SASE resolver becomes a forwarding target of the agency resolver rather than the redirect target (Chapter 08, Decisions 1 and 2; the mechanics are in Chapter 05). Verify the order in the running configuration, not the design document.</w:t>
      </w:r>
    </w:p>
    <w:bookmarkEnd w:id="690"/>
    <w:bookmarkStart w:id="691" w:name="phase-4-cloud-federation"/>
    <w:p>
      <w:pPr>
        <w:pStyle w:val="Heading2"/>
      </w:pPr>
      <w:bookmarkStart w:id="1120" w:name="_Toc00001120"/>
      <w:r>
        <w:t xml:space="preserve">Phase 4 — Cloud federation</w:t>
      </w:r>
      <w:bookmarkEnd w:id="1120"/>
    </w:p>
    <w:p>
      <w:pPr>
        <w:pStyle w:val="FirstParagraph"/>
      </w:pPr>
      <w:r>
        <w:t xml:space="preserve">Federation brings each cloud’s DNS and address data under the policy plane: cloud discovery and IPAM federation, private endpoint zones published once and consumed everywhere, and the per-cloud forwarding rules held in one place (Decision 3). The design is Chapter 07; this phase’s contribution is the validation matrix. Before the phase closes, every class of name resolves correctly from every origin: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 tested</w:t>
            </w:r>
          </w:p>
        </w:tc>
        <w:tc>
          <w:tcPr/>
          <w:p>
            <w:pPr>
              <w:pStyle w:val="Compact"/>
            </w:pPr>
            <w:r>
              <w:t xml:space="preserve">On-premises</w:t>
            </w:r>
          </w:p>
        </w:tc>
        <w:tc>
          <w:tcPr/>
          <w:p>
            <w:pPr>
              <w:pStyle w:val="Compact"/>
            </w:pPr>
            <w:r>
              <w:t xml:space="preserve">Each cloud</w:t>
            </w:r>
          </w:p>
        </w:tc>
        <w:tc>
          <w:tcPr/>
          <w:p>
            <w:pPr>
              <w:pStyle w:val="Compact"/>
            </w:pPr>
            <w:r>
              <w:t xml:space="preserve">Branch (through redirect-dns)</w:t>
            </w:r>
          </w:p>
        </w:tc>
      </w:tr>
      <w:tr>
        <w:tc>
          <w:tcPr/>
          <w:p>
            <w:pPr>
              <w:pStyle w:val="Compact"/>
            </w:pPr>
            <w:r>
              <w:t xml:space="preserve">On-premises host names</w:t>
            </w:r>
          </w:p>
        </w:tc>
        <w:tc>
          <w:tcPr/>
          <w:p>
            <w:pPr>
              <w:pStyle w:val="Compact"/>
            </w:pPr>
            <w:r>
              <w:t xml:space="preserve">Native</w:t>
            </w:r>
          </w:p>
        </w:tc>
        <w:tc>
          <w:tcPr/>
          <w:p>
            <w:pPr>
              <w:pStyle w:val="Compact"/>
            </w:pPr>
            <w:r>
              <w:t xml:space="preserve">Through the outbound forwarding rule</w:t>
            </w:r>
          </w:p>
        </w:tc>
        <w:tc>
          <w:tcPr/>
          <w:p>
            <w:pPr>
              <w:pStyle w:val="Compact"/>
            </w:pPr>
            <w:r>
              <w:t xml:space="preserve">Through the agency resolver</w:t>
            </w:r>
          </w:p>
        </w:tc>
      </w:tr>
      <w:tr>
        <w:tc>
          <w:tcPr/>
          <w:p>
            <w:pPr>
              <w:pStyle w:val="Compact"/>
            </w:pPr>
            <w:r>
              <w:t xml:space="preserve">Cloud host names</w:t>
            </w:r>
          </w:p>
        </w:tc>
        <w:tc>
          <w:tcPr/>
          <w:p>
            <w:pPr>
              <w:pStyle w:val="Compact"/>
            </w:pPr>
            <w:r>
              <w:t xml:space="preserve">Through the inbound endpoint</w:t>
            </w:r>
          </w:p>
        </w:tc>
        <w:tc>
          <w:tcPr/>
          <w:p>
            <w:pPr>
              <w:pStyle w:val="Compact"/>
            </w:pPr>
            <w:r>
              <w:t xml:space="preserve">Native</w:t>
            </w:r>
          </w:p>
        </w:tc>
        <w:tc>
          <w:tcPr/>
          <w:p>
            <w:pPr>
              <w:pStyle w:val="Compact"/>
            </w:pPr>
            <w:r>
              <w:t xml:space="preserve">Through the agency resolver</w:t>
            </w:r>
          </w:p>
        </w:tc>
      </w:tr>
      <w:tr>
        <w:tc>
          <w:tcPr/>
          <w:p>
            <w:pPr>
              <w:pStyle w:val="Compact"/>
            </w:pPr>
            <w:r>
              <w:t xml:space="preserve">Private endpoint (</w:t>
            </w:r>
            <w:r>
              <w:rPr>
                <w:rStyle w:val="VerbatimChar"/>
              </w:rPr>
              <w:t xml:space="preserve">privatelink</w:t>
            </w:r>
            <w:r>
              <w:t xml:space="preserve">) names</w:t>
            </w:r>
          </w:p>
        </w:tc>
        <w:tc>
          <w:tcPr/>
          <w:p>
            <w:pPr>
              <w:pStyle w:val="Compact"/>
            </w:pPr>
            <w:r>
              <w:t xml:space="preserve">Private address, not public</w:t>
            </w:r>
          </w:p>
        </w:tc>
        <w:tc>
          <w:tcPr/>
          <w:p>
            <w:pPr>
              <w:pStyle w:val="Compact"/>
            </w:pPr>
            <w:r>
              <w:t xml:space="preserve">Private address</w:t>
            </w:r>
          </w:p>
        </w:tc>
        <w:tc>
          <w:tcPr/>
          <w:p>
            <w:pPr>
              <w:pStyle w:val="Compact"/>
            </w:pPr>
            <w:r>
              <w:t xml:space="preserve">Private address</w:t>
            </w:r>
          </w:p>
        </w:tc>
      </w:tr>
      <w:tr>
        <w:tc>
          <w:tcPr/>
          <w:p>
            <w:pPr>
              <w:pStyle w:val="Compact"/>
            </w:pPr>
            <w:r>
              <w:t xml:space="preserve">AD locator records</w:t>
            </w:r>
          </w:p>
        </w:tc>
        <w:tc>
          <w:tcPr/>
          <w:p>
            <w:pPr>
              <w:pStyle w:val="Compact"/>
            </w:pPr>
            <w:r>
              <w:t xml:space="preserve">Native</w:t>
            </w:r>
          </w:p>
        </w:tc>
        <w:tc>
          <w:tcPr/>
          <w:p>
            <w:pPr>
              <w:pStyle w:val="Compact"/>
            </w:pPr>
            <w:r>
              <w:t xml:space="preserve">Through the forwarding rule to the DCs</w:t>
            </w:r>
          </w:p>
        </w:tc>
        <w:tc>
          <w:tcPr/>
          <w:p>
            <w:pPr>
              <w:pStyle w:val="Compact"/>
            </w:pPr>
            <w:r>
              <w:t xml:space="preserve">Through the agency resolver</w:t>
            </w:r>
          </w:p>
        </w:tc>
      </w:tr>
      <w:tr>
        <w:tc>
          <w:tcPr/>
          <w:p>
            <w:pPr>
              <w:pStyle w:val="Compact"/>
            </w:pPr>
            <w:r>
              <w:t xml:space="preserve">OCSP and CRL endpoints</w:t>
            </w:r>
          </w:p>
        </w:tc>
        <w:tc>
          <w:tcPr/>
          <w:p>
            <w:pPr>
              <w:pStyle w:val="Compact"/>
            </w:pPr>
            <w:r>
              <w:t xml:space="preserve">Resolves</w:t>
            </w:r>
          </w:p>
        </w:tc>
        <w:tc>
          <w:tcPr/>
          <w:p>
            <w:pPr>
              <w:pStyle w:val="Compact"/>
            </w:pPr>
            <w:r>
              <w:t xml:space="preserve">Resolves</w:t>
            </w:r>
          </w:p>
        </w:tc>
        <w:tc>
          <w:tcPr/>
          <w:p>
            <w:pPr>
              <w:pStyle w:val="Compact"/>
            </w:pPr>
            <w:r>
              <w:t xml:space="preserve">Resolves</w:t>
            </w:r>
          </w:p>
        </w:tc>
      </w:tr>
    </w:tbl>
    <w:p>
      <w:pPr>
        <w:pStyle w:val="BodyText"/>
      </w:pPr>
      <w:r>
        <w:t xml:space="preserve">A private endpoint name that returns a public address from any origin is a failed test, even if the application appears to work.</w:t>
      </w:r>
    </w:p>
    <w:bookmarkEnd w:id="691"/>
    <w:bookmarkStart w:id="694" w:name="phase-5-decommission-ad-dns-and-dhcp"/>
    <w:p>
      <w:pPr>
        <w:pStyle w:val="Heading2"/>
      </w:pPr>
      <w:bookmarkStart w:id="1121" w:name="_Toc00001121"/>
      <w:r>
        <w:t xml:space="preserve">Phase 5 — Decommission AD DNS and DHCP</w:t>
      </w:r>
      <w:bookmarkEnd w:id="1121"/>
    </w:p>
    <w:p>
      <w:pPr>
        <w:pStyle w:val="FirstParagraph"/>
      </w:pPr>
      <w:r>
        <w:t xml:space="preserve">Decommissioning is the one step whose mistakes cannot be rolled back cheaply, so it is gated rather than scheduled. While any domain controller remains, its domain’s zones (including</w:t>
      </w:r>
      <w:r>
        <w:t xml:space="preserve"> </w:t>
      </w:r>
      <w:r>
        <w:rPr>
          <w:rStyle w:val="VerbatimChar"/>
        </w:rPr>
        <w:t xml:space="preserve">_msdcs</w:t>
      </w:r>
      <w:r>
        <w:t xml:space="preserve">) must be hosted by a DNS service that accepts secure dynamic registration from domain controllers: AD DNS itself, or a DDI platform that supports it. That is why the locator records stay on AD DNS through the hybrid period, reached by forwarding, and why they are the last thing to move.</w:t>
      </w:r>
    </w:p>
    <w:p>
      <w:pPr>
        <w:pStyle w:val="BodyText"/>
      </w:pPr>
      <w:r>
        <w:t xml:space="preserve">The gates, all of which must pass:</w:t>
      </w:r>
    </w:p>
    <w:p>
      <w:pPr>
        <w:pStyle w:val="Compact"/>
        <w:numPr>
          <w:ilvl w:val="0"/>
          <w:numId w:val="1053"/>
        </w:numPr>
      </w:pPr>
      <w:r>
        <w:rPr>
          <w:b/>
          <w:bCs/>
        </w:rPr>
        <w:t xml:space="preserve">The inventory reconciles.</w:t>
      </w:r>
      <w:r>
        <w:t xml:space="preserve"> </w:t>
      </w:r>
      <w:r>
        <w:t xml:space="preserve">Every zone, record, forwarder and scope from Phase 1 is accounted for in the target or deliberately retired, in both directions: nothing missing from the target and nothing unexplained in it.</w:t>
      </w:r>
    </w:p>
    <w:p>
      <w:pPr>
        <w:pStyle w:val="Compact"/>
        <w:numPr>
          <w:ilvl w:val="0"/>
          <w:numId w:val="1053"/>
        </w:numPr>
      </w:pPr>
      <w:r>
        <w:rPr>
          <w:b/>
          <w:bCs/>
        </w:rPr>
        <w:t xml:space="preserve">SRV resolution holds.</w:t>
      </w:r>
      <w:r>
        <w:t xml:space="preserve"> </w:t>
      </w:r>
      <w:r>
        <w:t xml:space="preserve">Every critical locator record resolves from every VNet and every on-premises site, checked every 15 minutes, with 100% success for 30 consecutive days and no open alerts (Chapter 11 has the monitoring).</w:t>
      </w:r>
    </w:p>
    <w:p>
      <w:pPr>
        <w:pStyle w:val="Compact"/>
        <w:numPr>
          <w:ilvl w:val="0"/>
          <w:numId w:val="1053"/>
        </w:numPr>
      </w:pPr>
      <w:r>
        <w:rPr>
          <w:b/>
          <w:bCs/>
        </w:rPr>
        <w:t xml:space="preserve">Parallel operation has run its course.</w:t>
      </w:r>
      <w:r>
        <w:t xml:space="preserve"> </w:t>
      </w:r>
      <w:r>
        <w:t xml:space="preserve">The program requires 90 days of parallel operation with no critical alerts and no unresolved drift.</w:t>
      </w:r>
    </w:p>
    <w:p>
      <w:pPr>
        <w:pStyle w:val="Compact"/>
        <w:numPr>
          <w:ilvl w:val="0"/>
          <w:numId w:val="1053"/>
        </w:numPr>
      </w:pPr>
      <w:r>
        <w:rPr>
          <w:b/>
          <w:bCs/>
        </w:rPr>
        <w:t xml:space="preserve">Failover has been tested</w:t>
      </w:r>
      <w:r>
        <w:t xml:space="preserve"> </w:t>
      </w:r>
      <w:r>
        <w:t xml:space="preserve">on the new resolvers and DHCP servers, not assumed.</w:t>
      </w:r>
    </w:p>
    <w:p>
      <w:pPr>
        <w:pStyle w:val="Compact"/>
        <w:numPr>
          <w:ilvl w:val="0"/>
          <w:numId w:val="1053"/>
        </w:numPr>
      </w:pPr>
      <w:r>
        <w:rPr>
          <w:b/>
          <w:bCs/>
        </w:rPr>
        <w:t xml:space="preserve">The old servers are idle.</w:t>
      </w:r>
      <w:r>
        <w:t xml:space="preserve"> </w:t>
      </w:r>
      <w:r>
        <w:t xml:space="preserve">A final query-log review shows no direct queries reaching the legacy DNS servers.</w:t>
      </w:r>
    </w:p>
    <w:p>
      <w:pPr>
        <w:pStyle w:val="FirstParagraph"/>
      </w:pPr>
      <w:r>
        <w:t xml:space="preserve">Then decommission in this order: remove the legacy DNS addresses from DHCP options, Group Policy and VNet settings; remove the on-premises conditional forwarders for zones that have moved; archive the final zone and DHCP exports; de-authorize the old DHCP servers in Active Directory;</w:t>
      </w:r>
      <w:r>
        <w:rPr>
          <w:rStyle w:val="FootnoteReference"/>
        </w:rPr>
        <w:footnoteReference w:id="692"/>
      </w:r>
      <w:r>
        <w:t xml:space="preserve"> </w:t>
      </w:r>
      <w:r>
        <w:t xml:space="preserve">and only then remove the DNS and DHCP server roles. Allow a 7-day burn-in with no client impact before the phase closes. The rollback during burn-in is to reinstall the role from the archived exports and put the addresses back into DHCP and Group Policy, which is why the exports are archived before anything is removed.</w:t>
      </w:r>
    </w:p>
    <w:bookmarkEnd w:id="694"/>
    <w:bookmarkStart w:id="695" w:name="do-not-decommission-early"/>
    <w:p>
      <w:pPr>
        <w:pStyle w:val="Heading2"/>
      </w:pPr>
      <w:bookmarkStart w:id="1122" w:name="_Toc00001122"/>
      <w:r>
        <w:t xml:space="preserve">Do not decommission early</w:t>
      </w:r>
      <w:bookmarkEnd w:id="1122"/>
    </w:p>
    <w:p>
      <w:pPr>
        <w:pStyle w:val="FirstParagraph"/>
      </w:pPr>
      <w:r>
        <w:t xml:space="preserve">Do not remove legacy DNS servers until the parallel-operation period has passed with no critical alerts. Losing the locator records through a premature decommission causes forest-wide authentication and domain-join failures that are hard to diagnose under pressure.</w:t>
      </w:r>
    </w:p>
    <w:bookmarkEnd w:id="695"/>
    <w:bookmarkStart w:id="696" w:name="phase-6-policy-and-compliance-hardening"/>
    <w:p>
      <w:pPr>
        <w:pStyle w:val="Heading2"/>
      </w:pPr>
      <w:bookmarkStart w:id="1123" w:name="_Toc00001123"/>
      <w:r>
        <w:t xml:space="preserve">Phase 6 — Policy and compliance hardening</w:t>
      </w:r>
      <w:bookmarkEnd w:id="1123"/>
    </w:p>
    <w:p>
      <w:pPr>
        <w:pStyle w:val="FirstParagraph"/>
      </w:pPr>
      <w:r>
        <w:t xml:space="preserve">With authority moved, the controls that depend on a single governed path can be switched on everywhere: Protective DNS forwarding and encrypted DNS (Chapter 05), DNSSEC signing and validation where required (Chapter 06; the program’s own rule for the migration period is to finish any key rollover in progress before a signed zone moves, start no new rollover while zones are moving, and keep the old signing in place until the new chain of trust validates), and the monitoring and evidence in Chapter 11. The phase closes when the evidence checklist in Chapter 11 is complete.</w:t>
      </w:r>
    </w:p>
    <w:bookmarkEnd w:id="696"/>
    <w:bookmarkStart w:id="697" w:name="what-success-looks-like"/>
    <w:p>
      <w:pPr>
        <w:pStyle w:val="Heading2"/>
      </w:pPr>
      <w:bookmarkStart w:id="1124" w:name="_Toc00001124"/>
      <w:r>
        <w:t xml:space="preserve">What success looks like</w:t>
      </w:r>
      <w:bookmarkEnd w:id="1124"/>
    </w:p>
    <w:p>
      <w:pPr>
        <w:pStyle w:val="FirstParagraph"/>
      </w:pPr>
      <w:r>
        <w:t xml:space="preserve">The migration is finished when four things are true and the query logs prove them:</w:t>
      </w:r>
    </w:p>
    <w:p>
      <w:pPr>
        <w:pStyle w:val="Compact"/>
        <w:numPr>
          <w:ilvl w:val="0"/>
          <w:numId w:val="1054"/>
        </w:numPr>
      </w:pPr>
      <w:r>
        <w:t xml:space="preserve">The same query returns the intended answer, private or public, from every governed origin.</w:t>
      </w:r>
    </w:p>
    <w:p>
      <w:pPr>
        <w:pStyle w:val="Compact"/>
        <w:numPr>
          <w:ilvl w:val="0"/>
          <w:numId w:val="1054"/>
        </w:numPr>
      </w:pPr>
      <w:r>
        <w:t xml:space="preserve">Private endpoint traffic stays on the private path.</w:t>
      </w:r>
    </w:p>
    <w:p>
      <w:pPr>
        <w:pStyle w:val="Compact"/>
        <w:numPr>
          <w:ilvl w:val="0"/>
          <w:numId w:val="1054"/>
        </w:numPr>
      </w:pPr>
      <w:r>
        <w:t xml:space="preserve">Nothing depends on a decommissioned DNS server.</w:t>
      </w:r>
    </w:p>
    <w:p>
      <w:pPr>
        <w:pStyle w:val="Compact"/>
        <w:numPr>
          <w:ilvl w:val="0"/>
          <w:numId w:val="1054"/>
        </w:numPr>
      </w:pPr>
      <w:r>
        <w:t xml:space="preserve">Query logging confirms resolution-path consistency.</w:t>
      </w:r>
    </w:p>
    <w:p>
      <w:pPr>
        <w:pStyle w:val="FirstParagraph"/>
      </w:pPr>
      <w:r>
        <w:t xml:space="preserve">The four risks that most often stop it are the ones this chapter’s gates exist for: split-brain from missing or stale forwarding rules, private endpoints falling back to public addresses, orphaned SRV records when domain controllers are retired before their records are inventoried, and OCSP or CRL endpoints that resolve from some locations and not others.</w:t>
      </w:r>
    </w:p>
    <w:p>
      <w:pPr>
        <w:pStyle w:val="BodyText"/>
      </w:pPr>
      <w:r>
        <w:t xml:space="preserve">Before the next SD-WAN or DDI change, whatever phase the program is in: audit every branch’s redirect-dns target; verify the forwarding chain order in the running configuration; complete the AD DNS inventory before touching a domain controller; confirm the sovereign-cloud limits on Microsoft 365 telemetry with the program office if any part of the estate is in GCC or DoD (Appendix C); and take open questions to the vendors rather than working around unconfirmed behavior.</w:t>
      </w:r>
    </w:p>
    <w:bookmarkEnd w:id="697"/>
    <w:bookmarkStart w:id="698" w:name="what-this-chapter-establishes-8"/>
    <w:p>
      <w:pPr>
        <w:pStyle w:val="Heading2"/>
      </w:pPr>
      <w:bookmarkStart w:id="1125" w:name="_Toc00001125"/>
      <w:r>
        <w:t xml:space="preserve">What this chapter establishes</w:t>
      </w:r>
      <w:bookmarkEnd w:id="1125"/>
    </w:p>
    <w:p>
      <w:pPr>
        <w:pStyle w:val="Compact"/>
        <w:numPr>
          <w:ilvl w:val="0"/>
          <w:numId w:val="1055"/>
        </w:numPr>
      </w:pPr>
      <w:r>
        <w:t xml:space="preserve">The migration runs in six phases: inventory, coexistence, authority, cloud federation, AD DNS and DHCP decommissioning, hardening.</w:t>
      </w:r>
    </w:p>
    <w:p>
      <w:pPr>
        <w:pStyle w:val="Compact"/>
        <w:numPr>
          <w:ilvl w:val="0"/>
          <w:numId w:val="1055"/>
        </w:numPr>
      </w:pPr>
      <w:r>
        <w:t xml:space="preserve">Every move of authority is one pass through the same cutover loop, validated from every origin, with a rollback point where the old authority still answers.</w:t>
      </w:r>
    </w:p>
    <w:p>
      <w:pPr>
        <w:pStyle w:val="Compact"/>
        <w:numPr>
          <w:ilvl w:val="0"/>
          <w:numId w:val="1055"/>
        </w:numPr>
      </w:pPr>
      <w:r>
        <w:t xml:space="preserve">AD locator records stay where domain controllers can register them until the last domain controller goes; AD DNS and DHCP are decommissioned only through gates, never on a date.</w:t>
      </w:r>
    </w:p>
    <w:bookmarkEnd w:id="698"/>
    <w:bookmarkStart w:id="699" w:name="continue-the-book-9"/>
    <w:p>
      <w:pPr>
        <w:pStyle w:val="Heading2"/>
      </w:pPr>
      <w:bookmarkStart w:id="1126" w:name="_Toc00001126"/>
      <w:r>
        <w:t xml:space="preserve">Continue the book</w:t>
      </w:r>
      <w:bookmarkEnd w:id="1126"/>
    </w:p>
    <w:p>
      <w:pPr>
        <w:pStyle w:val="FirstParagraph"/>
      </w:pPr>
      <w:r>
        <w:t xml:space="preserve">← Previous: Chapter 09 — Who Owns DNS, DHCP and IPAM · Book index · Next: Chapter 11 — Operating the Control Plane: Delegation, Automation and Evidence →</w:t>
      </w:r>
    </w:p>
    <w:bookmarkEnd w:id="699"/>
    <w:bookmarkEnd w:id="700"/>
    <w:bookmarkStart w:id="788" w:name="X9055c8ead62f73a7e6ec9c9482716b0c8cc9d75"/>
    <w:p>
      <w:pPr>
        <w:pStyle w:val="Heading1"/>
      </w:pPr>
      <w:bookmarkStart w:id="1127" w:name="_Toc00001127"/>
      <w:r>
        <w:t xml:space="preserve">Chapter 11 — Operating the Control Plane: Delegation, Automation and Evidence</w:t>
      </w:r>
      <w:bookmarkEnd w:id="1127"/>
    </w:p>
    <w:p>
      <w:pPr>
        <w:pStyle w:val="FirstParagraph"/>
      </w:pPr>
      <w:r>
        <w:rPr>
          <w:i/>
          <w:iCs/>
        </w:rPr>
        <w:t xml:space="preserve">One policy plane is only an improvement if divisions can still run their own networks through it, every change leaves a trace, and the logs it keeps are the evidence an authorizing official asks for.</w:t>
      </w:r>
    </w:p>
    <w:bookmarkStart w:id="701" w:name="in-this-chapter-10"/>
    <w:p>
      <w:pPr>
        <w:pStyle w:val="Heading2"/>
      </w:pPr>
      <w:bookmarkStart w:id="1128" w:name="_Toc00001128"/>
      <w:r>
        <w:t xml:space="preserve">In this chapter</w:t>
      </w:r>
      <w:bookmarkEnd w:id="1128"/>
    </w:p>
    <w:p>
      <w:pPr>
        <w:pStyle w:val="FirstParagraph"/>
      </w:pPr>
      <w:r>
        <w:t xml:space="preserve">How divisions keep scoped autonomy under one authority, and the Windows and Azure equivalents of that model. The API, ITSM, identity and ACME certificate integrations the plane must support. What to log and monitor, against OMB M-21-31: query and lease logs, platform metrics, SRV checks, drift detection and record hygiene. A troubleshooting reference for the hybrid period, and the evidence checklist that closes Chapter 10’s final phase.</w:t>
      </w:r>
    </w:p>
    <w:bookmarkEnd w:id="701"/>
    <w:p>
      <w:pPr>
        <w:pStyle w:val="BodyText"/>
      </w:pPr>
      <w:r>
        <w:t xml:space="preserve">A single policy plane only works if the divisions that own their own networks can still operate them. This chapter sets out what the plane must support for delegated administration, automation, ITSM and identity integration, certificate automation, monitoring and compliance evidence. Where it names products, they illustrate the requirement; equivalent capabilities should be confirmed in current vendor documentation for any platform under evaluation. Who holds each role is decided in Chapter 09.</w:t>
      </w:r>
    </w:p>
    <w:bookmarkStart w:id="706" w:name="X0ffba834392eaed5984862ff13f297b8ec70b32"/>
    <w:p>
      <w:pPr>
        <w:pStyle w:val="Heading2"/>
      </w:pPr>
      <w:bookmarkStart w:id="1129" w:name="_Toc00001129"/>
      <w:r>
        <w:t xml:space="preserve">Delegated administration across divisions</w:t>
      </w:r>
      <w:bookmarkEnd w:id="1129"/>
    </w:p>
    <w:bookmarkStart w:id="705" w:name="fig-ch11-delegated-administration"/>
    <w:p>
      <w:pPr>
        <w:pStyle w:val="CaptionedFigure"/>
      </w:pPr>
      <w:r>
        <w:drawing>
          <wp:inline>
            <wp:extent cx="4844883" cy="3025658"/>
            <wp:effectExtent b="0" l="0" r="0" t="0"/>
            <wp:docPr descr="Delegated administration: divisional autonomy, corporate visibility, one audit trail." title="" id="703" name="Picture"/>
            <a:graphic>
              <a:graphicData uri="http://schemas.openxmlformats.org/drawingml/2006/picture">
                <pic:pic>
                  <pic:nvPicPr>
                    <pic:cNvPr descr="/home/runner/work/modernization-workbook/modernization-workbook/docs/images/diagrams/b08-ddi/png/ch11-delegated-administration.png" id="704" name="Picture"/>
                    <pic:cNvPicPr>
                      <a:picLocks noChangeArrowheads="1" noChangeAspect="1"/>
                    </pic:cNvPicPr>
                  </pic:nvPicPr>
                  <pic:blipFill>
                    <a:blip r:embed="rId702"/>
                    <a:stretch>
                      <a:fillRect/>
                    </a:stretch>
                  </pic:blipFill>
                  <pic:spPr bwMode="auto">
                    <a:xfrm>
                      <a:off x="0" y="0"/>
                      <a:ext cx="4844883" cy="3025658"/>
                    </a:xfrm>
                    <a:prstGeom prst="rect">
                      <a:avLst/>
                    </a:prstGeom>
                    <a:noFill/>
                    <a:ln w="9525">
                      <a:noFill/>
                      <a:headEnd/>
                      <a:tailEnd/>
                    </a:ln>
                  </pic:spPr>
                </pic:pic>
              </a:graphicData>
            </a:graphic>
          </wp:inline>
        </w:drawing>
      </w:r>
    </w:p>
    <w:p>
      <w:pPr>
        <w:pStyle w:val="ImageCaption"/>
      </w:pPr>
      <w:r>
        <w:t xml:space="preserve">Delegated administration: divisional autonomy, corporate visibility, one audit trail.</w:t>
      </w:r>
    </w:p>
    <w:bookmarkEnd w:id="705"/>
    <w:p>
      <w:pPr>
        <w:pStyle w:val="BodyText"/>
      </w:pPr>
      <w:r>
        <w:t xml:space="preserve">The policy plane should let corporate administrators keep full visibility while giving divisional teams scoped autonomy:</w:t>
      </w:r>
    </w:p>
    <w:p>
      <w:pPr>
        <w:pStyle w:val="Compact"/>
        <w:numPr>
          <w:ilvl w:val="0"/>
          <w:numId w:val="1056"/>
        </w:numPr>
      </w:pPr>
      <w:r>
        <w:t xml:space="preserve">Corporate administrators see and manage the entire estate.</w:t>
      </w:r>
    </w:p>
    <w:p>
      <w:pPr>
        <w:pStyle w:val="Compact"/>
        <w:numPr>
          <w:ilvl w:val="0"/>
          <w:numId w:val="1056"/>
        </w:numPr>
      </w:pPr>
      <w:r>
        <w:t xml:space="preserve">Each divisional team is assigned a scope that limits it to the zones, IP spaces, address blocks, DHCP scopes and other objects that belong to the division, including zones synchronized from cloud DNS services. Child objects inherit their parent’s scope.</w:t>
      </w:r>
    </w:p>
    <w:p>
      <w:pPr>
        <w:pStyle w:val="Compact"/>
        <w:numPr>
          <w:ilvl w:val="0"/>
          <w:numId w:val="1056"/>
        </w:numPr>
      </w:pPr>
      <w:r>
        <w:t xml:space="preserve">Predefined roles cover DNS, DHCP and IPAM functions (for example manager, operator and auditor), and custom roles can combine granular create, read, update and delete permissions.</w:t>
      </w:r>
    </w:p>
    <w:p>
      <w:pPr>
        <w:pStyle w:val="Compact"/>
        <w:numPr>
          <w:ilvl w:val="0"/>
          <w:numId w:val="1056"/>
        </w:numPr>
      </w:pPr>
      <w:r>
        <w:t xml:space="preserve">Divisional users and automation accounts cannot see or change objects outside their scope.</w:t>
      </w:r>
    </w:p>
    <w:p>
      <w:pPr>
        <w:pStyle w:val="Compact"/>
        <w:numPr>
          <w:ilvl w:val="0"/>
          <w:numId w:val="1056"/>
        </w:numPr>
      </w:pPr>
      <w:r>
        <w:t xml:space="preserve">The result is fewer tickets and faster divisional change, with one authoritative policy plane and a full audit trail for corporate oversight.</w:t>
      </w:r>
    </w:p>
    <w:bookmarkEnd w:id="706"/>
    <w:bookmarkStart w:id="711" w:name="illustrative-implementation"/>
    <w:p>
      <w:pPr>
        <w:pStyle w:val="Heading2"/>
      </w:pPr>
      <w:bookmarkStart w:id="1130" w:name="_Toc00001130"/>
      <w:r>
        <w:t xml:space="preserve">Illustrative implementation</w:t>
      </w:r>
      <w:bookmarkEnd w:id="1130"/>
    </w:p>
    <w:p>
      <w:pPr>
        <w:pStyle w:val="FirstParagraph"/>
      </w:pPr>
      <w:r>
        <w:t xml:space="preserve">Infoblox Universal DDI implements this model as access views combined with access policies in the Infoblox Portal: a policy joins a role, a user group and an access view. Infoblox documents IP spaces, address blocks, DNS views and DNS zones as assignable to an access view, with subnets, ranges, fixed addresses and DHCP objects inheriting the view of their parent.</w:t>
      </w:r>
      <w:r>
        <w:rPr>
          <w:rStyle w:val="FootnoteReference"/>
        </w:rPr>
        <w:footnoteReference w:id="707"/>
      </w:r>
      <w:r>
        <w:t xml:space="preserve"> </w:t>
      </w:r>
      <w:r>
        <w:t xml:space="preserve">Its access-policy documentation also states that access views currently support only the DDI IPAM manager, operator, auditor and user roles, with other roles planned,</w:t>
      </w:r>
      <w:r>
        <w:rPr>
          <w:rStyle w:val="FootnoteReference"/>
        </w:rPr>
        <w:footnoteReference w:id="709"/>
      </w:r>
      <w:r>
        <w:t xml:space="preserve"> </w:t>
      </w:r>
      <w:r>
        <w:t xml:space="preserve">so confirm which DNS and DHCP roles can be scoped to a view in the release under evaluation. Other enterprise DDI platforms provide comparable delegation models under different names.</w:t>
      </w:r>
    </w:p>
    <w:bookmarkEnd w:id="711"/>
    <w:p>
      <w:pPr>
        <w:pStyle w:val="BodyText"/>
      </w:pPr>
      <w:r>
        <w:t xml:space="preserve">The same model has to hold for any Microsoft and Azure DNS that remains in service during and after the migration, because a division that cannot work through the plane will work around 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Platform</w:t>
            </w:r>
          </w:p>
        </w:tc>
        <w:tc>
          <w:tcPr/>
          <w:p>
            <w:pPr>
              <w:pStyle w:val="Compact"/>
            </w:pPr>
            <w:r>
              <w:t xml:space="preserve">Delegation mechanism</w:t>
            </w:r>
          </w:p>
        </w:tc>
        <w:tc>
          <w:tcPr/>
          <w:p>
            <w:pPr>
              <w:pStyle w:val="Compact"/>
            </w:pPr>
            <w:r>
              <w:t xml:space="preserve">Notes</w:t>
            </w:r>
          </w:p>
        </w:tc>
      </w:tr>
      <w:tr>
        <w:tc>
          <w:tcPr/>
          <w:p>
            <w:pPr>
              <w:pStyle w:val="Compact"/>
            </w:pPr>
            <w:r>
              <w:t xml:space="preserve">Windows DNS on domain controllers</w:t>
            </w:r>
          </w:p>
        </w:tc>
        <w:tc>
          <w:tcPr/>
          <w:p>
            <w:pPr>
              <w:pStyle w:val="Compact"/>
            </w:pPr>
            <w:r>
              <w:t xml:space="preserve">DnsAdmins group</w:t>
            </w:r>
          </w:p>
        </w:tc>
        <w:tc>
          <w:tcPr/>
          <w:p>
            <w:pPr>
              <w:pStyle w:val="Compact"/>
            </w:pPr>
            <w:r>
              <w:t xml:space="preserve">Members get read, write, create and delete rights on DNS data.</w:t>
            </w:r>
            <w:r>
              <w:rPr>
                <w:rStyle w:val="FootnoteReference"/>
              </w:rPr>
              <w:footnoteReference w:id="712"/>
            </w:r>
            <w:r>
              <w:t xml:space="preserve"> </w:t>
            </w:r>
            <w:r>
              <w:t xml:space="preserve">Microsoft lists DnsAdmins among Active Directory’s privileged groups; treat membership as privileged access, not a convenience.</w:t>
            </w:r>
          </w:p>
        </w:tc>
      </w:tr>
      <w:tr>
        <w:tc>
          <w:tcPr/>
          <w:p>
            <w:pPr>
              <w:pStyle w:val="Compact"/>
            </w:pPr>
            <w:r>
              <w:t xml:space="preserve">Windows DHCP</w:t>
            </w:r>
          </w:p>
        </w:tc>
        <w:tc>
          <w:tcPr/>
          <w:p>
            <w:pPr>
              <w:pStyle w:val="Compact"/>
            </w:pPr>
            <w:r>
              <w:t xml:space="preserve">DHCP Administrators and DHCP Users groups</w:t>
            </w:r>
          </w:p>
        </w:tc>
        <w:tc>
          <w:tcPr/>
          <w:p>
            <w:pPr>
              <w:pStyle w:val="Compact"/>
            </w:pPr>
            <w:r>
              <w:t xml:space="preserve">Administrators manage scopes and can back up and restore the database; Users have read-only access.</w:t>
            </w:r>
            <w:r>
              <w:rPr>
                <w:rStyle w:val="FootnoteReference"/>
              </w:rPr>
              <w:footnoteReference w:id="714"/>
            </w:r>
          </w:p>
        </w:tc>
      </w:tr>
      <w:tr>
        <w:tc>
          <w:tcPr/>
          <w:p>
            <w:pPr>
              <w:pStyle w:val="Compact"/>
            </w:pPr>
            <w:r>
              <w:t xml:space="preserve">Azure public DNS</w:t>
            </w:r>
          </w:p>
        </w:tc>
        <w:tc>
          <w:tcPr/>
          <w:p>
            <w:pPr>
              <w:pStyle w:val="Compact"/>
            </w:pPr>
            <w:r>
              <w:t xml:space="preserve">DNS Zone Contributor role at resource group, zone or record-set scope</w:t>
            </w:r>
          </w:p>
        </w:tc>
        <w:tc>
          <w:tcPr/>
          <w:p>
            <w:pPr>
              <w:pStyle w:val="Compact"/>
            </w:pPr>
            <w:r>
              <w:t xml:space="preserve">Covers public zones only; it grants nothing on private zones.</w:t>
            </w:r>
            <w:r>
              <w:rPr>
                <w:rStyle w:val="FootnoteReference"/>
              </w:rPr>
              <w:footnoteReference w:id="715"/>
            </w:r>
          </w:p>
        </w:tc>
      </w:tr>
      <w:tr>
        <w:tc>
          <w:tcPr/>
          <w:p>
            <w:pPr>
              <w:pStyle w:val="Compact"/>
            </w:pPr>
            <w:r>
              <w:t xml:space="preserve">Azure Private DNS</w:t>
            </w:r>
          </w:p>
        </w:tc>
        <w:tc>
          <w:tcPr/>
          <w:p>
            <w:pPr>
              <w:pStyle w:val="Compact"/>
            </w:pPr>
            <w:r>
              <w:t xml:space="preserve">Private DNS Zone Contributor role at resource group, zone or record-set scope</w:t>
            </w:r>
          </w:p>
        </w:tc>
        <w:tc>
          <w:tcPr/>
          <w:p>
            <w:pPr>
              <w:pStyle w:val="Compact"/>
            </w:pPr>
            <w:r>
              <w:t xml:space="preserve">Custom roles can limit an account to one record type, such as CNAMEs.</w:t>
            </w:r>
            <w:r>
              <w:rPr>
                <w:rStyle w:val="FootnoteReference"/>
              </w:rPr>
              <w:footnoteReference w:id="716"/>
            </w:r>
          </w:p>
        </w:tc>
      </w:tr>
    </w:tbl>
    <w:p>
      <w:pPr>
        <w:pStyle w:val="BodyText"/>
      </w:pPr>
      <w:r>
        <w:t xml:space="preserve">Two Azure details matter for divisional scopes. A custom role that removes delete permission does not protect a record set, because an account that can modify it can empty it, which has the same effect on resolution; Microsoft recommends resource locks (CanNotDelete or ReadOnly) on critical zones alongside RBAC.</w:t>
      </w:r>
      <w:r>
        <w:rPr>
          <w:rStyle w:val="FootnoteReference"/>
        </w:rPr>
        <w:footnoteReference w:id="717"/>
      </w:r>
      <w:r>
        <w:rPr>
          <w:rStyle w:val="FootnoteReference"/>
        </w:rPr>
        <w:footnoteReference w:id="718"/>
      </w:r>
      <w:r>
        <w:t xml:space="preserve"> </w:t>
      </w:r>
      <w:r>
        <w:t xml:space="preserve">And record-set-level scoping is the closest Azure equivalent to the plane’s divisional scopes, so it is the right granularity for automation accounts.</w:t>
      </w:r>
    </w:p>
    <w:bookmarkStart w:id="724" w:name="api-and-automation"/>
    <w:p>
      <w:pPr>
        <w:pStyle w:val="Heading2"/>
      </w:pPr>
      <w:bookmarkStart w:id="1131" w:name="_Toc00001131"/>
      <w:r>
        <w:t xml:space="preserve">API and automation</w:t>
      </w:r>
      <w:bookmarkEnd w:id="1131"/>
    </w:p>
    <w:p>
      <w:pPr>
        <w:pStyle w:val="FirstParagraph"/>
      </w:pPr>
      <w:r>
        <w:t xml:space="preserve">Every object in the policy plane should be reachable through a documented API, so that infrastructure as code, ITSM workflows, certificate automation and CI pipelines all go through the same authority and the same audit trail:</w:t>
      </w:r>
    </w:p>
    <w:p>
      <w:pPr>
        <w:pStyle w:val="Compact"/>
        <w:numPr>
          <w:ilvl w:val="0"/>
          <w:numId w:val="1057"/>
        </w:numPr>
      </w:pPr>
      <w:r>
        <w:t xml:space="preserve">API coverage for IPAM, DHCP, DNS configuration and DNS data.</w:t>
      </w:r>
    </w:p>
    <w:p>
      <w:pPr>
        <w:pStyle w:val="Compact"/>
        <w:numPr>
          <w:ilvl w:val="0"/>
          <w:numId w:val="1057"/>
        </w:numPr>
      </w:pPr>
      <w:r>
        <w:t xml:space="preserve">Non-interactive service accounts for automation, bound by the same role and scope restrictions as human users and unable to log in to the console.</w:t>
      </w:r>
    </w:p>
    <w:p>
      <w:pPr>
        <w:pStyle w:val="Compact"/>
        <w:numPr>
          <w:ilvl w:val="0"/>
          <w:numId w:val="1057"/>
        </w:numPr>
      </w:pPr>
      <w:r>
        <w:t xml:space="preserve">A migration path for existing automation, so scripts written against the legacy grid keep working while authority moves (ask whether the platform proxies legacy API calls through the new policy plane, and for how long).</w:t>
      </w:r>
    </w:p>
    <w:p>
      <w:pPr>
        <w:pStyle w:val="Compact"/>
        <w:numPr>
          <w:ilvl w:val="0"/>
          <w:numId w:val="1057"/>
        </w:numPr>
      </w:pPr>
      <w:r>
        <w:t xml:space="preserve">Supported Terraform and Ansible integrations, so network and cloud teams can manage DDI objects in the same pipelines as the rest of their infrastructure. For Infoblox Universal DDI, for example, the Terraform provider manages DNS zones, views and records, DHCP and IPAM objects and other platform resources,</w:t>
      </w:r>
      <w:r>
        <w:rPr>
          <w:rStyle w:val="FootnoteReference"/>
        </w:rPr>
        <w:footnoteReference w:id="720"/>
      </w:r>
      <w:r>
        <w:t xml:space="preserve"> </w:t>
      </w:r>
      <w:r>
        <w:t xml:space="preserve">and a Red Hat–certified Ansible collection,</w:t>
      </w:r>
      <w:r>
        <w:t xml:space="preserve"> </w:t>
      </w:r>
      <w:r>
        <w:rPr>
          <w:rStyle w:val="VerbatimChar"/>
        </w:rPr>
        <w:t xml:space="preserve">infoblox.universal_ddi</w:t>
      </w:r>
      <w:r>
        <w:t xml:space="preserve">, covers the same platform.</w:t>
      </w:r>
      <w:r>
        <w:rPr>
          <w:rStyle w:val="FootnoteReference"/>
        </w:rPr>
        <w:footnoteReference w:id="722"/>
      </w:r>
    </w:p>
    <w:p>
      <w:pPr>
        <w:pStyle w:val="FirstParagraph"/>
      </w:pPr>
      <w:r>
        <w:t xml:space="preserve">Divisions can then automate their own DDI operations through scoped service accounts, while corporate teams keep policy, audit and cross-estate visibility.</w:t>
      </w:r>
    </w:p>
    <w:bookmarkEnd w:id="724"/>
    <w:bookmarkStart w:id="729" w:name="itsm-integration"/>
    <w:p>
      <w:pPr>
        <w:pStyle w:val="Heading2"/>
      </w:pPr>
      <w:bookmarkStart w:id="1132" w:name="_Toc00001132"/>
      <w:r>
        <w:t xml:space="preserve">ITSM integration</w:t>
      </w:r>
      <w:bookmarkEnd w:id="1132"/>
    </w:p>
    <w:p>
      <w:pPr>
        <w:pStyle w:val="FirstParagraph"/>
      </w:pPr>
      <w:r>
        <w:t xml:space="preserve">Integration with the agency’s ITSM platform, commonly ServiceNow, should let change requests, catalog items and incidents drive or draw on authoritative DDI data rather than manual updates:</w:t>
      </w:r>
    </w:p>
    <w:p>
      <w:pPr>
        <w:pStyle w:val="Compact"/>
        <w:numPr>
          <w:ilvl w:val="0"/>
          <w:numId w:val="1058"/>
        </w:numPr>
      </w:pPr>
      <w:r>
        <w:t xml:space="preserve">Synchronizing networks, IP addresses and devices into the CMDB, and continuously reconciling live network and cloud asset data against CMDB records to find missing, stale or misclassified configuration items.</w:t>
      </w:r>
    </w:p>
    <w:p>
      <w:pPr>
        <w:pStyle w:val="Compact"/>
        <w:numPr>
          <w:ilvl w:val="0"/>
          <w:numId w:val="1058"/>
        </w:numPr>
      </w:pPr>
      <w:r>
        <w:t xml:space="preserve">Workflow actions to reserve and release IP addresses, register DNS records and manage DDI objects from change and catalog workflows.</w:t>
      </w:r>
    </w:p>
    <w:p>
      <w:pPr>
        <w:pStyle w:val="Compact"/>
        <w:numPr>
          <w:ilvl w:val="0"/>
          <w:numId w:val="1058"/>
        </w:numPr>
      </w:pPr>
      <w:r>
        <w:t xml:space="preserve">Pushing correlated security events, such as Protective DNS blocks, into incident management.</w:t>
      </w:r>
    </w:p>
    <w:p>
      <w:pPr>
        <w:pStyle w:val="FirstParagraph"/>
      </w:pPr>
      <w:r>
        <w:t xml:space="preserve">Enterprise DDI vendors publish their own ServiceNow integrations; confirm which of these functions each one covers, and for which product line. For Infoblox, ServiceNow documents an IntegrationHub spoke with actions and subflows such as registering or reserving an IP address from a Service Catalog request,</w:t>
      </w:r>
      <w:r>
        <w:rPr>
          <w:rStyle w:val="FootnoteReference"/>
        </w:rPr>
        <w:footnoteReference w:id="725"/>
      </w:r>
      <w:r>
        <w:t xml:space="preserve"> </w:t>
      </w:r>
      <w:r>
        <w:t xml:space="preserve">and a Service Graph Connector that imports subnets, IP pools, allocated addresses and DNS data into the CMDB; that connector is documented against the NIOS API (WAPI) rather than Universal DDI.</w:t>
      </w:r>
      <w:r>
        <w:rPr>
          <w:rStyle w:val="FootnoteReference"/>
        </w:rPr>
        <w:footnoteReference w:id="727"/>
      </w:r>
      <w:r>
        <w:t xml:space="preserve"> </w:t>
      </w:r>
      <w:r>
        <w:t xml:space="preserve">An agency moving to the SaaS management plane should confirm which integrations follow it.</w:t>
      </w:r>
    </w:p>
    <w:bookmarkEnd w:id="729"/>
    <w:bookmarkStart w:id="736" w:name="certificate-automation-acme-dns-01"/>
    <w:p>
      <w:pPr>
        <w:pStyle w:val="Heading2"/>
      </w:pPr>
      <w:bookmarkStart w:id="1133" w:name="_Toc00001133"/>
      <w:r>
        <w:t xml:space="preserve">Certificate automation (ACME DNS-01)</w:t>
      </w:r>
      <w:bookmarkEnd w:id="1133"/>
    </w:p>
    <w:p>
      <w:pPr>
        <w:pStyle w:val="FirstParagraph"/>
      </w:pPr>
      <w:r>
        <w:t xml:space="preserve">DDI platforms generally do not provide full certificate lifecycle management. What they provide is the authoritative DNS control that automated issuance and renewal through ACME DNS-01 challenges depends on:</w:t>
      </w:r>
    </w:p>
    <w:p>
      <w:pPr>
        <w:pStyle w:val="Compact"/>
        <w:numPr>
          <w:ilvl w:val="0"/>
          <w:numId w:val="1059"/>
        </w:numPr>
      </w:pPr>
      <w:r>
        <w:t xml:space="preserve">ACME clients and plug-ins call the DDI API to create and remove the TXT records that DNS-01 validation needs. Posh-ACME and lego, for example, both ship Infoblox plug-ins that work through the NIOS WAPI,</w:t>
      </w:r>
      <w:r>
        <w:rPr>
          <w:rStyle w:val="FootnoteReference"/>
        </w:rPr>
        <w:footnoteReference w:id="730"/>
      </w:r>
      <w:r>
        <w:rPr>
          <w:rStyle w:val="FootnoteReference"/>
        </w:rPr>
        <w:footnoteReference w:id="732"/>
      </w:r>
      <w:r>
        <w:t xml:space="preserve"> </w:t>
      </w:r>
      <w:r>
        <w:t xml:space="preserve">so check support for the management plane actually in use.</w:t>
      </w:r>
    </w:p>
    <w:p>
      <w:pPr>
        <w:pStyle w:val="Compact"/>
        <w:numPr>
          <w:ilvl w:val="0"/>
          <w:numId w:val="1059"/>
        </w:numPr>
      </w:pPr>
      <w:r>
        <w:t xml:space="preserve">Issuance and renewal can then be automated without exposing web servers, provided the automation account’s permissions are scoped to the names it serves. Both plug-ins expect an account limited to modifying TXT records in the relevant zones or view.</w:t>
      </w:r>
      <w:r>
        <w:rPr>
          <w:rStyle w:val="FootnoteReference"/>
        </w:rPr>
        <w:footnoteReference w:id="734"/>
      </w:r>
      <w:r>
        <w:rPr>
          <w:rStyle w:val="FootnoteReference"/>
        </w:rPr>
        <w:footnoteReference w:id="735"/>
      </w:r>
    </w:p>
    <w:p>
      <w:pPr>
        <w:pStyle w:val="Compact"/>
        <w:numPr>
          <w:ilvl w:val="0"/>
          <w:numId w:val="1059"/>
        </w:numPr>
      </w:pPr>
      <w:r>
        <w:t xml:space="preserve">DNSSEC, CAA records and consistent private endpoint resolution (Chapter 06 and Chapter 07) remain prerequisites for trustworthy certificate validation after issuance.</w:t>
      </w:r>
    </w:p>
    <w:p>
      <w:pPr>
        <w:pStyle w:val="Compact"/>
        <w:numPr>
          <w:ilvl w:val="0"/>
          <w:numId w:val="1059"/>
        </w:numPr>
      </w:pPr>
      <w:r>
        <w:t xml:space="preserve">Certificate inventory, multi-CA orchestration and post-issuance deployment still need a dedicated certificate lifecycle platform or process that uses the DDI policy plane (Book 07).</w:t>
      </w:r>
    </w:p>
    <w:bookmarkEnd w:id="736"/>
    <w:bookmarkStart w:id="737" w:name="identity-governance-integration"/>
    <w:p>
      <w:pPr>
        <w:pStyle w:val="Heading2"/>
      </w:pPr>
      <w:bookmarkStart w:id="1134" w:name="_Toc00001134"/>
      <w:r>
        <w:t xml:space="preserve">Identity governance integration</w:t>
      </w:r>
      <w:bookmarkEnd w:id="1134"/>
    </w:p>
    <w:p>
      <w:pPr>
        <w:pStyle w:val="FirstParagraph"/>
      </w:pPr>
      <w:r>
        <w:t xml:space="preserve">Identity governance platforms such as SailPoint typically reach DDI through APIs rather than packaged connectors: a custom connector or workflow calls the DDI API directly, or the identity platform opens ITSM requests that in turn call DDI workflow actions. This supports joiner, mover and leaver automation for network resources (IP allocation, DNS registration), but expect custom development. Confirm whether a supported connector exists for the platforms in use.</w:t>
      </w:r>
    </w:p>
    <w:bookmarkEnd w:id="737"/>
    <w:bookmarkStart w:id="763" w:name="monitoring-and-telemetry"/>
    <w:p>
      <w:pPr>
        <w:pStyle w:val="Heading2"/>
      </w:pPr>
      <w:bookmarkStart w:id="1135" w:name="_Toc00001135"/>
      <w:r>
        <w:t xml:space="preserve">Monitoring and telemetry</w:t>
      </w:r>
      <w:bookmarkEnd w:id="1135"/>
    </w:p>
    <w:p>
      <w:pPr>
        <w:pStyle w:val="FirstParagraph"/>
      </w:pPr>
      <w:r>
        <w:t xml:space="preserve">The policy plane, and every resolver and DHCP server still in service, should produce the continuous telemetry that incident response, continuous monitoring and Zero Trust reporting need. OMB M-21-31 sets the floor for federal agencies.</w:t>
      </w:r>
    </w:p>
    <w:bookmarkStart w:id="740" w:name="what-m-21-31-requires-of-dns-and-dhcp"/>
    <w:p>
      <w:pPr>
        <w:pStyle w:val="Heading3"/>
      </w:pPr>
      <w:r>
        <w:t xml:space="preserve">What M-21-31 requires of DNS and DHCP</w:t>
      </w:r>
    </w:p>
    <w:p>
      <w:pPr>
        <w:pStyle w:val="FirstParagraph"/>
      </w:pPr>
      <w:r>
        <w:t xml:space="preserve">M-21-31 makes passive DNS part of its first (basic) event-logging tier: agencies must run a DNS logging system that captures requests made over encrypted DNS connections as well as clear-text ones, with analytics that rapidly identify the host behind each query.</w:t>
      </w:r>
      <w:r>
        <w:rPr>
          <w:rStyle w:val="FootnoteReference"/>
        </w:rPr>
        <w:footnoteReference w:id="738"/>
      </w:r>
      <w:r>
        <w:t xml:space="preserve"> </w:t>
      </w:r>
      <w:r>
        <w:t xml:space="preserve">Its logging tables list DNS query, response and error content for all record types, zone-transfer requests and responses, and DHCP lease information including MAC and IP address, each with a retention of 12 months in active storage and 18 months in cold storage.</w:t>
      </w:r>
      <w:r>
        <w:rPr>
          <w:rStyle w:val="FootnoteReference"/>
        </w:rPr>
        <w:footnoteReference w:id="739"/>
      </w:r>
      <w:r>
        <w:t xml:space="preserve"> </w:t>
      </w:r>
      <w:r>
        <w:t xml:space="preserve">The control mapping to NIST SP 800-53 is in Chapter 03.</w:t>
      </w:r>
    </w:p>
    <w:bookmarkEnd w:id="740"/>
    <w:bookmarkStart w:id="758" w:name="sources-of-query-lease-and-change-logs"/>
    <w:p>
      <w:pPr>
        <w:pStyle w:val="Heading3"/>
      </w:pPr>
      <w:r>
        <w:t xml:space="preserve">Sources of query, lease and change logs</w:t>
      </w:r>
    </w:p>
    <w:bookmarkStart w:id="744" w:name="fig-ch11-evidence-flow"/>
    <w:p>
      <w:pPr>
        <w:pStyle w:val="CaptionedFigure"/>
      </w:pPr>
      <w:r>
        <w:drawing>
          <wp:inline>
            <wp:extent cx="5334000" cy="1798674"/>
            <wp:effectExtent b="0" l="0" r="0" t="0"/>
            <wp:docPr descr="Three evidence streams from the policy plane and the systems that consume them." title="" id="742" name="Picture"/>
            <a:graphic>
              <a:graphicData uri="http://schemas.openxmlformats.org/drawingml/2006/picture">
                <pic:pic>
                  <pic:nvPicPr>
                    <pic:cNvPr descr="/home/runner/work/modernization-workbook/modernization-workbook/docs/images/diagrams/b08-ddi/png/ch11-evidence-flow.png" id="743" name="Picture"/>
                    <pic:cNvPicPr>
                      <a:picLocks noChangeArrowheads="1" noChangeAspect="1"/>
                    </pic:cNvPicPr>
                  </pic:nvPicPr>
                  <pic:blipFill>
                    <a:blip r:embed="rId741"/>
                    <a:stretch>
                      <a:fillRect/>
                    </a:stretch>
                  </pic:blipFill>
                  <pic:spPr bwMode="auto">
                    <a:xfrm>
                      <a:off x="0" y="0"/>
                      <a:ext cx="5334000" cy="1798674"/>
                    </a:xfrm>
                    <a:prstGeom prst="rect">
                      <a:avLst/>
                    </a:prstGeom>
                    <a:noFill/>
                    <a:ln w="9525">
                      <a:noFill/>
                      <a:headEnd/>
                      <a:tailEnd/>
                    </a:ln>
                  </pic:spPr>
                </pic:pic>
              </a:graphicData>
            </a:graphic>
          </wp:inline>
        </w:drawing>
      </w:r>
    </w:p>
    <w:p>
      <w:pPr>
        <w:pStyle w:val="ImageCaption"/>
      </w:pPr>
      <w:r>
        <w:t xml:space="preserve">Three evidence streams from the policy plane and the systems that consume them.</w:t>
      </w:r>
    </w:p>
    <w:bookmarkEnd w:id="744"/>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What it logs</w:t>
            </w:r>
          </w:p>
        </w:tc>
        <w:tc>
          <w:tcPr/>
          <w:p>
            <w:pPr>
              <w:pStyle w:val="Compact"/>
            </w:pPr>
            <w:r>
              <w:t xml:space="preserve">How to collect it</w:t>
            </w:r>
          </w:p>
        </w:tc>
      </w:tr>
      <w:tr>
        <w:tc>
          <w:tcPr/>
          <w:p>
            <w:pPr>
              <w:pStyle w:val="Compact"/>
            </w:pPr>
            <w:r>
              <w:t xml:space="preserve">DDI platform resolvers</w:t>
            </w:r>
          </w:p>
        </w:tc>
        <w:tc>
          <w:tcPr/>
          <w:p>
            <w:pPr>
              <w:pStyle w:val="Compact"/>
            </w:pPr>
            <w:r>
              <w:t xml:space="preserve">Query, response and policy action per query; response-policy and Protective DNS hits</w:t>
            </w:r>
          </w:p>
        </w:tc>
        <w:tc>
          <w:tcPr/>
          <w:p>
            <w:pPr>
              <w:pStyle w:val="Compact"/>
            </w:pPr>
            <w:r>
              <w:t xml:space="preserve">The platform’s log export or SIEM integration</w:t>
            </w:r>
          </w:p>
        </w:tc>
      </w:tr>
      <w:tr>
        <w:tc>
          <w:tcPr/>
          <w:p>
            <w:pPr>
              <w:pStyle w:val="Compact"/>
            </w:pPr>
            <w:r>
              <w:t xml:space="preserve">Windows DNS servers</w:t>
            </w:r>
          </w:p>
        </w:tc>
        <w:tc>
          <w:tcPr/>
          <w:p>
            <w:pPr>
              <w:pStyle w:val="Compact"/>
            </w:pPr>
            <w:r>
              <w:t xml:space="preserve">Audit events (on by default: zone, record and server setting changes, dynamic updates, zone transfers, DNSSEC operations); analytic events (off by default: each query and response)</w:t>
            </w:r>
          </w:p>
        </w:tc>
        <w:tc>
          <w:tcPr/>
          <w:p>
            <w:pPr>
              <w:pStyle w:val="Compact"/>
            </w:pPr>
            <w:r>
              <w:t xml:space="preserve">Enable the DNS-Server Analytical log; Microsoft measured about 5% degradation at 100,000 queries per second and no apparent impact at 50,000 or below.</w:t>
            </w:r>
            <w:r>
              <w:rPr>
                <w:rStyle w:val="FootnoteReference"/>
              </w:rPr>
              <w:footnoteReference w:id="745"/>
            </w:r>
            <w:r>
              <w:t xml:space="preserve"> </w:t>
            </w:r>
            <w:r>
              <w:t xml:space="preserve">The Microsoft Sentinel</w:t>
            </w:r>
            <w:r>
              <w:t xml:space="preserve"> </w:t>
            </w:r>
            <w:r>
              <w:t xml:space="preserve">“Windows DNS Events via AMA”</w:t>
            </w:r>
            <w:r>
              <w:t xml:space="preserve"> </w:t>
            </w:r>
            <w:r>
              <w:t xml:space="preserve">connector collects analytic events, through Azure Arc for servers outside Azure.</w:t>
            </w:r>
            <w:r>
              <w:rPr>
                <w:rStyle w:val="FootnoteReference"/>
              </w:rPr>
              <w:footnoteReference w:id="747"/>
            </w:r>
          </w:p>
        </w:tc>
      </w:tr>
      <w:tr>
        <w:tc>
          <w:tcPr/>
          <w:p>
            <w:pPr>
              <w:pStyle w:val="Compact"/>
            </w:pPr>
            <w:r>
              <w:t xml:space="preserve">Azure virtual networks</w:t>
            </w:r>
          </w:p>
        </w:tc>
        <w:tc>
          <w:tcPr/>
          <w:p>
            <w:pPr>
              <w:pStyle w:val="Compact"/>
            </w:pPr>
            <w:r>
              <w:t xml:space="preserve">Every query from the VNet, with query name and type, source address, resolution path and the policy rule action</w:t>
            </w:r>
          </w:p>
        </w:tc>
        <w:tc>
          <w:tcPr/>
          <w:p>
            <w:pPr>
              <w:pStyle w:val="Compact"/>
            </w:pPr>
            <w:r>
              <w:t xml:space="preserve">A DNS resolver policy linked to the VNet, with diagnostic settings to a Log Analytics workspace (the</w:t>
            </w:r>
            <w:r>
              <w:t xml:space="preserve"> </w:t>
            </w:r>
            <w:r>
              <w:rPr>
                <w:rStyle w:val="VerbatimChar"/>
              </w:rPr>
              <w:t xml:space="preserve">DNSQueryLogs</w:t>
            </w:r>
            <w:r>
              <w:t xml:space="preserve"> </w:t>
            </w:r>
            <w:r>
              <w:t xml:space="preserve">table), storage account or Event Hubs</w:t>
            </w:r>
            <w:r>
              <w:rPr>
                <w:rStyle w:val="FootnoteReference"/>
              </w:rPr>
              <w:footnoteReference w:id="749"/>
            </w:r>
            <w:r>
              <w:rPr>
                <w:rStyle w:val="FootnoteReference"/>
              </w:rPr>
              <w:footnoteReference w:id="750"/>
            </w:r>
          </w:p>
        </w:tc>
      </w:tr>
      <w:tr>
        <w:tc>
          <w:tcPr/>
          <w:p>
            <w:pPr>
              <w:pStyle w:val="Compact"/>
            </w:pPr>
            <w:r>
              <w:t xml:space="preserve">Windows DHCP servers</w:t>
            </w:r>
          </w:p>
        </w:tc>
        <w:tc>
          <w:tcPr/>
          <w:p>
            <w:pPr>
              <w:pStyle w:val="Compact"/>
            </w:pPr>
            <w:r>
              <w:t xml:space="preserve">Lease events in the DHCP audit log; failover state changes in the Admin channel and configuration changes in the Operational channel</w:t>
            </w:r>
          </w:p>
        </w:tc>
        <w:tc>
          <w:tcPr/>
          <w:p>
            <w:pPr>
              <w:pStyle w:val="Compact"/>
            </w:pPr>
            <w:r>
              <w:rPr>
                <w:rStyle w:val="VerbatimChar"/>
              </w:rPr>
              <w:t xml:space="preserve">Get-DhcpServerAuditLog</w:t>
            </w:r>
            <w:r>
              <w:t xml:space="preserve"> </w:t>
            </w:r>
            <w:r>
              <w:t xml:space="preserve">shows the audit-log settings;</w:t>
            </w:r>
            <w:r>
              <w:rPr>
                <w:rStyle w:val="FootnoteReference"/>
              </w:rPr>
              <w:footnoteReference w:id="752"/>
            </w:r>
            <w:r>
              <w:t xml:space="preserve"> </w:t>
            </w:r>
            <w:r>
              <w:t xml:space="preserve">failover events are also written to the audit log</w:t>
            </w:r>
            <w:r>
              <w:rPr>
                <w:rStyle w:val="FootnoteReference"/>
              </w:rPr>
              <w:footnoteReference w:id="754"/>
            </w:r>
          </w:p>
        </w:tc>
      </w:tr>
      <w:tr>
        <w:tc>
          <w:tcPr/>
          <w:p>
            <w:pPr>
              <w:pStyle w:val="Compact"/>
            </w:pPr>
            <w:r>
              <w:t xml:space="preserve">Azure control plane</w:t>
            </w:r>
          </w:p>
        </w:tc>
        <w:tc>
          <w:tcPr/>
          <w:p>
            <w:pPr>
              <w:pStyle w:val="Compact"/>
            </w:pPr>
            <w:r>
              <w:t xml:space="preserve">Every change to zones, record sets, links and resolvers</w:t>
            </w:r>
          </w:p>
        </w:tc>
        <w:tc>
          <w:tcPr/>
          <w:p>
            <w:pPr>
              <w:pStyle w:val="Compact"/>
            </w:pPr>
            <w:r>
              <w:t xml:space="preserve">The Azure activity log, routed by diagnostic setting</w:t>
            </w:r>
            <w:r>
              <w:rPr>
                <w:rStyle w:val="FootnoteReference"/>
              </w:rPr>
              <w:footnoteReference w:id="756"/>
            </w:r>
          </w:p>
        </w:tc>
      </w:tr>
    </w:tbl>
    <w:p>
      <w:pPr>
        <w:pStyle w:val="BodyText"/>
      </w:pPr>
      <w:r>
        <w:t xml:space="preserve">The DHCP lease history matters as much as the query log: it is what turns</w:t>
      </w:r>
      <w:r>
        <w:t xml:space="preserve"> </w:t>
      </w:r>
      <w:r>
        <w:t xml:space="preserve">“this address queried a command-and-control domain”</w:t>
      </w:r>
      <w:r>
        <w:t xml:space="preserve"> </w:t>
      </w:r>
      <w:r>
        <w:t xml:space="preserve">into</w:t>
      </w:r>
      <w:r>
        <w:t xml:space="preserve"> </w:t>
      </w:r>
      <w:r>
        <w:t xml:space="preserve">“this device, at this time”</w:t>
      </w:r>
      <w:r>
        <w:t xml:space="preserve">, the attribution M-21-31’s host-identification requirement asks for.</w:t>
      </w:r>
    </w:p>
    <w:bookmarkEnd w:id="758"/>
    <w:bookmarkStart w:id="761" w:name="platform-metrics-and-alert-thresholds"/>
    <w:p>
      <w:pPr>
        <w:pStyle w:val="Heading3"/>
      </w:pPr>
      <w:r>
        <w:t xml:space="preserve">Platform metrics and alert thresholds</w:t>
      </w:r>
    </w:p>
    <w:p>
      <w:pPr>
        <w:pStyle w:val="FirstParagraph"/>
      </w:pPr>
      <w:r>
        <w:t xml:space="preserve">Azure publishes the following platform metrics.</w:t>
      </w:r>
      <w:r>
        <w:rPr>
          <w:rStyle w:val="FootnoteReference"/>
        </w:rPr>
        <w:footnoteReference w:id="759"/>
      </w:r>
      <w:r>
        <w:t xml:space="preserve"> </w:t>
      </w:r>
      <w:r>
        <w:t xml:space="preserve">The thresholds are the program’s starting points; tune them to each zone’s normal behavior.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Resource</w:t>
            </w:r>
          </w:p>
        </w:tc>
        <w:tc>
          <w:tcPr/>
          <w:p>
            <w:pPr>
              <w:pStyle w:val="Compact"/>
            </w:pPr>
            <w:r>
              <w:t xml:space="preserve">Metric</w:t>
            </w:r>
          </w:p>
        </w:tc>
        <w:tc>
          <w:tcPr/>
          <w:p>
            <w:pPr>
              <w:pStyle w:val="Compact"/>
            </w:pPr>
            <w:r>
              <w:t xml:space="preserve">Program alert threshold</w:t>
            </w:r>
          </w:p>
        </w:tc>
      </w:tr>
      <w:tr>
        <w:tc>
          <w:tcPr/>
          <w:p>
            <w:pPr>
              <w:pStyle w:val="Compact"/>
            </w:pPr>
            <w:r>
              <w:t xml:space="preserve">Azure DNS public zone</w:t>
            </w:r>
          </w:p>
        </w:tc>
        <w:tc>
          <w:tcPr/>
          <w:p>
            <w:pPr>
              <w:pStyle w:val="Compact"/>
            </w:pPr>
            <w:r>
              <w:t xml:space="preserve">Query Volume</w:t>
            </w:r>
          </w:p>
        </w:tc>
        <w:tc>
          <w:tcPr/>
          <w:p>
            <w:pPr>
              <w:pStyle w:val="Compact"/>
            </w:pPr>
            <w:r>
              <w:t xml:space="preserve">A sudden drop of more than 50%, which usually means resolution has moved somewhere unexpected</w:t>
            </w:r>
          </w:p>
        </w:tc>
      </w:tr>
      <w:tr>
        <w:tc>
          <w:tcPr/>
          <w:p>
            <w:pPr>
              <w:pStyle w:val="Compact"/>
            </w:pPr>
            <w:r>
              <w:t xml:space="preserve">Azure DNS public zone</w:t>
            </w:r>
          </w:p>
        </w:tc>
        <w:tc>
          <w:tcPr/>
          <w:p>
            <w:pPr>
              <w:pStyle w:val="Compact"/>
            </w:pPr>
            <w:r>
              <w:t xml:space="preserve">Record Set Count</w:t>
            </w:r>
          </w:p>
        </w:tc>
        <w:tc>
          <w:tcPr/>
          <w:p>
            <w:pPr>
              <w:pStyle w:val="Compact"/>
            </w:pPr>
            <w:r>
              <w:t xml:space="preserve">Any unexpected decrease (records deleted outside change control)</w:t>
            </w:r>
          </w:p>
        </w:tc>
      </w:tr>
      <w:tr>
        <w:tc>
          <w:tcPr/>
          <w:p>
            <w:pPr>
              <w:pStyle w:val="Compact"/>
            </w:pPr>
            <w:r>
              <w:t xml:space="preserve">Azure DNS public zone</w:t>
            </w:r>
          </w:p>
        </w:tc>
        <w:tc>
          <w:tcPr/>
          <w:p>
            <w:pPr>
              <w:pStyle w:val="Compact"/>
            </w:pPr>
            <w:r>
              <w:t xml:space="preserve">Record Set Capacity Utilization</w:t>
            </w:r>
          </w:p>
        </w:tc>
        <w:tc>
          <w:tcPr/>
          <w:p>
            <w:pPr>
              <w:pStyle w:val="Compact"/>
            </w:pPr>
            <w:r>
              <w:t xml:space="preserve">80% of the zone’s record-set limit</w:t>
            </w:r>
          </w:p>
        </w:tc>
      </w:tr>
      <w:tr>
        <w:tc>
          <w:tcPr/>
          <w:p>
            <w:pPr>
              <w:pStyle w:val="Compact"/>
            </w:pPr>
            <w:r>
              <w:t xml:space="preserve">Azure Private DNS zone</w:t>
            </w:r>
          </w:p>
        </w:tc>
        <w:tc>
          <w:tcPr/>
          <w:p>
            <w:pPr>
              <w:pStyle w:val="Compact"/>
            </w:pPr>
            <w:r>
              <w:t xml:space="preserve">Record Set Count; Virtual Network Link Count and capacity utilization</w:t>
            </w:r>
          </w:p>
        </w:tc>
        <w:tc>
          <w:tcPr/>
          <w:p>
            <w:pPr>
              <w:pStyle w:val="Compact"/>
            </w:pPr>
            <w:r>
              <w:t xml:space="preserve">Unexpected change; 80% of the link limit</w:t>
            </w:r>
          </w:p>
        </w:tc>
      </w:tr>
      <w:tr>
        <w:tc>
          <w:tcPr/>
          <w:p>
            <w:pPr>
              <w:pStyle w:val="Compact"/>
            </w:pPr>
            <w:r>
              <w:t xml:space="preserve">Azure DNS Private Resolver</w:t>
            </w:r>
          </w:p>
        </w:tc>
        <w:tc>
          <w:tcPr/>
          <w:p>
            <w:pPr>
              <w:pStyle w:val="Compact"/>
            </w:pPr>
            <w:r>
              <w:t xml:space="preserve">Queries Per Second, per endpoint</w:t>
            </w:r>
          </w:p>
        </w:tc>
        <w:tc>
          <w:tcPr/>
          <w:p>
            <w:pPr>
              <w:pStyle w:val="Compact"/>
            </w:pPr>
            <w:r>
              <w:t xml:space="preserve">Inbound endpoint at zero during business hours (resolver or path failure); a spike of more than 200% (a possible forwarding loop)</w:t>
            </w:r>
          </w:p>
        </w:tc>
      </w:tr>
    </w:tbl>
    <w:p>
      <w:pPr>
        <w:pStyle w:val="BodyText"/>
      </w:pPr>
      <w:r>
        <w:t xml:space="preserve">Two limits apply. Microsoft notes that the public-zone metrics and alerting are supported only in the Azure public cloud, with sovereign-cloud support to follow, so agencies in Azure Government need another source for the same signal.</w:t>
      </w:r>
      <w:r>
        <w:rPr>
          <w:rStyle w:val="FootnoteReference"/>
        </w:rPr>
        <w:footnoteReference w:id="760"/>
      </w:r>
      <w:r>
        <w:t xml:space="preserve"> </w:t>
      </w:r>
      <w:r>
        <w:t xml:space="preserve">And the Private Resolver exposes no forwarding-failure metric: detect failed forwarding from the query logs (failed responses for forwarded namespaces) and from synthetic tests, not from a metric.</w:t>
      </w:r>
    </w:p>
    <w:bookmarkEnd w:id="761"/>
    <w:bookmarkStart w:id="762" w:name="srv-record-monitoring"/>
    <w:p>
      <w:pPr>
        <w:pStyle w:val="Heading3"/>
      </w:pPr>
      <w:r>
        <w:t xml:space="preserve">SRV record monitoring</w:t>
      </w:r>
    </w:p>
    <w:p>
      <w:pPr>
        <w:pStyle w:val="FirstParagraph"/>
      </w:pPr>
      <w:r>
        <w:t xml:space="preserve">From coexistence until the last domain controller is retired, the locator records that domain join, Kerberos, Group Policy and replication depend on (Chapter 04) are tested continuously: resolved every 15 minutes, from a monitoring host in every site and every VNet, with any failure opening an incident. This is the check behind the 30-day gate in Chapter 10’s Phase 5. A minimal check, run as a scheduled task under an account with DNS read access only:</w:t>
      </w:r>
    </w:p>
    <w:bookmarkEnd w:id="762"/>
    <w:bookmarkEnd w:id="763"/>
    <w:bookmarkStart w:id="764" w:name="illustrative-commands-not-tested-1"/>
    <w:p>
      <w:pPr>
        <w:pStyle w:val="Heading2"/>
      </w:pPr>
      <w:bookmarkStart w:id="1136" w:name="_Toc00001136"/>
      <w:r>
        <w:t xml:space="preserve">Illustrative commands, not tested</w:t>
      </w:r>
      <w:bookmarkEnd w:id="1136"/>
    </w:p>
    <w:p>
      <w:pPr>
        <w:pStyle w:val="FirstParagraph"/>
      </w:pPr>
      <w:r>
        <w:t xml:space="preserve">The commands in this chapter are short illustrations, checked against Microsoft Learn for cmdlet and parameter names but not tested against a production forest or tenant. Review, adapt and test them before use.</w:t>
      </w:r>
    </w:p>
    <w:bookmarkEnd w:id="764"/>
    <w:p>
      <w:pPr>
        <w:pStyle w:val="SourceCode"/>
      </w:pPr>
      <w:r>
        <w:rPr>
          <w:rStyle w:val="VariableTok"/>
        </w:rPr>
        <w:t xml:space="preserve">$domain</w:t>
      </w:r>
      <w:r>
        <w:rPr>
          <w:rStyle w:val="NormalTok"/>
        </w:rPr>
        <w:t xml:space="preserve"> </w:t>
      </w:r>
      <w:r>
        <w:rPr>
          <w:rStyle w:val="OperatorTok"/>
        </w:rPr>
        <w:t xml:space="preserve">=</w:t>
      </w:r>
      <w:r>
        <w:rPr>
          <w:rStyle w:val="NormalTok"/>
        </w:rPr>
        <w:t xml:space="preserve"> </w:t>
      </w:r>
      <w:r>
        <w:rPr>
          <w:rStyle w:val="StringTok"/>
        </w:rPr>
        <w:t xml:space="preserve">"corp.example.gov"</w:t>
      </w:r>
      <w:r>
        <w:rPr>
          <w:rStyle w:val="NormalTok"/>
        </w:rPr>
        <w:t xml:space="preserve">     </w:t>
      </w:r>
      <w:r>
        <w:rPr>
          <w:rStyle w:val="CommentTok"/>
        </w:rPr>
        <w:t xml:space="preserve"># the AD domain</w:t>
      </w:r>
      <w:r>
        <w:br/>
      </w:r>
      <w:r>
        <w:rPr>
          <w:rStyle w:val="VariableTok"/>
        </w:rPr>
        <w:t xml:space="preserve">$forest</w:t>
      </w:r>
      <w:r>
        <w:rPr>
          <w:rStyle w:val="NormalTok"/>
        </w:rPr>
        <w:t xml:space="preserve"> </w:t>
      </w:r>
      <w:r>
        <w:rPr>
          <w:rStyle w:val="OperatorTok"/>
        </w:rPr>
        <w:t xml:space="preserve">=</w:t>
      </w:r>
      <w:r>
        <w:rPr>
          <w:rStyle w:val="NormalTok"/>
        </w:rPr>
        <w:t xml:space="preserve"> </w:t>
      </w:r>
      <w:r>
        <w:rPr>
          <w:rStyle w:val="StringTok"/>
        </w:rPr>
        <w:t xml:space="preserve">"example.gov"</w:t>
      </w:r>
      <w:r>
        <w:rPr>
          <w:rStyle w:val="NormalTok"/>
        </w:rPr>
        <w:t xml:space="preserve">          </w:t>
      </w:r>
      <w:r>
        <w:rPr>
          <w:rStyle w:val="CommentTok"/>
        </w:rPr>
        <w:t xml:space="preserve"># the forest root domain</w:t>
      </w:r>
      <w:r>
        <w:br/>
      </w:r>
      <w:r>
        <w:rPr>
          <w:rStyle w:val="VariableTok"/>
        </w:rPr>
        <w:t xml:space="preserve">$names</w:t>
      </w:r>
      <w:r>
        <w:rPr>
          <w:rStyle w:val="NormalTok"/>
        </w:rPr>
        <w:t xml:space="preserve">  </w:t>
      </w:r>
      <w:r>
        <w:rPr>
          <w:rStyle w:val="OperatorTok"/>
        </w:rPr>
        <w:t xml:space="preserve">=</w:t>
      </w:r>
      <w:r>
        <w:rPr>
          <w:rStyle w:val="NormalTok"/>
        </w:rPr>
        <w:t xml:space="preserve"> </w:t>
      </w:r>
      <w:r>
        <w:rPr>
          <w:rStyle w:val="StringTok"/>
        </w:rPr>
        <w:t xml:space="preserve">"_ldap._tcp.dc._msdcs.</w:t>
      </w:r>
      <w:r>
        <w:rPr>
          <w:rStyle w:val="VariableTok"/>
        </w:rPr>
        <w:t xml:space="preserve">$domain</w:t>
      </w:r>
      <w:r>
        <w:rPr>
          <w:rStyle w:val="StringTok"/>
        </w:rPr>
        <w:t xml:space="preserve">"</w:t>
      </w:r>
      <w:r>
        <w:rPr>
          <w:rStyle w:val="OperatorTok"/>
        </w:rPr>
        <w:t xml:space="preserve">,</w:t>
      </w:r>
      <w:r>
        <w:rPr>
          <w:rStyle w:val="NormalTok"/>
        </w:rPr>
        <w:t xml:space="preserve"> </w:t>
      </w:r>
      <w:r>
        <w:rPr>
          <w:rStyle w:val="StringTok"/>
        </w:rPr>
        <w:t xml:space="preserve">"_kerberos._tcp.dc._msdcs.</w:t>
      </w:r>
      <w:r>
        <w:rPr>
          <w:rStyle w:val="VariableTok"/>
        </w:rPr>
        <w:t xml:space="preserve">$domain</w:t>
      </w:r>
      <w:r>
        <w:rPr>
          <w:rStyle w:val="StringTok"/>
        </w:rPr>
        <w:t xml:space="preserve">"</w:t>
      </w:r>
      <w:r>
        <w:rPr>
          <w:rStyle w:val="OperatorTok"/>
        </w:rPr>
        <w:t xml:space="preserve">,</w:t>
      </w:r>
      <w:r>
        <w:br/>
      </w:r>
      <w:r>
        <w:rPr>
          <w:rStyle w:val="NormalTok"/>
        </w:rPr>
        <w:t xml:space="preserve">          </w:t>
      </w:r>
      <w:r>
        <w:rPr>
          <w:rStyle w:val="StringTok"/>
        </w:rPr>
        <w:t xml:space="preserve">"_gc._tcp.</w:t>
      </w:r>
      <w:r>
        <w:rPr>
          <w:rStyle w:val="VariableTok"/>
        </w:rPr>
        <w:t xml:space="preserve">$forest</w:t>
      </w:r>
      <w:r>
        <w:rPr>
          <w:rStyle w:val="StringTok"/>
        </w:rPr>
        <w:t xml:space="preserve">"</w:t>
      </w:r>
      <w:r>
        <w:rPr>
          <w:rStyle w:val="OperatorTok"/>
        </w:rPr>
        <w:t xml:space="preserve">,</w:t>
      </w:r>
      <w:r>
        <w:rPr>
          <w:rStyle w:val="NormalTok"/>
        </w:rPr>
        <w:t xml:space="preserve"> </w:t>
      </w:r>
      <w:r>
        <w:rPr>
          <w:rStyle w:val="StringTok"/>
        </w:rPr>
        <w:t xml:space="preserve">"_kpasswd._tcp.</w:t>
      </w:r>
      <w:r>
        <w:rPr>
          <w:rStyle w:val="VariableTok"/>
        </w:rPr>
        <w:t xml:space="preserve">$domain</w:t>
      </w:r>
      <w:r>
        <w:rPr>
          <w:rStyle w:val="String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$n</w:t>
      </w:r>
      <w:r>
        <w:rPr>
          <w:rStyle w:val="NormalTok"/>
        </w:rPr>
        <w:t xml:space="preserve"> </w:t>
      </w:r>
      <w:r>
        <w:rPr>
          <w:rStyle w:val="KeywordTok"/>
        </w:rPr>
        <w:t xml:space="preserve">in</w:t>
      </w:r>
      <w:r>
        <w:rPr>
          <w:rStyle w:val="NormalTok"/>
        </w:rPr>
        <w:t xml:space="preserve"> </w:t>
      </w:r>
      <w:r>
        <w:rPr>
          <w:rStyle w:val="VariableTok"/>
        </w:rPr>
        <w:t xml:space="preserve">$names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rPr>
          <w:rStyle w:val="NormalTok"/>
        </w:rPr>
        <w:t xml:space="preserve"> Resolve-DnsName </w:t>
      </w:r>
      <w:r>
        <w:rPr>
          <w:rStyle w:val="OperatorTok"/>
        </w:rPr>
        <w:t xml:space="preserve">-</w:t>
      </w:r>
      <w:r>
        <w:rPr>
          <w:rStyle w:val="NormalTok"/>
        </w:rPr>
        <w:t xml:space="preserve">Name </w:t>
      </w:r>
      <w:r>
        <w:rPr>
          <w:rStyle w:val="VariableTok"/>
        </w:rPr>
        <w:t xml:space="preserve">$n</w:t>
      </w:r>
      <w:r>
        <w:rPr>
          <w:rStyle w:val="NormalTok"/>
        </w:rPr>
        <w:t xml:space="preserve"> </w:t>
      </w:r>
      <w:r>
        <w:rPr>
          <w:rStyle w:val="OperatorTok"/>
        </w:rPr>
        <w:t xml:space="preserve">-</w:t>
      </w:r>
      <w:r>
        <w:rPr>
          <w:rStyle w:val="NormalTok"/>
        </w:rPr>
        <w:t xml:space="preserve">Type SRV </w:t>
      </w:r>
      <w:r>
        <w:rPr>
          <w:rStyle w:val="OperatorTok"/>
        </w:rPr>
        <w:t xml:space="preserve">-</w:t>
      </w:r>
      <w:r>
        <w:rPr>
          <w:rStyle w:val="NormalTok"/>
        </w:rPr>
        <w:t xml:space="preserve">DnsOnly </w:t>
      </w:r>
      <w:r>
        <w:rPr>
          <w:rStyle w:val="OperatorTok"/>
        </w:rPr>
        <w:t xml:space="preserve">-</w:t>
      </w:r>
      <w:r>
        <w:rPr>
          <w:rStyle w:val="NormalTok"/>
        </w:rPr>
        <w:t xml:space="preserve">ErrorAction Stop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rPr>
          <w:rStyle w:val="NormalTok"/>
        </w:rPr>
        <w:t xml:space="preserve"> </w:t>
      </w:r>
      <w:r>
        <w:rPr>
          <w:rStyle w:val="FunctionTok"/>
        </w:rPr>
        <w:t xml:space="preserve">Write-Warning</w:t>
      </w:r>
      <w:r>
        <w:rPr>
          <w:rStyle w:val="NormalTok"/>
        </w:rPr>
        <w:t xml:space="preserve"> </w:t>
      </w:r>
      <w:r>
        <w:rPr>
          <w:rStyle w:val="StringTok"/>
        </w:rPr>
        <w:t xml:space="preserve">"SRV lookup failed: </w:t>
      </w:r>
      <w:r>
        <w:rPr>
          <w:rStyle w:val="VariableTok"/>
        </w:rPr>
        <w:t xml:space="preserve">$n</w:t>
      </w:r>
      <w:r>
        <w:rPr>
          <w:rStyle w:val="StringTok"/>
        </w:rPr>
        <w:t xml:space="preserve">"</w:t>
      </w:r>
      <w:r>
        <w:rPr>
          <w:rStyle w:val="NormalTok"/>
        </w:rPr>
        <w:t xml:space="preserve"> </w:t>
      </w:r>
      <w:r>
        <w:rPr>
          <w:rStyle w:val="OperatorTok"/>
        </w:rPr>
        <w:t xml:space="preserve">}</w:t>
      </w:r>
      <w:r>
        <w:rPr>
          <w:rStyle w:val="NormalTok"/>
        </w:rPr>
        <w:t xml:space="preserve">  </w:t>
      </w:r>
      <w:r>
        <w:rPr>
          <w:rStyle w:val="CommentTok"/>
        </w:rPr>
        <w:t xml:space="preserve"># raise an incident here</w:t>
      </w:r>
      <w:r>
        <w:br/>
      </w:r>
      <w:r>
        <w:rPr>
          <w:rStyle w:val="OperatorTok"/>
        </w:rPr>
        <w:t xml:space="preserve">}</w:t>
      </w:r>
    </w:p>
    <w:p>
      <w:pPr>
        <w:pStyle w:val="FirstParagraph"/>
      </w:pPr>
      <w:r>
        <w:rPr>
          <w:rStyle w:val="VerbatimChar"/>
        </w:rPr>
        <w:t xml:space="preserve">Resolve-DnsName</w:t>
      </w:r>
      <w:r>
        <w:t xml:space="preserve"> </w:t>
      </w:r>
      <w:r>
        <w:t xml:space="preserve">and its</w:t>
      </w:r>
      <w:r>
        <w:t xml:space="preserve"> </w:t>
      </w:r>
      <w:r>
        <w:rPr>
          <w:rStyle w:val="VerbatimChar"/>
        </w:rPr>
        <w:t xml:space="preserve">-Type</w:t>
      </w:r>
      <w:r>
        <w:t xml:space="preserve">,</w:t>
      </w:r>
      <w:r>
        <w:t xml:space="preserve"> </w:t>
      </w:r>
      <w:r>
        <w:rPr>
          <w:rStyle w:val="VerbatimChar"/>
        </w:rPr>
        <w:t xml:space="preserve">-DnsOnly</w:t>
      </w:r>
      <w:r>
        <w:t xml:space="preserve"> </w:t>
      </w:r>
      <w:r>
        <w:t xml:space="preserve">and</w:t>
      </w:r>
      <w:r>
        <w:t xml:space="preserve"> </w:t>
      </w:r>
      <w:r>
        <w:rPr>
          <w:rStyle w:val="VerbatimChar"/>
        </w:rPr>
        <w:t xml:space="preserve">-Server</w:t>
      </w:r>
      <w:r>
        <w:t xml:space="preserve"> </w:t>
      </w:r>
      <w:r>
        <w:t xml:space="preserve">parameters are from the DnsClient module.</w:t>
      </w:r>
      <w:r>
        <w:rPr>
          <w:rStyle w:val="FootnoteReference"/>
        </w:rPr>
        <w:footnoteReference w:id="765"/>
      </w:r>
      <w:r>
        <w:t xml:space="preserve"> </w:t>
      </w:r>
      <w:r>
        <w:t xml:space="preserve">Add the site-specific locator records (</w:t>
      </w:r>
      <w:r>
        <w:rPr>
          <w:rStyle w:val="VerbatimChar"/>
        </w:rPr>
        <w:t xml:space="preserve">_ldap._tcp.&lt;site&gt;._sites.dc._msdcs.&lt;domain&gt;</w:t>
      </w:r>
      <w:r>
        <w:t xml:space="preserve">) for every AD site, because a missing site record sends clients to remote domain controllers rather than failing outright.</w:t>
      </w:r>
    </w:p>
    <w:bookmarkStart w:id="769" w:name="drift-detection"/>
    <w:p>
      <w:pPr>
        <w:pStyle w:val="Heading3"/>
      </w:pPr>
      <w:r>
        <w:t xml:space="preserve">Drift detection</w:t>
      </w:r>
    </w:p>
    <w:p>
      <w:pPr>
        <w:pStyle w:val="FirstParagraph"/>
      </w:pPr>
      <w:r>
        <w:t xml:space="preserve">During the hybrid period the same zone exists in two places, and the copies diverge: a record added on one side by hand, a dynamic registration that reached only the old server, an import that skipped a type. Drift detection compares them on a schedule and opens a ticket when they differ. The method is simple: export both sides, normalize each record to a name, type and data tuple (excluding SOA and NS, which each platform manages itself), and report what exists only on one side. After migration the same job compares the policy plane, as the source of truth, with every consumer it synchronizes to, which is how the</w:t>
      </w:r>
      <w:r>
        <w:t xml:space="preserve"> </w:t>
      </w:r>
      <w:r>
        <w:t xml:space="preserve">“sync lag and sync failure”</w:t>
      </w:r>
      <w:r>
        <w:t xml:space="preserve"> </w:t>
      </w:r>
      <w:r>
        <w:t xml:space="preserve">risk in Chapter 12 is caught.</w:t>
      </w:r>
    </w:p>
    <w:p>
      <w:pPr>
        <w:pStyle w:val="BodyText"/>
      </w:pPr>
      <w:r>
        <w:t xml:space="preserve">On Windows the source side is</w:t>
      </w:r>
      <w:r>
        <w:t xml:space="preserve"> </w:t>
      </w:r>
      <w:r>
        <w:rPr>
          <w:rStyle w:val="VerbatimChar"/>
        </w:rPr>
        <w:t xml:space="preserve">Get-DnsServerResourceRecord</w:t>
      </w:r>
      <w:r>
        <w:t xml:space="preserve">;</w:t>
      </w:r>
      <w:r>
        <w:rPr>
          <w:rStyle w:val="FootnoteReference"/>
        </w:rPr>
        <w:footnoteReference w:id="766"/>
      </w:r>
      <w:r>
        <w:t xml:space="preserve"> </w:t>
      </w:r>
      <w:r>
        <w:t xml:space="preserve">on Azure Private DNS the target side is</w:t>
      </w:r>
      <w:r>
        <w:t xml:space="preserve"> </w:t>
      </w:r>
      <w:r>
        <w:rPr>
          <w:rStyle w:val="VerbatimChar"/>
        </w:rPr>
        <w:t xml:space="preserve">az network private-dns record-set list</w:t>
      </w:r>
      <w:r>
        <w:t xml:space="preserve">, which returns every record set in a zone.</w:t>
      </w:r>
      <w:r>
        <w:rPr>
          <w:rStyle w:val="FootnoteReference"/>
        </w:rPr>
        <w:footnoteReference w:id="767"/>
      </w:r>
      <w:r>
        <w:t xml:space="preserve"> </w:t>
      </w:r>
      <w:r>
        <w:t xml:space="preserve">Commit each drift report to the program’s repository so the history of drift is itself evidence.</w:t>
      </w:r>
    </w:p>
    <w:bookmarkEnd w:id="769"/>
    <w:bookmarkStart w:id="774" w:name="record-hygiene"/>
    <w:p>
      <w:pPr>
        <w:pStyle w:val="Heading3"/>
      </w:pPr>
      <w:r>
        <w:t xml:space="preserve">Record hygiene</w:t>
      </w:r>
    </w:p>
    <w:p>
      <w:pPr>
        <w:pStyle w:val="FirstParagraph"/>
      </w:pPr>
      <w:r>
        <w:t xml:space="preserve">Stale records are how DNS becomes a map of where things used to be, and dangling CNAMEs that point at deprovisioned cloud resources let someone else claim the name and take over the subdomain.</w:t>
      </w:r>
      <w:r>
        <w:rPr>
          <w:rStyle w:val="FootnoteReference"/>
        </w:rPr>
        <w:footnoteReference w:id="770"/>
      </w:r>
      <w:r>
        <w:t xml:space="preserve"> </w:t>
      </w:r>
      <w:r>
        <w:t xml:space="preserve">Each platform needs an explicit cleanup mechanism:</w:t>
      </w:r>
    </w:p>
    <w:p>
      <w:pPr>
        <w:pStyle w:val="Compact"/>
        <w:numPr>
          <w:ilvl w:val="0"/>
          <w:numId w:val="1060"/>
        </w:numPr>
      </w:pPr>
      <w:r>
        <w:rPr>
          <w:b/>
          <w:bCs/>
        </w:rPr>
        <w:t xml:space="preserve">Windows DNS:</w:t>
      </w:r>
      <w:r>
        <w:t xml:space="preserve"> </w:t>
      </w:r>
      <w:r>
        <w:t xml:space="preserve">aging and scavenging, configured per zone (no-refresh and refresh intervals) and per server. Where Azure VMs register in Windows DNS through dynamic DNS, Microsoft warns that long Azure DHCP leases can cause scavenging to remove records prematurely, so set the intervals with that in mind.</w:t>
      </w:r>
      <w:r>
        <w:rPr>
          <w:rStyle w:val="FootnoteReference"/>
        </w:rPr>
        <w:footnoteReference w:id="772"/>
      </w:r>
    </w:p>
    <w:p>
      <w:pPr>
        <w:pStyle w:val="Compact"/>
        <w:numPr>
          <w:ilvl w:val="0"/>
          <w:numId w:val="1060"/>
        </w:numPr>
      </w:pPr>
      <w:r>
        <w:rPr>
          <w:b/>
          <w:bCs/>
        </w:rPr>
        <w:t xml:space="preserve">Azure Private DNS:</w:t>
      </w:r>
      <w:r>
        <w:t xml:space="preserve"> </w:t>
      </w:r>
      <w:r>
        <w:t xml:space="preserve">autoregistered VM records are removed when the VM is deleted or stopped and deallocated.</w:t>
      </w:r>
      <w:r>
        <w:rPr>
          <w:rStyle w:val="FootnoteReference"/>
        </w:rPr>
        <w:footnoteReference w:id="773"/>
      </w:r>
      <w:r>
        <w:t xml:space="preserve"> </w:t>
      </w:r>
      <w:r>
        <w:t xml:space="preserve">Manually created records have no aging; remove them through the same automation that created them, or with a scheduled job that checks each record against the resources that still exist.</w:t>
      </w:r>
    </w:p>
    <w:p>
      <w:pPr>
        <w:pStyle w:val="Compact"/>
        <w:numPr>
          <w:ilvl w:val="0"/>
          <w:numId w:val="1060"/>
        </w:numPr>
      </w:pPr>
      <w:r>
        <w:rPr>
          <w:b/>
          <w:bCs/>
        </w:rPr>
        <w:t xml:space="preserve">The policy plane:</w:t>
      </w:r>
      <w:r>
        <w:t xml:space="preserve"> </w:t>
      </w:r>
      <w:r>
        <w:t xml:space="preserve">DHCP-driven DDNS removes records when leases expire. Report stale-record and dangling-CNAME rates monthly as hygiene metrics.</w:t>
      </w:r>
    </w:p>
    <w:bookmarkEnd w:id="774"/>
    <w:bookmarkStart w:id="780" w:name="troubleshooting-reference"/>
    <w:p>
      <w:pPr>
        <w:pStyle w:val="Heading2"/>
      </w:pPr>
      <w:bookmarkStart w:id="1137" w:name="_Toc00001137"/>
      <w:r>
        <w:t xml:space="preserve">Troubleshooting reference</w:t>
      </w:r>
      <w:bookmarkEnd w:id="1137"/>
    </w:p>
    <w:p>
      <w:pPr>
        <w:pStyle w:val="FirstParagraph"/>
      </w:pPr>
      <w:r>
        <w:t xml:space="preserve">The failures below are the common ones during the hybrid period. The resolution column is where to look first; the prevention column is the control that stops it recurring.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Resolution</w:t>
            </w:r>
          </w:p>
        </w:tc>
        <w:tc>
          <w:tcPr/>
          <w:p>
            <w:pPr>
              <w:pStyle w:val="Compact"/>
            </w:pPr>
            <w:r>
              <w:t xml:space="preserve">Prevention</w:t>
            </w:r>
          </w:p>
        </w:tc>
      </w:tr>
      <w:tr>
        <w:tc>
          <w:tcPr/>
          <w:p>
            <w:pPr>
              <w:pStyle w:val="Compact"/>
            </w:pPr>
            <w:r>
              <w:t xml:space="preserve">A cloud workload cannot resolve an on-premises name</w:t>
            </w:r>
          </w:p>
        </w:tc>
        <w:tc>
          <w:tcPr/>
          <w:p>
            <w:pPr>
              <w:pStyle w:val="Compact"/>
            </w:pPr>
            <w:r>
              <w:t xml:space="preserve">Missing or wrong forwarding rule, or port 53 blocked from the outbound endpoint subnet</w:t>
            </w:r>
          </w:p>
        </w:tc>
        <w:tc>
          <w:tcPr/>
          <w:p>
            <w:pPr>
              <w:pStyle w:val="Compact"/>
            </w:pPr>
            <w:r>
              <w:t xml:space="preserve">Check the rule exists for the namespace; test the targets on UDP and TCP 53 from the outbound subnet; check NSGs</w:t>
            </w:r>
          </w:p>
        </w:tc>
        <w:tc>
          <w:tcPr/>
          <w:p>
            <w:pPr>
              <w:pStyle w:val="Compact"/>
            </w:pPr>
            <w:r>
              <w:t xml:space="preserve">Test each rule when it is created; include port 53 in deployment validation</w:t>
            </w:r>
          </w:p>
        </w:tc>
      </w:tr>
      <w:tr>
        <w:tc>
          <w:tcPr/>
          <w:p>
            <w:pPr>
              <w:pStyle w:val="Compact"/>
            </w:pPr>
            <w:r>
              <w:t xml:space="preserve">An on-premises client cannot resolve a cloud private name</w:t>
            </w:r>
          </w:p>
        </w:tc>
        <w:tc>
          <w:tcPr/>
          <w:p>
            <w:pPr>
              <w:pStyle w:val="Compact"/>
            </w:pPr>
            <w:r>
              <w:t xml:space="preserve">No conditional forwarder to the inbound endpoint, the endpoint is unreachable, or the private zone is not linked to the resolver’s VNet</w:t>
            </w:r>
          </w:p>
        </w:tc>
        <w:tc>
          <w:tcPr/>
          <w:p>
            <w:pPr>
              <w:pStyle w:val="Compact"/>
            </w:pPr>
            <w:r>
              <w:t xml:space="preserve">Check the forwarder, the route to the inbound endpoint and the zone link</w:t>
            </w:r>
          </w:p>
        </w:tc>
        <w:tc>
          <w:tcPr/>
          <w:p>
            <w:pPr>
              <w:pStyle w:val="Compact"/>
            </w:pPr>
            <w:r>
              <w:t xml:space="preserve">Monitor inbound endpoint reachability; deploy forwarders as code</w:t>
            </w:r>
          </w:p>
        </w:tc>
      </w:tr>
      <w:tr>
        <w:tc>
          <w:tcPr/>
          <w:p>
            <w:pPr>
              <w:pStyle w:val="Compact"/>
            </w:pPr>
            <w:r>
              <w:t xml:space="preserve">A private endpoint name returns its public address</w:t>
            </w:r>
          </w:p>
        </w:tc>
        <w:tc>
          <w:tcPr/>
          <w:p>
            <w:pPr>
              <w:pStyle w:val="Compact"/>
            </w:pPr>
            <w:r>
              <w:t xml:space="preserve">The</w:t>
            </w:r>
            <w:r>
              <w:t xml:space="preserve"> </w:t>
            </w:r>
            <w:r>
              <w:rPr>
                <w:rStyle w:val="VerbatimChar"/>
              </w:rPr>
              <w:t xml:space="preserve">privatelink</w:t>
            </w:r>
            <w:r>
              <w:t xml:space="preserve"> </w:t>
            </w:r>
            <w:r>
              <w:t xml:space="preserve">zone is not linked to the querying VNet, the on-premises forwarder targets</w:t>
            </w:r>
            <w:r>
              <w:t xml:space="preserve"> </w:t>
            </w:r>
            <w:r>
              <w:rPr>
                <w:rStyle w:val="VerbatimChar"/>
              </w:rPr>
              <w:t xml:space="preserve">168.63.129.16</w:t>
            </w:r>
            <w:r>
              <w:t xml:space="preserve">, or a Windows forwarder times out</w:t>
            </w:r>
          </w:p>
        </w:tc>
        <w:tc>
          <w:tcPr/>
          <w:p>
            <w:pPr>
              <w:pStyle w:val="Compact"/>
            </w:pPr>
            <w:r>
              <w:t xml:space="preserve">Link the zone; target the inbound endpoint, not</w:t>
            </w:r>
            <w:r>
              <w:t xml:space="preserve"> </w:t>
            </w:r>
            <w:r>
              <w:rPr>
                <w:rStyle w:val="VerbatimChar"/>
              </w:rPr>
              <w:t xml:space="preserve">168.63.129.16</w:t>
            </w:r>
            <w:r>
              <w:t xml:space="preserve">;</w:t>
            </w:r>
            <w:r>
              <w:rPr>
                <w:rStyle w:val="FootnoteReference"/>
              </w:rPr>
              <w:footnoteReference w:id="775"/>
            </w:r>
            <w:r>
              <w:t xml:space="preserve"> </w:t>
            </w:r>
            <w:r>
              <w:t xml:space="preserve">raise the Windows forwarding timeout above four seconds</w:t>
            </w:r>
            <w:r>
              <w:rPr>
                <w:rStyle w:val="FootnoteReference"/>
              </w:rPr>
              <w:footnoteReference w:id="776"/>
            </w:r>
          </w:p>
        </w:tc>
        <w:tc>
          <w:tcPr/>
          <w:p>
            <w:pPr>
              <w:pStyle w:val="Compact"/>
            </w:pPr>
            <w:r>
              <w:t xml:space="preserve">Create</w:t>
            </w:r>
            <w:r>
              <w:t xml:space="preserve"> </w:t>
            </w:r>
            <w:r>
              <w:rPr>
                <w:rStyle w:val="VerbatimChar"/>
              </w:rPr>
              <w:t xml:space="preserve">privatelink</w:t>
            </w:r>
            <w:r>
              <w:t xml:space="preserve"> </w:t>
            </w:r>
            <w:r>
              <w:t xml:space="preserve">zones before private endpoints; enforce links by policy (Chapter 07)</w:t>
            </w:r>
          </w:p>
        </w:tc>
      </w:tr>
      <w:tr>
        <w:tc>
          <w:tcPr/>
          <w:p>
            <w:pPr>
              <w:pStyle w:val="Compact"/>
            </w:pPr>
            <w:r>
              <w:t xml:space="preserve">Domain join or Kerberos fails from a cloud VM</w:t>
            </w:r>
          </w:p>
        </w:tc>
        <w:tc>
          <w:tcPr/>
          <w:p>
            <w:pPr>
              <w:pStyle w:val="Compact"/>
            </w:pPr>
            <w:r>
              <w:t xml:space="preserve">Locator SRV records unresolvable from the VNet</w:t>
            </w:r>
          </w:p>
        </w:tc>
        <w:tc>
          <w:tcPr/>
          <w:p>
            <w:pPr>
              <w:pStyle w:val="Compact"/>
            </w:pPr>
            <w:r>
              <w:t xml:space="preserve">Check the forwarding rule for the AD namespace; resolve</w:t>
            </w:r>
            <w:r>
              <w:t xml:space="preserve"> </w:t>
            </w:r>
            <w:r>
              <w:rPr>
                <w:rStyle w:val="VerbatimChar"/>
              </w:rPr>
              <w:t xml:space="preserve">_ldap._tcp.dc._msdcs.&lt;domain&gt;</w:t>
            </w:r>
            <w:r>
              <w:t xml:space="preserve"> </w:t>
            </w:r>
            <w:r>
              <w:t xml:space="preserve">as SRV; check tickets with</w:t>
            </w:r>
            <w:r>
              <w:t xml:space="preserve"> </w:t>
            </w:r>
            <w:r>
              <w:rPr>
                <w:rStyle w:val="VerbatimChar"/>
              </w:rPr>
              <w:t xml:space="preserve">klist</w:t>
            </w:r>
          </w:p>
        </w:tc>
        <w:tc>
          <w:tcPr/>
          <w:p>
            <w:pPr>
              <w:pStyle w:val="Compact"/>
            </w:pPr>
            <w:r>
              <w:t xml:space="preserve">Prove SRV forwarding before any cloud VM joins the domain; run the SRV check before and after each phase</w:t>
            </w:r>
          </w:p>
        </w:tc>
      </w:tr>
      <w:tr>
        <w:tc>
          <w:tcPr/>
          <w:p>
            <w:pPr>
              <w:pStyle w:val="Compact"/>
            </w:pPr>
            <w:r>
              <w:t xml:space="preserve">Queries never resolve</w:t>
            </w:r>
          </w:p>
        </w:tc>
        <w:tc>
          <w:tcPr/>
          <w:p>
            <w:pPr>
              <w:pStyle w:val="Compact"/>
            </w:pPr>
            <w:r>
              <w:t xml:space="preserve">A forwarding loop: cloud forwards to on-premises, which forwards back</w:t>
            </w:r>
          </w:p>
        </w:tc>
        <w:tc>
          <w:tcPr/>
          <w:p>
            <w:pPr>
              <w:pStyle w:val="Compact"/>
            </w:pPr>
            <w:r>
              <w:t xml:space="preserve">Trace both directions for the namespace; give it one authoritative path</w:t>
            </w:r>
          </w:p>
        </w:tc>
        <w:tc>
          <w:tcPr/>
          <w:p>
            <w:pPr>
              <w:pStyle w:val="Compact"/>
            </w:pPr>
            <w:r>
              <w:t xml:space="preserve">Document every forwarding path; review for loops each phase</w:t>
            </w:r>
          </w:p>
        </w:tc>
      </w:tr>
      <w:tr>
        <w:tc>
          <w:tcPr/>
          <w:p>
            <w:pPr>
              <w:pStyle w:val="Compact"/>
            </w:pPr>
            <w:r>
              <w:t xml:space="preserve">NXDOMAIN or old answers just after a move</w:t>
            </w:r>
          </w:p>
        </w:tc>
        <w:tc>
          <w:tcPr/>
          <w:p>
            <w:pPr>
              <w:pStyle w:val="Compact"/>
            </w:pPr>
            <w:r>
              <w:t xml:space="preserve">Cached answers within the old TTL</w:t>
            </w:r>
          </w:p>
        </w:tc>
        <w:tc>
          <w:tcPr/>
          <w:p>
            <w:pPr>
              <w:pStyle w:val="Compact"/>
            </w:pPr>
            <w:r>
              <w:t xml:space="preserve">Confirm the record in the target; flush client caches (</w:t>
            </w:r>
            <w:r>
              <w:rPr>
                <w:rStyle w:val="VerbatimChar"/>
              </w:rPr>
              <w:t xml:space="preserve">ipconfig /flushdns</w:t>
            </w:r>
            <w:r>
              <w:t xml:space="preserve">); wait out the TTL</w:t>
            </w:r>
          </w:p>
        </w:tc>
        <w:tc>
          <w:tcPr/>
          <w:p>
            <w:pPr>
              <w:pStyle w:val="Compact"/>
            </w:pPr>
            <w:r>
              <w:t xml:space="preserve">Lower TTLs at least 48 hours before cutover; restore after</w:t>
            </w:r>
          </w:p>
        </w:tc>
      </w:tr>
      <w:tr>
        <w:tc>
          <w:tcPr/>
          <w:p>
            <w:pPr>
              <w:pStyle w:val="Compact"/>
            </w:pPr>
            <w:r>
              <w:t xml:space="preserve">Intermittent failures from cloud VMs</w:t>
            </w:r>
          </w:p>
        </w:tc>
        <w:tc>
          <w:tcPr/>
          <w:p>
            <w:pPr>
              <w:pStyle w:val="Compact"/>
            </w:pPr>
            <w:r>
              <w:t xml:space="preserve">The VNet’s DNS list includes a retired or unreachable server, or VMs still hold old settings</w:t>
            </w:r>
          </w:p>
        </w:tc>
        <w:tc>
          <w:tcPr/>
          <w:p>
            <w:pPr>
              <w:pStyle w:val="Compact"/>
            </w:pPr>
            <w:r>
              <w:t xml:space="preserve">Fix the list order; restart or renew leases on affected VMs</w:t>
            </w:r>
            <w:r>
              <w:rPr>
                <w:rStyle w:val="FootnoteReference"/>
              </w:rPr>
              <w:footnoteReference w:id="777"/>
            </w:r>
          </w:p>
        </w:tc>
        <w:tc>
          <w:tcPr/>
          <w:p>
            <w:pPr>
              <w:pStyle w:val="Compact"/>
            </w:pPr>
            <w:r>
              <w:t xml:space="preserve">Audit VNet DNS settings each phase</w:t>
            </w:r>
          </w:p>
        </w:tc>
      </w:tr>
      <w:tr>
        <w:tc>
          <w:tcPr/>
          <w:p>
            <w:pPr>
              <w:pStyle w:val="Compact"/>
            </w:pPr>
            <w:r>
              <w:t xml:space="preserve">Records missing after a rollback</w:t>
            </w:r>
          </w:p>
        </w:tc>
        <w:tc>
          <w:tcPr/>
          <w:p>
            <w:pPr>
              <w:pStyle w:val="Compact"/>
            </w:pPr>
            <w:r>
              <w:t xml:space="preserve">A VNet link was removed or autoregistration disabled, deleting autoregistered records</w:t>
            </w:r>
          </w:p>
        </w:tc>
        <w:tc>
          <w:tcPr/>
          <w:p>
            <w:pPr>
              <w:pStyle w:val="Compact"/>
            </w:pPr>
            <w:r>
              <w:t xml:space="preserve">Re-enable autoregistration or re-create the records; deleted autoregistered records cannot be restored</w:t>
            </w:r>
            <w:r>
              <w:rPr>
                <w:rStyle w:val="FootnoteReference"/>
              </w:rPr>
              <w:footnoteReference w:id="778"/>
            </w:r>
          </w:p>
        </w:tc>
        <w:tc>
          <w:tcPr/>
          <w:p>
            <w:pPr>
              <w:pStyle w:val="Compact"/>
            </w:pPr>
            <w:r>
              <w:t xml:space="preserve">Plan rollback for autoregistered zones before the change (Chapter 10)</w:t>
            </w:r>
          </w:p>
        </w:tc>
      </w:tr>
      <w:tr>
        <w:tc>
          <w:tcPr/>
          <w:p>
            <w:pPr>
              <w:pStyle w:val="Compact"/>
            </w:pPr>
            <w:r>
              <w:t xml:space="preserve">Stale records accumulate in a private zone</w:t>
            </w:r>
          </w:p>
        </w:tc>
        <w:tc>
          <w:tcPr/>
          <w:p>
            <w:pPr>
              <w:pStyle w:val="Compact"/>
            </w:pPr>
            <w:r>
              <w:t xml:space="preserve">Manual records never removed</w:t>
            </w:r>
          </w:p>
        </w:tc>
        <w:tc>
          <w:tcPr/>
          <w:p>
            <w:pPr>
              <w:pStyle w:val="Compact"/>
            </w:pPr>
            <w:r>
              <w:t xml:space="preserve">Run the cleanup job; compare records to existing resources</w:t>
            </w:r>
          </w:p>
        </w:tc>
        <w:tc>
          <w:tcPr/>
          <w:p>
            <w:pPr>
              <w:pStyle w:val="Compact"/>
            </w:pPr>
            <w:r>
              <w:t xml:space="preserve">Schedule drift and hygiene jobs</w:t>
            </w:r>
          </w:p>
        </w:tc>
      </w:tr>
      <w:tr>
        <w:tc>
          <w:tcPr/>
          <w:p>
            <w:pPr>
              <w:pStyle w:val="Compact"/>
            </w:pPr>
            <w:r>
              <w:t xml:space="preserve">Cross-forest names fail</w:t>
            </w:r>
          </w:p>
        </w:tc>
        <w:tc>
          <w:tcPr/>
          <w:p>
            <w:pPr>
              <w:pStyle w:val="Compact"/>
            </w:pPr>
            <w:r>
              <w:t xml:space="preserve">The partner forest’s forwarding rule is missing or its target addresses changed</w:t>
            </w:r>
          </w:p>
        </w:tc>
        <w:tc>
          <w:tcPr/>
          <w:p>
            <w:pPr>
              <w:pStyle w:val="Compact"/>
            </w:pPr>
            <w:r>
              <w:t xml:space="preserve">Check the rule and the partner’s current DNS addresses</w:t>
            </w:r>
          </w:p>
        </w:tc>
        <w:tc>
          <w:tcPr/>
          <w:p>
            <w:pPr>
              <w:pStyle w:val="Compact"/>
            </w:pPr>
            <w:r>
              <w:t xml:space="preserve">Keep a register of partner DNS addresses in the forwarder inventory</w:t>
            </w:r>
          </w:p>
        </w:tc>
      </w:tr>
      <w:tr>
        <w:tc>
          <w:tcPr/>
          <w:p>
            <w:pPr>
              <w:pStyle w:val="Compact"/>
            </w:pPr>
            <w:r>
              <w:t xml:space="preserve">Resolver endpoint not answering</w:t>
            </w:r>
          </w:p>
        </w:tc>
        <w:tc>
          <w:tcPr/>
          <w:p>
            <w:pPr>
              <w:pStyle w:val="Compact"/>
            </w:pPr>
            <w:r>
              <w:t xml:space="preserve">Platform issue, subnet problem or NSG blocking port 53</w:t>
            </w:r>
          </w:p>
        </w:tc>
        <w:tc>
          <w:tcPr/>
          <w:p>
            <w:pPr>
              <w:pStyle w:val="Compact"/>
            </w:pPr>
            <w:r>
              <w:t xml:space="preserve">Check resolver health and NSGs; confirm the endpoint’s subnet is dedicated to it</w:t>
            </w:r>
          </w:p>
        </w:tc>
        <w:tc>
          <w:tcPr/>
          <w:p>
            <w:pPr>
              <w:pStyle w:val="Compact"/>
            </w:pPr>
            <w:r>
              <w:t xml:space="preserve">Alert on inbound QPS at zero</w:t>
            </w:r>
          </w:p>
        </w:tc>
      </w:tr>
      <w:tr>
        <w:tc>
          <w:tcPr/>
          <w:p>
            <w:pPr>
              <w:pStyle w:val="Compact"/>
            </w:pPr>
            <w:r>
              <w:t xml:space="preserve">DNSSEC validation fails after a zone moves</w:t>
            </w:r>
          </w:p>
        </w:tc>
        <w:tc>
          <w:tcPr/>
          <w:p>
            <w:pPr>
              <w:pStyle w:val="Compact"/>
            </w:pPr>
            <w:r>
              <w:t xml:space="preserve">The chain of trust is broken (DS record at the parent not updated)</w:t>
            </w:r>
          </w:p>
        </w:tc>
        <w:tc>
          <w:tcPr/>
          <w:p>
            <w:pPr>
              <w:pStyle w:val="Compact"/>
            </w:pPr>
            <w:r>
              <w:t xml:space="preserve">Validate the chain with</w:t>
            </w:r>
            <w:r>
              <w:t xml:space="preserve"> </w:t>
            </w:r>
            <w:r>
              <w:rPr>
                <w:rStyle w:val="VerbatimChar"/>
              </w:rPr>
              <w:t xml:space="preserve">Resolve-DnsName -DnssecOk</w:t>
            </w:r>
            <w:r>
              <w:t xml:space="preserve">;</w:t>
            </w:r>
            <w:r>
              <w:rPr>
                <w:rStyle w:val="FootnoteReference"/>
              </w:rPr>
              <w:footnoteReference w:id="779"/>
            </w:r>
            <w:r>
              <w:t xml:space="preserve"> </w:t>
            </w:r>
            <w:r>
              <w:t xml:space="preserve">fix the DS record</w:t>
            </w:r>
          </w:p>
        </w:tc>
        <w:tc>
          <w:tcPr/>
          <w:p>
            <w:pPr>
              <w:pStyle w:val="Compact"/>
            </w:pPr>
            <w:r>
              <w:t xml:space="preserve">Follow the signed-zone sequence in Chapter 06</w:t>
            </w:r>
          </w:p>
        </w:tc>
      </w:tr>
    </w:tbl>
    <w:bookmarkEnd w:id="780"/>
    <w:bookmarkStart w:id="784" w:name="compliance-evidence"/>
    <w:p>
      <w:pPr>
        <w:pStyle w:val="Heading2"/>
      </w:pPr>
      <w:bookmarkStart w:id="1138" w:name="_Toc00001138"/>
      <w:r>
        <w:t xml:space="preserve">Compliance evidence</w:t>
      </w:r>
      <w:bookmarkEnd w:id="1138"/>
    </w:p>
    <w:p>
      <w:pPr>
        <w:pStyle w:val="FirstParagraph"/>
      </w:pPr>
      <w:r>
        <w:t xml:space="preserve">The policy plane should produce the continuous telemetry and audit trail that FedRAMP, NIST and Zero Trust reporting require:</w:t>
      </w:r>
    </w:p>
    <w:p>
      <w:pPr>
        <w:pStyle w:val="Compact"/>
        <w:numPr>
          <w:ilvl w:val="0"/>
          <w:numId w:val="1061"/>
        </w:numPr>
      </w:pPr>
      <w:r>
        <w:t xml:space="preserve">DNS query logs (source, query name, response, policy action, timestamp) for Protective DNS, M-21-31 logging and incident response, including queries made over encrypted DNS, exported to the SIEM and SOAR platforms and retained for 12 months active and 18 months cold.</w:t>
      </w:r>
      <w:r>
        <w:rPr>
          <w:rStyle w:val="FootnoteReference"/>
        </w:rPr>
        <w:footnoteReference w:id="781"/>
      </w:r>
    </w:p>
    <w:p>
      <w:pPr>
        <w:pStyle w:val="Compact"/>
        <w:numPr>
          <w:ilvl w:val="0"/>
          <w:numId w:val="1061"/>
        </w:numPr>
      </w:pPr>
      <w:r>
        <w:t xml:space="preserve">DHCP lease history, so every query can be tied to a device.</w:t>
      </w:r>
    </w:p>
    <w:p>
      <w:pPr>
        <w:pStyle w:val="Compact"/>
        <w:numPr>
          <w:ilvl w:val="0"/>
          <w:numId w:val="1061"/>
        </w:numPr>
      </w:pPr>
      <w:r>
        <w:t xml:space="preserve">Response policy and Protective DNS hit data.</w:t>
      </w:r>
    </w:p>
    <w:p>
      <w:pPr>
        <w:pStyle w:val="Compact"/>
        <w:numPr>
          <w:ilvl w:val="0"/>
          <w:numId w:val="1061"/>
        </w:numPr>
      </w:pPr>
      <w:r>
        <w:t xml:space="preserve">IPAM discovery and inventory reports for CM-8 component inventory, and continuous discovery data for CMDB reconciliation.</w:t>
      </w:r>
      <w:r>
        <w:rPr>
          <w:rStyle w:val="FootnoteReference"/>
        </w:rPr>
        <w:footnoteReference w:id="782"/>
      </w:r>
    </w:p>
    <w:p>
      <w:pPr>
        <w:pStyle w:val="Compact"/>
        <w:numPr>
          <w:ilvl w:val="0"/>
          <w:numId w:val="1061"/>
        </w:numPr>
      </w:pPr>
      <w:r>
        <w:t xml:space="preserve">Configuration change and role audit trails (who changed what, when and through which interface) for AU-2, AU-6 and AU-12.</w:t>
      </w:r>
      <w:r>
        <w:rPr>
          <w:rStyle w:val="FootnoteReference"/>
        </w:rPr>
        <w:footnoteReference w:id="783"/>
      </w:r>
    </w:p>
    <w:p>
      <w:pPr>
        <w:pStyle w:val="Compact"/>
        <w:numPr>
          <w:ilvl w:val="0"/>
          <w:numId w:val="1061"/>
        </w:numPr>
      </w:pPr>
      <w:r>
        <w:t xml:space="preserve">Resolution-path consistency metrics: the percentage of queries answered by the governed resolver.</w:t>
      </w:r>
    </w:p>
    <w:p>
      <w:pPr>
        <w:pStyle w:val="Compact"/>
        <w:numPr>
          <w:ilvl w:val="0"/>
          <w:numId w:val="1061"/>
        </w:numPr>
      </w:pPr>
      <w:r>
        <w:t xml:space="preserve">Stale record and dangling CNAME rates for hygiene reporting.</w:t>
      </w:r>
    </w:p>
    <w:p>
      <w:pPr>
        <w:pStyle w:val="Compact"/>
        <w:numPr>
          <w:ilvl w:val="0"/>
          <w:numId w:val="1061"/>
        </w:numPr>
      </w:pPr>
      <w:r>
        <w:t xml:space="preserve">Drift reports and SRV check history for the migration period.</w:t>
      </w:r>
    </w:p>
    <w:p>
      <w:pPr>
        <w:pStyle w:val="FirstParagraph"/>
      </w:pPr>
      <w:r>
        <w:t xml:space="preserve">These artifacts support the control mapping in Chapter 03, continuous monitoring, FedRAMP evidence packages and Zero Trust maturity assessments.</w:t>
      </w:r>
    </w:p>
    <w:bookmarkEnd w:id="784"/>
    <w:bookmarkStart w:id="785" w:name="sample-evidence-checklist"/>
    <w:p>
      <w:pPr>
        <w:pStyle w:val="Heading2"/>
      </w:pPr>
      <w:bookmarkStart w:id="1139" w:name="_Toc00001139"/>
      <w:r>
        <w:t xml:space="preserve">Sample evidence checklist</w:t>
      </w:r>
      <w:bookmarkEnd w:id="1139"/>
    </w:p>
    <w:p>
      <w:pPr>
        <w:pStyle w:val="FirstParagraph"/>
      </w:pPr>
      <w:r>
        <w:t xml:space="preserve">For a program office or an authorization package. The first five items are the five configuration decisions in Chapter 08, checked here:</w:t>
      </w:r>
    </w:p>
    <w:p>
      <w:pPr>
        <w:pStyle w:val="Compact"/>
        <w:numPr>
          <w:ilvl w:val="0"/>
          <w:numId w:val="1062"/>
        </w:numPr>
      </w:pPr>
      <w:r>
        <w:rPr>
          <w:b/>
          <w:bCs/>
        </w:rPr>
        <w:t xml:space="preserve">Decision 1.</w:t>
      </w:r>
      <w:r>
        <w:t xml:space="preserve"> </w:t>
      </w:r>
      <w:r>
        <w:t xml:space="preserve">Documented redirect-dns targets for every branch, all of them network-addressable agency-controlled resolvers.</w:t>
      </w:r>
    </w:p>
    <w:p>
      <w:pPr>
        <w:pStyle w:val="Compact"/>
        <w:numPr>
          <w:ilvl w:val="0"/>
          <w:numId w:val="1062"/>
        </w:numPr>
      </w:pPr>
      <w:r>
        <w:rPr>
          <w:b/>
          <w:bCs/>
        </w:rPr>
        <w:t xml:space="preserve">Decision 2.</w:t>
      </w:r>
      <w:r>
        <w:t xml:space="preserve"> </w:t>
      </w:r>
      <w:r>
        <w:t xml:space="preserve">Forwarding chain order verified in the running configuration: the agency-controlled resolver is the redirect-dns target, and any additional resolvers are its forwarding targets.</w:t>
      </w:r>
    </w:p>
    <w:p>
      <w:pPr>
        <w:pStyle w:val="Compact"/>
        <w:numPr>
          <w:ilvl w:val="0"/>
          <w:numId w:val="1062"/>
        </w:numPr>
      </w:pPr>
      <w:r>
        <w:rPr>
          <w:b/>
          <w:bCs/>
        </w:rPr>
        <w:t xml:space="preserve">Decision 3.</w:t>
      </w:r>
      <w:r>
        <w:t xml:space="preserve"> </w:t>
      </w:r>
      <w:r>
        <w:t xml:space="preserve">Every per-cloud private namespace has its forwarding rule in the policy plane, with a passing validation from every origin (Chapter 10, Phase 4).</w:t>
      </w:r>
    </w:p>
    <w:p>
      <w:pPr>
        <w:pStyle w:val="Compact"/>
        <w:numPr>
          <w:ilvl w:val="0"/>
          <w:numId w:val="1062"/>
        </w:numPr>
      </w:pPr>
      <w:r>
        <w:rPr>
          <w:b/>
          <w:bCs/>
        </w:rPr>
        <w:t xml:space="preserve">Decision 4.</w:t>
      </w:r>
      <w:r>
        <w:t xml:space="preserve"> </w:t>
      </w:r>
      <w:r>
        <w:t xml:space="preserve">AD DNS inventory completed and reconciled before any domain controller is decommissioned.</w:t>
      </w:r>
    </w:p>
    <w:p>
      <w:pPr>
        <w:pStyle w:val="Compact"/>
        <w:numPr>
          <w:ilvl w:val="0"/>
          <w:numId w:val="1062"/>
        </w:numPr>
      </w:pPr>
      <w:r>
        <w:rPr>
          <w:b/>
          <w:bCs/>
        </w:rPr>
        <w:t xml:space="preserve">Decision 5.</w:t>
      </w:r>
      <w:r>
        <w:t xml:space="preserve"> </w:t>
      </w:r>
      <w:r>
        <w:t xml:space="preserve">OCSP and CRL endpoints resolvable from on-premises, every cloud and every branch.</w:t>
      </w:r>
    </w:p>
    <w:p>
      <w:pPr>
        <w:pStyle w:val="Compact"/>
        <w:numPr>
          <w:ilvl w:val="0"/>
          <w:numId w:val="1062"/>
        </w:numPr>
      </w:pPr>
      <w:r>
        <w:t xml:space="preserve">Protective DNS and encrypted DNS configuration evidence aligned with M-22-09, CISA guidance and SP 800-81r3 (Chapter 03, Chapter 05).</w:t>
      </w:r>
    </w:p>
    <w:p>
      <w:pPr>
        <w:pStyle w:val="Compact"/>
        <w:numPr>
          <w:ilvl w:val="0"/>
          <w:numId w:val="1062"/>
        </w:numPr>
      </w:pPr>
      <w:r>
        <w:t xml:space="preserve">IPAM inventory and discovery reports covering the hybrid address space.</w:t>
      </w:r>
    </w:p>
    <w:p>
      <w:pPr>
        <w:pStyle w:val="Compact"/>
        <w:numPr>
          <w:ilvl w:val="0"/>
          <w:numId w:val="1062"/>
        </w:numPr>
      </w:pPr>
      <w:r>
        <w:t xml:space="preserve">Query logs, DHCP lease logs and policy audit trails retained for continuous monitoring at M-21-31 retention.</w:t>
      </w:r>
    </w:p>
    <w:p>
      <w:pPr>
        <w:pStyle w:val="Compact"/>
        <w:numPr>
          <w:ilvl w:val="0"/>
          <w:numId w:val="1062"/>
        </w:numPr>
      </w:pPr>
      <w:r>
        <w:t xml:space="preserve">Rogue DHCP and router advertisement detection, and option 6 and RDNSS consistency controls, documented.</w:t>
      </w:r>
    </w:p>
    <w:p>
      <w:pPr>
        <w:pStyle w:val="Compact"/>
        <w:numPr>
          <w:ilvl w:val="0"/>
          <w:numId w:val="1062"/>
        </w:numPr>
      </w:pPr>
      <w:r>
        <w:t xml:space="preserve">Delegated roles and scopes reviewed, with DnsAdmins and equivalent privileged memberships justified.</w:t>
      </w:r>
    </w:p>
    <w:bookmarkEnd w:id="785"/>
    <w:bookmarkStart w:id="786" w:name="what-this-chapter-establishes-9"/>
    <w:p>
      <w:pPr>
        <w:pStyle w:val="Heading2"/>
      </w:pPr>
      <w:bookmarkStart w:id="1140" w:name="_Toc00001140"/>
      <w:r>
        <w:t xml:space="preserve">What this chapter establishes</w:t>
      </w:r>
      <w:bookmarkEnd w:id="1140"/>
    </w:p>
    <w:p>
      <w:pPr>
        <w:pStyle w:val="Compact"/>
        <w:numPr>
          <w:ilvl w:val="0"/>
          <w:numId w:val="1063"/>
        </w:numPr>
      </w:pPr>
      <w:r>
        <w:t xml:space="preserve">A single policy plane must still give each division scoped autonomy, with one audit trail, and any DNS left on Windows or Azure needs the same discipline.</w:t>
      </w:r>
    </w:p>
    <w:p>
      <w:pPr>
        <w:pStyle w:val="Compact"/>
        <w:numPr>
          <w:ilvl w:val="0"/>
          <w:numId w:val="1063"/>
        </w:numPr>
      </w:pPr>
      <w:r>
        <w:t xml:space="preserve">Every change, human or automated, goes through the same API, roles and scopes.</w:t>
      </w:r>
    </w:p>
    <w:p>
      <w:pPr>
        <w:pStyle w:val="Compact"/>
        <w:numPr>
          <w:ilvl w:val="0"/>
          <w:numId w:val="1063"/>
        </w:numPr>
      </w:pPr>
      <w:r>
        <w:t xml:space="preserve">The plane, and every resolver and DHCP server still running, must produce the query, lease, change and inventory evidence that M-21-31, FedRAMP and Zero Trust reporting require, at the required retention.</w:t>
      </w:r>
    </w:p>
    <w:bookmarkEnd w:id="786"/>
    <w:bookmarkStart w:id="787" w:name="continue-the-book-10"/>
    <w:p>
      <w:pPr>
        <w:pStyle w:val="Heading2"/>
      </w:pPr>
      <w:bookmarkStart w:id="1141" w:name="_Toc00001141"/>
      <w:r>
        <w:t xml:space="preserve">Continue the book</w:t>
      </w:r>
      <w:bookmarkEnd w:id="1141"/>
    </w:p>
    <w:p>
      <w:pPr>
        <w:pStyle w:val="FirstParagraph"/>
      </w:pPr>
      <w:r>
        <w:t xml:space="preserve">← Previous: Chapter 10 — The Migration Sequence · Book index · Next: Chapter 12 — Platform Selection, Cost and Residual Risk →</w:t>
      </w:r>
    </w:p>
    <w:bookmarkEnd w:id="787"/>
    <w:bookmarkEnd w:id="788"/>
    <w:bookmarkStart w:id="834" w:name="X24081c0b83eacf41aefc223a5f98aff3d23feec"/>
    <w:p>
      <w:pPr>
        <w:pStyle w:val="Heading1"/>
      </w:pPr>
      <w:bookmarkStart w:id="1142" w:name="_Toc00001142"/>
      <w:r>
        <w:t xml:space="preserve">Chapter 12 — Platform Selection, Cost and Residual Risk</w:t>
      </w:r>
      <w:bookmarkEnd w:id="1142"/>
    </w:p>
    <w:p>
      <w:pPr>
        <w:pStyle w:val="FirstParagraph"/>
      </w:pPr>
      <w:r>
        <w:rPr>
          <w:i/>
          <w:iCs/>
        </w:rPr>
        <w:t xml:space="preserve">Choose the policy plane on the evidence each candidate can produce for your authorization boundary, price it by what it actually meters, and keep the risks it doesn’t remove on the record.</w:t>
      </w:r>
    </w:p>
    <w:bookmarkStart w:id="789" w:name="in-this-chapter-11"/>
    <w:p>
      <w:pPr>
        <w:pStyle w:val="Heading2"/>
      </w:pPr>
      <w:bookmarkStart w:id="1143" w:name="_Toc00001143"/>
      <w:r>
        <w:t xml:space="preserve">In this chapter</w:t>
      </w:r>
      <w:bookmarkEnd w:id="1143"/>
    </w:p>
    <w:p>
      <w:pPr>
        <w:pStyle w:val="FirstParagraph"/>
      </w:pPr>
      <w:r>
        <w:t xml:space="preserve">How to measure success and what drives cost and staffing, including the metered cost of cloud-native resolvers. Selection criteria and a decision framework, the authorization status of the main options as the FedRAMP Marketplace shows it today, a comparison of what each platform model can and can’t do across clouds, and the questions to put to every vendor. The chapter closes with the residual risks that remain after a unified policy plane is in place, and the book’s conclusion.</w:t>
      </w:r>
    </w:p>
    <w:bookmarkEnd w:id="789"/>
    <w:bookmarkStart w:id="800" w:name="cost-staffing-and-success-measures"/>
    <w:p>
      <w:pPr>
        <w:pStyle w:val="Heading2"/>
      </w:pPr>
      <w:bookmarkStart w:id="1144" w:name="_Toc00001144"/>
      <w:r>
        <w:t xml:space="preserve">Cost, staffing and success measures</w:t>
      </w:r>
      <w:bookmarkEnd w:id="1144"/>
    </w:p>
    <w:p>
      <w:pPr>
        <w:pStyle w:val="FirstParagraph"/>
      </w:pPr>
      <w:r>
        <w:t xml:space="preserve">Adopting a single authoritative DDI policy plane needs a view of cost, staffing and how success will be measured. Licensing and operating cost vary with the deployment model (SaaS management with local resolvers, on-premises or in-tenant appliances, or cloud-native services managed as code) and with the number of resolvers, sites and IP address objects under management. Staffing goes mainly to operating the policy plane, monitoring synchronization and the initial migration. Chapter 09 assigns that work.</w:t>
      </w:r>
    </w:p>
    <w:p>
      <w:pPr>
        <w:pStyle w:val="BodyText"/>
      </w:pPr>
      <w:r>
        <w:t xml:space="preserve">The headline success measure is</w:t>
      </w:r>
      <w:r>
        <w:t xml:space="preserve"> </w:t>
      </w:r>
      <w:r>
        <w:rPr>
          <w:b/>
          <w:bCs/>
        </w:rPr>
        <w:t xml:space="preserve">resolution-path consistency</w:t>
      </w:r>
      <w:r>
        <w:t xml:space="preserve">: the percentage of tested names that return the same answer, or the intentionally different internal and external answers, from every governed origin. Baseline the current rate, set a target and report progress to the authorizing official. Secondary measures are address-block overlap incidents and the certificate and access errors traced to wrong DNS answers.</w:t>
      </w:r>
    </w:p>
    <w:bookmarkStart w:id="799" w:name="what-the-cloud-native-path-meters"/>
    <w:p>
      <w:pPr>
        <w:pStyle w:val="Heading3"/>
      </w:pPr>
      <w:r>
        <w:t xml:space="preserve">What the cloud-native path meters</w:t>
      </w:r>
    </w:p>
    <w:p>
      <w:pPr>
        <w:pStyle w:val="FirstParagraph"/>
      </w:pPr>
      <w:r>
        <w:t xml:space="preserve">Commercial DDI licensing is quoted per agency and isn’t published, so this book doesn’t estimate it. Get quotes on the same assumptions for every candidate: number of sites and resolvers, managed IP addresses or objects, the clouds in scope and the authorization boundary.</w:t>
      </w:r>
    </w:p>
    <w:p>
      <w:pPr>
        <w:pStyle w:val="BodyText"/>
      </w:pPr>
      <w:r>
        <w:t xml:space="preserve">The cloud-native components, by contrast, have public meters, and they appear in every model, because even a commercial policy plane forwards into cloud resolvers and writes into cloud private zones. Azure’s list prices show how the cost is structured. Azure DNS Private Resolver is billed per inbound endpoint, per outbound endpoint and per forwarding ruleset, each per month. There is no separate resolver-instance charge and no Private Resolver query meter in the price list.</w:t>
      </w:r>
      <w:r>
        <w:rPr>
          <w:rStyle w:val="FootnoteReference"/>
        </w:rPr>
        <w:footnoteReference w:id="790"/>
      </w:r>
      <w:r>
        <w:rPr>
          <w:rStyle w:val="FootnoteReference"/>
        </w:rPr>
        <w:footnoteReference w:id="792"/>
      </w:r>
      <w:r>
        <w:t xml:space="preserve"> </w:t>
      </w:r>
      <w:r>
        <w:t xml:space="preserve">Private DNS zones are billed per zone per month, with private queries billed per million, and DNS security policy (Azure’s DNS-layer threat blocking</w:t>
      </w:r>
      <w:r>
        <w:rPr>
          <w:rStyle w:val="FootnoteReference"/>
        </w:rPr>
        <w:footnoteReference w:id="794"/>
      </w:r>
      <w:r>
        <w:t xml:space="preserve">) is billed per million queries and per managed domain.</w:t>
      </w:r>
      <w:r>
        <w:rPr>
          <w:rStyle w:val="FootnoteReference"/>
        </w:rPr>
        <w:footnoteReference w:id="796"/>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Azure meter (US commercial, Zone 1)</w:t>
            </w:r>
          </w:p>
        </w:tc>
        <w:tc>
          <w:tcPr/>
          <w:p>
            <w:pPr>
              <w:pStyle w:val="Compact"/>
            </w:pPr>
            <w:r>
              <w:t xml:space="preserve">Unit</w:t>
            </w:r>
          </w:p>
        </w:tc>
        <w:tc>
          <w:tcPr/>
          <w:p>
            <w:pPr>
              <w:pStyle w:val="Compact"/>
            </w:pPr>
            <w:r>
              <w:t xml:space="preserve">List price, USD</w:t>
            </w:r>
          </w:p>
        </w:tc>
        <w:tc>
          <w:tcPr/>
          <w:p>
            <w:pPr>
              <w:pStyle w:val="Compact"/>
            </w:pPr>
            <w:r>
              <w:t xml:space="preserve">Effective since</w:t>
            </w:r>
          </w:p>
        </w:tc>
      </w:tr>
      <w:tr>
        <w:tc>
          <w:tcPr/>
          <w:p>
            <w:pPr>
              <w:pStyle w:val="Compact"/>
            </w:pPr>
            <w:r>
              <w:t xml:space="preserve">Private Resolver inbound endpoint</w:t>
            </w:r>
          </w:p>
        </w:tc>
        <w:tc>
          <w:tcPr/>
          <w:p>
            <w:pPr>
              <w:pStyle w:val="Compact"/>
            </w:pPr>
            <w:r>
              <w:t xml:space="preserve">Per endpoint per month</w:t>
            </w:r>
          </w:p>
        </w:tc>
        <w:tc>
          <w:tcPr/>
          <w:p>
            <w:pPr>
              <w:pStyle w:val="Compact"/>
            </w:pPr>
            <w:r>
              <w:t xml:space="preserve">180.00</w:t>
            </w:r>
          </w:p>
        </w:tc>
        <w:tc>
          <w:tcPr/>
          <w:p>
            <w:pPr>
              <w:pStyle w:val="Compact"/>
            </w:pPr>
            <w:r>
              <w:t xml:space="preserve">Sep 1, 2022</w:t>
            </w:r>
          </w:p>
        </w:tc>
      </w:tr>
      <w:tr>
        <w:tc>
          <w:tcPr/>
          <w:p>
            <w:pPr>
              <w:pStyle w:val="Compact"/>
            </w:pPr>
            <w:r>
              <w:t xml:space="preserve">Private Resolver outbound endpoint</w:t>
            </w:r>
          </w:p>
        </w:tc>
        <w:tc>
          <w:tcPr/>
          <w:p>
            <w:pPr>
              <w:pStyle w:val="Compact"/>
            </w:pPr>
            <w:r>
              <w:t xml:space="preserve">Per endpoint per month</w:t>
            </w:r>
          </w:p>
        </w:tc>
        <w:tc>
          <w:tcPr/>
          <w:p>
            <w:pPr>
              <w:pStyle w:val="Compact"/>
            </w:pPr>
            <w:r>
              <w:t xml:space="preserve">180.00</w:t>
            </w:r>
          </w:p>
        </w:tc>
        <w:tc>
          <w:tcPr/>
          <w:p>
            <w:pPr>
              <w:pStyle w:val="Compact"/>
            </w:pPr>
            <w:r>
              <w:t xml:space="preserve">Sep 1, 2022</w:t>
            </w:r>
          </w:p>
        </w:tc>
      </w:tr>
      <w:tr>
        <w:tc>
          <w:tcPr/>
          <w:p>
            <w:pPr>
              <w:pStyle w:val="Compact"/>
            </w:pPr>
            <w:r>
              <w:t xml:space="preserve">Private Resolver forwarding ruleset</w:t>
            </w:r>
          </w:p>
        </w:tc>
        <w:tc>
          <w:tcPr/>
          <w:p>
            <w:pPr>
              <w:pStyle w:val="Compact"/>
            </w:pPr>
            <w:r>
              <w:t xml:space="preserve">Per ruleset per month</w:t>
            </w:r>
          </w:p>
        </w:tc>
        <w:tc>
          <w:tcPr/>
          <w:p>
            <w:pPr>
              <w:pStyle w:val="Compact"/>
            </w:pPr>
            <w:r>
              <w:t xml:space="preserve">2.50</w:t>
            </w:r>
          </w:p>
        </w:tc>
        <w:tc>
          <w:tcPr/>
          <w:p>
            <w:pPr>
              <w:pStyle w:val="Compact"/>
            </w:pPr>
            <w:r>
              <w:t xml:space="preserve">Sep 1, 2022</w:t>
            </w:r>
          </w:p>
        </w:tc>
      </w:tr>
      <w:tr>
        <w:tc>
          <w:tcPr/>
          <w:p>
            <w:pPr>
              <w:pStyle w:val="Compact"/>
            </w:pPr>
            <w:r>
              <w:t xml:space="preserve">Private DNS zone, first 25</w:t>
            </w:r>
          </w:p>
        </w:tc>
        <w:tc>
          <w:tcPr/>
          <w:p>
            <w:pPr>
              <w:pStyle w:val="Compact"/>
            </w:pPr>
            <w:r>
              <w:t xml:space="preserve">Per zone per month</w:t>
            </w:r>
          </w:p>
        </w:tc>
        <w:tc>
          <w:tcPr/>
          <w:p>
            <w:pPr>
              <w:pStyle w:val="Compact"/>
            </w:pPr>
            <w:r>
              <w:t xml:space="preserve">0.50</w:t>
            </w:r>
          </w:p>
        </w:tc>
        <w:tc>
          <w:tcPr/>
          <w:p>
            <w:pPr>
              <w:pStyle w:val="Compact"/>
            </w:pPr>
            <w:r>
              <w:t xml:space="preserve">Dec 1, 2019</w:t>
            </w:r>
          </w:p>
        </w:tc>
      </w:tr>
      <w:tr>
        <w:tc>
          <w:tcPr/>
          <w:p>
            <w:pPr>
              <w:pStyle w:val="Compact"/>
            </w:pPr>
            <w:r>
              <w:t xml:space="preserve">Private DNS queries</w:t>
            </w:r>
          </w:p>
        </w:tc>
        <w:tc>
          <w:tcPr/>
          <w:p>
            <w:pPr>
              <w:pStyle w:val="Compact"/>
            </w:pPr>
            <w:r>
              <w:t xml:space="preserve">Per million queries</w:t>
            </w:r>
          </w:p>
        </w:tc>
        <w:tc>
          <w:tcPr/>
          <w:p>
            <w:pPr>
              <w:pStyle w:val="Compact"/>
            </w:pPr>
            <w:r>
              <w:t xml:space="preserve">0.40</w:t>
            </w:r>
          </w:p>
        </w:tc>
        <w:tc>
          <w:tcPr/>
          <w:p>
            <w:pPr>
              <w:pStyle w:val="Compact"/>
            </w:pPr>
            <w:r>
              <w:t xml:space="preserve">Dec 1, 2019</w:t>
            </w:r>
          </w:p>
        </w:tc>
      </w:tr>
      <w:tr>
        <w:tc>
          <w:tcPr/>
          <w:p>
            <w:pPr>
              <w:pStyle w:val="Compact"/>
            </w:pPr>
            <w:r>
              <w:t xml:space="preserve">DNS security policy queries</w:t>
            </w:r>
          </w:p>
        </w:tc>
        <w:tc>
          <w:tcPr/>
          <w:p>
            <w:pPr>
              <w:pStyle w:val="Compact"/>
            </w:pPr>
            <w:r>
              <w:t xml:space="preserve">Per million queries</w:t>
            </w:r>
          </w:p>
        </w:tc>
        <w:tc>
          <w:tcPr/>
          <w:p>
            <w:pPr>
              <w:pStyle w:val="Compact"/>
            </w:pPr>
            <w:r>
              <w:t xml:space="preserve">0.60</w:t>
            </w:r>
          </w:p>
        </w:tc>
        <w:tc>
          <w:tcPr/>
          <w:p>
            <w:pPr>
              <w:pStyle w:val="Compact"/>
            </w:pPr>
            <w:r>
              <w:t xml:space="preserve">Jun 1, 2025</w:t>
            </w:r>
          </w:p>
        </w:tc>
      </w:tr>
    </w:tbl>
    <w:p>
      <w:pPr>
        <w:pStyle w:val="BodyText"/>
      </w:pPr>
      <w:r>
        <w:t xml:space="preserve">These are Azure Retail Prices API list prices retrieved on October 20, 2026, before any agreement discounts, and they change. Use the Azure pricing calculator for a current estimate.</w:t>
      </w:r>
      <w:r>
        <w:rPr>
          <w:rStyle w:val="FootnoteReference"/>
        </w:rPr>
        <w:footnoteReference w:id="797"/>
      </w:r>
      <w:r>
        <w:t xml:space="preserve"> </w:t>
      </w:r>
      <w:r>
        <w:t xml:space="preserve">As a worked example at those prices, a hub with one inbound endpoint, one outbound endpoint and one ruleset costs about $362.50 a month per region before zones and queries, and a second region for resilience doubles that. The same endpoint price appears in the US Gov zone of the price list. On AWS, VPC IPAM charges for each active IP address it monitors in an organization’s member accounts,</w:t>
      </w:r>
      <w:r>
        <w:rPr>
          <w:rStyle w:val="FootnoteReference"/>
        </w:rPr>
        <w:footnoteReference w:id="798"/>
      </w:r>
      <w:r>
        <w:t xml:space="preserve"> </w:t>
      </w:r>
      <w:r>
        <w:t xml:space="preserve">so IPAM cost grows with the address estate, not with the number of administrators.</w:t>
      </w:r>
    </w:p>
    <w:bookmarkEnd w:id="799"/>
    <w:bookmarkEnd w:id="800"/>
    <w:bookmarkStart w:id="801" w:name="correction-to-earlier-program-guidance"/>
    <w:p>
      <w:pPr>
        <w:pStyle w:val="Heading2"/>
      </w:pPr>
      <w:bookmarkStart w:id="1145" w:name="_Toc00001145"/>
      <w:r>
        <w:t xml:space="preserve">Correction to earlier program guidance</w:t>
      </w:r>
      <w:bookmarkEnd w:id="1145"/>
    </w:p>
    <w:p>
      <w:pPr>
        <w:pStyle w:val="FirstParagraph"/>
      </w:pPr>
      <w:r>
        <w:t xml:space="preserve">Earlier program cost guidance for Azure DNS Private Resolver priced a resolver instance by the hour with low-cost endpoints. The published meters are the reverse: the endpoints carry the cost, per endpoint per month, and there is no resolver-instance meter. Re-estimate any budget built on the earlier figures.</w:t>
      </w:r>
    </w:p>
    <w:bookmarkEnd w:id="801"/>
    <w:bookmarkStart w:id="811" w:name="selection-criteria"/>
    <w:p>
      <w:pPr>
        <w:pStyle w:val="Heading2"/>
      </w:pPr>
      <w:bookmarkStart w:id="1146" w:name="_Toc00001146"/>
      <w:r>
        <w:t xml:space="preserve">Selection criteria</w:t>
      </w:r>
      <w:bookmarkEnd w:id="1146"/>
    </w:p>
    <w:p>
      <w:pPr>
        <w:pStyle w:val="FirstParagraph"/>
      </w:pPr>
      <w:r>
        <w:t xml:space="preserve">Selection should follow the architectural requirements, not a vendor list:</w:t>
      </w:r>
    </w:p>
    <w:p>
      <w:pPr>
        <w:pStyle w:val="Compact"/>
        <w:numPr>
          <w:ilvl w:val="0"/>
          <w:numId w:val="1064"/>
        </w:numPr>
      </w:pPr>
      <w:r>
        <w:rPr>
          <w:b/>
          <w:bCs/>
        </w:rPr>
        <w:t xml:space="preserve">A single authoritative policy plane</w:t>
      </w:r>
      <w:r>
        <w:t xml:space="preserve"> </w:t>
      </w:r>
      <w:r>
        <w:t xml:space="preserve">for DNS, DHCP and IPAM across on-premises, every cloud and VMware.</w:t>
      </w:r>
    </w:p>
    <w:p>
      <w:pPr>
        <w:pStyle w:val="Compact"/>
        <w:numPr>
          <w:ilvl w:val="0"/>
          <w:numId w:val="1064"/>
        </w:numPr>
      </w:pPr>
      <w:r>
        <w:rPr>
          <w:b/>
          <w:bCs/>
        </w:rPr>
        <w:t xml:space="preserve">Authorization status</w:t>
      </w:r>
      <w:r>
        <w:t xml:space="preserve"> </w:t>
      </w:r>
      <w:r>
        <w:t xml:space="preserve">at the impact level and in the cloud environment where it will be used (Applicability).</w:t>
      </w:r>
    </w:p>
    <w:p>
      <w:pPr>
        <w:pStyle w:val="Compact"/>
        <w:numPr>
          <w:ilvl w:val="0"/>
          <w:numId w:val="1064"/>
        </w:numPr>
      </w:pPr>
      <w:r>
        <w:rPr>
          <w:b/>
          <w:bCs/>
        </w:rPr>
        <w:t xml:space="preserve">Consistent resolution and security policy</w:t>
      </w:r>
      <w:r>
        <w:t xml:space="preserve"> </w:t>
      </w:r>
      <w:r>
        <w:t xml:space="preserve">(response policy zones and Protective DNS forwarding, encrypted DNS, DNSSEC validation, logging) across every hybrid surface.</w:t>
      </w:r>
    </w:p>
    <w:p>
      <w:pPr>
        <w:pStyle w:val="Compact"/>
        <w:numPr>
          <w:ilvl w:val="0"/>
          <w:numId w:val="1064"/>
        </w:numPr>
      </w:pPr>
      <w:r>
        <w:rPr>
          <w:b/>
          <w:bCs/>
        </w:rPr>
        <w:t xml:space="preserve">Support for the five configuration decisions</w:t>
      </w:r>
      <w:r>
        <w:t xml:space="preserve"> </w:t>
      </w:r>
      <w:r>
        <w:t xml:space="preserve">in Chapter 08, including network-addressable resolvers that SD-WAN redirect-dns can target at every branch.</w:t>
      </w:r>
    </w:p>
    <w:p>
      <w:pPr>
        <w:pStyle w:val="Compact"/>
        <w:numPr>
          <w:ilvl w:val="0"/>
          <w:numId w:val="1064"/>
        </w:numPr>
      </w:pPr>
      <w:r>
        <w:rPr>
          <w:b/>
          <w:bCs/>
        </w:rPr>
        <w:t xml:space="preserve">Delegated administration, APIs and ITSM integration</w:t>
      </w:r>
      <w:r>
        <w:t xml:space="preserve"> </w:t>
      </w:r>
      <w:r>
        <w:t xml:space="preserve">as described in Chapter 11, mapped to the owners in Chapter 09.</w:t>
      </w:r>
    </w:p>
    <w:p>
      <w:pPr>
        <w:pStyle w:val="Compact"/>
        <w:numPr>
          <w:ilvl w:val="0"/>
          <w:numId w:val="1064"/>
        </w:numPr>
      </w:pPr>
      <w:r>
        <w:rPr>
          <w:b/>
          <w:bCs/>
        </w:rPr>
        <w:t xml:space="preserve">Scale</w:t>
      </w:r>
      <w:r>
        <w:t xml:space="preserve">: resolver sizing and policy distribution for the agency’s full branch estate.</w:t>
      </w:r>
    </w:p>
    <w:p>
      <w:pPr>
        <w:pStyle w:val="FirstParagraph"/>
      </w:pPr>
      <w:r>
        <w:t xml:space="preserve">The table turns these criteria into a decision framework. Score each candidate on the evidence it can produce, not on its marketing.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to request</w:t>
            </w:r>
          </w:p>
        </w:tc>
      </w:tr>
      <w:tr>
        <w:tc>
          <w:tcPr/>
          <w:p>
            <w:pPr>
              <w:pStyle w:val="Compact"/>
            </w:pPr>
            <w:r>
              <w:t xml:space="preserve">Authorization</w:t>
            </w:r>
          </w:p>
        </w:tc>
        <w:tc>
          <w:tcPr/>
          <w:p>
            <w:pPr>
              <w:pStyle w:val="Compact"/>
            </w:pPr>
            <w:r>
              <w:t xml:space="preserve">FedRAMP Marketplace listing for the exact offering, impact level and region; the components inside the authorized boundary; the agency ATO path</w:t>
            </w:r>
          </w:p>
        </w:tc>
      </w:tr>
      <w:tr>
        <w:tc>
          <w:tcPr/>
          <w:p>
            <w:pPr>
              <w:pStyle w:val="Compact"/>
            </w:pPr>
            <w:r>
              <w:t xml:space="preserve">Policy-plane coverage</w:t>
            </w:r>
          </w:p>
        </w:tc>
        <w:tc>
          <w:tcPr/>
          <w:p>
            <w:pPr>
              <w:pStyle w:val="Compact"/>
            </w:pPr>
            <w:r>
              <w:t xml:space="preserve">Demonstrated management of on-premises, each cloud in use and VMware, from one system of record, and whether each integration writes to the cloud or only reads from it</w:t>
            </w:r>
          </w:p>
        </w:tc>
      </w:tr>
      <w:tr>
        <w:tc>
          <w:tcPr/>
          <w:p>
            <w:pPr>
              <w:pStyle w:val="Compact"/>
            </w:pPr>
            <w:r>
              <w:t xml:space="preserve">Edge and endpoint fit</w:t>
            </w:r>
          </w:p>
        </w:tc>
        <w:tc>
          <w:tcPr/>
          <w:p>
            <w:pPr>
              <w:pStyle w:val="Compact"/>
            </w:pPr>
            <w:r>
              <w:t xml:space="preserve">Network-addressable resolvers that redirect-dns can target; encrypted DNS termination; endpoint agent behavior</w:t>
            </w:r>
          </w:p>
        </w:tc>
      </w:tr>
      <w:tr>
        <w:tc>
          <w:tcPr/>
          <w:p>
            <w:pPr>
              <w:pStyle w:val="Compact"/>
            </w:pPr>
            <w:r>
              <w:t xml:space="preserve">Security policy</w:t>
            </w:r>
          </w:p>
        </w:tc>
        <w:tc>
          <w:tcPr/>
          <w:p>
            <w:pPr>
              <w:pStyle w:val="Compact"/>
            </w:pPr>
            <w:r>
              <w:t xml:space="preserve">Response policy and Protective DNS forwarding, DNSSEC signing and validation, logging export to the SIEM</w:t>
            </w:r>
          </w:p>
        </w:tc>
      </w:tr>
      <w:tr>
        <w:tc>
          <w:tcPr/>
          <w:p>
            <w:pPr>
              <w:pStyle w:val="Compact"/>
            </w:pPr>
            <w:r>
              <w:t xml:space="preserve">IPAM integration</w:t>
            </w:r>
          </w:p>
        </w:tc>
        <w:tc>
          <w:tcPr/>
          <w:p>
            <w:pPr>
              <w:pStyle w:val="Compact"/>
            </w:pPr>
            <w:r>
              <w:t xml:space="preserve">External-IPAM allocation where the cloud supports it; discovery and reconciliation where it does not</w:t>
            </w:r>
          </w:p>
        </w:tc>
      </w:tr>
      <w:tr>
        <w:tc>
          <w:tcPr/>
          <w:p>
            <w:pPr>
              <w:pStyle w:val="Compact"/>
            </w:pPr>
            <w:r>
              <w:t xml:space="preserve">Delegation and automation</w:t>
            </w:r>
          </w:p>
        </w:tc>
        <w:tc>
          <w:tcPr/>
          <w:p>
            <w:pPr>
              <w:pStyle w:val="Compact"/>
            </w:pPr>
            <w:r>
              <w:t xml:space="preserve">Scoped roles, service accounts, API coverage, Terraform and ITSM integration</w:t>
            </w:r>
          </w:p>
        </w:tc>
      </w:tr>
      <w:tr>
        <w:tc>
          <w:tcPr/>
          <w:p>
            <w:pPr>
              <w:pStyle w:val="Compact"/>
            </w:pPr>
            <w:r>
              <w:t xml:space="preserve">Scale and resilience</w:t>
            </w:r>
          </w:p>
        </w:tc>
        <w:tc>
          <w:tcPr/>
          <w:p>
            <w:pPr>
              <w:pStyle w:val="Compact"/>
            </w:pPr>
            <w:r>
              <w:t xml:space="preserve">Resolver sizing for the branch estate; behavior when the management plane is unreachable</w:t>
            </w:r>
          </w:p>
        </w:tc>
      </w:tr>
      <w:tr>
        <w:tc>
          <w:tcPr/>
          <w:p>
            <w:pPr>
              <w:pStyle w:val="Compact"/>
            </w:pPr>
            <w:r>
              <w:t xml:space="preserve">Migration path</w:t>
            </w:r>
          </w:p>
        </w:tc>
        <w:tc>
          <w:tcPr/>
          <w:p>
            <w:pPr>
              <w:pStyle w:val="Compact"/>
            </w:pPr>
            <w:r>
              <w:t xml:space="preserve">Microsoft DNS and DHCP coexistence; support for existing automation during transition</w:t>
            </w:r>
          </w:p>
        </w:tc>
      </w:tr>
      <w:tr>
        <w:tc>
          <w:tcPr/>
          <w:p>
            <w:pPr>
              <w:pStyle w:val="Compact"/>
            </w:pPr>
            <w:r>
              <w:t xml:space="preserve">Operating cost and skills</w:t>
            </w:r>
          </w:p>
        </w:tc>
        <w:tc>
          <w:tcPr/>
          <w:p>
            <w:pPr>
              <w:pStyle w:val="Compact"/>
            </w:pPr>
            <w:r>
              <w:t xml:space="preserve">Licensing model, metered cloud components, staffing for operation and synchronization monitoring, training needs</w:t>
            </w:r>
          </w:p>
        </w:tc>
      </w:tr>
    </w:tbl>
    <w:bookmarkStart w:id="810" w:name="X6bb315d7590cc056bad29aaaf71fbdef119774a"/>
    <w:p>
      <w:pPr>
        <w:pStyle w:val="Heading3"/>
      </w:pPr>
      <w:r>
        <w:t xml:space="preserve">Authorization status, as the Marketplace shows it</w:t>
      </w:r>
    </w:p>
    <w:p>
      <w:pPr>
        <w:pStyle w:val="FirstParagraph"/>
      </w:pPr>
      <w:r>
        <w:t xml:space="preserve">Authorization belongs to a specific cloud service offering, not to a vendor or a product family (Chapter 03). As of October 20, 2026, the FedRAMP Marketplace data shows:</w:t>
      </w:r>
      <w:r>
        <w:rPr>
          <w:rStyle w:val="FootnoteReference"/>
        </w:rPr>
        <w:footnoteReference w:id="80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Offering</w:t>
            </w:r>
          </w:p>
        </w:tc>
        <w:tc>
          <w:tcPr/>
          <w:p>
            <w:pPr>
              <w:pStyle w:val="Compact"/>
            </w:pPr>
            <w:r>
              <w:t xml:space="preserve">Marketplace status</w:t>
            </w:r>
          </w:p>
        </w:tc>
        <w:tc>
          <w:tcPr/>
          <w:p>
            <w:pPr>
              <w:pStyle w:val="Compact"/>
            </w:pPr>
            <w:r>
              <w:t xml:space="preserve">What it means for selection</w:t>
            </w:r>
          </w:p>
        </w:tc>
      </w:tr>
      <w:tr>
        <w:tc>
          <w:tcPr/>
          <w:p>
            <w:pPr>
              <w:pStyle w:val="Compact"/>
            </w:pPr>
            <w:r>
              <w:t xml:space="preserve">Infoblox Government Cloud (FR2017257053)</w:t>
            </w:r>
          </w:p>
        </w:tc>
        <w:tc>
          <w:tcPr/>
          <w:p>
            <w:pPr>
              <w:pStyle w:val="Compact"/>
            </w:pPr>
            <w:r>
              <w:t xml:space="preserve">FedRAMP Certified, Moderate, since December 15, 2022; SaaS in AWS GovCloud (US)</w:t>
            </w:r>
          </w:p>
        </w:tc>
        <w:tc>
          <w:tcPr/>
          <w:p>
            <w:pPr>
              <w:pStyle w:val="Compact"/>
            </w:pPr>
            <w:r>
              <w:t xml:space="preserve">The listed service description covers Universal DDI, Universal Asset Insights and the threat defense components TIDE and Dossier. In July 2026 Infoblox announced that Universal DDI Management, NIOS-X servers and Universal Asset Insights were available through it.</w:t>
            </w:r>
            <w:r>
              <w:rPr>
                <w:rStyle w:val="FootnoteReference"/>
              </w:rPr>
              <w:footnoteReference w:id="803"/>
            </w:r>
            <w:r>
              <w:t xml:space="preserve"> </w:t>
            </w:r>
            <w:r>
              <w:t xml:space="preserve">On-premises NIOS appliances aren’t a cloud service and sit inside the agency’s own boundary</w:t>
            </w:r>
          </w:p>
        </w:tc>
      </w:tr>
      <w:tr>
        <w:tc>
          <w:tcPr/>
          <w:p>
            <w:pPr>
              <w:pStyle w:val="Compact"/>
            </w:pPr>
            <w:r>
              <w:t xml:space="preserve">BlueCat, EfficientIP</w:t>
            </w:r>
          </w:p>
        </w:tc>
        <w:tc>
          <w:tcPr/>
          <w:p>
            <w:pPr>
              <w:pStyle w:val="Compact"/>
            </w:pPr>
            <w:r>
              <w:t xml:space="preserve">No listing</w:t>
            </w:r>
          </w:p>
        </w:tc>
        <w:tc>
          <w:tcPr/>
          <w:p>
            <w:pPr>
              <w:pStyle w:val="Compact"/>
            </w:pPr>
            <w:r>
              <w:t xml:space="preserve">Their DDI products can be deployed as software or appliances that the agency operates inside its own boundary (BlueCat documents Address Manager and DNS/DHCP Server appliances for Azure and Azure Government</w:t>
            </w:r>
            <w:r>
              <w:rPr>
                <w:rStyle w:val="FootnoteReference"/>
              </w:rPr>
              <w:footnoteReference w:id="804"/>
            </w:r>
            <w:r>
              <w:t xml:space="preserve">). The Marketplace lists no FedRAMP authorization for either vendor, so a vendor-hosted management service from them would need its own authorization path</w:t>
            </w:r>
          </w:p>
        </w:tc>
      </w:tr>
      <w:tr>
        <w:tc>
          <w:tcPr/>
          <w:p>
            <w:pPr>
              <w:pStyle w:val="Compact"/>
            </w:pPr>
            <w:r>
              <w:t xml:space="preserve">Azure (commercial)</w:t>
            </w:r>
          </w:p>
        </w:tc>
        <w:tc>
          <w:tcPr/>
          <w:p>
            <w:pPr>
              <w:pStyle w:val="Compact"/>
            </w:pPr>
            <w:r>
              <w:t xml:space="preserve">FedRAMP Certified, High</w:t>
            </w:r>
          </w:p>
        </w:tc>
        <w:tc>
          <w:tcPr/>
          <w:p>
            <w:pPr>
              <w:pStyle w:val="Compact"/>
            </w:pPr>
            <w:r>
              <w:t xml:space="preserve">Azure DNS is listed in Microsoft’s FedRAMP High audit scope for Azure public regions</w:t>
            </w:r>
            <w:r>
              <w:rPr>
                <w:rStyle w:val="FootnoteReference"/>
              </w:rPr>
              <w:footnoteReference w:id="806"/>
            </w:r>
          </w:p>
        </w:tc>
      </w:tr>
      <w:tr>
        <w:tc>
          <w:tcPr/>
          <w:p>
            <w:pPr>
              <w:pStyle w:val="Compact"/>
            </w:pPr>
            <w:r>
              <w:t xml:space="preserve">AWS US East/West; AWS GovCloud</w:t>
            </w:r>
          </w:p>
        </w:tc>
        <w:tc>
          <w:tcPr/>
          <w:p>
            <w:pPr>
              <w:pStyle w:val="Compact"/>
            </w:pPr>
            <w:r>
              <w:t xml:space="preserve">FedRAMP Certified, Moderate; High</w:t>
            </w:r>
          </w:p>
        </w:tc>
        <w:tc>
          <w:tcPr/>
          <w:p>
            <w:pPr>
              <w:pStyle w:val="Compact"/>
            </w:pPr>
            <w:r>
              <w:t xml:space="preserve">AWS lists Amazon Route 53 as in scope in both</w:t>
            </w:r>
            <w:r>
              <w:rPr>
                <w:rStyle w:val="FootnoteReference"/>
              </w:rPr>
              <w:footnoteReference w:id="808"/>
            </w:r>
          </w:p>
        </w:tc>
      </w:tr>
      <w:tr>
        <w:tc>
          <w:tcPr/>
          <w:p>
            <w:pPr>
              <w:pStyle w:val="Compact"/>
            </w:pPr>
            <w:r>
              <w:t xml:space="preserve">Cisco Catalyst SD-WAN for Government (FR2012534927)</w:t>
            </w:r>
          </w:p>
        </w:tc>
        <w:tc>
          <w:tcPr/>
          <w:p>
            <w:pPr>
              <w:pStyle w:val="Compact"/>
            </w:pPr>
            <w:r>
              <w:t xml:space="preserve">FedRAMP Certified, Moderate, since March 14, 2024</w:t>
            </w:r>
          </w:p>
        </w:tc>
        <w:tc>
          <w:tcPr/>
          <w:p>
            <w:pPr>
              <w:pStyle w:val="Compact"/>
            </w:pPr>
            <w:r>
              <w:t xml:space="preserve">Relevant when the SD-WAN management plane that sets redirect-dns is itself cloud-delivered</w:t>
            </w:r>
          </w:p>
        </w:tc>
      </w:tr>
    </w:tbl>
    <w:p>
      <w:pPr>
        <w:pStyle w:val="BodyText"/>
      </w:pPr>
      <w:r>
        <w:t xml:space="preserve">Two cautions. A Moderate authorization doesn’t cover High or DoD workloads (Applicability), whatever the vendor’s commercial-versus-federal comparison tables say about feature parity. And confirm current status on the Marketplace for every candidate at decision time rather than relying on this table or on vendor claims.</w:t>
      </w:r>
    </w:p>
    <w:bookmarkEnd w:id="810"/>
    <w:bookmarkEnd w:id="811"/>
    <w:bookmarkStart w:id="824" w:name="comparing-the-platform-models"/>
    <w:p>
      <w:pPr>
        <w:pStyle w:val="Heading2"/>
      </w:pPr>
      <w:bookmarkStart w:id="1147" w:name="_Toc00001147"/>
      <w:r>
        <w:t xml:space="preserve">Comparing the platform models</w:t>
      </w:r>
      <w:bookmarkEnd w:id="1147"/>
    </w:p>
    <w:p>
      <w:pPr>
        <w:pStyle w:val="FirstParagraph"/>
      </w:pPr>
      <w:r>
        <w:t xml:space="preserve">Options to evaluate against the framework fall into three models. The capabilities below are what each vendor or provider documents; they are examples to verify in the candidate’s current documentation, not a ranking.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Model and example</w:t>
            </w:r>
          </w:p>
        </w:tc>
        <w:tc>
          <w:tcPr/>
          <w:p>
            <w:pPr>
              <w:pStyle w:val="Compact"/>
            </w:pPr>
            <w:r>
              <w:t xml:space="preserve">Cross-cloud DNS reach as documented</w:t>
            </w:r>
          </w:p>
        </w:tc>
        <w:tc>
          <w:tcPr/>
          <w:p>
            <w:pPr>
              <w:pStyle w:val="Compact"/>
            </w:pPr>
            <w:r>
              <w:t xml:space="preserve">What to check</w:t>
            </w:r>
          </w:p>
        </w:tc>
      </w:tr>
      <w:tr>
        <w:tc>
          <w:tcPr/>
          <w:p>
            <w:pPr>
              <w:pStyle w:val="Compact"/>
            </w:pPr>
            <w:r>
              <w:t xml:space="preserve">SaaS policy plane: Infoblox Universal DDI</w:t>
            </w:r>
          </w:p>
        </w:tc>
        <w:tc>
          <w:tcPr/>
          <w:p>
            <w:pPr>
              <w:pStyle w:val="Compact"/>
            </w:pPr>
            <w:r>
              <w:t xml:space="preserve">Manages DNS records for internal environments, Amazon Route 53, Azure DNS and Google Cloud DNS, and for Cloudflare and Akamai</w:t>
            </w:r>
            <w:r>
              <w:rPr>
                <w:rStyle w:val="FootnoteReference"/>
              </w:rPr>
              <w:footnoteReference w:id="812"/>
            </w:r>
          </w:p>
        </w:tc>
        <w:tc>
          <w:tcPr/>
          <w:p>
            <w:pPr>
              <w:pStyle w:val="Compact"/>
            </w:pPr>
            <w:r>
              <w:t xml:space="preserve">Published integration limits, such as Azure DNS: no Azure DNS tags, no non-simple routing policy records, multi-value record sets split into separate records, NS records read-only, SOA changes taking several sync intervals and MNAME and serial not synchronized</w:t>
            </w:r>
            <w:r>
              <w:rPr>
                <w:rStyle w:val="FootnoteReference"/>
              </w:rPr>
              <w:footnoteReference w:id="813"/>
            </w:r>
          </w:p>
        </w:tc>
      </w:tr>
      <w:tr>
        <w:tc>
          <w:tcPr/>
          <w:p>
            <w:pPr>
              <w:pStyle w:val="Compact"/>
            </w:pPr>
            <w:r>
              <w:t xml:space="preserve">Agency-operated DDI: BlueCat</w:t>
            </w:r>
          </w:p>
        </w:tc>
        <w:tc>
          <w:tcPr/>
          <w:p>
            <w:pPr>
              <w:pStyle w:val="Compact"/>
            </w:pPr>
            <w:r>
              <w:t xml:space="preserve">Cloud Discovery &amp; Visibility imports Route 53, Azure DNS and Google Cloud DNS public and private zones into Address Manager, but can’t export Address Manager data back into the clouds</w:t>
            </w:r>
            <w:r>
              <w:rPr>
                <w:rStyle w:val="FootnoteReference"/>
              </w:rPr>
              <w:footnoteReference w:id="814"/>
            </w:r>
          </w:p>
        </w:tc>
        <w:tc>
          <w:tcPr/>
          <w:p>
            <w:pPr>
              <w:pStyle w:val="Compact"/>
            </w:pPr>
            <w:r>
              <w:t xml:space="preserve">Discovery is not authoritative synchronization: decide how changes reach each cloud</w:t>
            </w:r>
          </w:p>
        </w:tc>
      </w:tr>
      <w:tr>
        <w:tc>
          <w:tcPr/>
          <w:p>
            <w:pPr>
              <w:pStyle w:val="Compact"/>
            </w:pPr>
            <w:r>
              <w:t xml:space="preserve">Agency-operated DDI: EfficientIP SOLIDserver</w:t>
            </w:r>
          </w:p>
        </w:tc>
        <w:tc>
          <w:tcPr/>
          <w:p>
            <w:pPr>
              <w:pStyle w:val="Compact"/>
            </w:pPr>
            <w:r>
              <w:t xml:space="preserve">DNS Cloud manages public and private DNS services on Route 53, Google Cloud DNS and Azure DNS</w:t>
            </w:r>
            <w:r>
              <w:rPr>
                <w:rStyle w:val="FootnoteReference"/>
              </w:rPr>
              <w:footnoteReference w:id="816"/>
            </w:r>
          </w:p>
        </w:tc>
        <w:tc>
          <w:tcPr/>
          <w:p>
            <w:pPr>
              <w:pStyle w:val="Compact"/>
            </w:pPr>
            <w:r>
              <w:t xml:space="preserve">Sync direction, conflict handling and per-cloud limits, which the product page doesn’t state</w:t>
            </w:r>
          </w:p>
        </w:tc>
      </w:tr>
      <w:tr>
        <w:tc>
          <w:tcPr/>
          <w:p>
            <w:pPr>
              <w:pStyle w:val="Compact"/>
            </w:pPr>
            <w:r>
              <w:t xml:space="preserve">Cloud-native, managed as code</w:t>
            </w:r>
          </w:p>
        </w:tc>
        <w:tc>
          <w:tcPr/>
          <w:p>
            <w:pPr>
              <w:pStyle w:val="Compact"/>
            </w:pPr>
            <w:r>
              <w:t xml:space="preserve">Azure DNS Private Resolver and Route 53 VPC Resolver forward between clouds and on-premises; Azure DNS security policy blocks known malicious domains;</w:t>
            </w:r>
            <w:r>
              <w:rPr>
                <w:rStyle w:val="FootnoteReference"/>
              </w:rPr>
              <w:footnoteReference w:id="818"/>
            </w:r>
            <w:r>
              <w:t xml:space="preserve"> </w:t>
            </w:r>
            <w:r>
              <w:t xml:space="preserve">shared Resolver rules can be centrally owned</w:t>
            </w:r>
            <w:r>
              <w:rPr>
                <w:rStyle w:val="FootnoteReference"/>
              </w:rPr>
              <w:footnoteReference w:id="819"/>
            </w:r>
          </w:p>
        </w:tc>
        <w:tc>
          <w:tcPr/>
          <w:p>
            <w:pPr>
              <w:pStyle w:val="Compact"/>
            </w:pPr>
            <w:r>
              <w:t xml:space="preserve">No single multi-cloud IPAM source of truth or multi-division delegation model by itself; needs a CI drift gate and explicit controls against split-brain between clouds</w:t>
            </w:r>
          </w:p>
        </w:tc>
      </w:tr>
    </w:tbl>
    <w:p>
      <w:pPr>
        <w:pStyle w:val="BodyText"/>
      </w:pPr>
      <w:r>
        <w:t xml:space="preserve">The cloud-native path is common and reduces independent authoring, but by itself it gives neither a single multi-cloud IPAM source of truth nor a multi-division delegation model. Enterprise DDI platforms supply those, at the cost of an integration layer whose limits become the new source of divergence. That trade is the decision, and it is settled by evidence from the agency’s own estate.</w:t>
      </w:r>
    </w:p>
    <w:bookmarkStart w:id="820" w:name="why-decide-now"/>
    <w:p>
      <w:pPr>
        <w:pStyle w:val="Heading3"/>
      </w:pPr>
      <w:r>
        <w:t xml:space="preserve">Why decide now</w:t>
      </w:r>
    </w:p>
    <w:p>
      <w:pPr>
        <w:pStyle w:val="FirstParagraph"/>
      </w:pPr>
      <w:r>
        <w:t xml:space="preserve">The case for deciding before the next migration wave, rather than after, rests on forcing functions the series has already verified. M-22-09 requires encrypted DNS to agency-designated resolvers (Chapter 05). Every new cloud adds an independent DNS system and another set of conditional forwarders (Chapter 07). Agencies retiring Active Directory must have the AD DNS inventory reprovisioned before the last domain controller goes, and starting after it is gone means recovering from orphaned records under pressure (Chapter 04). And rogue DHCP option 6 can move a subnet off the governed resolver in one step (Chapter 05). None of these waits for a platform decision; each is cheaper with one.</w:t>
      </w:r>
    </w:p>
    <w:bookmarkEnd w:id="820"/>
    <w:bookmarkStart w:id="823" w:name="questions-to-put-to-every-vendor"/>
    <w:p>
      <w:pPr>
        <w:pStyle w:val="Heading3"/>
      </w:pPr>
      <w:r>
        <w:t xml:space="preserve">Questions to put to every vendor</w:t>
      </w:r>
    </w:p>
    <w:p>
      <w:pPr>
        <w:pStyle w:val="FirstParagraph"/>
      </w:pPr>
      <w:r>
        <w:t xml:space="preserve">Take these to every candidate, in writing, before committing. Several were raised during the program’s earlier research and are only partly answered in public documentation.</w:t>
      </w:r>
    </w:p>
    <w:p>
      <w:pPr>
        <w:pStyle w:val="Compact"/>
        <w:numPr>
          <w:ilvl w:val="0"/>
          <w:numId w:val="1065"/>
        </w:numPr>
      </w:pPr>
      <w:r>
        <w:rPr>
          <w:b/>
          <w:bCs/>
        </w:rPr>
        <w:t xml:space="preserve">Endpoint agents and redirect-dns.</w:t>
      </w:r>
      <w:r>
        <w:t xml:space="preserve"> </w:t>
      </w:r>
      <w:r>
        <w:t xml:space="preserve">Can the platform’s endpoint agent act as a network-addressable proxy that an SD-WAN redirect-dns policy can target, or does it only listen on the device’s loopback address? Infoblox documents its Endpoint as listening on 127.0.0.1 port 53 (127.0.0.2 on macOS) and forwarding to its platform over DNS over TLS on TCP 443,</w:t>
      </w:r>
      <w:r>
        <w:rPr>
          <w:rStyle w:val="FootnoteReference"/>
        </w:rPr>
        <w:footnoteReference w:id="821"/>
      </w:r>
      <w:r>
        <w:t xml:space="preserve"> </w:t>
      </w:r>
      <w:r>
        <w:t xml:space="preserve">which makes it a client-side agent, not a redirect target (Chapter 08, Decision 1).</w:t>
      </w:r>
    </w:p>
    <w:p>
      <w:pPr>
        <w:pStyle w:val="Compact"/>
        <w:numPr>
          <w:ilvl w:val="0"/>
          <w:numId w:val="1065"/>
        </w:numPr>
      </w:pPr>
      <w:r>
        <w:rPr>
          <w:b/>
          <w:bCs/>
        </w:rPr>
        <w:t xml:space="preserve">Cloud integration limits.</w:t>
      </w:r>
      <w:r>
        <w:t xml:space="preserve"> </w:t>
      </w:r>
      <w:r>
        <w:t xml:space="preserve">What are the documented limits of each cloud integration, and do they affect private endpoint resolution or conditional forwarding for cloud-managed namespaces? The Azure DNS limits above answer the first half for one vendor; the second half is still a question.</w:t>
      </w:r>
    </w:p>
    <w:p>
      <w:pPr>
        <w:pStyle w:val="Compact"/>
        <w:numPr>
          <w:ilvl w:val="0"/>
          <w:numId w:val="1065"/>
        </w:numPr>
      </w:pPr>
      <w:r>
        <w:rPr>
          <w:b/>
          <w:bCs/>
        </w:rPr>
        <w:t xml:space="preserve">Wildcards and namespace occupancy.</w:t>
      </w:r>
      <w:r>
        <w:t xml:space="preserve"> </w:t>
      </w:r>
      <w:r>
        <w:t xml:space="preserve">Does IPAM track wildcard records and subdomain occupancy, or only host-level A and AAAA records?</w:t>
      </w:r>
    </w:p>
    <w:p>
      <w:pPr>
        <w:pStyle w:val="Compact"/>
        <w:numPr>
          <w:ilvl w:val="0"/>
          <w:numId w:val="1065"/>
        </w:numPr>
      </w:pPr>
      <w:r>
        <w:rPr>
          <w:b/>
          <w:bCs/>
        </w:rPr>
        <w:t xml:space="preserve">Source address under redirect-dns.</w:t>
      </w:r>
      <w:r>
        <w:t xml:space="preserve"> </w:t>
      </w:r>
      <w:r>
        <w:t xml:space="preserve">When the edge redirects a query, does the resolver see the workstation’s address or the edge router’s? The answer decides whether query logs attribute traffic to a device.</w:t>
      </w:r>
    </w:p>
    <w:p>
      <w:pPr>
        <w:pStyle w:val="Compact"/>
        <w:numPr>
          <w:ilvl w:val="0"/>
          <w:numId w:val="1065"/>
        </w:numPr>
      </w:pPr>
      <w:r>
        <w:rPr>
          <w:b/>
          <w:bCs/>
        </w:rPr>
        <w:t xml:space="preserve">Sovereign-cloud telemetry.</w:t>
      </w:r>
      <w:r>
        <w:t xml:space="preserve"> </w:t>
      </w:r>
      <w:r>
        <w:t xml:space="preserve">Microsoft 365 informed network routing supports WW Commercial tenants but not GCC Moderate, GCC High or DoD;</w:t>
      </w:r>
      <w:r>
        <w:rPr>
          <w:rStyle w:val="FootnoteReference"/>
        </w:rPr>
        <w:footnoteReference w:id="822"/>
      </w:r>
      <w:r>
        <w:t xml:space="preserve"> </w:t>
      </w:r>
      <w:r>
        <w:t xml:space="preserve">ask the SD-WAN vendor and Microsoft whether any alternative telemetry is planned.</w:t>
      </w:r>
    </w:p>
    <w:p>
      <w:pPr>
        <w:pStyle w:val="Compact"/>
        <w:numPr>
          <w:ilvl w:val="0"/>
          <w:numId w:val="1065"/>
        </w:numPr>
      </w:pPr>
      <w:r>
        <w:rPr>
          <w:b/>
          <w:bCs/>
        </w:rPr>
        <w:t xml:space="preserve">AD DNS migration support.</w:t>
      </w:r>
      <w:r>
        <w:t xml:space="preserve"> </w:t>
      </w:r>
      <w:r>
        <w:t xml:space="preserve">Is there a published, supported path from AD-integrated DNS to the platform that preserves SRV resolution and secure dynamic updates during coexistence?</w:t>
      </w:r>
    </w:p>
    <w:bookmarkEnd w:id="823"/>
    <w:bookmarkEnd w:id="824"/>
    <w:bookmarkStart w:id="831" w:name="residual-risk-and-limitations"/>
    <w:p>
      <w:pPr>
        <w:pStyle w:val="Heading2"/>
      </w:pPr>
      <w:bookmarkStart w:id="1148" w:name="_Toc00001148"/>
      <w:r>
        <w:t xml:space="preserve">Residual risk and limitations</w:t>
      </w:r>
      <w:bookmarkEnd w:id="1148"/>
    </w:p>
    <w:bookmarkStart w:id="828" w:name="fig-ch12-residual-risks"/>
    <w:p>
      <w:pPr>
        <w:pStyle w:val="CaptionedFigure"/>
      </w:pPr>
      <w:r>
        <w:drawing>
          <wp:inline>
            <wp:extent cx="5334000" cy="1274618"/>
            <wp:effectExtent b="0" l="0" r="0" t="0"/>
            <wp:docPr descr="Residual risks of a unified policy plane." title="" id="826" name="Picture"/>
            <a:graphic>
              <a:graphicData uri="http://schemas.openxmlformats.org/drawingml/2006/picture">
                <pic:pic>
                  <pic:nvPicPr>
                    <pic:cNvPr descr="/home/runner/work/modernization-workbook/modernization-workbook/docs/images/diagrams/b08-ddi/png/ch12-residual-risks.png" id="827" name="Picture"/>
                    <pic:cNvPicPr>
                      <a:picLocks noChangeArrowheads="1" noChangeAspect="1"/>
                    </pic:cNvPicPr>
                  </pic:nvPicPr>
                  <pic:blipFill>
                    <a:blip r:embed="rId825"/>
                    <a:stretch>
                      <a:fillRect/>
                    </a:stretch>
                  </pic:blipFill>
                  <pic:spPr bwMode="auto">
                    <a:xfrm>
                      <a:off x="0" y="0"/>
                      <a:ext cx="5334000" cy="1274618"/>
                    </a:xfrm>
                    <a:prstGeom prst="rect">
                      <a:avLst/>
                    </a:prstGeom>
                    <a:noFill/>
                    <a:ln w="9525">
                      <a:noFill/>
                      <a:headEnd/>
                      <a:tailEnd/>
                    </a:ln>
                  </pic:spPr>
                </pic:pic>
              </a:graphicData>
            </a:graphic>
          </wp:inline>
        </w:drawing>
      </w:r>
    </w:p>
    <w:p>
      <w:pPr>
        <w:pStyle w:val="ImageCaption"/>
      </w:pPr>
      <w:r>
        <w:t xml:space="preserve">Residual risks of a unified policy plane.</w:t>
      </w:r>
    </w:p>
    <w:bookmarkEnd w:id="828"/>
    <w:p>
      <w:pPr>
        <w:pStyle w:val="BodyText"/>
      </w:pPr>
      <w:r>
        <w:t xml:space="preserve">The residual risks are real:</w:t>
      </w:r>
    </w:p>
    <w:p>
      <w:pPr>
        <w:pStyle w:val="Compact"/>
        <w:numPr>
          <w:ilvl w:val="0"/>
          <w:numId w:val="1066"/>
        </w:numPr>
      </w:pPr>
      <w:r>
        <w:rPr>
          <w:b/>
          <w:bCs/>
        </w:rPr>
        <w:t xml:space="preserve">Sync lag and sync failure</w:t>
      </w:r>
      <w:r>
        <w:t xml:space="preserve"> </w:t>
      </w:r>
      <w:r>
        <w:t xml:space="preserve">between the policy plane and per-cloud DNS or IPAM services become the new source of divergence. Vendors document their own sync limits, such as SOA changes that take several intervals to reach Azure,</w:t>
      </w:r>
      <w:r>
        <w:rPr>
          <w:rStyle w:val="FootnoteReference"/>
        </w:rPr>
        <w:footnoteReference w:id="829"/>
      </w:r>
      <w:r>
        <w:t xml:space="preserve"> </w:t>
      </w:r>
      <w:r>
        <w:t xml:space="preserve">so monitor synchronization health and test resolution after every high-impact change.</w:t>
      </w:r>
    </w:p>
    <w:p>
      <w:pPr>
        <w:pStyle w:val="Compact"/>
        <w:numPr>
          <w:ilvl w:val="0"/>
          <w:numId w:val="1066"/>
        </w:numPr>
      </w:pPr>
      <w:r>
        <w:rPr>
          <w:b/>
          <w:bCs/>
        </w:rPr>
        <w:t xml:space="preserve">Control-plane concentration.</w:t>
      </w:r>
      <w:r>
        <w:t xml:space="preserve"> </w:t>
      </w:r>
      <w:r>
        <w:t xml:space="preserve">If the management plane is unavailable, changes cannot be made, but existing resolution should continue from local resolver state. Define the operational response and any local override procedures, and decide in advance who may invoke them (Chapter 09).</w:t>
      </w:r>
    </w:p>
    <w:p>
      <w:pPr>
        <w:pStyle w:val="Compact"/>
        <w:numPr>
          <w:ilvl w:val="0"/>
          <w:numId w:val="1066"/>
        </w:numPr>
      </w:pPr>
      <w:r>
        <w:rPr>
          <w:b/>
          <w:bCs/>
        </w:rPr>
        <w:t xml:space="preserve">Authorization scope.</w:t>
      </w:r>
      <w:r>
        <w:t xml:space="preserve"> </w:t>
      </w:r>
      <w:r>
        <w:t xml:space="preserve">A Moderate authorization does not cover High or DoD environments (Applicability).</w:t>
      </w:r>
    </w:p>
    <w:p>
      <w:pPr>
        <w:pStyle w:val="Compact"/>
        <w:numPr>
          <w:ilvl w:val="0"/>
          <w:numId w:val="1066"/>
        </w:numPr>
      </w:pPr>
      <w:r>
        <w:rPr>
          <w:b/>
          <w:bCs/>
        </w:rPr>
        <w:t xml:space="preserve">Commercial-only optimizations.</w:t>
      </w:r>
      <w:r>
        <w:t xml:space="preserve"> </w:t>
      </w:r>
      <w:r>
        <w:t xml:space="preserve">Microsoft 365 informed network routing is unavailable in GCC Moderate, GCC High and DoD, and the only SD-WAN solution Microsoft lists for it is Cisco IOS XE SD-WAN 20.4/17.4 or later;</w:t>
      </w:r>
      <w:r>
        <w:rPr>
          <w:rStyle w:val="FootnoteReference"/>
        </w:rPr>
        <w:footnoteReference w:id="830"/>
      </w:r>
      <w:r>
        <w:t xml:space="preserve"> </w:t>
      </w:r>
      <w:r>
        <w:t xml:space="preserve">Microsoft 365 optimization there relies on local breakout and application-aware routing.</w:t>
      </w:r>
    </w:p>
    <w:p>
      <w:pPr>
        <w:pStyle w:val="Compact"/>
        <w:numPr>
          <w:ilvl w:val="0"/>
          <w:numId w:val="1066"/>
        </w:numPr>
      </w:pPr>
      <w:r>
        <w:rPr>
          <w:b/>
          <w:bCs/>
        </w:rPr>
        <w:t xml:space="preserve">Loopback endpoint agents.</w:t>
      </w:r>
      <w:r>
        <w:t xml:space="preserve"> </w:t>
      </w:r>
      <w:r>
        <w:t xml:space="preserve">A client-side DNS agent listening on loopback cannot be a redirect-dns target; a network-addressable resolver is required.</w:t>
      </w:r>
    </w:p>
    <w:p>
      <w:pPr>
        <w:pStyle w:val="Compact"/>
        <w:numPr>
          <w:ilvl w:val="0"/>
          <w:numId w:val="1066"/>
        </w:numPr>
      </w:pPr>
      <w:r>
        <w:rPr>
          <w:b/>
          <w:bCs/>
        </w:rPr>
        <w:t xml:space="preserve">Encrypted DNS bypass</w:t>
      </w:r>
      <w:r>
        <w:t xml:space="preserve"> </w:t>
      </w:r>
      <w:r>
        <w:t xml:space="preserve">remains possible where endpoint and network controls are incomplete.</w:t>
      </w:r>
    </w:p>
    <w:p>
      <w:pPr>
        <w:pStyle w:val="Compact"/>
        <w:numPr>
          <w:ilvl w:val="0"/>
          <w:numId w:val="1066"/>
        </w:numPr>
      </w:pPr>
      <w:r>
        <w:rPr>
          <w:b/>
          <w:bCs/>
        </w:rPr>
        <w:t xml:space="preserve">Open engineering questions</w:t>
      </w:r>
      <w:r>
        <w:t xml:space="preserve"> </w:t>
      </w:r>
      <w:r>
        <w:t xml:space="preserve">for very large branch estates, such as resolver and forwarding-proxy sizing and source-address behavior under redirect-dns, need vendor engagement and testing.</w:t>
      </w:r>
    </w:p>
    <w:p>
      <w:pPr>
        <w:pStyle w:val="FirstParagraph"/>
      </w:pPr>
      <w:r>
        <w:t xml:space="preserve">None of these negates the architecture. They define the operational controls and vendor engagements still required.</w:t>
      </w:r>
    </w:p>
    <w:bookmarkEnd w:id="831"/>
    <w:bookmarkStart w:id="832" w:name="conclusion"/>
    <w:p>
      <w:pPr>
        <w:pStyle w:val="Heading2"/>
      </w:pPr>
      <w:bookmarkStart w:id="1149" w:name="_Toc00001149"/>
      <w:r>
        <w:t xml:space="preserve">Conclusion</w:t>
      </w:r>
      <w:bookmarkEnd w:id="1149"/>
    </w:p>
    <w:p>
      <w:pPr>
        <w:pStyle w:val="FirstParagraph"/>
      </w:pPr>
      <w:r>
        <w:t xml:space="preserve">DNS is no longer a name-lookup utility. It is the identity substrate, the security enforcement plane and the definition of the application surface for the hybrid multi-cloud agency. Independent DNS systems produce structural split-brain that breaks private connectivity, certificate trust and Zero Trust policy. A single authoritative DDI policy plane, authorized at the right impact level, keeps DNS, DHCP and IPAM consistent across the enterprise, cloud and internet perspectives. It puts the NIST SP 800-81r3 recommendations and the M-22-09 requirements into practice, carries the AD-to-Entra and VMware transitions, and works with SD-WAN edges that are configured correctly. The five configuration decisions in Chapter 08 remain the highest-leverage actions, and Chapter 09 names who owns each one. Governing DNS is a strategic security and architecture task, not an operations afterthought.</w:t>
      </w:r>
    </w:p>
    <w:bookmarkEnd w:id="832"/>
    <w:bookmarkStart w:id="833" w:name="continue-the-book-11"/>
    <w:p>
      <w:pPr>
        <w:pStyle w:val="Heading2"/>
      </w:pPr>
      <w:bookmarkStart w:id="1150" w:name="_Toc00001150"/>
      <w:r>
        <w:t xml:space="preserve">Continue the book</w:t>
      </w:r>
      <w:bookmarkEnd w:id="1150"/>
    </w:p>
    <w:p>
      <w:pPr>
        <w:pStyle w:val="FirstParagraph"/>
      </w:pPr>
      <w:r>
        <w:t xml:space="preserve">← Previous: Chapter 11 — Operating the Control Plane: Delegation, Automation and Evidence · Book index · Next: Appendix A — DNS Record Types and Ecosystem Integrations →</w:t>
      </w:r>
    </w:p>
    <w:bookmarkEnd w:id="833"/>
    <w:bookmarkEnd w:id="834"/>
    <w:bookmarkStart w:id="943" w:name="Xa18f646ed6ba0a3f49e27a2521684dfc0b54748"/>
    <w:p>
      <w:pPr>
        <w:pStyle w:val="Heading1"/>
      </w:pPr>
      <w:bookmarkStart w:id="1151" w:name="_Toc00001151"/>
      <w:r>
        <w:t xml:space="preserve">Appendix A — DNS Record Types and Ecosystem Integrations</w:t>
      </w:r>
      <w:bookmarkEnd w:id="1151"/>
    </w:p>
    <w:p>
      <w:pPr>
        <w:pStyle w:val="FirstParagraph"/>
      </w:pPr>
      <w:r>
        <w:rPr>
          <w:i/>
          <w:iCs/>
        </w:rPr>
        <w:t xml:space="preserve">Record types that look unrelated share one requirement: every surface that answers for a name has to give the same governed answer.</w:t>
      </w:r>
    </w:p>
    <w:bookmarkStart w:id="835" w:name="in-this-appendix"/>
    <w:p>
      <w:pPr>
        <w:pStyle w:val="Heading2"/>
      </w:pPr>
      <w:bookmarkStart w:id="1152" w:name="_Toc00001152"/>
      <w:r>
        <w:t xml:space="preserve">In this appendix</w:t>
      </w:r>
      <w:bookmarkEnd w:id="1152"/>
    </w:p>
    <w:p>
      <w:pPr>
        <w:pStyle w:val="FirstParagraph"/>
      </w:pPr>
      <w:r>
        <w:t xml:space="preserve">A catalog of about twenty DNS record types, grouped by function, with the standard that defines each and what goes wrong when the record differs across DNS surfaces; a matrix that summarizes how each type relates to DNSSEC, PKI, split-brain risk, threat defense and routing; the integrations any DDI platform needs; and a glossary of the book’s terms. It is meant to stand alone as a reference.</w:t>
      </w:r>
    </w:p>
    <w:bookmarkEnd w:id="835"/>
    <w:bookmarkStart w:id="839" w:name="how-to-read-the-catalog"/>
    <w:p>
      <w:pPr>
        <w:pStyle w:val="Heading2"/>
      </w:pPr>
      <w:bookmarkStart w:id="1153" w:name="_Toc00001153"/>
      <w:r>
        <w:t xml:space="preserve">How to read the catalog</w:t>
      </w:r>
      <w:bookmarkEnd w:id="1153"/>
    </w:p>
    <w:p>
      <w:pPr>
        <w:pStyle w:val="FirstParagraph"/>
      </w:pPr>
      <w:r>
        <w:t xml:space="preserve">DNS is usually described through two record types, A and CNAME. The IANA Resource Record (RR) TYPEs registry lists close to a hundred assigned type values, including obsolete and experimental ones.</w:t>
      </w:r>
      <w:r>
        <w:rPr>
          <w:rStyle w:val="FootnoteReference"/>
        </w:rPr>
        <w:footnoteReference w:id="836"/>
      </w:r>
      <w:r>
        <w:t xml:space="preserve"> </w:t>
      </w:r>
      <w:r>
        <w:t xml:space="preserve">About twenty of them carry most of the weight in federal hybrid multi-cloud security, certificate governance, service discovery and threat defense. This appendix catalogs those, organized by function. For each, it names the defining standard and says how the record behaves when two DNS surfaces publish different answers for the same name, the split-brain condition that Chapter 02 describes.</w:t>
      </w:r>
    </w:p>
    <w:p>
      <w:pPr>
        <w:pStyle w:val="BodyText"/>
      </w:pPr>
      <w:r>
        <w:t xml:space="preserve">The record-type numbers and defining RFCs below match the IANA registry as of October 2026.</w:t>
      </w:r>
      <w:r>
        <w:rPr>
          <w:rStyle w:val="FootnoteReference"/>
        </w:rPr>
        <w:footnoteReference w:id="838"/>
      </w:r>
    </w:p>
    <w:bookmarkEnd w:id="839"/>
    <w:bookmarkStart w:id="849" w:name="address-and-alias-records"/>
    <w:p>
      <w:pPr>
        <w:pStyle w:val="Heading2"/>
      </w:pPr>
      <w:bookmarkStart w:id="1154" w:name="_Toc00001154"/>
      <w:r>
        <w:t xml:space="preserve">Address and alias records</w:t>
      </w:r>
      <w:bookmarkEnd w:id="1154"/>
    </w:p>
    <w:p>
      <w:pPr>
        <w:pStyle w:val="FirstParagraph"/>
      </w:pPr>
      <w:r>
        <w:t xml:space="preserve">These records do the job DNS was designed for: mapping names to addresses or to other names.</w:t>
      </w:r>
    </w:p>
    <w:p>
      <w:pPr>
        <w:pStyle w:val="Compact"/>
        <w:numPr>
          <w:ilvl w:val="0"/>
          <w:numId w:val="1067"/>
        </w:numPr>
      </w:pPr>
      <w:r>
        <w:rPr>
          <w:b/>
          <w:bCs/>
        </w:rPr>
        <w:t xml:space="preserve">A (RFC 1035).</w:t>
      </w:r>
      <w:r>
        <w:t xml:space="preserve"> </w:t>
      </w:r>
      <w:r>
        <w:t xml:space="preserve">Maps a hostname to an IPv4 address. In a hybrid multi-cloud environment every DNS surface publishes A records: an on-premises DDI grid or Windows DNS, Amazon Route 53, Azure DNS, Google Cloud DNS. The A record is the unit of inconsistency. Every private endpoint in AWS, Azure or Google Cloud ultimately resolves through an A record, and split-brain shows up as the same name returning different A records from different surfaces (Chapter 07).</w:t>
      </w:r>
    </w:p>
    <w:p>
      <w:pPr>
        <w:pStyle w:val="Compact"/>
        <w:numPr>
          <w:ilvl w:val="0"/>
          <w:numId w:val="1067"/>
        </w:numPr>
      </w:pPr>
      <w:r>
        <w:rPr>
          <w:b/>
          <w:bCs/>
        </w:rPr>
        <w:t xml:space="preserve">AAAA (RFC 3596).</w:t>
      </w:r>
      <w:r>
        <w:t xml:space="preserve"> </w:t>
      </w:r>
      <w:r>
        <w:t xml:space="preserve">Maps a hostname to an IPv6 address. OMB M-21-07 set IPv6-only targets for federal IP-enabled assets (Chapter 07 gives the milestones), so most federal hybrid environments now run dual-stack and must publish A and AAAA records consistently on every surface. The governance surface doubles. In the program’s experience, an IPv6 split-brain condition is easy to miss because troubleshooting habits and many scripts test IPv4 resolution first.</w:t>
      </w:r>
    </w:p>
    <w:p>
      <w:pPr>
        <w:pStyle w:val="Compact"/>
        <w:numPr>
          <w:ilvl w:val="0"/>
          <w:numId w:val="1067"/>
        </w:numPr>
      </w:pPr>
      <w:r>
        <w:rPr>
          <w:b/>
          <w:bCs/>
        </w:rPr>
        <w:t xml:space="preserve">CNAME (RFC 1034).</w:t>
      </w:r>
      <w:r>
        <w:t xml:space="preserve"> </w:t>
      </w:r>
      <w:r>
        <w:t xml:space="preserve">Aliases one name to another. RFC 1034 says that if a CNAME is present at a node, no other data should be present.</w:t>
      </w:r>
      <w:r>
        <w:rPr>
          <w:rStyle w:val="FootnoteReference"/>
        </w:rPr>
        <w:footnoteReference w:id="840"/>
      </w:r>
      <w:r>
        <w:t xml:space="preserve"> </w:t>
      </w:r>
      <w:r>
        <w:t xml:space="preserve">Because the zone apex always carries SOA and NS records, a CNAME can’t sit at the apex: an agency can alias</w:t>
      </w:r>
      <w:r>
        <w:t xml:space="preserve"> </w:t>
      </w:r>
      <w:r>
        <w:rPr>
          <w:rStyle w:val="VerbatimChar"/>
        </w:rPr>
        <w:t xml:space="preserve">www.agency.gov</w:t>
      </w:r>
      <w:r>
        <w:t xml:space="preserve"> </w:t>
      </w:r>
      <w:r>
        <w:t xml:space="preserve">but not</w:t>
      </w:r>
      <w:r>
        <w:t xml:space="preserve"> </w:t>
      </w:r>
      <w:r>
        <w:rPr>
          <w:rStyle w:val="VerbatimChar"/>
        </w:rPr>
        <w:t xml:space="preserve">agency.gov</w:t>
      </w:r>
      <w:r>
        <w:t xml:space="preserve"> </w:t>
      </w:r>
      <w:r>
        <w:t xml:space="preserve">itself.</w:t>
      </w:r>
      <w:r>
        <w:rPr>
          <w:rStyle w:val="FootnoteReference"/>
        </w:rPr>
        <w:footnoteReference w:id="841"/>
      </w:r>
      <w:r>
        <w:t xml:space="preserve"> </w:t>
      </w:r>
      <w:r>
        <w:t xml:space="preserve">That restriction matters for load balancing and CDN integration. CNAME chains add a lookup per hop, and a CNAME that still points at a deprovisioned cloud resource or a name someone else can claim is a dangling record, the starting point for subdomain takeover.</w:t>
      </w:r>
    </w:p>
    <w:p>
      <w:pPr>
        <w:pStyle w:val="Compact"/>
        <w:numPr>
          <w:ilvl w:val="0"/>
          <w:numId w:val="1067"/>
        </w:numPr>
      </w:pPr>
      <w:r>
        <w:rPr>
          <w:b/>
          <w:bCs/>
        </w:rPr>
        <w:t xml:space="preserve">ALIAS / ANAME (provider-specific, not standardized).</w:t>
      </w:r>
      <w:r>
        <w:t xml:space="preserve"> </w:t>
      </w:r>
      <w:r>
        <w:t xml:space="preserve">Cloud and DDI providers synthesize a CNAME-like reference that is answered as A or AAAA records, which works around the apex restriction. Route 53 alias records are</w:t>
      </w:r>
      <w:r>
        <w:t xml:space="preserve"> </w:t>
      </w:r>
      <w:r>
        <w:t xml:space="preserve">“a Route 53–specific extension to DNS,”</w:t>
      </w:r>
      <w:r>
        <w:t xml:space="preserve"> </w:t>
      </w:r>
      <w:r>
        <w:t xml:space="preserve">can be created at the zone apex, and appear to a</w:t>
      </w:r>
      <w:r>
        <w:t xml:space="preserve"> </w:t>
      </w:r>
      <w:r>
        <w:rPr>
          <w:rStyle w:val="VerbatimChar"/>
        </w:rPr>
        <w:t xml:space="preserve">dig</w:t>
      </w:r>
      <w:r>
        <w:t xml:space="preserve"> </w:t>
      </w:r>
      <w:r>
        <w:t xml:space="preserve">client as the record type they were created as, such as A or AAAA.</w:t>
      </w:r>
      <w:r>
        <w:rPr>
          <w:rStyle w:val="FootnoteReference"/>
        </w:rPr>
        <w:footnoteReference w:id="843"/>
      </w:r>
      <w:r>
        <w:t xml:space="preserve"> </w:t>
      </w:r>
      <w:r>
        <w:t xml:space="preserve">Azure DNS alias record sets qualify an A, AAAA or CNAME record set so it tracks an Azure resource (a public IP address, a Traffic Manager profile, an Azure CDN or Front Door endpoint), and they keep the record from dangling when the resource is deleted.</w:t>
      </w:r>
      <w:r>
        <w:rPr>
          <w:rStyle w:val="FootnoteReference"/>
        </w:rPr>
        <w:footnoteReference w:id="845"/>
      </w:r>
      <w:r>
        <w:t xml:space="preserve"> </w:t>
      </w:r>
      <w:r>
        <w:t xml:space="preserve">Neither ALIAS nor ANAME appears in the IANA registry,</w:t>
      </w:r>
      <w:r>
        <w:rPr>
          <w:rStyle w:val="FootnoteReference"/>
        </w:rPr>
        <w:footnoteReference w:id="846"/>
      </w:r>
      <w:r>
        <w:t xml:space="preserve"> </w:t>
      </w:r>
      <w:r>
        <w:t xml:space="preserve">so behavior varies between implementations. That is a governance gap when one zone is managed across several surfaces.</w:t>
      </w:r>
    </w:p>
    <w:p>
      <w:pPr>
        <w:pStyle w:val="Compact"/>
        <w:numPr>
          <w:ilvl w:val="0"/>
          <w:numId w:val="1067"/>
        </w:numPr>
      </w:pPr>
      <w:r>
        <w:rPr>
          <w:b/>
          <w:bCs/>
        </w:rPr>
        <w:t xml:space="preserve">PTR (RFC 1035).</w:t>
      </w:r>
      <w:r>
        <w:t xml:space="preserve"> </w:t>
      </w:r>
      <w:r>
        <w:t xml:space="preserve">Maps an address to a name in the</w:t>
      </w:r>
      <w:r>
        <w:t xml:space="preserve"> </w:t>
      </w:r>
      <w:r>
        <w:rPr>
          <w:rStyle w:val="VerbatimChar"/>
        </w:rPr>
        <w:t xml:space="preserve">in-addr.arpa.</w:t>
      </w:r>
      <w:r>
        <w:t xml:space="preserve"> </w:t>
      </w:r>
      <w:r>
        <w:t xml:space="preserve">(IPv4) or</w:t>
      </w:r>
      <w:r>
        <w:t xml:space="preserve"> </w:t>
      </w:r>
      <w:r>
        <w:rPr>
          <w:rStyle w:val="VerbatimChar"/>
        </w:rPr>
        <w:t xml:space="preserve">ip6.arpa.</w:t>
      </w:r>
      <w:r>
        <w:t xml:space="preserve"> </w:t>
      </w:r>
      <w:r>
        <w:t xml:space="preserve">(IPv6) reverse tree. PTR records are the most commonly neglected type in cloud private address space. They matter for mail (receiving servers commonly reject or score down mail from hosts without reverse DNS), for security analytics that resolve source addresses to host names, and for log attribution generally. Some Kerberos clients also use reverse lookups: MIT Kerberos, by default, uses a reverse lookup in addition to the forward lookup when it canonicalizes a host name into a service principal name.</w:t>
      </w:r>
      <w:r>
        <w:rPr>
          <w:rStyle w:val="FootnoteReference"/>
        </w:rPr>
        <w:footnoteReference w:id="847"/>
      </w:r>
      <w:r>
        <w:t xml:space="preserve"> </w:t>
      </w:r>
      <w:r>
        <w:t xml:space="preserve">Cloud private address space needs explicit PTR management; the program’s position is that IPAM-driven allocation should create the A and PTR records together.</w:t>
      </w:r>
    </w:p>
    <w:bookmarkEnd w:id="849"/>
    <w:bookmarkStart w:id="865" w:name="service-discovery-records"/>
    <w:p>
      <w:pPr>
        <w:pStyle w:val="Heading2"/>
      </w:pPr>
      <w:bookmarkStart w:id="1155" w:name="_Toc00001155"/>
      <w:r>
        <w:t xml:space="preserve">Service discovery records</w:t>
      </w:r>
      <w:bookmarkEnd w:id="1155"/>
    </w:p>
    <w:p>
      <w:pPr>
        <w:numPr>
          <w:ilvl w:val="0"/>
          <w:numId w:val="1068"/>
        </w:numPr>
      </w:pPr>
      <w:r>
        <w:rPr>
          <w:b/>
          <w:bCs/>
        </w:rPr>
        <w:t xml:space="preserve">SRV (RFC 2782).</w:t>
      </w:r>
      <w:r>
        <w:t xml:space="preserve"> </w:t>
      </w:r>
      <w:r>
        <w:t xml:space="preserve">Maps a service and transport to a host and port, with priority and weight fields for load sharing. The owner-name format is:</w:t>
      </w:r>
    </w:p>
    <w:p>
      <w:pPr>
        <w:pStyle w:val="SourceCode"/>
        <w:numPr>
          <w:ilvl w:val="0"/>
          <w:numId w:val="1000"/>
        </w:numPr>
      </w:pPr>
      <w:r>
        <w:rPr>
          <w:rStyle w:val="VerbatimChar"/>
        </w:rPr>
        <w:t xml:space="preserve">_service._proto.name. TTL IN SRV priority weight port target.</w:t>
      </w:r>
    </w:p>
    <w:p>
      <w:pPr>
        <w:numPr>
          <w:ilvl w:val="0"/>
          <w:numId w:val="1000"/>
        </w:numPr>
      </w:pPr>
      <w:r>
        <w:t xml:space="preserve">SRV records are the most security-consequential record type in Active Directory and the most underestimated in AD retirement planning. The Netlogon service on each domain controller registers the DC locator records, among them:</w:t>
      </w:r>
      <w:r>
        <w:rPr>
          <w:rStyle w:val="FootnoteReference"/>
        </w:rPr>
        <w:footnoteReference w:id="850"/>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t xml:space="preserve">DC locator record</w:t>
            </w:r>
          </w:p>
        </w:tc>
        <w:tc>
          <w:tcPr/>
          <w:p>
            <w:pPr>
              <w:pStyle w:val="Compact"/>
            </w:pPr>
            <w:r>
              <w:t xml:space="preserve">What it locates</w:t>
            </w:r>
          </w:p>
        </w:tc>
      </w:tr>
      <w:tr>
        <w:tc>
          <w:tcPr/>
          <w:p>
            <w:pPr>
              <w:pStyle w:val="Compact"/>
            </w:pPr>
            <w:r>
              <w:rPr>
                <w:rStyle w:val="VerbatimChar"/>
              </w:rPr>
              <w:t xml:space="preserve">_ldap._tcp.&lt;DnsDomainName&gt;</w:t>
            </w:r>
          </w:p>
        </w:tc>
        <w:tc>
          <w:tcPr/>
          <w:p>
            <w:pPr>
              <w:pStyle w:val="Compact"/>
            </w:pPr>
            <w:r>
              <w:t xml:space="preserve">Domain controllers (LDAP) for the domain</w:t>
            </w:r>
          </w:p>
        </w:tc>
      </w:tr>
      <w:tr>
        <w:tc>
          <w:tcPr/>
          <w:p>
            <w:pPr>
              <w:pStyle w:val="Compact"/>
            </w:pPr>
            <w:r>
              <w:rPr>
                <w:rStyle w:val="VerbatimChar"/>
              </w:rPr>
              <w:t xml:space="preserve">_ldap._tcp.dc._msdcs.&lt;DnsDomainName&gt;</w:t>
            </w:r>
          </w:p>
        </w:tc>
        <w:tc>
          <w:tcPr/>
          <w:p>
            <w:pPr>
              <w:pStyle w:val="Compact"/>
            </w:pPr>
            <w:r>
              <w:t xml:space="preserve">Domain controllers, through the</w:t>
            </w:r>
            <w:r>
              <w:t xml:space="preserve"> </w:t>
            </w:r>
            <w:r>
              <w:rPr>
                <w:rStyle w:val="VerbatimChar"/>
              </w:rPr>
              <w:t xml:space="preserve">_msdcs</w:t>
            </w:r>
            <w:r>
              <w:t xml:space="preserve"> </w:t>
            </w:r>
            <w:r>
              <w:t xml:space="preserve">locator subtree</w:t>
            </w:r>
          </w:p>
        </w:tc>
      </w:tr>
      <w:tr>
        <w:tc>
          <w:tcPr/>
          <w:p>
            <w:pPr>
              <w:pStyle w:val="Compact"/>
            </w:pPr>
            <w:r>
              <w:rPr>
                <w:rStyle w:val="VerbatimChar"/>
              </w:rPr>
              <w:t xml:space="preserve">_ldap._tcp.&lt;SiteName&gt;._sites.dc._msdcs.&lt;DnsDomainName&gt;</w:t>
            </w:r>
          </w:p>
        </w:tc>
        <w:tc>
          <w:tcPr/>
          <w:p>
            <w:pPr>
              <w:pStyle w:val="Compact"/>
            </w:pPr>
            <w:r>
              <w:t xml:space="preserve">Domain controllers in a given AD site</w:t>
            </w:r>
          </w:p>
        </w:tc>
      </w:tr>
      <w:tr>
        <w:tc>
          <w:tcPr/>
          <w:p>
            <w:pPr>
              <w:pStyle w:val="Compact"/>
            </w:pPr>
            <w:r>
              <w:rPr>
                <w:rStyle w:val="VerbatimChar"/>
              </w:rPr>
              <w:t xml:space="preserve">_ldap._tcp.pdc._msdcs.&lt;DnsDomainName&gt;</w:t>
            </w:r>
          </w:p>
        </w:tc>
        <w:tc>
          <w:tcPr/>
          <w:p>
            <w:pPr>
              <w:pStyle w:val="Compact"/>
            </w:pPr>
            <w:r>
              <w:t xml:space="preserve">The PDC emulator</w:t>
            </w:r>
          </w:p>
        </w:tc>
      </w:tr>
      <w:tr>
        <w:tc>
          <w:tcPr/>
          <w:p>
            <w:pPr>
              <w:pStyle w:val="Compact"/>
            </w:pPr>
            <w:r>
              <w:rPr>
                <w:rStyle w:val="VerbatimChar"/>
              </w:rPr>
              <w:t xml:space="preserve">_ldap._tcp.gc._msdcs.&lt;DnsForestName&gt;</w:t>
            </w:r>
            <w:r>
              <w:t xml:space="preserve"> </w:t>
            </w:r>
            <w:r>
              <w:t xml:space="preserve">and</w:t>
            </w:r>
            <w:r>
              <w:t xml:space="preserve"> </w:t>
            </w:r>
            <w:r>
              <w:rPr>
                <w:rStyle w:val="VerbatimChar"/>
              </w:rPr>
              <w:t xml:space="preserve">_gc._tcp.&lt;DnsForestName&gt;</w:t>
            </w:r>
          </w:p>
        </w:tc>
        <w:tc>
          <w:tcPr/>
          <w:p>
            <w:pPr>
              <w:pStyle w:val="Compact"/>
            </w:pPr>
            <w:r>
              <w:t xml:space="preserve">Global catalog servers for the forest</w:t>
            </w:r>
          </w:p>
        </w:tc>
      </w:tr>
      <w:tr>
        <w:tc>
          <w:tcPr/>
          <w:p>
            <w:pPr>
              <w:pStyle w:val="Compact"/>
            </w:pPr>
            <w:r>
              <w:rPr>
                <w:rStyle w:val="VerbatimChar"/>
              </w:rPr>
              <w:t xml:space="preserve">_kerberos._tcp.&lt;DnsDomainName&gt;</w:t>
            </w:r>
            <w:r>
              <w:t xml:space="preserve">,</w:t>
            </w:r>
            <w:r>
              <w:t xml:space="preserve"> </w:t>
            </w:r>
            <w:r>
              <w:rPr>
                <w:rStyle w:val="VerbatimChar"/>
              </w:rPr>
              <w:t xml:space="preserve">_kerberos._udp.&lt;DnsDomainName&gt;</w:t>
            </w:r>
            <w:r>
              <w:t xml:space="preserve"> </w:t>
            </w:r>
            <w:r>
              <w:t xml:space="preserve">and</w:t>
            </w:r>
            <w:r>
              <w:t xml:space="preserve"> </w:t>
            </w:r>
            <w:r>
              <w:rPr>
                <w:rStyle w:val="VerbatimChar"/>
              </w:rPr>
              <w:t xml:space="preserve">_kerberos._tcp.dc._msdcs.&lt;DnsDomainName&gt;</w:t>
            </w:r>
          </w:p>
        </w:tc>
        <w:tc>
          <w:tcPr/>
          <w:p>
            <w:pPr>
              <w:pStyle w:val="Compact"/>
            </w:pPr>
            <w:r>
              <w:t xml:space="preserve">Kerberos KDCs</w:t>
            </w:r>
          </w:p>
        </w:tc>
      </w:tr>
      <w:tr>
        <w:tc>
          <w:tcPr/>
          <w:p>
            <w:pPr>
              <w:pStyle w:val="Compact"/>
            </w:pPr>
            <w:r>
              <w:rPr>
                <w:rStyle w:val="VerbatimChar"/>
              </w:rPr>
              <w:t xml:space="preserve">_kpasswd._tcp.&lt;DnsDomainName&gt;</w:t>
            </w:r>
            <w:r>
              <w:t xml:space="preserve"> </w:t>
            </w:r>
            <w:r>
              <w:t xml:space="preserve">and</w:t>
            </w:r>
            <w:r>
              <w:t xml:space="preserve"> </w:t>
            </w:r>
            <w:r>
              <w:rPr>
                <w:rStyle w:val="VerbatimChar"/>
              </w:rPr>
              <w:t xml:space="preserve">_kpasswd._udp.&lt;DnsDomainName&gt;</w:t>
            </w:r>
          </w:p>
        </w:tc>
        <w:tc>
          <w:tcPr/>
          <w:p>
            <w:pPr>
              <w:pStyle w:val="Compact"/>
            </w:pPr>
            <w:r>
              <w:t xml:space="preserve">Kerberos password change</w:t>
            </w:r>
          </w:p>
        </w:tc>
      </w:tr>
      <w:tr>
        <w:tc>
          <w:tcPr/>
          <w:p>
            <w:pPr>
              <w:pStyle w:val="Compact"/>
            </w:pPr>
            <w:r>
              <w:rPr>
                <w:rStyle w:val="VerbatimChar"/>
              </w:rPr>
              <w:t xml:space="preserve">&lt;DsaGuid&gt;._msdcs.&lt;DnsForestName&gt;</w:t>
            </w:r>
            <w:r>
              <w:t xml:space="preserve"> </w:t>
            </w:r>
            <w:r>
              <w:t xml:space="preserve">(CNAME) and</w:t>
            </w:r>
            <w:r>
              <w:t xml:space="preserve"> </w:t>
            </w:r>
            <w:r>
              <w:rPr>
                <w:rStyle w:val="VerbatimChar"/>
              </w:rPr>
              <w:t xml:space="preserve">gc._msdcs.&lt;DnsForestName&gt;</w:t>
            </w:r>
            <w:r>
              <w:t xml:space="preserve"> </w:t>
            </w:r>
            <w:r>
              <w:t xml:space="preserve">(A)</w:t>
            </w:r>
          </w:p>
        </w:tc>
        <w:tc>
          <w:tcPr/>
          <w:p>
            <w:pPr>
              <w:pStyle w:val="Compact"/>
            </w:pPr>
            <w:r>
              <w:t xml:space="preserve">DC replication identity and global catalog addresses</w:t>
            </w:r>
          </w:p>
        </w:tc>
      </w:tr>
    </w:tbl>
    <w:p>
      <w:pPr>
        <w:numPr>
          <w:ilvl w:val="0"/>
          <w:numId w:val="1000"/>
        </w:numPr>
      </w:pPr>
      <w:r>
        <w:t xml:space="preserve">Netlogon also registers site-specific variants of most of these and re-registers them every hour.</w:t>
      </w:r>
      <w:r>
        <w:rPr>
          <w:rStyle w:val="FootnoteReference"/>
        </w:rPr>
        <w:footnoteReference w:id="852"/>
      </w:r>
      <w:r>
        <w:t xml:space="preserve"> </w:t>
      </w:r>
      <w:r>
        <w:t xml:space="preserve">Domain-joined Windows clients find a domain controller by querying records such as</w:t>
      </w:r>
      <w:r>
        <w:t xml:space="preserve"> </w:t>
      </w:r>
      <w:r>
        <w:rPr>
          <w:rStyle w:val="VerbatimChar"/>
        </w:rPr>
        <w:t xml:space="preserve">_ldap._tcp.&lt;DnsDomainName&gt;</w:t>
      </w:r>
      <w:r>
        <w:t xml:space="preserve">.</w:t>
      </w:r>
      <w:r>
        <w:rPr>
          <w:rStyle w:val="FootnoteReference"/>
        </w:rPr>
        <w:footnoteReference w:id="853"/>
      </w:r>
      <w:r>
        <w:t xml:space="preserve"> </w:t>
      </w:r>
      <w:r>
        <w:t xml:space="preserve">When an agency retires AD DS (an agency decision; Chapter 04 covers the departure), none of these records move to any replacement automatically. Applications that look up LDAP or Kerberos through SRV records, including AD-joined Linux hosts, many legacy Java applications and some network devices, fail quietly or with misleading errors once the records disappear. SRV records are the DNS representation of service topology, and their lifecycle has to be governed separately from the servers they point to (Chapter 10 sequences this).</w:t>
      </w:r>
    </w:p>
    <w:p>
      <w:pPr>
        <w:numPr>
          <w:ilvl w:val="0"/>
          <w:numId w:val="1000"/>
        </w:numPr>
      </w:pPr>
      <w:r>
        <w:t xml:space="preserve">Outside Active Directory, standards-based protocols that locate services through SRV include SIP (</w:t>
      </w:r>
      <w:r>
        <w:rPr>
          <w:rStyle w:val="VerbatimChar"/>
        </w:rPr>
        <w:t xml:space="preserve">_sip._udp</w:t>
      </w:r>
      <w:r>
        <w:t xml:space="preserve">,</w:t>
      </w:r>
      <w:r>
        <w:t xml:space="preserve"> </w:t>
      </w:r>
      <w:r>
        <w:rPr>
          <w:rStyle w:val="VerbatimChar"/>
        </w:rPr>
        <w:t xml:space="preserve">_sip._tcp</w:t>
      </w:r>
      <w:r>
        <w:t xml:space="preserve">,</w:t>
      </w:r>
      <w:r>
        <w:t xml:space="preserve"> </w:t>
      </w:r>
      <w:r>
        <w:rPr>
          <w:rStyle w:val="VerbatimChar"/>
        </w:rPr>
        <w:t xml:space="preserve">_sips._tcp</w:t>
      </w:r>
      <w:r>
        <w:t xml:space="preserve">),</w:t>
      </w:r>
      <w:r>
        <w:rPr>
          <w:rStyle w:val="FootnoteReference"/>
        </w:rPr>
        <w:footnoteReference w:id="854"/>
      </w:r>
      <w:r>
        <w:t xml:space="preserve"> </w:t>
      </w:r>
      <w:r>
        <w:t xml:space="preserve">XMPP (</w:t>
      </w:r>
      <w:r>
        <w:rPr>
          <w:rStyle w:val="VerbatimChar"/>
        </w:rPr>
        <w:t xml:space="preserve">_xmpp-client._tcp</w:t>
      </w:r>
      <w:r>
        <w:t xml:space="preserve">,</w:t>
      </w:r>
      <w:r>
        <w:t xml:space="preserve"> </w:t>
      </w:r>
      <w:r>
        <w:rPr>
          <w:rStyle w:val="VerbatimChar"/>
        </w:rPr>
        <w:t xml:space="preserve">_xmpp-server._tcp</w:t>
      </w:r>
      <w:r>
        <w:t xml:space="preserve">)</w:t>
      </w:r>
      <w:r>
        <w:rPr>
          <w:rStyle w:val="FootnoteReference"/>
        </w:rPr>
        <w:footnoteReference w:id="856"/>
      </w:r>
      <w:r>
        <w:t xml:space="preserve"> </w:t>
      </w:r>
      <w:r>
        <w:t xml:space="preserve">and mail client configuration (</w:t>
      </w:r>
      <w:r>
        <w:rPr>
          <w:rStyle w:val="VerbatimChar"/>
        </w:rPr>
        <w:t xml:space="preserve">_submission._tcp</w:t>
      </w:r>
      <w:r>
        <w:t xml:space="preserve">,</w:t>
      </w:r>
      <w:r>
        <w:t xml:space="preserve"> </w:t>
      </w:r>
      <w:r>
        <w:rPr>
          <w:rStyle w:val="VerbatimChar"/>
        </w:rPr>
        <w:t xml:space="preserve">_imap._tcp</w:t>
      </w:r>
      <w:r>
        <w:t xml:space="preserve">,</w:t>
      </w:r>
      <w:r>
        <w:t xml:space="preserve"> </w:t>
      </w:r>
      <w:r>
        <w:rPr>
          <w:rStyle w:val="VerbatimChar"/>
        </w:rPr>
        <w:t xml:space="preserve">_imaps._tcp</w:t>
      </w:r>
      <w:r>
        <w:t xml:space="preserve">,</w:t>
      </w:r>
      <w:r>
        <w:t xml:space="preserve"> </w:t>
      </w:r>
      <w:r>
        <w:rPr>
          <w:rStyle w:val="VerbatimChar"/>
        </w:rPr>
        <w:t xml:space="preserve">_pop3._tcp</w:t>
      </w:r>
      <w:r>
        <w:t xml:space="preserve">,</w:t>
      </w:r>
      <w:r>
        <w:t xml:space="preserve"> </w:t>
      </w:r>
      <w:r>
        <w:rPr>
          <w:rStyle w:val="VerbatimChar"/>
        </w:rPr>
        <w:t xml:space="preserve">_pop3s._tcp</w:t>
      </w:r>
      <w:r>
        <w:t xml:space="preserve">; SMTP relaying between servers uses MX records, not SRV).</w:t>
      </w:r>
      <w:r>
        <w:rPr>
          <w:rStyle w:val="FootnoteReference"/>
        </w:rPr>
        <w:footnoteReference w:id="858"/>
      </w:r>
      <w:r>
        <w:t xml:space="preserve"> </w:t>
      </w:r>
      <w:r>
        <w:t xml:space="preserve">Some service-discovery systems, such as HashiCorp Consul, also answer SRV queries for the services they register.</w:t>
      </w:r>
      <w:r>
        <w:rPr>
          <w:rStyle w:val="FootnoteReference"/>
        </w:rPr>
        <w:footnoteReference w:id="860"/>
      </w:r>
    </w:p>
    <w:p>
      <w:pPr>
        <w:numPr>
          <w:ilvl w:val="0"/>
          <w:numId w:val="1068"/>
        </w:numPr>
      </w:pPr>
      <w:r>
        <w:rPr>
          <w:b/>
          <w:bCs/>
        </w:rPr>
        <w:t xml:space="preserve">NAPTR (RFC 3403).</w:t>
      </w:r>
      <w:r>
        <w:t xml:space="preserve"> </w:t>
      </w:r>
      <w:r>
        <w:t xml:space="preserve">Naming Authority Pointer records rewrite a name or URI using regular expressions and point to the next lookup. ENUM uses NAPTR records to translate E.164 telephone numbers into URIs such as SIP addresses.</w:t>
      </w:r>
      <w:r>
        <w:rPr>
          <w:rStyle w:val="FootnoteReference"/>
        </w:rPr>
        <w:footnoteReference w:id="862"/>
      </w:r>
      <w:r>
        <w:t xml:space="preserve"> </w:t>
      </w:r>
      <w:r>
        <w:t xml:space="preserve">SIP also uses NAPTR before SRV: a client resolving a SIP URI with no explicit transport or port first queries NAPTR records, which map the domain to the SRV name for each transport.</w:t>
      </w:r>
      <w:r>
        <w:rPr>
          <w:rStyle w:val="FootnoteReference"/>
        </w:rPr>
        <w:footnoteReference w:id="864"/>
      </w:r>
      <w:r>
        <w:t xml:space="preserve"> </w:t>
      </w:r>
      <w:r>
        <w:t xml:space="preserve">In federal environments NAPTR records appear wherever telephony, unified communications or PSTN interconnects depend on DNS, so they belong in the same inventory as SRV.</w:t>
      </w:r>
    </w:p>
    <w:bookmarkEnd w:id="865"/>
    <w:bookmarkStart w:id="876" w:name="certificate-governance-records"/>
    <w:p>
      <w:pPr>
        <w:pStyle w:val="Heading2"/>
      </w:pPr>
      <w:bookmarkStart w:id="1156" w:name="_Toc00001156"/>
      <w:r>
        <w:t xml:space="preserve">Certificate governance records</w:t>
      </w:r>
      <w:bookmarkEnd w:id="1156"/>
    </w:p>
    <w:p>
      <w:pPr>
        <w:pStyle w:val="FirstParagraph"/>
      </w:pPr>
      <w:r>
        <w:t xml:space="preserve">These records govern certificate issuance or establish cryptographic trust through DNS. Chapter 06 explains the trust chain they support.</w:t>
      </w:r>
    </w:p>
    <w:p>
      <w:pPr>
        <w:pStyle w:val="Compact"/>
        <w:numPr>
          <w:ilvl w:val="0"/>
          <w:numId w:val="1069"/>
        </w:numPr>
      </w:pPr>
      <w:r>
        <w:rPr>
          <w:b/>
          <w:bCs/>
        </w:rPr>
        <w:t xml:space="preserve">CAA (RFC 8659).</w:t>
      </w:r>
      <w:r>
        <w:t xml:space="preserve"> </w:t>
      </w:r>
      <w:r>
        <w:t xml:space="preserve">Certification Authority Authorization records name the CAs allowed to issue certificates for a domain. The standard defines three property tags:</w:t>
      </w:r>
      <w:r>
        <w:t xml:space="preserve"> </w:t>
      </w:r>
      <w:r>
        <w:rPr>
          <w:rStyle w:val="VerbatimChar"/>
        </w:rPr>
        <w:t xml:space="preserve">issue</w:t>
      </w:r>
      <w:r>
        <w:t xml:space="preserve"> </w:t>
      </w:r>
      <w:r>
        <w:t xml:space="preserve">(which issuers may issue for the domain),</w:t>
      </w:r>
      <w:r>
        <w:t xml:space="preserve"> </w:t>
      </w:r>
      <w:r>
        <w:rPr>
          <w:rStyle w:val="VerbatimChar"/>
        </w:rPr>
        <w:t xml:space="preserve">issuewild</w:t>
      </w:r>
      <w:r>
        <w:t xml:space="preserve"> </w:t>
      </w:r>
      <w:r>
        <w:t xml:space="preserve">(which may issue wildcard certificates; when present it takes precedence over</w:t>
      </w:r>
      <w:r>
        <w:t xml:space="preserve"> </w:t>
      </w:r>
      <w:r>
        <w:rPr>
          <w:rStyle w:val="VerbatimChar"/>
        </w:rPr>
        <w:t xml:space="preserve">issue</w:t>
      </w:r>
      <w:r>
        <w:t xml:space="preserve"> </w:t>
      </w:r>
      <w:r>
        <w:t xml:space="preserve">for wildcard names) and</w:t>
      </w:r>
      <w:r>
        <w:t xml:space="preserve"> </w:t>
      </w:r>
      <w:r>
        <w:rPr>
          <w:rStyle w:val="VerbatimChar"/>
        </w:rPr>
        <w:t xml:space="preserve">iodef</w:t>
      </w:r>
      <w:r>
        <w:t xml:space="preserve"> </w:t>
      </w:r>
      <w:r>
        <w:t xml:space="preserve">(a</w:t>
      </w:r>
      <w:r>
        <w:t xml:space="preserve"> </w:t>
      </w:r>
      <w:r>
        <w:rPr>
          <w:rStyle w:val="VerbatimChar"/>
        </w:rPr>
        <w:t xml:space="preserve">mailto:</w:t>
      </w:r>
      <w:r>
        <w:t xml:space="preserve"> </w:t>
      </w:r>
      <w:r>
        <w:t xml:space="preserve">or</w:t>
      </w:r>
      <w:r>
        <w:t xml:space="preserve"> </w:t>
      </w:r>
      <w:r>
        <w:rPr>
          <w:rStyle w:val="VerbatimChar"/>
        </w:rPr>
        <w:t xml:space="preserve">http(s):</w:t>
      </w:r>
      <w:r>
        <w:t xml:space="preserve"> </w:t>
      </w:r>
      <w:r>
        <w:t xml:space="preserve">URL for reporting policy violations).</w:t>
      </w:r>
      <w:r>
        <w:rPr>
          <w:rStyle w:val="FootnoteReference"/>
        </w:rPr>
        <w:footnoteReference w:id="866"/>
      </w:r>
      <w:r>
        <w:t xml:space="preserve"> </w:t>
      </w:r>
      <w:r>
        <w:t xml:space="preserve">RFC 8659 says a compliant CA</w:t>
      </w:r>
      <w:r>
        <w:t xml:space="preserve"> </w:t>
      </w:r>
      <w:r>
        <w:t xml:space="preserve">“MUST check for publication of a Relevant RRset”</w:t>
      </w:r>
      <w:r>
        <w:t xml:space="preserve"> </w:t>
      </w:r>
      <w:r>
        <w:t xml:space="preserve">before issuing,</w:t>
      </w:r>
      <w:r>
        <w:rPr>
          <w:rStyle w:val="FootnoteReference"/>
        </w:rPr>
        <w:footnoteReference w:id="867"/>
      </w:r>
      <w:r>
        <w:t xml:space="preserve"> </w:t>
      </w:r>
      <w:r>
        <w:t xml:space="preserve">and the CA/Browser Forum made CAA checking mandatory for publicly trusted CAs from September 8, 2017 (Baseline Requirements section 3.2.2.8).</w:t>
      </w:r>
      <w:r>
        <w:rPr>
          <w:rStyle w:val="FootnoteReference"/>
        </w:rPr>
        <w:footnoteReference w:id="868"/>
      </w:r>
      <w:r>
        <w:t xml:space="preserve"> </w:t>
      </w:r>
      <w:r>
        <w:t xml:space="preserve">A CAA mismatch makes issuance fail, which in a poorly governed DNS estate shows up as certificate renewal failures blamed on the CA. In a split-brain estate, a cloud workload that queries its local resolver can see a different or missing CAA record from the one the public authoritative server publishes. That rarely affects public issuance, which queries the public authoritative servers, but it does affect internal ACME automation running inside private cloud networks.</w:t>
      </w:r>
    </w:p>
    <w:p>
      <w:pPr>
        <w:pStyle w:val="Compact"/>
        <w:numPr>
          <w:ilvl w:val="0"/>
          <w:numId w:val="1069"/>
        </w:numPr>
      </w:pPr>
      <w:r>
        <w:rPr>
          <w:b/>
          <w:bCs/>
        </w:rPr>
        <w:t xml:space="preserve">TLSA (RFC 6698), used by DANE.</w:t>
      </w:r>
      <w:r>
        <w:t xml:space="preserve"> </w:t>
      </w:r>
      <w:r>
        <w:t xml:space="preserve">DNS-Based Authentication of Named Entities associates a certificate or public key with a name, so clients can validate a TLS certificate through DNS rather than only through the CA hierarchy. A TLSA record has three fields: certificate usage (0, CA constraint; 1, service certificate constraint; 2, trust anchor assertion; 3, domain-issued certificate), selector (0, full certificate; 1, SubjectPublicKeyInfo) and matching type (0, exact; 1, SHA-256; 2, SHA-512).</w:t>
      </w:r>
      <w:r>
        <w:rPr>
          <w:rStyle w:val="FootnoteReference"/>
        </w:rPr>
        <w:footnoteReference w:id="870"/>
      </w:r>
      <w:r>
        <w:t xml:space="preserve"> </w:t>
      </w:r>
      <w:r>
        <w:t xml:space="preserve">DANE matters for agencies because it gives a second TLS validation path that doesn’t depend on commercial CAs: an agency running its own CA hierarchy can publish TLSA records saying that only its own certificates are valid for a name. RFC 6698 is explicit that the security of TLSA rests on DNSSEC:</w:t>
      </w:r>
      <w:r>
        <w:t xml:space="preserve"> </w:t>
      </w:r>
      <w:r>
        <w:t xml:space="preserve">“the DNS information needs to be protected by DNSSEC.”</w:t>
      </w:r>
      <w:r>
        <w:rPr>
          <w:rStyle w:val="FootnoteReference"/>
        </w:rPr>
        <w:footnoteReference w:id="871"/>
      </w:r>
      <w:r>
        <w:t xml:space="preserve"> </w:t>
      </w:r>
      <w:r>
        <w:t xml:space="preserve">The dependency chain is DANE → DNSSEC → consistent authoritative DNS on every surface.</w:t>
      </w:r>
    </w:p>
    <w:p>
      <w:pPr>
        <w:pStyle w:val="Compact"/>
        <w:numPr>
          <w:ilvl w:val="0"/>
          <w:numId w:val="1069"/>
        </w:numPr>
      </w:pPr>
      <w:r>
        <w:rPr>
          <w:b/>
          <w:bCs/>
        </w:rPr>
        <w:t xml:space="preserve">SSHFP (RFC 4255).</w:t>
      </w:r>
      <w:r>
        <w:t xml:space="preserve"> </w:t>
      </w:r>
      <w:r>
        <w:t xml:space="preserve">Publishes SSH host-key fingerprints so clients can verify host keys through DNS instead of</w:t>
      </w:r>
      <w:r>
        <w:t xml:space="preserve"> </w:t>
      </w:r>
      <w:r>
        <w:rPr>
          <w:rStyle w:val="VerbatimChar"/>
        </w:rPr>
        <w:t xml:space="preserve">known_hosts</w:t>
      </w:r>
      <w:r>
        <w:t xml:space="preserve">. A verified key</w:t>
      </w:r>
      <w:r>
        <w:t xml:space="preserve"> </w:t>
      </w:r>
      <w:r>
        <w:t xml:space="preserve">“MUST NOT be trusted”</w:t>
      </w:r>
      <w:r>
        <w:t xml:space="preserve"> </w:t>
      </w:r>
      <w:r>
        <w:t xml:space="preserve">unless the SSHFP record was authenticated by DNSSEC.</w:t>
      </w:r>
      <w:r>
        <w:rPr>
          <w:rStyle w:val="FootnoteReference"/>
        </w:rPr>
        <w:footnoteReference w:id="872"/>
      </w:r>
      <w:r>
        <w:t xml:space="preserve"> </w:t>
      </w:r>
      <w:r>
        <w:t xml:space="preserve">In zero trust terms SSHFP binds a host name to its cryptographic identity, as a certificate SAN does for TLS.</w:t>
      </w:r>
    </w:p>
    <w:p>
      <w:pPr>
        <w:pStyle w:val="Compact"/>
        <w:numPr>
          <w:ilvl w:val="0"/>
          <w:numId w:val="1069"/>
        </w:numPr>
      </w:pPr>
      <w:r>
        <w:rPr>
          <w:b/>
          <w:bCs/>
        </w:rPr>
        <w:t xml:space="preserve">SMIMEA (RFC 8162).</w:t>
      </w:r>
      <w:r>
        <w:t xml:space="preserve"> </w:t>
      </w:r>
      <w:r>
        <w:t xml:space="preserve">Associates an S/MIME certificate with an email address for certificate discovery without a central directory. The owner name is a SHA-256 hash of the mailbox local part (truncated to 28 octets) under</w:t>
      </w:r>
      <w:r>
        <w:t xml:space="preserve"> </w:t>
      </w:r>
      <w:r>
        <w:rPr>
          <w:rStyle w:val="VerbatimChar"/>
        </w:rPr>
        <w:t xml:space="preserve">_smimecert.&lt;domain&gt;</w:t>
      </w:r>
      <w:r>
        <w:t xml:space="preserve">, and the answer must validate as DNSSEC</w:t>
      </w:r>
      <w:r>
        <w:t xml:space="preserve"> </w:t>
      </w:r>
      <w:r>
        <w:t xml:space="preserve">“Secure.”</w:t>
      </w:r>
      <w:r>
        <w:t xml:space="preserve"> </w:t>
      </w:r>
      <w:r>
        <w:t xml:space="preserve">RFC 8162 is an Experimental RFC, not a standard, and deployment is limited.</w:t>
      </w:r>
      <w:r>
        <w:rPr>
          <w:rStyle w:val="FootnoteReference"/>
        </w:rPr>
        <w:footnoteReference w:id="874"/>
      </w:r>
    </w:p>
    <w:bookmarkEnd w:id="876"/>
    <w:bookmarkStart w:id="894" w:name="email-authentication-records"/>
    <w:p>
      <w:pPr>
        <w:pStyle w:val="Heading2"/>
      </w:pPr>
      <w:bookmarkStart w:id="1157" w:name="_Toc00001157"/>
      <w:r>
        <w:t xml:space="preserve">Email authentication records</w:t>
      </w:r>
      <w:bookmarkEnd w:id="1157"/>
    </w:p>
    <w:p>
      <w:pPr>
        <w:pStyle w:val="FirstParagraph"/>
      </w:pPr>
      <w:r>
        <w:t xml:space="preserve">Email authentication is published almost entirely in TXT records (plus HTTPS for MTA-STS), and the mechanisms depend on each other. That interdependency makes email one of the most frequently misconfigured DNS surfaces in federal environments.</w:t>
      </w:r>
    </w:p>
    <w:p>
      <w:pPr>
        <w:pStyle w:val="Compact"/>
        <w:numPr>
          <w:ilvl w:val="0"/>
          <w:numId w:val="1070"/>
        </w:numPr>
      </w:pPr>
      <w:r>
        <w:rPr>
          <w:b/>
          <w:bCs/>
        </w:rPr>
        <w:t xml:space="preserve">SPF (RFC 7208).</w:t>
      </w:r>
      <w:r>
        <w:t xml:space="preserve"> </w:t>
      </w:r>
      <w:r>
        <w:t xml:space="preserve">A TXT record listing the hosts allowed to send mail for a domain (</w:t>
      </w:r>
      <w:r>
        <w:rPr>
          <w:rStyle w:val="VerbatimChar"/>
        </w:rPr>
        <w:t xml:space="preserve">v=spf1 … -all</w:t>
      </w:r>
      <w:r>
        <w:t xml:space="preserve">). SPF must be published as a TXT record; the experimental SPF RR type (99) was discontinued.</w:t>
      </w:r>
      <w:r>
        <w:rPr>
          <w:rStyle w:val="FootnoteReference"/>
        </w:rPr>
        <w:footnoteReference w:id="877"/>
      </w:r>
      <w:r>
        <w:t xml:space="preserve"> </w:t>
      </w:r>
      <w:r>
        <w:t xml:space="preserve">Three governance failure modes recur in multi-cloud estates:</w:t>
      </w:r>
    </w:p>
    <w:p>
      <w:pPr>
        <w:pStyle w:val="Compact"/>
        <w:numPr>
          <w:ilvl w:val="1"/>
          <w:numId w:val="1071"/>
        </w:numPr>
      </w:pPr>
      <w:r>
        <w:rPr>
          <w:i/>
          <w:iCs/>
        </w:rPr>
        <w:t xml:space="preserve">Multiple records.</w:t>
      </w:r>
      <w:r>
        <w:t xml:space="preserve"> </w:t>
      </w:r>
      <w:r>
        <w:t xml:space="preserve">A domain must not publish more than one SPF record; if more than one</w:t>
      </w:r>
      <w:r>
        <w:t xml:space="preserve"> </w:t>
      </w:r>
      <w:r>
        <w:rPr>
          <w:rStyle w:val="VerbatimChar"/>
        </w:rPr>
        <w:t xml:space="preserve">v=spf1</w:t>
      </w:r>
      <w:r>
        <w:t xml:space="preserve"> </w:t>
      </w:r>
      <w:r>
        <w:t xml:space="preserve">record remains, evaluation returns</w:t>
      </w:r>
      <w:r>
        <w:t xml:space="preserve"> </w:t>
      </w:r>
      <w:r>
        <w:rPr>
          <w:rStyle w:val="VerbatimChar"/>
        </w:rPr>
        <w:t xml:space="preserve">permerror</w:t>
      </w:r>
      <w:r>
        <w:t xml:space="preserve">. Each SaaS sender (Microsoft 365, CRM platforms, bulk mail services) asks for its own</w:t>
      </w:r>
      <w:r>
        <w:t xml:space="preserve"> </w:t>
      </w:r>
      <w:r>
        <w:rPr>
          <w:rStyle w:val="VerbatimChar"/>
        </w:rPr>
        <w:t xml:space="preserve">include:</w:t>
      </w:r>
      <w:r>
        <w:t xml:space="preserve">, and agencies end up with duplicate records.</w:t>
      </w:r>
      <w:r>
        <w:rPr>
          <w:rStyle w:val="FootnoteReference"/>
        </w:rPr>
        <w:footnoteReference w:id="879"/>
      </w:r>
    </w:p>
    <w:p>
      <w:pPr>
        <w:pStyle w:val="Compact"/>
        <w:numPr>
          <w:ilvl w:val="1"/>
          <w:numId w:val="1071"/>
        </w:numPr>
      </w:pPr>
      <w:r>
        <w:rPr>
          <w:i/>
          <w:iCs/>
        </w:rPr>
        <w:t xml:space="preserve">The ten-lookup limit.</w:t>
      </w:r>
      <w:r>
        <w:t xml:space="preserve"> </w:t>
      </w:r>
      <w:r>
        <w:t xml:space="preserve">Evaluation may make at most ten DNS-querying terms, counted globally across nested includes:</w:t>
      </w:r>
      <w:r>
        <w:t xml:space="preserve"> </w:t>
      </w:r>
      <w:r>
        <w:rPr>
          <w:rStyle w:val="VerbatimChar"/>
        </w:rPr>
        <w:t xml:space="preserve">include</w:t>
      </w:r>
      <w:r>
        <w:t xml:space="preserve">,</w:t>
      </w:r>
      <w:r>
        <w:t xml:space="preserve"> </w:t>
      </w:r>
      <w:r>
        <w:rPr>
          <w:rStyle w:val="VerbatimChar"/>
        </w:rPr>
        <w:t xml:space="preserve">a</w:t>
      </w:r>
      <w:r>
        <w:t xml:space="preserve">,</w:t>
      </w:r>
      <w:r>
        <w:t xml:space="preserve"> </w:t>
      </w:r>
      <w:r>
        <w:rPr>
          <w:rStyle w:val="VerbatimChar"/>
        </w:rPr>
        <w:t xml:space="preserve">mx</w:t>
      </w:r>
      <w:r>
        <w:t xml:space="preserve">,</w:t>
      </w:r>
      <w:r>
        <w:t xml:space="preserve"> </w:t>
      </w:r>
      <w:r>
        <w:rPr>
          <w:rStyle w:val="VerbatimChar"/>
        </w:rPr>
        <w:t xml:space="preserve">ptr</w:t>
      </w:r>
      <w:r>
        <w:t xml:space="preserve">,</w:t>
      </w:r>
      <w:r>
        <w:t xml:space="preserve"> </w:t>
      </w:r>
      <w:r>
        <w:rPr>
          <w:rStyle w:val="VerbatimChar"/>
        </w:rPr>
        <w:t xml:space="preserve">exists</w:t>
      </w:r>
      <w:r>
        <w:t xml:space="preserve"> </w:t>
      </w:r>
      <w:r>
        <w:t xml:space="preserve">and the</w:t>
      </w:r>
      <w:r>
        <w:t xml:space="preserve"> </w:t>
      </w:r>
      <w:r>
        <w:rPr>
          <w:rStyle w:val="VerbatimChar"/>
        </w:rPr>
        <w:t xml:space="preserve">redirect</w:t>
      </w:r>
      <w:r>
        <w:t xml:space="preserve"> </w:t>
      </w:r>
      <w:r>
        <w:t xml:space="preserve">modifier count;</w:t>
      </w:r>
      <w:r>
        <w:t xml:space="preserve"> </w:t>
      </w:r>
      <w:r>
        <w:rPr>
          <w:rStyle w:val="VerbatimChar"/>
        </w:rPr>
        <w:t xml:space="preserve">ip4</w:t>
      </w:r>
      <w:r>
        <w:t xml:space="preserve">,</w:t>
      </w:r>
      <w:r>
        <w:t xml:space="preserve"> </w:t>
      </w:r>
      <w:r>
        <w:rPr>
          <w:rStyle w:val="VerbatimChar"/>
        </w:rPr>
        <w:t xml:space="preserve">ip6</w:t>
      </w:r>
      <w:r>
        <w:t xml:space="preserve"> </w:t>
      </w:r>
      <w:r>
        <w:t xml:space="preserve">and</w:t>
      </w:r>
      <w:r>
        <w:t xml:space="preserve"> </w:t>
      </w:r>
      <w:r>
        <w:rPr>
          <w:rStyle w:val="VerbatimChar"/>
        </w:rPr>
        <w:t xml:space="preserve">all</w:t>
      </w:r>
      <w:r>
        <w:t xml:space="preserve"> </w:t>
      </w:r>
      <w:r>
        <w:t xml:space="preserve">don’t. Exceeding the limit returns</w:t>
      </w:r>
      <w:r>
        <w:t xml:space="preserve"> </w:t>
      </w:r>
      <w:r>
        <w:rPr>
          <w:rStyle w:val="VerbatimChar"/>
        </w:rPr>
        <w:t xml:space="preserve">permerror</w:t>
      </w:r>
      <w:r>
        <w:t xml:space="preserve">.</w:t>
      </w:r>
      <w:r>
        <w:rPr>
          <w:rStyle w:val="FootnoteReference"/>
        </w:rPr>
        <w:footnoteReference w:id="880"/>
      </w:r>
    </w:p>
    <w:p>
      <w:pPr>
        <w:pStyle w:val="Compact"/>
        <w:numPr>
          <w:ilvl w:val="1"/>
          <w:numId w:val="1071"/>
        </w:numPr>
      </w:pPr>
      <w:r>
        <w:rPr>
          <w:i/>
          <w:iCs/>
        </w:rPr>
        <w:t xml:space="preserve">Split-brain.</w:t>
      </w:r>
      <w:r>
        <w:t xml:space="preserve"> </w:t>
      </w:r>
      <w:r>
        <w:t xml:space="preserve">An SPF record that resolves differently on internal and external resolvers can cause mail from internal relays to fail SPF at receiving servers.</w:t>
      </w:r>
    </w:p>
    <w:p>
      <w:pPr>
        <w:pStyle w:val="Compact"/>
        <w:numPr>
          <w:ilvl w:val="0"/>
          <w:numId w:val="1070"/>
        </w:numPr>
      </w:pPr>
      <w:r>
        <w:rPr>
          <w:b/>
          <w:bCs/>
        </w:rPr>
        <w:t xml:space="preserve">DKIM (RFC 6376).</w:t>
      </w:r>
      <w:r>
        <w:t xml:space="preserve"> </w:t>
      </w:r>
      <w:r>
        <w:t xml:space="preserve">A TXT record at</w:t>
      </w:r>
      <w:r>
        <w:t xml:space="preserve"> </w:t>
      </w:r>
      <w:r>
        <w:rPr>
          <w:rStyle w:val="VerbatimChar"/>
        </w:rPr>
        <w:t xml:space="preserve">&lt;selector&gt;._domainkey.&lt;domain&gt;</w:t>
      </w:r>
      <w:r>
        <w:t xml:space="preserve"> </w:t>
      </w:r>
      <w:r>
        <w:t xml:space="preserve">holds the public key matching the private key that signs outbound mail.</w:t>
      </w:r>
      <w:r>
        <w:rPr>
          <w:rStyle w:val="FootnoteReference"/>
        </w:rPr>
        <w:footnoteReference w:id="881"/>
      </w:r>
      <w:r>
        <w:t xml:space="preserve"> </w:t>
      </w:r>
      <w:r>
        <w:t xml:space="preserve">Selectors let a domain publish several keys at once; RFC 6376 describes rotation as publishing the new key under a new selector, switching signing, and removing the old key after a transition period.</w:t>
      </w:r>
      <w:r>
        <w:rPr>
          <w:rStyle w:val="FootnoteReference"/>
        </w:rPr>
        <w:footnoteReference w:id="883"/>
      </w:r>
      <w:r>
        <w:t xml:space="preserve"> </w:t>
      </w:r>
      <w:r>
        <w:t xml:space="preserve">The governance work is coordinated rotation (the private key lives in the mail system, the public key in DNS) and removing orphaned selectors left behind by decommissioned mail systems.</w:t>
      </w:r>
    </w:p>
    <w:p>
      <w:pPr>
        <w:pStyle w:val="Compact"/>
        <w:numPr>
          <w:ilvl w:val="0"/>
          <w:numId w:val="1070"/>
        </w:numPr>
      </w:pPr>
      <w:r>
        <w:rPr>
          <w:b/>
          <w:bCs/>
        </w:rPr>
        <w:t xml:space="preserve">DMARC (RFC 9989).</w:t>
      </w:r>
      <w:r>
        <w:t xml:space="preserve"> </w:t>
      </w:r>
      <w:r>
        <w:t xml:space="preserve">A TXT record at</w:t>
      </w:r>
      <w:r>
        <w:t xml:space="preserve"> </w:t>
      </w:r>
      <w:r>
        <w:rPr>
          <w:rStyle w:val="VerbatimChar"/>
        </w:rPr>
        <w:t xml:space="preserve">_dmarc.&lt;domain&gt;</w:t>
      </w:r>
      <w:r>
        <w:t xml:space="preserve"> </w:t>
      </w:r>
      <w:r>
        <w:t xml:space="preserve">tells receivers what to do when SPF and DKIM alignment fail (</w:t>
      </w:r>
      <w:r>
        <w:rPr>
          <w:rStyle w:val="VerbatimChar"/>
        </w:rPr>
        <w:t xml:space="preserve">none</w:t>
      </w:r>
      <w:r>
        <w:t xml:space="preserve">,</w:t>
      </w:r>
      <w:r>
        <w:t xml:space="preserve"> </w:t>
      </w:r>
      <w:r>
        <w:rPr>
          <w:rStyle w:val="VerbatimChar"/>
        </w:rPr>
        <w:t xml:space="preserve">quarantine</w:t>
      </w:r>
      <w:r>
        <w:t xml:space="preserve"> </w:t>
      </w:r>
      <w:r>
        <w:t xml:space="preserve">or</w:t>
      </w:r>
      <w:r>
        <w:t xml:space="preserve"> </w:t>
      </w:r>
      <w:r>
        <w:rPr>
          <w:rStyle w:val="VerbatimChar"/>
        </w:rPr>
        <w:t xml:space="preserve">reject</w:t>
      </w:r>
      <w:r>
        <w:t xml:space="preserve">) and where to send reports. RFC 9989 (May 2026) obsoletes RFC 7489 and RFC 9091; it removes the</w:t>
      </w:r>
      <w:r>
        <w:t xml:space="preserve"> </w:t>
      </w:r>
      <w:r>
        <w:rPr>
          <w:rStyle w:val="VerbatimChar"/>
        </w:rPr>
        <w:t xml:space="preserve">pct</w:t>
      </w:r>
      <w:r>
        <w:t xml:space="preserve"> </w:t>
      </w:r>
      <w:r>
        <w:t xml:space="preserve">tag and replaces Public Suffix List lookups with a DNS tree walk to find the organizational domain. Aggregate and failure reporting moved to companion RFCs 9990 and 9991.</w:t>
      </w:r>
      <w:r>
        <w:rPr>
          <w:rStyle w:val="FootnoteReference"/>
        </w:rPr>
        <w:footnoteReference w:id="884"/>
      </w:r>
      <w:r>
        <w:t xml:space="preserve"> </w:t>
      </w:r>
      <w:r>
        <w:t xml:space="preserve">CISA BOD 18-01 required agencies to publish DMARC on all second-level domains and to reach</w:t>
      </w:r>
      <w:r>
        <w:t xml:space="preserve"> </w:t>
      </w:r>
      <w:r>
        <w:rPr>
          <w:rStyle w:val="VerbatimChar"/>
        </w:rPr>
        <w:t xml:space="preserve">p=reject</w:t>
      </w:r>
      <w:r>
        <w:t xml:space="preserve"> </w:t>
      </w:r>
      <w:r>
        <w:t xml:space="preserve">on all second-level domains and mail-sending hosts by October 16, 2018.</w:t>
      </w:r>
      <w:r>
        <w:rPr>
          <w:rStyle w:val="FootnoteReference"/>
        </w:rPr>
        <w:footnoteReference w:id="887"/>
      </w:r>
      <w:r>
        <w:t xml:space="preserve"> </w:t>
      </w:r>
      <w:r>
        <w:t xml:space="preserve">Aggregate reports are how an agency discovers who is sending mail as its domain, including spoofers.</w:t>
      </w:r>
    </w:p>
    <w:p>
      <w:pPr>
        <w:pStyle w:val="Compact"/>
        <w:numPr>
          <w:ilvl w:val="0"/>
          <w:numId w:val="1070"/>
        </w:numPr>
      </w:pPr>
      <w:r>
        <w:rPr>
          <w:b/>
          <w:bCs/>
        </w:rPr>
        <w:t xml:space="preserve">BIMI (Internet-Draft, not an RFC).</w:t>
      </w:r>
      <w:r>
        <w:t xml:space="preserve"> </w:t>
      </w:r>
      <w:r>
        <w:t xml:space="preserve">Brand Indicators for Message Identification publishes a TXT record at</w:t>
      </w:r>
      <w:r>
        <w:t xml:space="preserve"> </w:t>
      </w:r>
      <w:r>
        <w:rPr>
          <w:rStyle w:val="VerbatimChar"/>
        </w:rPr>
        <w:t xml:space="preserve">&lt;selector&gt;._bimi.&lt;domain&gt;</w:t>
      </w:r>
      <w:r>
        <w:t xml:space="preserve"> </w:t>
      </w:r>
      <w:r>
        <w:t xml:space="preserve">(</w:t>
      </w:r>
      <w:r>
        <w:rPr>
          <w:rStyle w:val="VerbatimChar"/>
        </w:rPr>
        <w:t xml:space="preserve">default._bimi</w:t>
      </w:r>
      <w:r>
        <w:t xml:space="preserve"> </w:t>
      </w:r>
      <w:r>
        <w:t xml:space="preserve">by default) pointing to a logo and, optionally, an evidence document such as a Verified Mark Certificate or Common Mark Certificate. The draft requires DMARC enforcement (</w:t>
      </w:r>
      <w:r>
        <w:rPr>
          <w:rStyle w:val="VerbatimChar"/>
        </w:rPr>
        <w:t xml:space="preserve">quarantine</w:t>
      </w:r>
      <w:r>
        <w:t xml:space="preserve"> </w:t>
      </w:r>
      <w:r>
        <w:t xml:space="preserve">or</w:t>
      </w:r>
      <w:r>
        <w:t xml:space="preserve"> </w:t>
      </w:r>
      <w:r>
        <w:rPr>
          <w:rStyle w:val="VerbatimChar"/>
        </w:rPr>
        <w:t xml:space="preserve">reject</w:t>
      </w:r>
      <w:r>
        <w:t xml:space="preserve">) on both the organizational domain and the From domain. It is an individual Internet-Draft (revision 14, May 2026) with</w:t>
      </w:r>
      <w:r>
        <w:t xml:space="preserve"> </w:t>
      </w:r>
      <w:r>
        <w:t xml:space="preserve">“no formal standing”</w:t>
      </w:r>
      <w:r>
        <w:t xml:space="preserve"> </w:t>
      </w:r>
      <w:r>
        <w:t xml:space="preserve">in the IETF standards process.</w:t>
      </w:r>
      <w:r>
        <w:rPr>
          <w:rStyle w:val="FootnoteReference"/>
        </w:rPr>
        <w:footnoteReference w:id="889"/>
      </w:r>
      <w:r>
        <w:t xml:space="preserve"> </w:t>
      </w:r>
      <w:r>
        <w:t xml:space="preserve">Treat it as an industry specification, not a federal requirement.</w:t>
      </w:r>
    </w:p>
    <w:p>
      <w:pPr>
        <w:pStyle w:val="Compact"/>
        <w:numPr>
          <w:ilvl w:val="0"/>
          <w:numId w:val="1070"/>
        </w:numPr>
      </w:pPr>
      <w:r>
        <w:rPr>
          <w:b/>
          <w:bCs/>
        </w:rPr>
        <w:t xml:space="preserve">MTA-STS (RFC 8461).</w:t>
      </w:r>
      <w:r>
        <w:t xml:space="preserve"> </w:t>
      </w:r>
      <w:r>
        <w:t xml:space="preserve">A TXT record at</w:t>
      </w:r>
      <w:r>
        <w:t xml:space="preserve"> </w:t>
      </w:r>
      <w:r>
        <w:rPr>
          <w:rStyle w:val="VerbatimChar"/>
        </w:rPr>
        <w:t xml:space="preserve">_mta-sts.&lt;domain&gt;</w:t>
      </w:r>
      <w:r>
        <w:t xml:space="preserve"> </w:t>
      </w:r>
      <w:r>
        <w:t xml:space="preserve">plus a policy file at</w:t>
      </w:r>
      <w:r>
        <w:t xml:space="preserve"> </w:t>
      </w:r>
      <w:r>
        <w:rPr>
          <w:rStyle w:val="VerbatimChar"/>
        </w:rPr>
        <w:t xml:space="preserve">https://mta-sts.&lt;domain&gt;/.well-known/mta-sts.txt</w:t>
      </w:r>
      <w:r>
        <w:t xml:space="preserve"> </w:t>
      </w:r>
      <w:r>
        <w:t xml:space="preserve">tell sending servers to require TLS when delivering to the domain, with modes</w:t>
      </w:r>
      <w:r>
        <w:t xml:space="preserve"> </w:t>
      </w:r>
      <w:r>
        <w:rPr>
          <w:rStyle w:val="VerbatimChar"/>
        </w:rPr>
        <w:t xml:space="preserve">enforce</w:t>
      </w:r>
      <w:r>
        <w:t xml:space="preserve">,</w:t>
      </w:r>
      <w:r>
        <w:t xml:space="preserve"> </w:t>
      </w:r>
      <w:r>
        <w:rPr>
          <w:rStyle w:val="VerbatimChar"/>
        </w:rPr>
        <w:t xml:space="preserve">testing</w:t>
      </w:r>
      <w:r>
        <w:t xml:space="preserve"> </w:t>
      </w:r>
      <w:r>
        <w:t xml:space="preserve">and</w:t>
      </w:r>
      <w:r>
        <w:t xml:space="preserve"> </w:t>
      </w:r>
      <w:r>
        <w:rPr>
          <w:rStyle w:val="VerbatimChar"/>
        </w:rPr>
        <w:t xml:space="preserve">none</w:t>
      </w:r>
      <w:r>
        <w:t xml:space="preserve">. The policy host must present a valid certificate, and in</w:t>
      </w:r>
      <w:r>
        <w:t xml:space="preserve"> </w:t>
      </w:r>
      <w:r>
        <w:rPr>
          <w:rStyle w:val="VerbatimChar"/>
        </w:rPr>
        <w:t xml:space="preserve">enforce</w:t>
      </w:r>
      <w:r>
        <w:t xml:space="preserve"> </w:t>
      </w:r>
      <w:r>
        <w:t xml:space="preserve">mode the MX hosts must too.</w:t>
      </w:r>
      <w:r>
        <w:rPr>
          <w:rStyle w:val="FootnoteReference"/>
        </w:rPr>
        <w:footnoteReference w:id="892"/>
      </w:r>
      <w:r>
        <w:t xml:space="preserve"> </w:t>
      </w:r>
      <w:r>
        <w:t xml:space="preserve">MTA-STS therefore adds both a web-server dependency and a PKI dependency to mail delivery.</w:t>
      </w:r>
    </w:p>
    <w:bookmarkEnd w:id="894"/>
    <w:bookmarkStart w:id="902" w:name="modern-service-binding-records"/>
    <w:p>
      <w:pPr>
        <w:pStyle w:val="Heading2"/>
      </w:pPr>
      <w:bookmarkStart w:id="1158" w:name="_Toc00001158"/>
      <w:r>
        <w:t xml:space="preserve">Modern service binding records</w:t>
      </w:r>
      <w:bookmarkEnd w:id="1158"/>
    </w:p>
    <w:p>
      <w:pPr>
        <w:pStyle w:val="Compact"/>
        <w:numPr>
          <w:ilvl w:val="0"/>
          <w:numId w:val="1072"/>
        </w:numPr>
      </w:pPr>
      <w:r>
        <w:rPr>
          <w:b/>
          <w:bCs/>
        </w:rPr>
        <w:t xml:space="preserve">SVCB and HTTPS (RFC 9460, November 2023).</w:t>
      </w:r>
      <w:r>
        <w:t xml:space="preserve"> </w:t>
      </w:r>
      <w:r>
        <w:t xml:space="preserve">These records move service negotiation into DNS; HTTPS is the SVCB form for HTTP services.</w:t>
      </w:r>
      <w:r>
        <w:rPr>
          <w:rStyle w:val="FootnoteReference"/>
        </w:rPr>
        <w:footnoteReference w:id="895"/>
      </w:r>
      <w:r>
        <w:t xml:space="preserve"> </w:t>
      </w:r>
      <w:r>
        <w:t xml:space="preserve">An HTTPS record can carry ALPN values (for example HTTP/3, HTTP/2), an alternative port, and IPv4 and IPv6 address hints that save a separate A or AAAA lookup.</w:t>
      </w:r>
      <w:r>
        <w:rPr>
          <w:rStyle w:val="FootnoteReference"/>
        </w:rPr>
        <w:footnoteReference w:id="898"/>
      </w:r>
      <w:r>
        <w:t xml:space="preserve"> </w:t>
      </w:r>
      <w:r>
        <w:t xml:space="preserve">The Encrypted Client Hello configuration that hides the TLS server name from network observers is carried in the</w:t>
      </w:r>
      <w:r>
        <w:t xml:space="preserve"> </w:t>
      </w:r>
      <w:r>
        <w:rPr>
          <w:rStyle w:val="VerbatimChar"/>
        </w:rPr>
        <w:t xml:space="preserve">ech</w:t>
      </w:r>
      <w:r>
        <w:t xml:space="preserve"> </w:t>
      </w:r>
      <w:r>
        <w:t xml:space="preserve">parameter, which RFC 9848 defines (March 2026) alongside the ECH protocol itself in RFC 9849.</w:t>
      </w:r>
      <w:r>
        <w:rPr>
          <w:rStyle w:val="FootnoteReference"/>
        </w:rPr>
        <w:footnoteReference w:id="899"/>
      </w:r>
      <w:r>
        <w:t xml:space="preserve"> </w:t>
      </w:r>
      <w:r>
        <w:t xml:space="preserve">For agencies, HTTPS records matter in three ways:</w:t>
      </w:r>
    </w:p>
    <w:p>
      <w:pPr>
        <w:pStyle w:val="Compact"/>
        <w:numPr>
          <w:ilvl w:val="1"/>
          <w:numId w:val="1073"/>
        </w:numPr>
      </w:pPr>
      <w:r>
        <w:rPr>
          <w:i/>
          <w:iCs/>
        </w:rPr>
        <w:t xml:space="preserve">Split-brain.</w:t>
      </w:r>
      <w:r>
        <w:t xml:space="preserve"> </w:t>
      </w:r>
      <w:r>
        <w:t xml:space="preserve">If HTTPS records are published externally but not in private zones, internal clients don’t receive the ECH configuration or protocol hints, and behavior differs inside and outside the network.</w:t>
      </w:r>
    </w:p>
    <w:p>
      <w:pPr>
        <w:pStyle w:val="Compact"/>
        <w:numPr>
          <w:ilvl w:val="1"/>
          <w:numId w:val="1073"/>
        </w:numPr>
      </w:pPr>
      <w:r>
        <w:rPr>
          <w:i/>
          <w:iCs/>
        </w:rPr>
        <w:t xml:space="preserve">Inspection.</w:t>
      </w:r>
      <w:r>
        <w:t xml:space="preserve"> </w:t>
      </w:r>
      <w:r>
        <w:t xml:space="preserve">ECH removes the server name that many inspection and filtering tools read from the TLS handshake, which changes how DNS-layer and network-layer policy interact (Chapter 05).</w:t>
      </w:r>
    </w:p>
    <w:p>
      <w:pPr>
        <w:pStyle w:val="Compact"/>
        <w:numPr>
          <w:ilvl w:val="1"/>
          <w:numId w:val="1073"/>
        </w:numPr>
      </w:pPr>
      <w:r>
        <w:rPr>
          <w:i/>
          <w:iCs/>
        </w:rPr>
        <w:t xml:space="preserve">HTTP/3 and QUIC.</w:t>
      </w:r>
      <w:r>
        <w:t xml:space="preserve"> </w:t>
      </w:r>
      <w:r>
        <w:t xml:space="preserve">Agencies adopting QUIC for performance have to govern HTTPS records as part of that adoption, on every surface, as they do A records.</w:t>
      </w:r>
    </w:p>
    <w:bookmarkEnd w:id="902"/>
    <w:bookmarkStart w:id="915" w:name="dnssec-record-types"/>
    <w:p>
      <w:pPr>
        <w:pStyle w:val="Heading2"/>
      </w:pPr>
      <w:bookmarkStart w:id="1159" w:name="_Toc00001159"/>
      <w:r>
        <w:t xml:space="preserve">DNSSEC record types</w:t>
      </w:r>
      <w:bookmarkEnd w:id="1159"/>
    </w:p>
    <w:p>
      <w:pPr>
        <w:pStyle w:val="FirstParagraph"/>
      </w:pPr>
      <w:r>
        <w:t xml:space="preserve">DNSSEC (RFCs 4033, 4034 and 4035) adds origin authentication and data integrity to DNS answers. It doesn’t encrypt queries. RFC 9364 (BCP 237) summarizes the DNSSEC document set.</w:t>
      </w:r>
      <w:r>
        <w:rPr>
          <w:rStyle w:val="FootnoteReference"/>
        </w:rPr>
        <w:footnoteReference w:id="903"/>
      </w:r>
    </w:p>
    <w:p>
      <w:pPr>
        <w:pStyle w:val="Compact"/>
        <w:numPr>
          <w:ilvl w:val="0"/>
          <w:numId w:val="1074"/>
        </w:numPr>
      </w:pPr>
      <w:r>
        <w:rPr>
          <w:b/>
          <w:bCs/>
        </w:rPr>
        <w:t xml:space="preserve">DNSKEY.</w:t>
      </w:r>
      <w:r>
        <w:t xml:space="preserve"> </w:t>
      </w:r>
      <w:r>
        <w:t xml:space="preserve">Holds the public keys for the zone. Operators conventionally split them into a key-signing key (KSK), which signs the DNSKEY set, and a zone-signing key (ZSK), which signs the rest of the zone, so the ZSK can roll more often. The Secure Entry Point flag that marks a KSK is only a hint; validators don’t treat the keys differently.</w:t>
      </w:r>
      <w:r>
        <w:rPr>
          <w:rStyle w:val="FootnoteReference"/>
        </w:rPr>
        <w:footnoteReference w:id="904"/>
      </w:r>
    </w:p>
    <w:p>
      <w:pPr>
        <w:pStyle w:val="Compact"/>
        <w:numPr>
          <w:ilvl w:val="0"/>
          <w:numId w:val="1074"/>
        </w:numPr>
      </w:pPr>
      <w:r>
        <w:rPr>
          <w:b/>
          <w:bCs/>
        </w:rPr>
        <w:t xml:space="preserve">DS (Delegation Signer).</w:t>
      </w:r>
      <w:r>
        <w:t xml:space="preserve"> </w:t>
      </w:r>
      <w:r>
        <w:t xml:space="preserve">Lives in the parent zone and holds a digest of a child DNSKEY. It is the link that lets a validator follow the chain of trust from the root. If the DS record is missing, or doesn’t match the child’s DNSKEY, the chain breaks and validation fails.</w:t>
      </w:r>
      <w:r>
        <w:rPr>
          <w:rStyle w:val="FootnoteReference"/>
        </w:rPr>
        <w:footnoteReference w:id="905"/>
      </w:r>
      <w:r>
        <w:t xml:space="preserve"> </w:t>
      </w:r>
      <w:r>
        <w:t xml:space="preserve">When an agency signs a delegated subdomain, the DS has to be published at the parent: the registrar for a second-level domain, or the parent zone’s operator. In a multi-cloud estate, every delegated subdomain’s DS has to be kept in step with its KSK rollovers; publishing the new DS before the old key is withdrawn is what keeps validating resolvers from returning SERVFAIL.</w:t>
      </w:r>
    </w:p>
    <w:p>
      <w:pPr>
        <w:pStyle w:val="Compact"/>
        <w:numPr>
          <w:ilvl w:val="0"/>
          <w:numId w:val="1074"/>
        </w:numPr>
      </w:pPr>
      <w:r>
        <w:rPr>
          <w:b/>
          <w:bCs/>
        </w:rPr>
        <w:t xml:space="preserve">RRSIG.</w:t>
      </w:r>
      <w:r>
        <w:t xml:space="preserve"> </w:t>
      </w:r>
      <w:r>
        <w:t xml:space="preserve">The signature over each signed record set, with an inception and an expiration time; a signature</w:t>
      </w:r>
      <w:r>
        <w:t xml:space="preserve"> </w:t>
      </w:r>
      <w:r>
        <w:t xml:space="preserve">“MUST NOT be used for authentication after the expiration date.”</w:t>
      </w:r>
      <w:r>
        <w:rPr>
          <w:rStyle w:val="FootnoteReference"/>
        </w:rPr>
        <w:footnoteReference w:id="906"/>
      </w:r>
      <w:r>
        <w:t xml:space="preserve"> </w:t>
      </w:r>
      <w:r>
        <w:t xml:space="preserve">If re-signing doesn’t complete before signatures expire, validating resolvers return SERVFAIL for the zone’s data, so signing has to be automated.</w:t>
      </w:r>
    </w:p>
    <w:p>
      <w:pPr>
        <w:pStyle w:val="Compact"/>
        <w:numPr>
          <w:ilvl w:val="0"/>
          <w:numId w:val="1074"/>
        </w:numPr>
      </w:pPr>
      <w:r>
        <w:rPr>
          <w:b/>
          <w:bCs/>
        </w:rPr>
        <w:t xml:space="preserve">NSEC and NSEC3.</w:t>
      </w:r>
      <w:r>
        <w:t xml:space="preserve"> </w:t>
      </w:r>
      <w:r>
        <w:t xml:space="preserve">Authenticated denial of existence: the signed proof that a name doesn’t exist. NSEC links the zone’s existing names in order, which lets anyone walk the zone and list its names. NSEC3 hashes the names first, which raises the cost of enumeration but doesn’t prevent offline dictionary attacks on the hashes. RFC 9276 (BCP 236, August 2022) runs against a common federal habit: when NSEC3 is used,</w:t>
      </w:r>
      <w:r>
        <w:t xml:space="preserve"> </w:t>
      </w:r>
      <w:r>
        <w:t xml:space="preserve">“an iterations count of 0 MUST be used,”</w:t>
      </w:r>
      <w:r>
        <w:t xml:space="preserve"> </w:t>
      </w:r>
      <w:r>
        <w:t xml:space="preserve">operators</w:t>
      </w:r>
      <w:r>
        <w:t xml:space="preserve"> </w:t>
      </w:r>
      <w:r>
        <w:t xml:space="preserve">“SHOULD NOT use a salt,”</w:t>
      </w:r>
      <w:r>
        <w:t xml:space="preserve"> </w:t>
      </w:r>
      <w:r>
        <w:t xml:space="preserve">and</w:t>
      </w:r>
      <w:r>
        <w:t xml:space="preserve"> </w:t>
      </w:r>
      <w:r>
        <w:t xml:space="preserve">“for small zones, the use of opt-out-based NSEC3 records is NOT RECOMMENDED.”</w:t>
      </w:r>
      <w:r>
        <w:rPr>
          <w:rStyle w:val="FootnoteReference"/>
        </w:rPr>
        <w:footnoteReference w:id="907"/>
      </w:r>
      <w:r>
        <w:t xml:space="preserve"> </w:t>
      </w:r>
      <w:r>
        <w:t xml:space="preserve">Opt-out suppresses NSEC3 records for unsigned delegations; it is an efficiency mechanism for very large, sparsely signed zones, not a privacy control. A newer option, compact denial of existence (RFC 9824), answers for a nonexistent name with a signed NODATA response and a single synthesized NSEC record, which resists zone walking; Azure Public DNS uses it instead of classic NSEC or NSEC3.</w:t>
      </w:r>
      <w:r>
        <w:rPr>
          <w:rStyle w:val="FootnoteReference"/>
        </w:rPr>
        <w:footnoteReference w:id="910"/>
      </w:r>
      <w:r>
        <w:rPr>
          <w:rStyle w:val="FootnoteReference"/>
        </w:rPr>
        <w:footnoteReference w:id="912"/>
      </w:r>
      <w:r>
        <w:t xml:space="preserve"> </w:t>
      </w:r>
      <w:r>
        <w:t xml:space="preserve">Federal zones whose names are sensitive should use NSEC3 with zero iterations and no salt, or compact denial where the platform supports it, and use opt-out only in large delegation-centric zones.</w:t>
      </w:r>
    </w:p>
    <w:p>
      <w:pPr>
        <w:pStyle w:val="Compact"/>
        <w:numPr>
          <w:ilvl w:val="0"/>
          <w:numId w:val="1074"/>
        </w:numPr>
      </w:pPr>
      <w:r>
        <w:rPr>
          <w:b/>
          <w:bCs/>
        </w:rPr>
        <w:t xml:space="preserve">CDS and CDNSKEY (RFC 7344).</w:t>
      </w:r>
      <w:r>
        <w:t xml:space="preserve"> </w:t>
      </w:r>
      <w:r>
        <w:t xml:space="preserve">Let a child zone signal the DS content it wants its parent to publish, which automates the most error-prone step in a KSK rollover: coordination between the child and parent operators.</w:t>
      </w:r>
      <w:r>
        <w:rPr>
          <w:rStyle w:val="FootnoteReference"/>
        </w:rPr>
        <w:footnoteReference w:id="913"/>
      </w:r>
      <w:r>
        <w:t xml:space="preserve"> </w:t>
      </w:r>
      <w:r>
        <w:t xml:space="preserve">They only help where the parent (registrar or parent-zone operator) acts on them.</w:t>
      </w:r>
    </w:p>
    <w:bookmarkEnd w:id="915"/>
    <w:bookmarkStart w:id="916" w:name="security-integration-matrix"/>
    <w:p>
      <w:pPr>
        <w:pStyle w:val="Heading2"/>
      </w:pPr>
      <w:bookmarkStart w:id="1160" w:name="_Toc00001160"/>
      <w:r>
        <w:t xml:space="preserve">Security integration matrix</w:t>
      </w:r>
      <w:bookmarkEnd w:id="1160"/>
    </w:p>
    <w:p>
      <w:pPr>
        <w:pStyle w:val="FirstParagraph"/>
      </w:pPr>
      <w:r>
        <w:t xml:space="preserve">The table summarizes how each record type relates to the enforcement mechanisms federal hybrid environments use.</w:t>
      </w:r>
      <w:r>
        <w:t xml:space="preserve"> </w:t>
      </w:r>
      <w:r>
        <w:t xml:space="preserve">“Split-brain impact”</w:t>
      </w:r>
      <w:r>
        <w:t xml:space="preserve"> </w:t>
      </w:r>
      <w:r>
        <w:t xml:space="preserve">is the program’s assessment of how badly the record type fails when surfaces disagree.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Record type</w:t>
            </w:r>
          </w:p>
        </w:tc>
        <w:tc>
          <w:tcPr/>
          <w:p>
            <w:pPr>
              <w:pStyle w:val="Compact"/>
            </w:pPr>
            <w:r>
              <w:t xml:space="preserve">Requires DNSSEC</w:t>
            </w:r>
          </w:p>
        </w:tc>
        <w:tc>
          <w:tcPr/>
          <w:p>
            <w:pPr>
              <w:pStyle w:val="Compact"/>
            </w:pPr>
            <w:r>
              <w:t xml:space="preserve">CA and PKI integration</w:t>
            </w:r>
          </w:p>
        </w:tc>
        <w:tc>
          <w:tcPr/>
          <w:p>
            <w:pPr>
              <w:pStyle w:val="Compact"/>
            </w:pPr>
            <w:r>
              <w:t xml:space="preserve">Split-brain impact</w:t>
            </w:r>
          </w:p>
        </w:tc>
        <w:tc>
          <w:tcPr/>
          <w:p>
            <w:pPr>
              <w:pStyle w:val="Compact"/>
            </w:pPr>
            <w:r>
              <w:t xml:space="preserve">Threat-defense relevance</w:t>
            </w:r>
          </w:p>
        </w:tc>
        <w:tc>
          <w:tcPr/>
          <w:p>
            <w:pPr>
              <w:pStyle w:val="Compact"/>
            </w:pPr>
            <w:r>
              <w:t xml:space="preserve">Application-aware routing</w:t>
            </w:r>
          </w:p>
        </w:tc>
      </w:tr>
      <w:tr>
        <w:tc>
          <w:tcPr/>
          <w:p>
            <w:pPr>
              <w:pStyle w:val="Compact"/>
            </w:pPr>
            <w:r>
              <w:t xml:space="preserve">A / AAAA</w:t>
            </w:r>
          </w:p>
        </w:tc>
        <w:tc>
          <w:tcPr/>
          <w:p>
            <w:pPr>
              <w:pStyle w:val="Compact"/>
            </w:pPr>
            <w:r>
              <w:t xml:space="preserve">No</w:t>
            </w:r>
          </w:p>
        </w:tc>
        <w:tc>
          <w:tcPr/>
          <w:p>
            <w:pPr>
              <w:pStyle w:val="Compact"/>
            </w:pPr>
            <w:r>
              <w:t xml:space="preserve">Indirect (certificate SAN must match)</w:t>
            </w:r>
          </w:p>
        </w:tc>
        <w:tc>
          <w:tcPr/>
          <w:p>
            <w:pPr>
              <w:pStyle w:val="Compact"/>
            </w:pPr>
            <w:r>
              <w:t xml:space="preserve">High: core private/public divergence</w:t>
            </w:r>
          </w:p>
        </w:tc>
        <w:tc>
          <w:tcPr/>
          <w:p>
            <w:pPr>
              <w:pStyle w:val="Compact"/>
            </w:pPr>
            <w:r>
              <w:t xml:space="preserve">Response policy zone (RPZ) blocking target</w:t>
            </w:r>
          </w:p>
        </w:tc>
        <w:tc>
          <w:tcPr/>
          <w:p>
            <w:pPr>
              <w:pStyle w:val="Compact"/>
            </w:pPr>
            <w:r>
              <w:t xml:space="preserve">FQDN-based path selection</w:t>
            </w:r>
          </w:p>
        </w:tc>
      </w:tr>
      <w:tr>
        <w:tc>
          <w:tcPr/>
          <w:p>
            <w:pPr>
              <w:pStyle w:val="Compact"/>
            </w:pPr>
            <w:r>
              <w:t xml:space="preserve">CNAME</w:t>
            </w:r>
          </w:p>
        </w:tc>
        <w:tc>
          <w:tcPr/>
          <w:p>
            <w:pPr>
              <w:pStyle w:val="Compact"/>
            </w:pPr>
            <w:r>
              <w:t xml:space="preserve">No</w:t>
            </w:r>
          </w:p>
        </w:tc>
        <w:tc>
          <w:tcPr/>
          <w:p>
            <w:pPr>
              <w:pStyle w:val="Compact"/>
            </w:pPr>
            <w:r>
              <w:t xml:space="preserve">Indirect</w:t>
            </w:r>
          </w:p>
        </w:tc>
        <w:tc>
          <w:tcPr/>
          <w:p>
            <w:pPr>
              <w:pStyle w:val="Compact"/>
            </w:pPr>
            <w:r>
              <w:t xml:space="preserve">High: dangling records, takeover</w:t>
            </w:r>
          </w:p>
        </w:tc>
        <w:tc>
          <w:tcPr/>
          <w:p>
            <w:pPr>
              <w:pStyle w:val="Compact"/>
            </w:pPr>
            <w:r>
              <w:t xml:space="preserve">RPZ evaluates the chain</w:t>
            </w:r>
          </w:p>
        </w:tc>
        <w:tc>
          <w:tcPr/>
          <w:p>
            <w:pPr>
              <w:pStyle w:val="Compact"/>
            </w:pPr>
            <w:r>
              <w:t xml:space="preserve">FQDN forwarding</w:t>
            </w:r>
          </w:p>
        </w:tc>
      </w:tr>
      <w:tr>
        <w:tc>
          <w:tcPr/>
          <w:p>
            <w:pPr>
              <w:pStyle w:val="Compact"/>
            </w:pPr>
            <w:r>
              <w:t xml:space="preserve">ALIAS / ANAME</w:t>
            </w:r>
          </w:p>
        </w:tc>
        <w:tc>
          <w:tcPr/>
          <w:p>
            <w:pPr>
              <w:pStyle w:val="Compact"/>
            </w:pPr>
            <w:r>
              <w:t xml:space="preserve">No</w:t>
            </w:r>
          </w:p>
        </w:tc>
        <w:tc>
          <w:tcPr/>
          <w:p>
            <w:pPr>
              <w:pStyle w:val="Compact"/>
            </w:pPr>
            <w:r>
              <w:t xml:space="preserve">Indirect</w:t>
            </w:r>
          </w:p>
        </w:tc>
        <w:tc>
          <w:tcPr/>
          <w:p>
            <w:pPr>
              <w:pStyle w:val="Compact"/>
            </w:pPr>
            <w:r>
              <w:t xml:space="preserve">High: provider-specific behavior</w:t>
            </w:r>
          </w:p>
        </w:tc>
        <w:tc>
          <w:tcPr/>
          <w:p>
            <w:pPr>
              <w:pStyle w:val="Compact"/>
            </w:pPr>
            <w:r>
              <w:t xml:space="preserve">As A / AAAA</w:t>
            </w:r>
          </w:p>
        </w:tc>
        <w:tc>
          <w:tcPr/>
          <w:p>
            <w:pPr>
              <w:pStyle w:val="Compact"/>
            </w:pPr>
            <w:r>
              <w:t xml:space="preserve">As A / AAAA</w:t>
            </w:r>
          </w:p>
        </w:tc>
      </w:tr>
      <w:tr>
        <w:tc>
          <w:tcPr/>
          <w:p>
            <w:pPr>
              <w:pStyle w:val="Compact"/>
            </w:pPr>
            <w:r>
              <w:t xml:space="preserve">PTR</w:t>
            </w:r>
          </w:p>
        </w:tc>
        <w:tc>
          <w:tcPr/>
          <w:p>
            <w:pPr>
              <w:pStyle w:val="Compact"/>
            </w:pPr>
            <w:r>
              <w:t xml:space="preserve">No</w:t>
            </w:r>
          </w:p>
        </w:tc>
        <w:tc>
          <w:tcPr/>
          <w:p>
            <w:pPr>
              <w:pStyle w:val="Compact"/>
            </w:pPr>
            <w:r>
              <w:t xml:space="preserve">No</w:t>
            </w:r>
          </w:p>
        </w:tc>
        <w:tc>
          <w:tcPr/>
          <w:p>
            <w:pPr>
              <w:pStyle w:val="Compact"/>
            </w:pPr>
            <w:r>
              <w:t xml:space="preserve">Medium</w:t>
            </w:r>
          </w:p>
        </w:tc>
        <w:tc>
          <w:tcPr/>
          <w:p>
            <w:pPr>
              <w:pStyle w:val="Compact"/>
            </w:pPr>
            <w:r>
              <w:t xml:space="preserve">Logging and attribution</w:t>
            </w:r>
          </w:p>
        </w:tc>
        <w:tc>
          <w:tcPr/>
          <w:p>
            <w:pPr>
              <w:pStyle w:val="Compact"/>
            </w:pPr>
            <w:r>
              <w:t xml:space="preserve">No</w:t>
            </w:r>
          </w:p>
        </w:tc>
      </w:tr>
      <w:tr>
        <w:tc>
          <w:tcPr/>
          <w:p>
            <w:pPr>
              <w:pStyle w:val="Compact"/>
            </w:pPr>
            <w:r>
              <w:t xml:space="preserve">SRV</w:t>
            </w:r>
          </w:p>
        </w:tc>
        <w:tc>
          <w:tcPr/>
          <w:p>
            <w:pPr>
              <w:pStyle w:val="Compact"/>
            </w:pPr>
            <w:r>
              <w:t xml:space="preserve">No</w:t>
            </w:r>
          </w:p>
        </w:tc>
        <w:tc>
          <w:tcPr/>
          <w:p>
            <w:pPr>
              <w:pStyle w:val="Compact"/>
            </w:pPr>
            <w:r>
              <w:t xml:space="preserve">No</w:t>
            </w:r>
          </w:p>
        </w:tc>
        <w:tc>
          <w:tcPr/>
          <w:p>
            <w:pPr>
              <w:pStyle w:val="Compact"/>
            </w:pPr>
            <w:r>
              <w:t xml:space="preserve">High: orphaned at AD retirement</w:t>
            </w:r>
          </w:p>
        </w:tc>
        <w:tc>
          <w:tcPr/>
          <w:p>
            <w:pPr>
              <w:pStyle w:val="Compact"/>
            </w:pPr>
            <w:r>
              <w:t xml:space="preserve">No</w:t>
            </w:r>
          </w:p>
        </w:tc>
        <w:tc>
          <w:tcPr/>
          <w:p>
            <w:pPr>
              <w:pStyle w:val="Compact"/>
            </w:pPr>
            <w:r>
              <w:t xml:space="preserve">Service discovery</w:t>
            </w:r>
          </w:p>
        </w:tc>
      </w:tr>
      <w:tr>
        <w:tc>
          <w:tcPr/>
          <w:p>
            <w:pPr>
              <w:pStyle w:val="Compact"/>
            </w:pPr>
            <w:r>
              <w:t xml:space="preserve">NAPTR</w:t>
            </w:r>
          </w:p>
        </w:tc>
        <w:tc>
          <w:tcPr/>
          <w:p>
            <w:pPr>
              <w:pStyle w:val="Compact"/>
            </w:pPr>
            <w:r>
              <w:t xml:space="preserve">No</w:t>
            </w:r>
          </w:p>
        </w:tc>
        <w:tc>
          <w:tcPr/>
          <w:p>
            <w:pPr>
              <w:pStyle w:val="Compact"/>
            </w:pPr>
            <w:r>
              <w:t xml:space="preserve">No</w:t>
            </w:r>
          </w:p>
        </w:tc>
        <w:tc>
          <w:tcPr/>
          <w:p>
            <w:pPr>
              <w:pStyle w:val="Compact"/>
            </w:pPr>
            <w:r>
              <w:t xml:space="preserve">Low</w:t>
            </w:r>
          </w:p>
        </w:tc>
        <w:tc>
          <w:tcPr/>
          <w:p>
            <w:pPr>
              <w:pStyle w:val="Compact"/>
            </w:pPr>
            <w:r>
              <w:t xml:space="preserve">No</w:t>
            </w:r>
          </w:p>
        </w:tc>
        <w:tc>
          <w:tcPr/>
          <w:p>
            <w:pPr>
              <w:pStyle w:val="Compact"/>
            </w:pPr>
            <w:r>
              <w:t xml:space="preserve">Telephony and UC routing</w:t>
            </w:r>
          </w:p>
        </w:tc>
      </w:tr>
      <w:tr>
        <w:tc>
          <w:tcPr/>
          <w:p>
            <w:pPr>
              <w:pStyle w:val="Compact"/>
            </w:pPr>
            <w:r>
              <w:t xml:space="preserve">CAA</w:t>
            </w:r>
          </w:p>
        </w:tc>
        <w:tc>
          <w:tcPr/>
          <w:p>
            <w:pPr>
              <w:pStyle w:val="Compact"/>
            </w:pPr>
            <w:r>
              <w:t xml:space="preserve">No</w:t>
            </w:r>
          </w:p>
        </w:tc>
        <w:tc>
          <w:tcPr/>
          <w:p>
            <w:pPr>
              <w:pStyle w:val="Compact"/>
            </w:pPr>
            <w:r>
              <w:t xml:space="preserve">Direct: controls issuance</w:t>
            </w:r>
          </w:p>
        </w:tc>
        <w:tc>
          <w:tcPr/>
          <w:p>
            <w:pPr>
              <w:pStyle w:val="Compact"/>
            </w:pPr>
            <w:r>
              <w:t xml:space="preserve">Medium</w:t>
            </w:r>
          </w:p>
        </w:tc>
        <w:tc>
          <w:tcPr/>
          <w:p>
            <w:pPr>
              <w:pStyle w:val="Compact"/>
            </w:pPr>
            <w:r>
              <w:t xml:space="preserve">Issuance audit</w:t>
            </w:r>
          </w:p>
        </w:tc>
        <w:tc>
          <w:tcPr/>
          <w:p>
            <w:pPr>
              <w:pStyle w:val="Compact"/>
            </w:pPr>
            <w:r>
              <w:t xml:space="preserve">No</w:t>
            </w:r>
          </w:p>
        </w:tc>
      </w:tr>
      <w:tr>
        <w:tc>
          <w:tcPr/>
          <w:p>
            <w:pPr>
              <w:pStyle w:val="Compact"/>
            </w:pPr>
            <w:r>
              <w:t xml:space="preserve">TLSA (DANE)</w:t>
            </w:r>
          </w:p>
        </w:tc>
        <w:tc>
          <w:tcPr/>
          <w:p>
            <w:pPr>
              <w:pStyle w:val="Compact"/>
            </w:pPr>
            <w:r>
              <w:t xml:space="preserve">Required</w:t>
            </w:r>
          </w:p>
        </w:tc>
        <w:tc>
          <w:tcPr/>
          <w:p>
            <w:pPr>
              <w:pStyle w:val="Compact"/>
            </w:pPr>
            <w:r>
              <w:t xml:space="preserve">Direct: certificate pinning through DNS</w:t>
            </w:r>
          </w:p>
        </w:tc>
        <w:tc>
          <w:tcPr/>
          <w:p>
            <w:pPr>
              <w:pStyle w:val="Compact"/>
            </w:pPr>
            <w:r>
              <w:t xml:space="preserve">High: the pin must match on every surface</w:t>
            </w:r>
          </w:p>
        </w:tc>
        <w:tc>
          <w:tcPr/>
          <w:p>
            <w:pPr>
              <w:pStyle w:val="Compact"/>
            </w:pPr>
            <w:r>
              <w:t xml:space="preserve">Certificate validation layer</w:t>
            </w:r>
          </w:p>
        </w:tc>
        <w:tc>
          <w:tcPr/>
          <w:p>
            <w:pPr>
              <w:pStyle w:val="Compact"/>
            </w:pPr>
            <w:r>
              <w:t xml:space="preserve">No</w:t>
            </w:r>
          </w:p>
        </w:tc>
      </w:tr>
      <w:tr>
        <w:tc>
          <w:tcPr/>
          <w:p>
            <w:pPr>
              <w:pStyle w:val="Compact"/>
            </w:pPr>
            <w:r>
              <w:t xml:space="preserve">SSHFP</w:t>
            </w:r>
          </w:p>
        </w:tc>
        <w:tc>
          <w:tcPr/>
          <w:p>
            <w:pPr>
              <w:pStyle w:val="Compact"/>
            </w:pPr>
            <w:r>
              <w:t xml:space="preserve">Required</w:t>
            </w:r>
          </w:p>
        </w:tc>
        <w:tc>
          <w:tcPr/>
          <w:p>
            <w:pPr>
              <w:pStyle w:val="Compact"/>
            </w:pPr>
            <w:r>
              <w:t xml:space="preserve">SSH host-key binding</w:t>
            </w:r>
          </w:p>
        </w:tc>
        <w:tc>
          <w:tcPr/>
          <w:p>
            <w:pPr>
              <w:pStyle w:val="Compact"/>
            </w:pPr>
            <w:r>
              <w:t xml:space="preserve">Medium</w:t>
            </w:r>
          </w:p>
        </w:tc>
        <w:tc>
          <w:tcPr/>
          <w:p>
            <w:pPr>
              <w:pStyle w:val="Compact"/>
            </w:pPr>
            <w:r>
              <w:t xml:space="preserve">Host-key validation</w:t>
            </w:r>
          </w:p>
        </w:tc>
        <w:tc>
          <w:tcPr/>
          <w:p>
            <w:pPr>
              <w:pStyle w:val="Compact"/>
            </w:pPr>
            <w:r>
              <w:t xml:space="preserve">No</w:t>
            </w:r>
          </w:p>
        </w:tc>
      </w:tr>
      <w:tr>
        <w:tc>
          <w:tcPr/>
          <w:p>
            <w:pPr>
              <w:pStyle w:val="Compact"/>
            </w:pPr>
            <w:r>
              <w:t xml:space="preserve">SMIMEA</w:t>
            </w:r>
          </w:p>
        </w:tc>
        <w:tc>
          <w:tcPr/>
          <w:p>
            <w:pPr>
              <w:pStyle w:val="Compact"/>
            </w:pPr>
            <w:r>
              <w:t xml:space="preserve">Required</w:t>
            </w:r>
          </w:p>
        </w:tc>
        <w:tc>
          <w:tcPr/>
          <w:p>
            <w:pPr>
              <w:pStyle w:val="Compact"/>
            </w:pPr>
            <w:r>
              <w:t xml:space="preserve">S/MIME certificate discovery</w:t>
            </w:r>
          </w:p>
        </w:tc>
        <w:tc>
          <w:tcPr/>
          <w:p>
            <w:pPr>
              <w:pStyle w:val="Compact"/>
            </w:pPr>
            <w:r>
              <w:t xml:space="preserve">Low</w:t>
            </w:r>
          </w:p>
        </w:tc>
        <w:tc>
          <w:tcPr/>
          <w:p>
            <w:pPr>
              <w:pStyle w:val="Compact"/>
            </w:pPr>
            <w:r>
              <w:t xml:space="preserve">Encrypted email</w:t>
            </w:r>
          </w:p>
        </w:tc>
        <w:tc>
          <w:tcPr/>
          <w:p>
            <w:pPr>
              <w:pStyle w:val="Compact"/>
            </w:pPr>
            <w:r>
              <w:t xml:space="preserve">No</w:t>
            </w:r>
          </w:p>
        </w:tc>
      </w:tr>
      <w:tr>
        <w:tc>
          <w:tcPr/>
          <w:p>
            <w:pPr>
              <w:pStyle w:val="Compact"/>
            </w:pPr>
            <w:r>
              <w:t xml:space="preserve">SPF (TXT)</w:t>
            </w:r>
          </w:p>
        </w:tc>
        <w:tc>
          <w:tcPr/>
          <w:p>
            <w:pPr>
              <w:pStyle w:val="Compact"/>
            </w:pPr>
            <w:r>
              <w:t xml:space="preserve">No</w:t>
            </w:r>
          </w:p>
        </w:tc>
        <w:tc>
          <w:tcPr/>
          <w:p>
            <w:pPr>
              <w:pStyle w:val="Compact"/>
            </w:pPr>
            <w:r>
              <w:t xml:space="preserve">No</w:t>
            </w:r>
          </w:p>
        </w:tc>
        <w:tc>
          <w:tcPr/>
          <w:p>
            <w:pPr>
              <w:pStyle w:val="Compact"/>
            </w:pPr>
            <w:r>
              <w:t xml:space="preserve">High: duplicate-record failures</w:t>
            </w:r>
          </w:p>
        </w:tc>
        <w:tc>
          <w:tcPr/>
          <w:p>
            <w:pPr>
              <w:pStyle w:val="Compact"/>
            </w:pPr>
            <w:r>
              <w:t xml:space="preserve">Spoofing defense</w:t>
            </w:r>
          </w:p>
        </w:tc>
        <w:tc>
          <w:tcPr/>
          <w:p>
            <w:pPr>
              <w:pStyle w:val="Compact"/>
            </w:pPr>
            <w:r>
              <w:t xml:space="preserve">No</w:t>
            </w:r>
          </w:p>
        </w:tc>
      </w:tr>
      <w:tr>
        <w:tc>
          <w:tcPr/>
          <w:p>
            <w:pPr>
              <w:pStyle w:val="Compact"/>
            </w:pPr>
            <w:r>
              <w:t xml:space="preserve">DKIM (TXT)</w:t>
            </w:r>
          </w:p>
        </w:tc>
        <w:tc>
          <w:tcPr/>
          <w:p>
            <w:pPr>
              <w:pStyle w:val="Compact"/>
            </w:pPr>
            <w:r>
              <w:t xml:space="preserve">No</w:t>
            </w:r>
          </w:p>
        </w:tc>
        <w:tc>
          <w:tcPr/>
          <w:p>
            <w:pPr>
              <w:pStyle w:val="Compact"/>
            </w:pPr>
            <w:r>
              <w:t xml:space="preserve">Indirect (key rotation)</w:t>
            </w:r>
          </w:p>
        </w:tc>
        <w:tc>
          <w:tcPr/>
          <w:p>
            <w:pPr>
              <w:pStyle w:val="Compact"/>
            </w:pPr>
            <w:r>
              <w:t xml:space="preserve">Low</w:t>
            </w:r>
          </w:p>
        </w:tc>
        <w:tc>
          <w:tcPr/>
          <w:p>
            <w:pPr>
              <w:pStyle w:val="Compact"/>
            </w:pPr>
            <w:r>
              <w:t xml:space="preserve">Message integrity</w:t>
            </w:r>
          </w:p>
        </w:tc>
        <w:tc>
          <w:tcPr/>
          <w:p>
            <w:pPr>
              <w:pStyle w:val="Compact"/>
            </w:pPr>
            <w:r>
              <w:t xml:space="preserve">No</w:t>
            </w:r>
          </w:p>
        </w:tc>
      </w:tr>
      <w:tr>
        <w:tc>
          <w:tcPr/>
          <w:p>
            <w:pPr>
              <w:pStyle w:val="Compact"/>
            </w:pPr>
            <w:r>
              <w:t xml:space="preserve">DMARC (TXT)</w:t>
            </w:r>
          </w:p>
        </w:tc>
        <w:tc>
          <w:tcPr/>
          <w:p>
            <w:pPr>
              <w:pStyle w:val="Compact"/>
            </w:pPr>
            <w:r>
              <w:t xml:space="preserve">No</w:t>
            </w:r>
          </w:p>
        </w:tc>
        <w:tc>
          <w:tcPr/>
          <w:p>
            <w:pPr>
              <w:pStyle w:val="Compact"/>
            </w:pPr>
            <w:r>
              <w:t xml:space="preserve">No</w:t>
            </w:r>
          </w:p>
        </w:tc>
        <w:tc>
          <w:tcPr/>
          <w:p>
            <w:pPr>
              <w:pStyle w:val="Compact"/>
            </w:pPr>
            <w:r>
              <w:t xml:space="preserve">Medium</w:t>
            </w:r>
          </w:p>
        </w:tc>
        <w:tc>
          <w:tcPr/>
          <w:p>
            <w:pPr>
              <w:pStyle w:val="Compact"/>
            </w:pPr>
            <w:r>
              <w:t xml:space="preserve">Spoofing enforcement</w:t>
            </w:r>
          </w:p>
        </w:tc>
        <w:tc>
          <w:tcPr/>
          <w:p>
            <w:pPr>
              <w:pStyle w:val="Compact"/>
            </w:pPr>
            <w:r>
              <w:t xml:space="preserve">No</w:t>
            </w:r>
          </w:p>
        </w:tc>
      </w:tr>
      <w:tr>
        <w:tc>
          <w:tcPr/>
          <w:p>
            <w:pPr>
              <w:pStyle w:val="Compact"/>
            </w:pPr>
            <w:r>
              <w:t xml:space="preserve">BIMI (TXT)</w:t>
            </w:r>
          </w:p>
        </w:tc>
        <w:tc>
          <w:tcPr/>
          <w:p>
            <w:pPr>
              <w:pStyle w:val="Compact"/>
            </w:pPr>
            <w:r>
              <w:t xml:space="preserve">No</w:t>
            </w:r>
          </w:p>
        </w:tc>
        <w:tc>
          <w:tcPr/>
          <w:p>
            <w:pPr>
              <w:pStyle w:val="Compact"/>
            </w:pPr>
            <w:r>
              <w:t xml:space="preserve">Mark certificate</w:t>
            </w:r>
          </w:p>
        </w:tc>
        <w:tc>
          <w:tcPr/>
          <w:p>
            <w:pPr>
              <w:pStyle w:val="Compact"/>
            </w:pPr>
            <w:r>
              <w:t xml:space="preserve">Low</w:t>
            </w:r>
          </w:p>
        </w:tc>
        <w:tc>
          <w:tcPr/>
          <w:p>
            <w:pPr>
              <w:pStyle w:val="Compact"/>
            </w:pPr>
            <w:r>
              <w:t xml:space="preserve">Brand protection</w:t>
            </w:r>
          </w:p>
        </w:tc>
        <w:tc>
          <w:tcPr/>
          <w:p>
            <w:pPr>
              <w:pStyle w:val="Compact"/>
            </w:pPr>
            <w:r>
              <w:t xml:space="preserve">No</w:t>
            </w:r>
          </w:p>
        </w:tc>
      </w:tr>
      <w:tr>
        <w:tc>
          <w:tcPr/>
          <w:p>
            <w:pPr>
              <w:pStyle w:val="Compact"/>
            </w:pPr>
            <w:r>
              <w:t xml:space="preserve">MTA-STS (TXT plus HTTPS)</w:t>
            </w:r>
          </w:p>
        </w:tc>
        <w:tc>
          <w:tcPr/>
          <w:p>
            <w:pPr>
              <w:pStyle w:val="Compact"/>
            </w:pPr>
            <w:r>
              <w:t xml:space="preserve">No</w:t>
            </w:r>
          </w:p>
        </w:tc>
        <w:tc>
          <w:tcPr/>
          <w:p>
            <w:pPr>
              <w:pStyle w:val="Compact"/>
            </w:pPr>
            <w:r>
              <w:t xml:space="preserve">TLS certificate required</w:t>
            </w:r>
          </w:p>
        </w:tc>
        <w:tc>
          <w:tcPr/>
          <w:p>
            <w:pPr>
              <w:pStyle w:val="Compact"/>
            </w:pPr>
            <w:r>
              <w:t xml:space="preserve">Medium</w:t>
            </w:r>
          </w:p>
        </w:tc>
        <w:tc>
          <w:tcPr/>
          <w:p>
            <w:pPr>
              <w:pStyle w:val="Compact"/>
            </w:pPr>
            <w:r>
              <w:t xml:space="preserve">SMTP downgrade defense</w:t>
            </w:r>
          </w:p>
        </w:tc>
        <w:tc>
          <w:tcPr/>
          <w:p>
            <w:pPr>
              <w:pStyle w:val="Compact"/>
            </w:pPr>
            <w:r>
              <w:t xml:space="preserve">No</w:t>
            </w:r>
          </w:p>
        </w:tc>
      </w:tr>
      <w:tr>
        <w:tc>
          <w:tcPr/>
          <w:p>
            <w:pPr>
              <w:pStyle w:val="Compact"/>
            </w:pPr>
            <w:r>
              <w:t xml:space="preserve">SVCB / HTTPS</w:t>
            </w:r>
          </w:p>
        </w:tc>
        <w:tc>
          <w:tcPr/>
          <w:p>
            <w:pPr>
              <w:pStyle w:val="Compact"/>
            </w:pPr>
            <w:r>
              <w:t xml:space="preserve">No</w:t>
            </w:r>
          </w:p>
        </w:tc>
        <w:tc>
          <w:tcPr/>
          <w:p>
            <w:pPr>
              <w:pStyle w:val="Compact"/>
            </w:pPr>
            <w:r>
              <w:t xml:space="preserve">ECH configuration</w:t>
            </w:r>
          </w:p>
        </w:tc>
        <w:tc>
          <w:tcPr/>
          <w:p>
            <w:pPr>
              <w:pStyle w:val="Compact"/>
            </w:pPr>
            <w:r>
              <w:t xml:space="preserve">High: ECH and hints missing from private zones</w:t>
            </w:r>
          </w:p>
        </w:tc>
        <w:tc>
          <w:tcPr/>
          <w:p>
            <w:pPr>
              <w:pStyle w:val="Compact"/>
            </w:pPr>
            <w:r>
              <w:t xml:space="preserve">Protocol negotiation</w:t>
            </w:r>
          </w:p>
        </w:tc>
        <w:tc>
          <w:tcPr/>
          <w:p>
            <w:pPr>
              <w:pStyle w:val="Compact"/>
            </w:pPr>
            <w:r>
              <w:t xml:space="preserve">HTTP/3 and QUIC</w:t>
            </w:r>
          </w:p>
        </w:tc>
      </w:tr>
      <w:tr>
        <w:tc>
          <w:tcPr/>
          <w:p>
            <w:pPr>
              <w:pStyle w:val="Compact"/>
            </w:pPr>
            <w:r>
              <w:t xml:space="preserve">DNSKEY</w:t>
            </w:r>
          </w:p>
        </w:tc>
        <w:tc>
          <w:tcPr/>
          <w:p>
            <w:pPr>
              <w:pStyle w:val="Compact"/>
            </w:pPr>
            <w:r>
              <w:t xml:space="preserve">Part of DNSSEC</w:t>
            </w:r>
          </w:p>
        </w:tc>
        <w:tc>
          <w:tcPr/>
          <w:p>
            <w:pPr>
              <w:pStyle w:val="Compact"/>
            </w:pPr>
            <w:r>
              <w:t xml:space="preserve">Direct: zone signing</w:t>
            </w:r>
          </w:p>
        </w:tc>
        <w:tc>
          <w:tcPr/>
          <w:p>
            <w:pPr>
              <w:pStyle w:val="Compact"/>
            </w:pPr>
            <w:r>
              <w:t xml:space="preserve">High</w:t>
            </w:r>
          </w:p>
        </w:tc>
        <w:tc>
          <w:tcPr/>
          <w:p>
            <w:pPr>
              <w:pStyle w:val="Compact"/>
            </w:pPr>
            <w:r>
              <w:t xml:space="preserve">Zone integrity</w:t>
            </w:r>
          </w:p>
        </w:tc>
        <w:tc>
          <w:tcPr/>
          <w:p>
            <w:pPr>
              <w:pStyle w:val="Compact"/>
            </w:pPr>
            <w:r>
              <w:t xml:space="preserve">No</w:t>
            </w:r>
          </w:p>
        </w:tc>
      </w:tr>
      <w:tr>
        <w:tc>
          <w:tcPr/>
          <w:p>
            <w:pPr>
              <w:pStyle w:val="Compact"/>
            </w:pPr>
            <w:r>
              <w:t xml:space="preserve">DS</w:t>
            </w:r>
          </w:p>
        </w:tc>
        <w:tc>
          <w:tcPr/>
          <w:p>
            <w:pPr>
              <w:pStyle w:val="Compact"/>
            </w:pPr>
            <w:r>
              <w:t xml:space="preserve">Part of DNSSEC (parent)</w:t>
            </w:r>
          </w:p>
        </w:tc>
        <w:tc>
          <w:tcPr/>
          <w:p>
            <w:pPr>
              <w:pStyle w:val="Compact"/>
            </w:pPr>
            <w:r>
              <w:t xml:space="preserve">Direct: chain of trust</w:t>
            </w:r>
          </w:p>
        </w:tc>
        <w:tc>
          <w:tcPr/>
          <w:p>
            <w:pPr>
              <w:pStyle w:val="Compact"/>
            </w:pPr>
            <w:r>
              <w:t xml:space="preserve">High: KSK rollover coordination</w:t>
            </w:r>
          </w:p>
        </w:tc>
        <w:tc>
          <w:tcPr/>
          <w:p>
            <w:pPr>
              <w:pStyle w:val="Compact"/>
            </w:pPr>
            <w:r>
              <w:t xml:space="preserve">Chain of trust</w:t>
            </w:r>
          </w:p>
        </w:tc>
        <w:tc>
          <w:tcPr/>
          <w:p>
            <w:pPr>
              <w:pStyle w:val="Compact"/>
            </w:pPr>
            <w:r>
              <w:t xml:space="preserve">No</w:t>
            </w:r>
          </w:p>
        </w:tc>
      </w:tr>
      <w:tr>
        <w:tc>
          <w:tcPr/>
          <w:p>
            <w:pPr>
              <w:pStyle w:val="Compact"/>
            </w:pPr>
            <w:r>
              <w:t xml:space="preserve">RRSIG</w:t>
            </w:r>
          </w:p>
        </w:tc>
        <w:tc>
          <w:tcPr/>
          <w:p>
            <w:pPr>
              <w:pStyle w:val="Compact"/>
            </w:pPr>
            <w:r>
              <w:t xml:space="preserve">Part of DNSSEC</w:t>
            </w:r>
          </w:p>
        </w:tc>
        <w:tc>
          <w:tcPr/>
          <w:p>
            <w:pPr>
              <w:pStyle w:val="Compact"/>
            </w:pPr>
            <w:r>
              <w:t xml:space="preserve">Direct: record signing</w:t>
            </w:r>
          </w:p>
        </w:tc>
        <w:tc>
          <w:tcPr/>
          <w:p>
            <w:pPr>
              <w:pStyle w:val="Compact"/>
            </w:pPr>
            <w:r>
              <w:t xml:space="preserve">High</w:t>
            </w:r>
          </w:p>
        </w:tc>
        <w:tc>
          <w:tcPr/>
          <w:p>
            <w:pPr>
              <w:pStyle w:val="Compact"/>
            </w:pPr>
            <w:r>
              <w:t xml:space="preserve">Signature freshness</w:t>
            </w:r>
          </w:p>
        </w:tc>
        <w:tc>
          <w:tcPr/>
          <w:p>
            <w:pPr>
              <w:pStyle w:val="Compact"/>
            </w:pPr>
            <w:r>
              <w:t xml:space="preserve">No</w:t>
            </w:r>
          </w:p>
        </w:tc>
      </w:tr>
      <w:tr>
        <w:tc>
          <w:tcPr/>
          <w:p>
            <w:pPr>
              <w:pStyle w:val="Compact"/>
            </w:pPr>
            <w:r>
              <w:t xml:space="preserve">NSEC / NSEC3</w:t>
            </w:r>
          </w:p>
        </w:tc>
        <w:tc>
          <w:tcPr/>
          <w:p>
            <w:pPr>
              <w:pStyle w:val="Compact"/>
            </w:pPr>
            <w:r>
              <w:t xml:space="preserve">Part of DNSSEC</w:t>
            </w:r>
          </w:p>
        </w:tc>
        <w:tc>
          <w:tcPr/>
          <w:p>
            <w:pPr>
              <w:pStyle w:val="Compact"/>
            </w:pPr>
            <w:r>
              <w:t xml:space="preserve">No</w:t>
            </w:r>
          </w:p>
        </w:tc>
        <w:tc>
          <w:tcPr/>
          <w:p>
            <w:pPr>
              <w:pStyle w:val="Compact"/>
            </w:pPr>
            <w:r>
              <w:t xml:space="preserve">Medium</w:t>
            </w:r>
          </w:p>
        </w:tc>
        <w:tc>
          <w:tcPr/>
          <w:p>
            <w:pPr>
              <w:pStyle w:val="Compact"/>
            </w:pPr>
            <w:r>
              <w:t xml:space="preserve">Raises the cost of zone enumeration</w:t>
            </w:r>
          </w:p>
        </w:tc>
        <w:tc>
          <w:tcPr/>
          <w:p>
            <w:pPr>
              <w:pStyle w:val="Compact"/>
            </w:pPr>
            <w:r>
              <w:t xml:space="preserve">No</w:t>
            </w:r>
          </w:p>
        </w:tc>
      </w:tr>
      <w:tr>
        <w:tc>
          <w:tcPr/>
          <w:p>
            <w:pPr>
              <w:pStyle w:val="Compact"/>
            </w:pPr>
            <w:r>
              <w:t xml:space="preserve">CDS / CDNSKEY</w:t>
            </w:r>
          </w:p>
        </w:tc>
        <w:tc>
          <w:tcPr/>
          <w:p>
            <w:pPr>
              <w:pStyle w:val="Compact"/>
            </w:pPr>
            <w:r>
              <w:t xml:space="preserve">Part of DNSSEC</w:t>
            </w:r>
          </w:p>
        </w:tc>
        <w:tc>
          <w:tcPr/>
          <w:p>
            <w:pPr>
              <w:pStyle w:val="Compact"/>
            </w:pPr>
            <w:r>
              <w:t xml:space="preserve">Direct: automated rollover</w:t>
            </w:r>
          </w:p>
        </w:tc>
        <w:tc>
          <w:tcPr/>
          <w:p>
            <w:pPr>
              <w:pStyle w:val="Compact"/>
            </w:pPr>
            <w:r>
              <w:t xml:space="preserve">Medium</w:t>
            </w:r>
          </w:p>
        </w:tc>
        <w:tc>
          <w:tcPr/>
          <w:p>
            <w:pPr>
              <w:pStyle w:val="Compact"/>
            </w:pPr>
            <w:r>
              <w:t xml:space="preserve">Automated key management</w:t>
            </w:r>
          </w:p>
        </w:tc>
        <w:tc>
          <w:tcPr/>
          <w:p>
            <w:pPr>
              <w:pStyle w:val="Compact"/>
            </w:pPr>
            <w:r>
              <w:t xml:space="preserve">No</w:t>
            </w:r>
          </w:p>
        </w:tc>
      </w:tr>
    </w:tbl>
    <w:p>
      <w:pPr>
        <w:pStyle w:val="BodyText"/>
      </w:pPr>
      <w:r>
        <w:t xml:space="preserve">Read across the table and the pattern is clear. The record types with high split-brain impact are A and AAAA, CNAME, SRV, TLSA, SPF, SVCB/HTTPS and the DNSSEC types. TLSA, SSHFP, SMIMEA and the DNSSEC types are only as good as DNSSEC. CAA, TLSA and the DNSSEC types integrate directly with PKI. Record types that look unrelated, a CAA record and an SSHFP record for example, share the same consistency requirement: if authoritative DNS is fragmented across five systems, each type is independently exposed to split-brain. The program’s position is that a single authoritative DDI policy plane is the practical way to apply one lifecycle and one policy across this whole surface (Chapter 08).</w:t>
      </w:r>
    </w:p>
    <w:bookmarkEnd w:id="916"/>
    <w:bookmarkStart w:id="940" w:name="ecosystem-integrations"/>
    <w:p>
      <w:pPr>
        <w:pStyle w:val="Heading2"/>
      </w:pPr>
      <w:bookmarkStart w:id="1161" w:name="_Toc00001161"/>
      <w:r>
        <w:t xml:space="preserve">Ecosystem integrations</w:t>
      </w:r>
      <w:bookmarkEnd w:id="1161"/>
    </w:p>
    <w:p>
      <w:pPr>
        <w:pStyle w:val="FirstParagraph"/>
      </w:pPr>
      <w:r>
        <w:t xml:space="preserve">These are the integrations any DDI platform needs in a federal estate. Vendor products named below are examples whose integration is documented by the vendor; confirm each against current documentation before relying on it, and check its authorization status as Chapter 12 describes.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Integration</w:t>
            </w:r>
          </w:p>
        </w:tc>
        <w:tc>
          <w:tcPr/>
          <w:p>
            <w:pPr>
              <w:pStyle w:val="Compact"/>
            </w:pPr>
            <w:r>
              <w:t xml:space="preserve">What it does</w:t>
            </w:r>
          </w:p>
        </w:tc>
        <w:tc>
          <w:tcPr/>
          <w:p>
            <w:pPr>
              <w:pStyle w:val="Compact"/>
            </w:pPr>
            <w:r>
              <w:t xml:space="preserve">Example (vendor-documented)</w:t>
            </w:r>
          </w:p>
        </w:tc>
      </w:tr>
      <w:tr>
        <w:tc>
          <w:tcPr/>
          <w:p>
            <w:pPr>
              <w:pStyle w:val="Compact"/>
            </w:pPr>
            <w:r>
              <w:t xml:space="preserve">Object-model API</w:t>
            </w:r>
          </w:p>
        </w:tc>
        <w:tc>
          <w:tcPr/>
          <w:p>
            <w:pPr>
              <w:pStyle w:val="Compact"/>
            </w:pPr>
            <w:r>
              <w:t xml:space="preserve">Every IPAM, DNS and DHCP object is reachable through a documented API, so address and record lifecycle can live in the same pipeline as the infrastructure it serves</w:t>
            </w:r>
          </w:p>
        </w:tc>
        <w:tc>
          <w:tcPr/>
          <w:p>
            <w:pPr>
              <w:pStyle w:val="Compact"/>
            </w:pPr>
            <w:r>
              <w:t xml:space="preserve">Infoblox WAPI (NIOS) and the Universal DDI API</w:t>
            </w:r>
          </w:p>
        </w:tc>
      </w:tr>
      <w:tr>
        <w:tc>
          <w:tcPr/>
          <w:p>
            <w:pPr>
              <w:pStyle w:val="Compact"/>
            </w:pPr>
            <w:r>
              <w:t xml:space="preserve">Infrastructure as code</w:t>
            </w:r>
          </w:p>
        </w:tc>
        <w:tc>
          <w:tcPr/>
          <w:p>
            <w:pPr>
              <w:pStyle w:val="Compact"/>
            </w:pPr>
            <w:r>
              <w:t xml:space="preserve">A workload and its A and PTR records are created and destroyed in the same plan, closing the gap between infrastructure and DNS</w:t>
            </w:r>
          </w:p>
        </w:tc>
        <w:tc>
          <w:tcPr/>
          <w:p>
            <w:pPr>
              <w:pStyle w:val="Compact"/>
            </w:pPr>
            <w:r>
              <w:t xml:space="preserve">Terraform providers for NIOS (</w:t>
            </w:r>
            <w:r>
              <w:rPr>
                <w:rStyle w:val="VerbatimChar"/>
              </w:rPr>
              <w:t xml:space="preserve">infobloxopen/infoblox</w:t>
            </w:r>
            <w:r>
              <w:t xml:space="preserve">) and Universal DDI (</w:t>
            </w:r>
            <w:r>
              <w:rPr>
                <w:rStyle w:val="VerbatimChar"/>
              </w:rPr>
              <w:t xml:space="preserve">infobloxopen/bloxone</w:t>
            </w:r>
            <w:r>
              <w:t xml:space="preserve">)</w:t>
            </w:r>
            <w:r>
              <w:rPr>
                <w:rStyle w:val="FootnoteReference"/>
              </w:rPr>
              <w:footnoteReference w:id="917"/>
            </w:r>
            <w:r>
              <w:rPr>
                <w:rStyle w:val="FootnoteReference"/>
              </w:rPr>
              <w:footnoteReference w:id="919"/>
            </w:r>
          </w:p>
        </w:tc>
      </w:tr>
      <w:tr>
        <w:tc>
          <w:tcPr/>
          <w:p>
            <w:pPr>
              <w:pStyle w:val="Compact"/>
            </w:pPr>
            <w:r>
              <w:t xml:space="preserve">Configuration management</w:t>
            </w:r>
          </w:p>
        </w:tc>
        <w:tc>
          <w:tcPr/>
          <w:p>
            <w:pPr>
              <w:pStyle w:val="Compact"/>
            </w:pPr>
            <w:r>
              <w:t xml:space="preserve">Record and address changes run from playbooks alongside host configuration</w:t>
            </w:r>
          </w:p>
        </w:tc>
        <w:tc>
          <w:tcPr/>
          <w:p>
            <w:pPr>
              <w:pStyle w:val="Compact"/>
            </w:pPr>
            <w:r>
              <w:t xml:space="preserve">Ansible collection</w:t>
            </w:r>
            <w:r>
              <w:t xml:space="preserve"> </w:t>
            </w:r>
            <w:r>
              <w:rPr>
                <w:rStyle w:val="VerbatimChar"/>
              </w:rPr>
              <w:t xml:space="preserve">infoblox.nios_modules</w:t>
            </w:r>
            <w:r>
              <w:rPr>
                <w:rStyle w:val="FootnoteReference"/>
              </w:rPr>
              <w:footnoteReference w:id="921"/>
            </w:r>
          </w:p>
        </w:tc>
      </w:tr>
      <w:tr>
        <w:tc>
          <w:tcPr/>
          <w:p>
            <w:pPr>
              <w:pStyle w:val="Compact"/>
            </w:pPr>
            <w:r>
              <w:t xml:space="preserve">IPAM-driven provisioning</w:t>
            </w:r>
          </w:p>
        </w:tc>
        <w:tc>
          <w:tcPr/>
          <w:p>
            <w:pPr>
              <w:pStyle w:val="Compact"/>
            </w:pPr>
            <w:r>
              <w:t xml:space="preserve">Pipelines allocate addresses from IPAM at deploy time, so every workload gets a tracked address and record; cloud IPAM can delegate authority to the enterprise IPAM</w:t>
            </w:r>
          </w:p>
        </w:tc>
        <w:tc>
          <w:tcPr/>
          <w:p>
            <w:pPr>
              <w:pStyle w:val="Compact"/>
            </w:pPr>
            <w:r>
              <w:t xml:space="preserve">Amazon VPC IPAM private scopes can name Infoblox IPAM as their external authority (Chapter 07)</w:t>
            </w:r>
            <w:r>
              <w:rPr>
                <w:rStyle w:val="FootnoteReference"/>
              </w:rPr>
              <w:footnoteReference w:id="923"/>
            </w:r>
          </w:p>
        </w:tc>
      </w:tr>
      <w:tr>
        <w:tc>
          <w:tcPr/>
          <w:p>
            <w:pPr>
              <w:pStyle w:val="Compact"/>
            </w:pPr>
            <w:r>
              <w:t xml:space="preserve">Network discovery</w:t>
            </w:r>
          </w:p>
        </w:tc>
        <w:tc>
          <w:tcPr/>
          <w:p>
            <w:pPr>
              <w:pStyle w:val="Compact"/>
            </w:pPr>
            <w:r>
              <w:t xml:space="preserve">Active and passive discovery (SNMP, ARP and neighbor tables, scanning) keeps IPAM aligned with what is actually on the network, and flags DHCP servers that aren’t authorized, which could hand out a malicious DNS server in option 6 (Chapter 05)</w:t>
            </w:r>
          </w:p>
        </w:tc>
        <w:tc>
          <w:tcPr/>
          <w:p>
            <w:pPr>
              <w:pStyle w:val="Compact"/>
            </w:pPr>
            <w:r>
              <w:t xml:space="preserve">Infoblox NetMRI with NIOS raises a rogue DHCP server issue for unapproved DHCP servers it discovers</w:t>
            </w:r>
            <w:r>
              <w:rPr>
                <w:rStyle w:val="FootnoteReference"/>
              </w:rPr>
              <w:footnoteReference w:id="924"/>
            </w:r>
          </w:p>
        </w:tc>
      </w:tr>
      <w:tr>
        <w:tc>
          <w:tcPr/>
          <w:p>
            <w:pPr>
              <w:pStyle w:val="Compact"/>
            </w:pPr>
            <w:r>
              <w:t xml:space="preserve">SIEM</w:t>
            </w:r>
          </w:p>
        </w:tc>
        <w:tc>
          <w:tcPr/>
          <w:p>
            <w:pPr>
              <w:pStyle w:val="Compact"/>
            </w:pPr>
            <w:r>
              <w:t xml:space="preserve">DNS query logs, DHCP lease events and threat events reach the SOC, correlated with identity and endpoint signals</w:t>
            </w:r>
          </w:p>
        </w:tc>
        <w:tc>
          <w:tcPr/>
          <w:p>
            <w:pPr>
              <w:pStyle w:val="Compact"/>
            </w:pPr>
            <w:r>
              <w:t xml:space="preserve">Microsoft Sentinel data connectors for NIOS syslog and the Infoblox cloud data connector; the Splunk Add-on for Infoblox (NIOS DNS and DHCP logs)</w:t>
            </w:r>
            <w:r>
              <w:rPr>
                <w:rStyle w:val="FootnoteReference"/>
              </w:rPr>
              <w:footnoteReference w:id="926"/>
            </w:r>
            <w:r>
              <w:rPr>
                <w:rStyle w:val="FootnoteReference"/>
              </w:rPr>
              <w:footnoteReference w:id="929"/>
            </w:r>
          </w:p>
        </w:tc>
      </w:tr>
      <w:tr>
        <w:tc>
          <w:tcPr/>
          <w:p>
            <w:pPr>
              <w:pStyle w:val="Compact"/>
            </w:pPr>
            <w:r>
              <w:t xml:space="preserve">ITSM and CMDB</w:t>
            </w:r>
          </w:p>
        </w:tc>
        <w:tc>
          <w:tcPr/>
          <w:p>
            <w:pPr>
              <w:pStyle w:val="Compact"/>
            </w:pPr>
            <w:r>
              <w:t xml:space="preserve">Address requests through the service catalog; IPAM data populates and reconciles the CMDB</w:t>
            </w:r>
          </w:p>
        </w:tc>
        <w:tc>
          <w:tcPr/>
          <w:p>
            <w:pPr>
              <w:pStyle w:val="Compact"/>
            </w:pPr>
            <w:r>
              <w:t xml:space="preserve">ServiceNow Service Graph Connector for Infoblox (subnets, allocated addresses and DNS records into the CMDB)</w:t>
            </w:r>
            <w:r>
              <w:rPr>
                <w:rStyle w:val="FootnoteReference"/>
              </w:rPr>
              <w:footnoteReference w:id="931"/>
            </w:r>
          </w:p>
        </w:tc>
      </w:tr>
      <w:tr>
        <w:tc>
          <w:tcPr/>
          <w:p>
            <w:pPr>
              <w:pStyle w:val="Compact"/>
            </w:pPr>
            <w:r>
              <w:t xml:space="preserve">Firewall and threat-intelligence sharing</w:t>
            </w:r>
          </w:p>
        </w:tc>
        <w:tc>
          <w:tcPr/>
          <w:p>
            <w:pPr>
              <w:pStyle w:val="Compact"/>
            </w:pPr>
            <w:r>
              <w:t xml:space="preserve">IPAM changes and DNS threat events (RPZ hits, threat analytics) are pushed to firewall address objects, so a DNS-layer detection becomes a network-layer block</w:t>
            </w:r>
          </w:p>
        </w:tc>
        <w:tc>
          <w:tcPr/>
          <w:p>
            <w:pPr>
              <w:pStyle w:val="Compact"/>
            </w:pPr>
            <w:r>
              <w:t xml:space="preserve">NIOS outbound API integration with Palo Alto Networks firewalls (static and dynamic address groups)</w:t>
            </w:r>
            <w:r>
              <w:rPr>
                <w:rStyle w:val="FootnoteReference"/>
              </w:rPr>
              <w:footnoteReference w:id="933"/>
            </w:r>
          </w:p>
        </w:tc>
      </w:tr>
      <w:tr>
        <w:tc>
          <w:tcPr/>
          <w:p>
            <w:pPr>
              <w:pStyle w:val="Compact"/>
            </w:pPr>
            <w:r>
              <w:t xml:space="preserve">Vulnerability management</w:t>
            </w:r>
          </w:p>
        </w:tc>
        <w:tc>
          <w:tcPr/>
          <w:p>
            <w:pPr>
              <w:pStyle w:val="Compact"/>
            </w:pPr>
            <w:r>
              <w:t xml:space="preserve">Discovered address inventory sets scanner scope</w:t>
            </w:r>
          </w:p>
        </w:tc>
        <w:tc>
          <w:tcPr/>
          <w:p>
            <w:pPr>
              <w:pStyle w:val="Compact"/>
            </w:pPr>
            <w:r>
              <w:t xml:space="preserve">NIOS outbound API integration with Tenable</w:t>
            </w:r>
            <w:r>
              <w:rPr>
                <w:rStyle w:val="FootnoteReference"/>
              </w:rPr>
              <w:footnoteReference w:id="935"/>
            </w:r>
          </w:p>
        </w:tc>
      </w:tr>
      <w:tr>
        <w:tc>
          <w:tcPr/>
          <w:p>
            <w:pPr>
              <w:pStyle w:val="Compact"/>
            </w:pPr>
            <w:r>
              <w:t xml:space="preserve">EDR and network access control</w:t>
            </w:r>
          </w:p>
        </w:tc>
        <w:tc>
          <w:tcPr/>
          <w:p>
            <w:pPr>
              <w:pStyle w:val="Compact"/>
            </w:pPr>
            <w:r>
              <w:t xml:space="preserve">DHCP history answers</w:t>
            </w:r>
            <w:r>
              <w:t xml:space="preserve"> </w:t>
            </w:r>
            <w:r>
              <w:t xml:space="preserve">“who had this address during the incident?”</w:t>
            </w:r>
            <w:r>
              <w:t xml:space="preserve">; address context feeds access-control decisions</w:t>
            </w:r>
          </w:p>
        </w:tc>
        <w:tc>
          <w:tcPr/>
          <w:p>
            <w:pPr>
              <w:pStyle w:val="Compact"/>
            </w:pPr>
            <w:r>
              <w:t xml:space="preserve">Integration category; confirm specific products with the vendors</w:t>
            </w:r>
          </w:p>
        </w:tc>
      </w:tr>
    </w:tbl>
    <w:p>
      <w:pPr>
        <w:pStyle w:val="BodyText"/>
      </w:pPr>
      <w:r>
        <w:t xml:space="preserve">DNS is often the earliest signal of an incident. A command-and-control beacon resolves a name before it opens a connection, and a new DHCP fingerprint appears before a rogue device shows up in a vulnerability scan. The integration surface is what lets that early signal reach the SIEM, SOAR and EDR workflows that act on it (Chapter 11).</w:t>
      </w:r>
    </w:p>
    <w:bookmarkStart w:id="939" w:name="audit-trail-and-change-control"/>
    <w:p>
      <w:pPr>
        <w:pStyle w:val="Heading3"/>
      </w:pPr>
      <w:r>
        <w:t xml:space="preserve">Audit trail and change control</w:t>
      </w:r>
    </w:p>
    <w:p>
      <w:pPr>
        <w:pStyle w:val="FirstParagraph"/>
      </w:pPr>
      <w:r>
        <w:t xml:space="preserve">Every change to DNS records, DHCP scopes, IPAM allocations and policy objects should be logged with who made it, what changed, when, and through which interface (console, API or pipeline). That log answers the question incident responders and ATO reviewers both ask: when was this record added, and by whom? Approval workflows for production zones or high-impact changes (an option 6 change on a large scope, for example) map to NIST SP 800-53 CM-3, Configuration Change Control, which requires organizations to review and approve configuration-controlled changes and retain records of them.</w:t>
      </w:r>
      <w:r>
        <w:rPr>
          <w:rStyle w:val="FootnoteReference"/>
        </w:rPr>
        <w:footnoteReference w:id="937"/>
      </w:r>
      <w:r>
        <w:t xml:space="preserve"> </w:t>
      </w:r>
      <w:r>
        <w:t xml:space="preserve">Appendix B maps these to the rest of the federal requirements.</w:t>
      </w:r>
    </w:p>
    <w:bookmarkEnd w:id="939"/>
    <w:bookmarkEnd w:id="940"/>
    <w:bookmarkStart w:id="941" w:name="glossary"/>
    <w:p>
      <w:pPr>
        <w:pStyle w:val="Heading2"/>
      </w:pPr>
      <w:bookmarkStart w:id="1162" w:name="_Toc00001162"/>
      <w:r>
        <w:t xml:space="preserve">Glossary</w:t>
      </w:r>
      <w:bookmarkEnd w:id="1162"/>
    </w:p>
    <w:p>
      <w:pPr>
        <w:pStyle w:val="Compact"/>
        <w:numPr>
          <w:ilvl w:val="0"/>
          <w:numId w:val="1075"/>
        </w:numPr>
      </w:pPr>
      <w:r>
        <w:rPr>
          <w:b/>
          <w:bCs/>
        </w:rPr>
        <w:t xml:space="preserve">Split-brain DNS:</w:t>
      </w:r>
      <w:r>
        <w:t xml:space="preserve"> </w:t>
      </w:r>
      <w:r>
        <w:t xml:space="preserve">The same query returns different answers depending on where it comes from, without anyone intending it.</w:t>
      </w:r>
    </w:p>
    <w:p>
      <w:pPr>
        <w:pStyle w:val="Compact"/>
        <w:numPr>
          <w:ilvl w:val="0"/>
          <w:numId w:val="1075"/>
        </w:numPr>
      </w:pPr>
      <w:r>
        <w:rPr>
          <w:b/>
          <w:bCs/>
        </w:rPr>
        <w:t xml:space="preserve">Split-horizon DNS:</w:t>
      </w:r>
      <w:r>
        <w:t xml:space="preserve"> </w:t>
      </w:r>
      <w:r>
        <w:t xml:space="preserve">Intentional, governed split answers, such as different internal and external answers for the same name.</w:t>
      </w:r>
    </w:p>
    <w:p>
      <w:pPr>
        <w:pStyle w:val="Compact"/>
        <w:numPr>
          <w:ilvl w:val="0"/>
          <w:numId w:val="1075"/>
        </w:numPr>
      </w:pPr>
      <w:r>
        <w:rPr>
          <w:b/>
          <w:bCs/>
        </w:rPr>
        <w:t xml:space="preserve">GCC-Moderate:</w:t>
      </w:r>
      <w:r>
        <w:t xml:space="preserve"> </w:t>
      </w:r>
      <w:r>
        <w:t xml:space="preserve">This book’s name for Microsoft 365 Government Community Cloud (</w:t>
      </w:r>
      <w:r>
        <w:t xml:space="preserve">“GCC”</w:t>
      </w:r>
      <w:r>
        <w:t xml:space="preserve">), which uses the Worldwide endpoint set and is listed on the FedRAMP Marketplace at Moderate (Appendix C).</w:t>
      </w:r>
    </w:p>
    <w:p>
      <w:pPr>
        <w:pStyle w:val="Compact"/>
        <w:numPr>
          <w:ilvl w:val="0"/>
          <w:numId w:val="1075"/>
        </w:numPr>
      </w:pPr>
      <w:r>
        <w:rPr>
          <w:b/>
          <w:bCs/>
        </w:rPr>
        <w:t xml:space="preserve">Protective DNS:</w:t>
      </w:r>
      <w:r>
        <w:t xml:space="preserve"> </w:t>
      </w:r>
      <w:r>
        <w:t xml:space="preserve">DNS-layer filtering that blocks known-malicious domains and produces logs for threat detection. CISA operates a Protective DNS resolver service for federal civilian agencies (Chapter 03).</w:t>
      </w:r>
    </w:p>
    <w:p>
      <w:pPr>
        <w:pStyle w:val="Compact"/>
        <w:numPr>
          <w:ilvl w:val="0"/>
          <w:numId w:val="1075"/>
        </w:numPr>
      </w:pPr>
      <w:r>
        <w:rPr>
          <w:b/>
          <w:bCs/>
        </w:rPr>
        <w:t xml:space="preserve">RPZ:</w:t>
      </w:r>
      <w:r>
        <w:t xml:space="preserve"> </w:t>
      </w:r>
      <w:r>
        <w:t xml:space="preserve">Response policy zone, a DNS mechanism for policy-based answers such as block or redirect.</w:t>
      </w:r>
    </w:p>
    <w:p>
      <w:pPr>
        <w:pStyle w:val="Compact"/>
        <w:numPr>
          <w:ilvl w:val="0"/>
          <w:numId w:val="1075"/>
        </w:numPr>
      </w:pPr>
      <w:r>
        <w:rPr>
          <w:b/>
          <w:bCs/>
        </w:rPr>
        <w:t xml:space="preserve">redirect-dns:</w:t>
      </w:r>
      <w:r>
        <w:t xml:space="preserve"> </w:t>
      </w:r>
      <w:r>
        <w:t xml:space="preserve">A Cisco Catalyst SD-WAN data-policy action that intercepts DNS queries and redirects them to a specified resolver (Chapter 05).</w:t>
      </w:r>
    </w:p>
    <w:p>
      <w:pPr>
        <w:pStyle w:val="Compact"/>
        <w:numPr>
          <w:ilvl w:val="0"/>
          <w:numId w:val="1075"/>
        </w:numPr>
      </w:pPr>
      <w:r>
        <w:rPr>
          <w:b/>
          <w:bCs/>
        </w:rPr>
        <w:t xml:space="preserve">INR:</w:t>
      </w:r>
      <w:r>
        <w:t xml:space="preserve"> </w:t>
      </w:r>
      <w:r>
        <w:t xml:space="preserve">Microsoft 365 informed network routing, telemetry-based path optimization shared with an SD-WAN; supported only in the Worldwide commercial cloud, not GCC-Moderate, GCC High or DoD (Appendix C).</w:t>
      </w:r>
    </w:p>
    <w:p>
      <w:pPr>
        <w:pStyle w:val="Compact"/>
        <w:numPr>
          <w:ilvl w:val="0"/>
          <w:numId w:val="1075"/>
        </w:numPr>
      </w:pPr>
      <w:r>
        <w:rPr>
          <w:b/>
          <w:bCs/>
        </w:rPr>
        <w:t xml:space="preserve">DNS-01:</w:t>
      </w:r>
      <w:r>
        <w:t xml:space="preserve"> </w:t>
      </w:r>
      <w:r>
        <w:t xml:space="preserve">The ACME challenge type that proves control of a domain by publishing a TXT record (Chapter 11).</w:t>
      </w:r>
    </w:p>
    <w:p>
      <w:pPr>
        <w:pStyle w:val="Compact"/>
        <w:numPr>
          <w:ilvl w:val="0"/>
          <w:numId w:val="1075"/>
        </w:numPr>
      </w:pPr>
      <w:r>
        <w:rPr>
          <w:b/>
          <w:bCs/>
        </w:rPr>
        <w:t xml:space="preserve">ECH:</w:t>
      </w:r>
      <w:r>
        <w:t xml:space="preserve"> </w:t>
      </w:r>
      <w:r>
        <w:t xml:space="preserve">Encrypted Client Hello, the TLS extension that encrypts the ClientHello, including the server name; its DNS configuration travels in SVCB and HTTPS records.</w:t>
      </w:r>
    </w:p>
    <w:p>
      <w:pPr>
        <w:pStyle w:val="Compact"/>
        <w:numPr>
          <w:ilvl w:val="0"/>
          <w:numId w:val="1075"/>
        </w:numPr>
      </w:pPr>
      <w:r>
        <w:rPr>
          <w:b/>
          <w:bCs/>
        </w:rPr>
        <w:t xml:space="preserve">DDI policy plane:</w:t>
      </w:r>
      <w:r>
        <w:t xml:space="preserve"> </w:t>
      </w:r>
      <w:r>
        <w:t xml:space="preserve">The single authoritative plane for DNS, DHCP and IPAM state and policy that this book argues for. Infoblox Universal DDI is one commercial example.</w:t>
      </w:r>
    </w:p>
    <w:bookmarkEnd w:id="941"/>
    <w:bookmarkStart w:id="942" w:name="continue-the-book-12"/>
    <w:p>
      <w:pPr>
        <w:pStyle w:val="Heading2"/>
      </w:pPr>
      <w:bookmarkStart w:id="1163" w:name="_Toc00001163"/>
      <w:r>
        <w:t xml:space="preserve">Continue the book</w:t>
      </w:r>
      <w:bookmarkEnd w:id="1163"/>
    </w:p>
    <w:p>
      <w:pPr>
        <w:pStyle w:val="FirstParagraph"/>
      </w:pPr>
      <w:r>
        <w:t xml:space="preserve">← Previous: Chapter 12 — Platform Selection, Cost and Residual Risk · Book index · Next: Appendix B — Requirements Mapping and Sources →</w:t>
      </w:r>
    </w:p>
    <w:bookmarkEnd w:id="942"/>
    <w:bookmarkEnd w:id="943"/>
    <w:bookmarkStart w:id="986" w:name="Xa1923844c71b7787d7974bf6c5d7e9174d6d197"/>
    <w:p>
      <w:pPr>
        <w:pStyle w:val="Heading1"/>
      </w:pPr>
      <w:bookmarkStart w:id="1164" w:name="_Toc00001164"/>
      <w:r>
        <w:t xml:space="preserve">Appendix B — Requirements Mapping and Sources</w:t>
      </w:r>
      <w:bookmarkEnd w:id="1164"/>
    </w:p>
    <w:p>
      <w:pPr>
        <w:pStyle w:val="FirstParagraph"/>
      </w:pPr>
      <w:r>
        <w:rPr>
          <w:i/>
          <w:iCs/>
        </w:rPr>
        <w:t xml:space="preserve">A mapping is only useful if it says what each source actually requires, and no more.</w:t>
      </w:r>
    </w:p>
    <w:bookmarkStart w:id="944" w:name="in-this-appendix-1"/>
    <w:p>
      <w:pPr>
        <w:pStyle w:val="Heading2"/>
      </w:pPr>
      <w:bookmarkStart w:id="1165" w:name="_Toc00001165"/>
      <w:r>
        <w:t xml:space="preserve">In this appendix</w:t>
      </w:r>
      <w:bookmarkEnd w:id="1165"/>
    </w:p>
    <w:p>
      <w:pPr>
        <w:pStyle w:val="FirstParagraph"/>
      </w:pPr>
      <w:r>
        <w:t xml:space="preserve">What each federal requirement that touches the name layer asks of DNS, DHCP and IPAM, in its own words where the wording matters; the chapter that addresses it and the evidence an assessor can expect; notes on reading the SP 800-53 controls; and the full source list, with primary sources separated from third-party ones.</w:t>
      </w:r>
    </w:p>
    <w:bookmarkEnd w:id="944"/>
    <w:bookmarkStart w:id="945" w:name="Xbc99ec1a64b25c0910860511322f0ad4c7e770d"/>
    <w:p>
      <w:pPr>
        <w:pStyle w:val="Heading2"/>
      </w:pPr>
      <w:bookmarkStart w:id="1166" w:name="_Toc00001166"/>
      <w:r>
        <w:t xml:space="preserve">Compliance-enabling, not a compliance claim</w:t>
      </w:r>
      <w:bookmarkEnd w:id="1166"/>
    </w:p>
    <w:p>
      <w:pPr>
        <w:pStyle w:val="FirstParagraph"/>
      </w:pPr>
      <w:r>
        <w:t xml:space="preserve">This appendix helps an agency reuse the book’s design and evidence in its own system security plan. It doesn’t claim that following the book satisfies any requirement or control. The agency’s DNS, DHCP and IPAM services are part of the agency’s own systems; the agency authorizes them, and any cloud service they depend on needs its own FedRAMP certification (Chapter 03). Control selection, implementation statements and assessment belong to the agency and its assessors. Requirement wording is summarized; the cited documents govern. Every source was checked on October 20, 2026.</w:t>
      </w:r>
    </w:p>
    <w:bookmarkEnd w:id="945"/>
    <w:bookmarkStart w:id="962" w:name="requirements-mapping"/>
    <w:p>
      <w:pPr>
        <w:pStyle w:val="Heading2"/>
      </w:pPr>
      <w:bookmarkStart w:id="1167" w:name="_Toc00001167"/>
      <w:r>
        <w:t xml:space="preserve">Requirements mapping</w:t>
      </w:r>
      <w:bookmarkEnd w:id="1167"/>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(source)</w:t>
            </w:r>
          </w:p>
        </w:tc>
        <w:tc>
          <w:tcPr/>
          <w:p>
            <w:pPr>
              <w:pStyle w:val="Compact"/>
            </w:pPr>
            <w:r>
              <w:t xml:space="preserve">What it asks of DNS, DHCP and IPAM</w:t>
            </w:r>
          </w:p>
        </w:tc>
        <w:tc>
          <w:tcPr/>
          <w:p>
            <w:pPr>
              <w:pStyle w:val="Compact"/>
            </w:pPr>
            <w:r>
              <w:t xml:space="preserve">Addressed in</w:t>
            </w:r>
          </w:p>
        </w:tc>
        <w:tc>
          <w:tcPr/>
          <w:p>
            <w:pPr>
              <w:pStyle w:val="Compact"/>
            </w:pPr>
            <w:r>
              <w:t xml:space="preserve">Evidence</w:t>
            </w:r>
          </w:p>
        </w:tc>
      </w:tr>
      <w:tr>
        <w:tc>
          <w:tcPr/>
          <w:p>
            <w:pPr>
              <w:pStyle w:val="Compact"/>
            </w:pPr>
            <w:r>
              <w:t xml:space="preserve">Encrypted DNS (OMB M-22-09)</w:t>
            </w:r>
          </w:p>
        </w:tc>
        <w:tc>
          <w:tcPr/>
          <w:p>
            <w:pPr>
              <w:pStyle w:val="Compact"/>
            </w:pPr>
            <w:r>
              <w:t xml:space="preserve">“Agencies must resolve DNS queries using encrypted DNS wherever it is technically supported.”</w:t>
            </w:r>
            <w:r>
              <w:t xml:space="preserve"> </w:t>
            </w:r>
            <w:r>
              <w:t xml:space="preserve">Agency resolvers must support DNS over HTTPS or DNS over TLS and use them upstream; endpoints must enable encrypted DNS in applications and the operating system where available and be explicitly configured to use agency-designated resolvers; gaps go in the zero trust plan, with enterprise-wide support by FY 2024</w:t>
            </w:r>
            <w:r>
              <w:rPr>
                <w:rStyle w:val="FootnoteReference"/>
              </w:rPr>
              <w:footnoteReference w:id="946"/>
            </w:r>
          </w:p>
        </w:tc>
        <w:tc>
          <w:tcPr/>
          <w:p>
            <w:pPr>
              <w:pStyle w:val="Compact"/>
            </w:pPr>
            <w:r>
              <w:t xml:space="preserve">Ch 03, Ch 05</w:t>
            </w:r>
          </w:p>
        </w:tc>
        <w:tc>
          <w:tcPr/>
          <w:p>
            <w:pPr>
              <w:pStyle w:val="Compact"/>
            </w:pPr>
            <w:r>
              <w:t xml:space="preserve">Resolver DoT and DoH configuration (DoQ where supported); endpoint DNS policy; rules that block port 853 and public DoH resolvers</w:t>
            </w:r>
          </w:p>
        </w:tc>
      </w:tr>
      <w:tr>
        <w:tc>
          <w:tcPr/>
          <w:p>
            <w:pPr>
              <w:pStyle w:val="Compact"/>
            </w:pPr>
            <w:r>
              <w:t xml:space="preserve">Protective DNS for egress (OMB M-22-09; CISA Encrypted DNS Implementation Guidance; CISA Protective DNS)</w:t>
            </w:r>
          </w:p>
        </w:tc>
        <w:tc>
          <w:tcPr/>
          <w:p>
            <w:pPr>
              <w:pStyle w:val="Compact"/>
            </w:pPr>
            <w:r>
              <w:t xml:space="preserve">Agencies</w:t>
            </w:r>
            <w:r>
              <w:t xml:space="preserve"> </w:t>
            </w:r>
            <w:r>
              <w:t xml:space="preserve">“are already required to have DNS requests routed through CISA-operated infrastructure,”</w:t>
            </w:r>
            <w:r>
              <w:t xml:space="preserve"> </w:t>
            </w:r>
            <w:r>
              <w:t xml:space="preserve">and M-22-09 directed CISA’s Protective DNS to support encrypted DNS and scale to cloud and mobile use.</w:t>
            </w:r>
            <w:r>
              <w:rPr>
                <w:rStyle w:val="FootnoteReference"/>
              </w:rPr>
              <w:footnoteReference w:id="947"/>
            </w:r>
            <w:r>
              <w:t xml:space="preserve"> </w:t>
            </w:r>
            <w:r>
              <w:t xml:space="preserve">The CISA service is a recursive resolver upstream of agency networks that blocks, redirects or sinkholes queries matching threat indicators and alerts the agency; it doesn’t interfere with internal DNS</w:t>
            </w:r>
            <w:r>
              <w:rPr>
                <w:rStyle w:val="FootnoteReference"/>
              </w:rPr>
              <w:footnoteReference w:id="948"/>
            </w:r>
            <w:r>
              <w:rPr>
                <w:rStyle w:val="FootnoteReference"/>
              </w:rPr>
              <w:footnoteReference w:id="949"/>
            </w:r>
          </w:p>
        </w:tc>
        <w:tc>
          <w:tcPr/>
          <w:p>
            <w:pPr>
              <w:pStyle w:val="Compact"/>
            </w:pPr>
            <w:r>
              <w:t xml:space="preserve">Ch 03, Ch 05, Ch 08</w:t>
            </w:r>
          </w:p>
        </w:tc>
        <w:tc>
          <w:tcPr/>
          <w:p>
            <w:pPr>
              <w:pStyle w:val="Compact"/>
            </w:pPr>
            <w:r>
              <w:t xml:space="preserve">Forwarding-chain configuration; redirect-dns targets; resolver logs showing the governed path</w:t>
            </w:r>
          </w:p>
        </w:tc>
      </w:tr>
      <w:tr>
        <w:tc>
          <w:tcPr/>
          <w:p>
            <w:pPr>
              <w:pStyle w:val="Compact"/>
            </w:pPr>
            <w:r>
              <w:t xml:space="preserve">DNS logging (OMB M-21-31)</w:t>
            </w:r>
          </w:p>
        </w:tc>
        <w:tc>
          <w:tcPr/>
          <w:p>
            <w:pPr>
              <w:pStyle w:val="Compact"/>
            </w:pPr>
            <w:r>
              <w:t xml:space="preserve">Passive DNS is an EL1 (Basic) requirement, due within one year of the memo: agencies</w:t>
            </w:r>
            <w:r>
              <w:t xml:space="preserve"> </w:t>
            </w:r>
            <w:r>
              <w:t xml:space="preserve">“shall implement a Domain Name System (DNS) logging system,”</w:t>
            </w:r>
            <w:r>
              <w:t xml:space="preserve"> </w:t>
            </w:r>
            <w:r>
              <w:t xml:space="preserve">including requests made over encrypted DNS, with analytics that identify the host that sourced each query; DNS query and response logs are among the required log categories</w:t>
            </w:r>
            <w:r>
              <w:rPr>
                <w:rStyle w:val="FootnoteReference"/>
              </w:rPr>
              <w:footnoteReference w:id="950"/>
            </w:r>
          </w:p>
        </w:tc>
        <w:tc>
          <w:tcPr/>
          <w:p>
            <w:pPr>
              <w:pStyle w:val="Compact"/>
            </w:pPr>
            <w:r>
              <w:t xml:space="preserve">Ch 03, Ch 11</w:t>
            </w:r>
          </w:p>
        </w:tc>
        <w:tc>
          <w:tcPr/>
          <w:p>
            <w:pPr>
              <w:pStyle w:val="Compact"/>
            </w:pPr>
            <w:r>
              <w:t xml:space="preserve">Query-log configuration, SIEM ingestion, retention settings, source-host attribution</w:t>
            </w:r>
          </w:p>
        </w:tc>
      </w:tr>
      <w:tr>
        <w:tc>
          <w:tcPr/>
          <w:p>
            <w:pPr>
              <w:pStyle w:val="Compact"/>
            </w:pPr>
            <w:r>
              <w:t xml:space="preserve">DNSSEC (OMB M-08-23; SP 800-53 SC-20 and SC-21)</w:t>
            </w:r>
          </w:p>
        </w:tc>
        <w:tc>
          <w:tcPr/>
          <w:p>
            <w:pPr>
              <w:pStyle w:val="Compact"/>
            </w:pPr>
            <w:r>
              <w:t xml:space="preserve">M-08-23 required DNSSEC deployment to all applicable federal systems and all agency .gov domains signed by December 2009.</w:t>
            </w:r>
            <w:r>
              <w:rPr>
                <w:rStyle w:val="FootnoteReference"/>
              </w:rPr>
              <w:footnoteReference w:id="951"/>
            </w:r>
            <w:r>
              <w:t xml:space="preserve"> </w:t>
            </w:r>
            <w:r>
              <w:t xml:space="preserve">SC-20 requires authoritative services to return origin-authentication and integrity artifacts and to support a chain of trust with child zones; SC-21 requires resolvers to request and perform that verification on the answers they receive</w:t>
            </w:r>
            <w:r>
              <w:rPr>
                <w:rStyle w:val="FootnoteReference"/>
              </w:rPr>
              <w:footnoteReference w:id="952"/>
            </w:r>
          </w:p>
        </w:tc>
        <w:tc>
          <w:tcPr/>
          <w:p>
            <w:pPr>
              <w:pStyle w:val="Compact"/>
            </w:pPr>
            <w:r>
              <w:t xml:space="preserve">Ch 03, Ch 06</w:t>
            </w:r>
          </w:p>
        </w:tc>
        <w:tc>
          <w:tcPr/>
          <w:p>
            <w:pPr>
              <w:pStyle w:val="Compact"/>
            </w:pPr>
            <w:r>
              <w:t xml:space="preserve">Signed-zone inventory, DS publication, KSK and ZSK rollover records, resolver validation settings</w:t>
            </w:r>
          </w:p>
        </w:tc>
      </w:tr>
      <w:tr>
        <w:tc>
          <w:tcPr/>
          <w:p>
            <w:pPr>
              <w:pStyle w:val="Compact"/>
            </w:pPr>
            <w:r>
              <w:t xml:space="preserve">Name and address resolution architecture (SP 800-53 SC-22)</w:t>
            </w:r>
          </w:p>
        </w:tc>
        <w:tc>
          <w:tcPr/>
          <w:p>
            <w:pPr>
              <w:pStyle w:val="Compact"/>
            </w:pPr>
            <w:r>
              <w:t xml:space="preserve">The systems that collectively provide name and address resolution must be</w:t>
            </w:r>
            <w:r>
              <w:t xml:space="preserve"> </w:t>
            </w:r>
            <w:r>
              <w:t xml:space="preserve">“fault-tolerant and implement internal and external role separation”</w:t>
            </w:r>
            <w:r>
              <w:rPr>
                <w:rStyle w:val="FootnoteReference"/>
              </w:rPr>
              <w:footnoteReference w:id="953"/>
            </w:r>
          </w:p>
        </w:tc>
        <w:tc>
          <w:tcPr/>
          <w:p>
            <w:pPr>
              <w:pStyle w:val="Compact"/>
            </w:pPr>
            <w:r>
              <w:t xml:space="preserve">Ch 03, Ch 08</w:t>
            </w:r>
          </w:p>
        </w:tc>
        <w:tc>
          <w:tcPr/>
          <w:p>
            <w:pPr>
              <w:pStyle w:val="Compact"/>
            </w:pPr>
            <w:r>
              <w:t xml:space="preserve">Architecture diagram, resolver redundancy, internal and external role separation</w:t>
            </w:r>
          </w:p>
        </w:tc>
      </w:tr>
      <w:tr>
        <w:tc>
          <w:tcPr/>
          <w:p>
            <w:pPr>
              <w:pStyle w:val="Compact"/>
            </w:pPr>
            <w:r>
              <w:t xml:space="preserve">TIC 3.0 DNS policy enforcement point (CISA TIC 3.0 Security Capabilities Catalog)</w:t>
            </w:r>
          </w:p>
        </w:tc>
        <w:tc>
          <w:tcPr/>
          <w:p>
            <w:pPr>
              <w:pStyle w:val="Compact"/>
            </w:pPr>
            <w:r>
              <w:t xml:space="preserve">Five DNS PEP capabilities: domain name sinkholing; DNSSEC validation of agency clients’ lookups for internal and external domains; DNSSEC signing of all agency domains; monitoring for creation of or changes to agency domains; and CISA’s Protective DNS Service. A Web PEP capability, domain resolution filtering, prevents use of unauthorized resolvers over DoH</w:t>
            </w:r>
            <w:r>
              <w:rPr>
                <w:rStyle w:val="FootnoteReference"/>
              </w:rPr>
              <w:footnoteReference w:id="954"/>
            </w:r>
          </w:p>
        </w:tc>
        <w:tc>
          <w:tcPr/>
          <w:p>
            <w:pPr>
              <w:pStyle w:val="Compact"/>
            </w:pPr>
            <w:r>
              <w:t xml:space="preserve">Ch 03, Ch 05, Ch 06, Ch 11</w:t>
            </w:r>
          </w:p>
        </w:tc>
        <w:tc>
          <w:tcPr/>
          <w:p>
            <w:pPr>
              <w:pStyle w:val="Compact"/>
            </w:pPr>
            <w:r>
              <w:t xml:space="preserve">RPZ and Protective DNS configuration, validation and signing evidence, domain-monitoring alerts, DoH blocking rules</w:t>
            </w:r>
          </w:p>
        </w:tc>
      </w:tr>
      <w:tr>
        <w:tc>
          <w:tcPr/>
          <w:p>
            <w:pPr>
              <w:pStyle w:val="Compact"/>
            </w:pPr>
            <w:r>
              <w:t xml:space="preserve">IPv6 (OMB M-21-07)</w:t>
            </w:r>
          </w:p>
        </w:tc>
        <w:tc>
          <w:tcPr/>
          <w:p>
            <w:pPr>
              <w:pStyle w:val="Compact"/>
            </w:pPr>
            <w:r>
              <w:t xml:space="preserve">At least 20% of IP-enabled federal assets IPv6-only by the end of FY 2023, 50% by the end of FY 2024 and 80% by the end of FY 2025</w:t>
            </w:r>
            <w:r>
              <w:rPr>
                <w:rStyle w:val="FootnoteReference"/>
              </w:rPr>
              <w:footnoteReference w:id="955"/>
            </w:r>
          </w:p>
        </w:tc>
        <w:tc>
          <w:tcPr/>
          <w:p>
            <w:pPr>
              <w:pStyle w:val="Compact"/>
            </w:pPr>
            <w:r>
              <w:t xml:space="preserve">Ch 07</w:t>
            </w:r>
          </w:p>
        </w:tc>
        <w:tc>
          <w:tcPr/>
          <w:p>
            <w:pPr>
              <w:pStyle w:val="Compact"/>
            </w:pPr>
            <w:r>
              <w:t xml:space="preserve">Dual-stack and IPv6-only address plans, DHCPv6 and router advertisement governance, AAAA coverage</w:t>
            </w:r>
          </w:p>
        </w:tc>
      </w:tr>
      <w:tr>
        <w:tc>
          <w:tcPr/>
          <w:p>
            <w:pPr>
              <w:pStyle w:val="Compact"/>
            </w:pPr>
            <w:r>
              <w:t xml:space="preserve">Email authentication (CISA BOD 18-01)</w:t>
            </w:r>
          </w:p>
        </w:tc>
        <w:tc>
          <w:tcPr/>
          <w:p>
            <w:pPr>
              <w:pStyle w:val="Compact"/>
            </w:pPr>
            <w:r>
              <w:t xml:space="preserve">Valid SPF on all second-level domains; DMARC on all second-level domains, at</w:t>
            </w:r>
            <w:r>
              <w:t xml:space="preserve"> </w:t>
            </w:r>
            <w:r>
              <w:rPr>
                <w:rStyle w:val="VerbatimChar"/>
              </w:rPr>
              <w:t xml:space="preserve">p=reject</w:t>
            </w:r>
            <w:r>
              <w:t xml:space="preserve"> </w:t>
            </w:r>
            <w:r>
              <w:t xml:space="preserve">on all second-level domains and mail-sending hosts by October 16, 2018, with CISA as an aggregate-report recipient</w:t>
            </w:r>
            <w:r>
              <w:rPr>
                <w:rStyle w:val="FootnoteReference"/>
              </w:rPr>
              <w:footnoteReference w:id="956"/>
            </w:r>
          </w:p>
        </w:tc>
        <w:tc>
          <w:tcPr/>
          <w:p>
            <w:pPr>
              <w:pStyle w:val="Compact"/>
            </w:pPr>
            <w:r>
              <w:t xml:space="preserve">Appendix A</w:t>
            </w:r>
          </w:p>
        </w:tc>
        <w:tc>
          <w:tcPr/>
          <w:p>
            <w:pPr>
              <w:pStyle w:val="Compact"/>
            </w:pPr>
            <w:r>
              <w:t xml:space="preserve">DMARC, SPF and DKIM records per domain; aggregate report review</w:t>
            </w:r>
          </w:p>
        </w:tc>
      </w:tr>
      <w:tr>
        <w:tc>
          <w:tcPr/>
          <w:p>
            <w:pPr>
              <w:pStyle w:val="Compact"/>
            </w:pPr>
            <w:r>
              <w:t xml:space="preserve">Asset inventory (SP 800-53 CM-8; CISA Zero Trust Maturity Model)</w:t>
            </w:r>
          </w:p>
        </w:tc>
        <w:tc>
          <w:tcPr/>
          <w:p>
            <w:pPr>
              <w:pStyle w:val="Compact"/>
            </w:pPr>
            <w:r>
              <w:t xml:space="preserve">An inventory of system components that accurately reflects the system, includes all components and is reviewed and updated</w:t>
            </w:r>
            <w:r>
              <w:rPr>
                <w:rStyle w:val="FootnoteReference"/>
              </w:rPr>
              <w:footnoteReference w:id="957"/>
            </w:r>
            <w:r>
              <w:rPr>
                <w:rStyle w:val="FootnoteReference"/>
              </w:rPr>
              <w:footnoteReference w:id="958"/>
            </w:r>
          </w:p>
        </w:tc>
        <w:tc>
          <w:tcPr/>
          <w:p>
            <w:pPr>
              <w:pStyle w:val="Compact"/>
            </w:pPr>
            <w:r>
              <w:t xml:space="preserve">Ch 01, Ch 07, Ch 11</w:t>
            </w:r>
          </w:p>
        </w:tc>
        <w:tc>
          <w:tcPr/>
          <w:p>
            <w:pPr>
              <w:pStyle w:val="Compact"/>
            </w:pPr>
            <w:r>
              <w:t xml:space="preserve">IPAM discovery reports, CMDB reconciliation results</w:t>
            </w:r>
          </w:p>
        </w:tc>
      </w:tr>
      <w:tr>
        <w:tc>
          <w:tcPr/>
          <w:p>
            <w:pPr>
              <w:pStyle w:val="Compact"/>
            </w:pPr>
            <w:r>
              <w:t xml:space="preserve">Audit, change and access control (SP 800-53 AU-2, AU-6, AU-12, CM-3, AC-2, AC-3, AC-6)</w:t>
            </w:r>
          </w:p>
        </w:tc>
        <w:tc>
          <w:tcPr/>
          <w:p>
            <w:pPr>
              <w:pStyle w:val="Compact"/>
            </w:pPr>
            <w:r>
              <w:t xml:space="preserve">Logged, reviewed, change-controlled, role-based and least-privilege administration of DNS, DHCP and IPAM</w:t>
            </w:r>
            <w:r>
              <w:rPr>
                <w:rStyle w:val="FootnoteReference"/>
              </w:rPr>
              <w:footnoteReference w:id="959"/>
            </w:r>
          </w:p>
        </w:tc>
        <w:tc>
          <w:tcPr/>
          <w:p>
            <w:pPr>
              <w:pStyle w:val="Compact"/>
            </w:pPr>
            <w:r>
              <w:t xml:space="preserve">Ch 03, Ch 09, Ch 11, Appendix A</w:t>
            </w:r>
          </w:p>
        </w:tc>
        <w:tc>
          <w:tcPr/>
          <w:p>
            <w:pPr>
              <w:pStyle w:val="Compact"/>
            </w:pPr>
            <w:r>
              <w:t xml:space="preserve">Change logs and approvals, role and scope assignments, review records</w:t>
            </w:r>
          </w:p>
        </w:tc>
      </w:tr>
      <w:tr>
        <w:tc>
          <w:tcPr/>
          <w:p>
            <w:pPr>
              <w:pStyle w:val="Compact"/>
            </w:pPr>
            <w:r>
              <w:t xml:space="preserve">Secure DNS deployment (NIST SP 800-81 Rev. 3)</w:t>
            </w:r>
          </w:p>
        </w:tc>
        <w:tc>
          <w:tcPr/>
          <w:p>
            <w:pPr>
              <w:pStyle w:val="Compact"/>
            </w:pPr>
            <w:r>
              <w:t xml:space="preserve">Guidance, not a mandate: employ protective DNS wherever feasible; encrypt internal and external DNS traffic wherever feasible; deploy DNSSEC; use dedicated DNS servers. It describes an organization’s DNS service as</w:t>
            </w:r>
            <w:r>
              <w:t xml:space="preserve"> </w:t>
            </w:r>
            <w:r>
              <w:t xml:space="preserve">“both an information source for policy decision points or policy creation and a policy enforcement point”</w:t>
            </w:r>
            <w:r>
              <w:rPr>
                <w:rStyle w:val="FootnoteReference"/>
              </w:rPr>
              <w:footnoteReference w:id="960"/>
            </w:r>
          </w:p>
        </w:tc>
        <w:tc>
          <w:tcPr/>
          <w:p>
            <w:pPr>
              <w:pStyle w:val="Compact"/>
            </w:pPr>
            <w:r>
              <w:t xml:space="preserve">Ch 03 – Ch 11</w:t>
            </w:r>
          </w:p>
        </w:tc>
        <w:tc>
          <w:tcPr/>
          <w:p>
            <w:pPr>
              <w:pStyle w:val="Compact"/>
            </w:pPr>
            <w:r>
              <w:t xml:space="preserve">The evidence checklist in Chapter 11</w:t>
            </w:r>
          </w:p>
        </w:tc>
      </w:tr>
      <w:tr>
        <w:tc>
          <w:tcPr/>
          <w:p>
            <w:pPr>
              <w:pStyle w:val="Compact"/>
            </w:pPr>
            <w:r>
              <w:t xml:space="preserve">Cloud service certification (FedRAMP)</w:t>
            </w:r>
          </w:p>
        </w:tc>
        <w:tc>
          <w:tcPr/>
          <w:p>
            <w:pPr>
              <w:pStyle w:val="Compact"/>
            </w:pPr>
            <w:r>
              <w:t xml:space="preserve">Any cloud-delivered management plane needs FedRAMP certification at the right level, and the agency authorizes its own system that uses it; an agency</w:t>
            </w:r>
            <w:r>
              <w:t xml:space="preserve"> </w:t>
            </w:r>
            <w:r>
              <w:t xml:space="preserve">“should never create a standalone authorization to operate for a cloud service offering”</w:t>
            </w:r>
            <w:r>
              <w:rPr>
                <w:rStyle w:val="FootnoteReference"/>
              </w:rPr>
              <w:footnoteReference w:id="961"/>
            </w:r>
          </w:p>
        </w:tc>
        <w:tc>
          <w:tcPr/>
          <w:p>
            <w:pPr>
              <w:pStyle w:val="Compact"/>
            </w:pPr>
            <w:r>
              <w:t xml:space="preserve">Ch 03, Ch 12, Appendix C</w:t>
            </w:r>
          </w:p>
        </w:tc>
        <w:tc>
          <w:tcPr/>
          <w:p>
            <w:pPr>
              <w:pStyle w:val="Compact"/>
            </w:pPr>
            <w:r>
              <w:t xml:space="preserve">FedRAMP Marketplace listing, the agency’s ATO for its own DDI system, boundary diagram</w:t>
            </w:r>
          </w:p>
        </w:tc>
      </w:tr>
    </w:tbl>
    <w:bookmarkEnd w:id="962"/>
    <w:bookmarkStart w:id="969" w:name="reading-the-sp-800-53-controls"/>
    <w:p>
      <w:pPr>
        <w:pStyle w:val="Heading2"/>
      </w:pPr>
      <w:bookmarkStart w:id="1168" w:name="_Toc00001168"/>
      <w:r>
        <w:t xml:space="preserve">Reading the SP 800-53 controls</w:t>
      </w:r>
      <w:bookmarkEnd w:id="1168"/>
    </w:p>
    <w:p>
      <w:pPr>
        <w:pStyle w:val="Compact"/>
        <w:numPr>
          <w:ilvl w:val="0"/>
          <w:numId w:val="1076"/>
        </w:numPr>
      </w:pPr>
      <w:r>
        <w:rPr>
          <w:b/>
          <w:bCs/>
        </w:rPr>
        <w:t xml:space="preserve">SC-20 and SC-21 split the work by role.</w:t>
      </w:r>
      <w:r>
        <w:t xml:space="preserve"> </w:t>
      </w:r>
      <w:r>
        <w:t xml:space="preserve">SC-20 applies to the authoritative side: return signatures with answers to external queries and indicate the security status of child zones.</w:t>
      </w:r>
      <w:r>
        <w:rPr>
          <w:rStyle w:val="FootnoteReference"/>
        </w:rPr>
        <w:footnoteReference w:id="963"/>
      </w:r>
      <w:r>
        <w:t xml:space="preserve"> </w:t>
      </w:r>
      <w:r>
        <w:t xml:space="preserve">Its enhancement SC-20(2) extends data-origin and integrity protection to internal resolution queries.</w:t>
      </w:r>
      <w:r>
        <w:rPr>
          <w:rStyle w:val="FootnoteReference"/>
        </w:rPr>
        <w:footnoteReference w:id="964"/>
      </w:r>
      <w:r>
        <w:t xml:space="preserve"> </w:t>
      </w:r>
      <w:r>
        <w:t xml:space="preserve">SC-21 applies to recursive and caching resolvers: request and perform validation.</w:t>
      </w:r>
      <w:r>
        <w:rPr>
          <w:rStyle w:val="FootnoteReference"/>
        </w:rPr>
        <w:footnoteReference w:id="965"/>
      </w:r>
      <w:r>
        <w:t xml:space="preserve"> </w:t>
      </w:r>
      <w:r>
        <w:t xml:space="preserve">An estate that signs its zones but doesn’t validate on its resolvers meets only half of the pair.</w:t>
      </w:r>
    </w:p>
    <w:p>
      <w:pPr>
        <w:pStyle w:val="Compact"/>
        <w:numPr>
          <w:ilvl w:val="0"/>
          <w:numId w:val="1076"/>
        </w:numPr>
      </w:pPr>
      <w:r>
        <w:rPr>
          <w:b/>
          <w:bCs/>
        </w:rPr>
        <w:t xml:space="preserve">SC-22 is the architecture control.</w:t>
      </w:r>
      <w:r>
        <w:t xml:space="preserve"> </w:t>
      </w:r>
      <w:r>
        <w:t xml:space="preserve">It asks for fault tolerance and internal and external role separation across the systems that</w:t>
      </w:r>
      <w:r>
        <w:t xml:space="preserve"> </w:t>
      </w:r>
      <w:r>
        <w:t xml:space="preserve">“collectively provide”</w:t>
      </w:r>
      <w:r>
        <w:t xml:space="preserve"> </w:t>
      </w:r>
      <w:r>
        <w:t xml:space="preserve">resolution, which is the property the single policy plane in Chapter 08 is designed to make demonstrable.</w:t>
      </w:r>
      <w:r>
        <w:rPr>
          <w:rStyle w:val="FootnoteReference"/>
        </w:rPr>
        <w:footnoteReference w:id="966"/>
      </w:r>
    </w:p>
    <w:p>
      <w:pPr>
        <w:pStyle w:val="Compact"/>
        <w:numPr>
          <w:ilvl w:val="0"/>
          <w:numId w:val="1076"/>
        </w:numPr>
      </w:pPr>
      <w:r>
        <w:rPr>
          <w:b/>
          <w:bCs/>
        </w:rPr>
        <w:t xml:space="preserve">Baseline membership.</w:t>
      </w:r>
      <w:r>
        <w:t xml:space="preserve"> </w:t>
      </w:r>
      <w:r>
        <w:t xml:space="preserve">SC-20, SC-21, SC-22, CM-3, CM-8, AU-2, AU-6, AU-12, AC-2, AC-3 and AC-6 are all in the SP 800-53B Moderate baseline; SC-20(2) is not.</w:t>
      </w:r>
      <w:r>
        <w:rPr>
          <w:rStyle w:val="FootnoteReference"/>
        </w:rPr>
        <w:footnoteReference w:id="967"/>
      </w:r>
      <w:r>
        <w:t xml:space="preserve"> </w:t>
      </w:r>
      <w:r>
        <w:t xml:space="preserve">FedRAMP baselines are built on these.</w:t>
      </w:r>
    </w:p>
    <w:p>
      <w:pPr>
        <w:pStyle w:val="Compact"/>
        <w:numPr>
          <w:ilvl w:val="0"/>
          <w:numId w:val="1076"/>
        </w:numPr>
      </w:pPr>
      <w:r>
        <w:rPr>
          <w:b/>
          <w:bCs/>
        </w:rPr>
        <w:t xml:space="preserve">Release.</w:t>
      </w:r>
      <w:r>
        <w:t xml:space="preserve"> </w:t>
      </w:r>
      <w:r>
        <w:t xml:space="preserve">Identifiers are from SP 800-53 Rev. 5, release 5.2.0.</w:t>
      </w:r>
      <w:r>
        <w:rPr>
          <w:rStyle w:val="FootnoteReference"/>
        </w:rPr>
        <w:footnoteReference w:id="968"/>
      </w:r>
    </w:p>
    <w:bookmarkEnd w:id="969"/>
    <w:bookmarkStart w:id="984" w:name="sources"/>
    <w:p>
      <w:pPr>
        <w:pStyle w:val="Heading2"/>
      </w:pPr>
      <w:bookmarkStart w:id="1169" w:name="_Toc00001169"/>
      <w:r>
        <w:t xml:space="preserve">Sources</w:t>
      </w:r>
      <w:bookmarkEnd w:id="1169"/>
    </w:p>
    <w:p>
      <w:pPr>
        <w:pStyle w:val="FirstParagraph"/>
      </w:pPr>
      <w:r>
        <w:t xml:space="preserve">Every URL below was opened on October 20, 2026. Primary sources (federal documents, standards and the cloud and platform providers’ own documentation of their services) are listed separately from third-party sources, which the chapters label as such in their footnotes.</w:t>
      </w:r>
    </w:p>
    <w:bookmarkStart w:id="971" w:name="X600f92b534989918390aeb342fa1fb6931cbada"/>
    <w:p>
      <w:pPr>
        <w:pStyle w:val="Heading3"/>
      </w:pPr>
      <w:r>
        <w:t xml:space="preserve">Primary sources: federal requirements and guidance</w:t>
      </w:r>
    </w:p>
    <w:p>
      <w:pPr>
        <w:pStyle w:val="Compact"/>
        <w:numPr>
          <w:ilvl w:val="0"/>
          <w:numId w:val="1077"/>
        </w:numPr>
      </w:pPr>
      <w:r>
        <w:t xml:space="preserve">OMB M-22-09,</w:t>
      </w:r>
      <w:r>
        <w:t xml:space="preserve"> </w:t>
      </w:r>
      <w:r>
        <w:rPr>
          <w:i/>
          <w:iCs/>
        </w:rPr>
        <w:t xml:space="preserve">Moving the U.S. Government Toward Zero Trust Cybersecurity Principles</w:t>
      </w:r>
      <w:r>
        <w:t xml:space="preserve">, January 26, 2022, section III.C (Networks) and</w:t>
      </w:r>
      <w:r>
        <w:t xml:space="preserve"> </w:t>
      </w:r>
      <w:r>
        <w:t xml:space="preserve">“Encrypting DNS traffic.”</w:t>
      </w:r>
      <w:r>
        <w:t xml:space="preserve"> </w:t>
      </w:r>
      <w:hyperlink r:id="rId75">
        <w:r>
          <w:rPr>
            <w:rStyle w:val="Hyperlink"/>
          </w:rPr>
          <w:t xml:space="preserve">https://www.whitehouse.gov/wp-content/uploads/2022/01/M-22-09.pdf</w:t>
        </w:r>
      </w:hyperlink>
    </w:p>
    <w:p>
      <w:pPr>
        <w:pStyle w:val="Compact"/>
        <w:numPr>
          <w:ilvl w:val="0"/>
          <w:numId w:val="1077"/>
        </w:numPr>
      </w:pPr>
      <w:r>
        <w:t xml:space="preserve">CISA,</w:t>
      </w:r>
      <w:r>
        <w:t xml:space="preserve"> </w:t>
      </w:r>
      <w:r>
        <w:rPr>
          <w:i/>
          <w:iCs/>
        </w:rPr>
        <w:t xml:space="preserve">Encrypted DNS Implementation Guidance</w:t>
      </w:r>
      <w:r>
        <w:t xml:space="preserve">, May 16, 2024.</w:t>
      </w:r>
      <w:r>
        <w:t xml:space="preserve"> </w:t>
      </w:r>
      <w:hyperlink r:id="rId115">
        <w:r>
          <w:rPr>
            <w:rStyle w:val="Hyperlink"/>
          </w:rPr>
          <w:t xml:space="preserve">https://www.cisa.gov/resources-tools/resources/encrypted-dns-implementation-guidance</w:t>
        </w:r>
      </w:hyperlink>
    </w:p>
    <w:p>
      <w:pPr>
        <w:pStyle w:val="Compact"/>
        <w:numPr>
          <w:ilvl w:val="0"/>
          <w:numId w:val="1077"/>
        </w:numPr>
      </w:pPr>
      <w:r>
        <w:t xml:space="preserve">CISA, Protective Domain Name System (DNS) Resolver service.</w:t>
      </w:r>
      <w:r>
        <w:t xml:space="preserve"> </w:t>
      </w:r>
      <w:hyperlink r:id="rId132">
        <w:r>
          <w:rPr>
            <w:rStyle w:val="Hyperlink"/>
          </w:rPr>
          <w:t xml:space="preserve">https://www.cisa.gov/resources-tools/services/protective-domain-name-system-dns-resolver</w:t>
        </w:r>
      </w:hyperlink>
    </w:p>
    <w:p>
      <w:pPr>
        <w:pStyle w:val="Compact"/>
        <w:numPr>
          <w:ilvl w:val="0"/>
          <w:numId w:val="1077"/>
        </w:numPr>
      </w:pPr>
      <w:r>
        <w:t xml:space="preserve">CISA,</w:t>
      </w:r>
      <w:r>
        <w:t xml:space="preserve"> </w:t>
      </w:r>
      <w:r>
        <w:rPr>
          <w:i/>
          <w:iCs/>
        </w:rPr>
        <w:t xml:space="preserve">Trusted Internet Connections 3.0, TIC Core Guidance Volume 3: Security Capabilities Catalog</w:t>
      </w:r>
      <w:r>
        <w:t xml:space="preserve">, Version 3.3, September 2026, Table 9 (Domain Name System PEP Security Capabilities).</w:t>
      </w:r>
      <w:r>
        <w:t xml:space="preserve"> </w:t>
      </w:r>
      <w:hyperlink r:id="rId143">
        <w:r>
          <w:rPr>
            <w:rStyle w:val="Hyperlink"/>
          </w:rPr>
          <w:t xml:space="preserve">https://www.cisa.gov/sites/default/files/2026-09/TIC_3.0_Security_Capabilities_Catalogs_September_2026_17.pdf</w:t>
        </w:r>
      </w:hyperlink>
    </w:p>
    <w:p>
      <w:pPr>
        <w:pStyle w:val="Compact"/>
        <w:numPr>
          <w:ilvl w:val="0"/>
          <w:numId w:val="1077"/>
        </w:numPr>
      </w:pPr>
      <w:r>
        <w:t xml:space="preserve">OMB M-21-31,</w:t>
      </w:r>
      <w:r>
        <w:t xml:space="preserve"> </w:t>
      </w:r>
      <w:r>
        <w:rPr>
          <w:i/>
          <w:iCs/>
        </w:rPr>
        <w:t xml:space="preserve">Improving the Federal Government’s Investigative and Remediation Capabilities Related to Cybersecurity Incidents</w:t>
      </w:r>
      <w:r>
        <w:t xml:space="preserve">, August 27, 2021 (Passive DNS at event-logging tier EL1).</w:t>
      </w:r>
      <w:r>
        <w:t xml:space="preserve"> </w:t>
      </w:r>
      <w:hyperlink r:id="rId136">
        <w:r>
          <w:rPr>
            <w:rStyle w:val="Hyperlink"/>
          </w:rPr>
          <w:t xml:space="preserve">https://www.whitehouse.gov/wp-content/uploads/2021/08/M-21-31-Improving-the-Federal-Governments-Investigative-and-Remediation-Capabilities-Related-to-Cybersecurity-Incidents.pdf</w:t>
        </w:r>
      </w:hyperlink>
    </w:p>
    <w:p>
      <w:pPr>
        <w:pStyle w:val="Compact"/>
        <w:numPr>
          <w:ilvl w:val="0"/>
          <w:numId w:val="1077"/>
        </w:numPr>
      </w:pPr>
      <w:r>
        <w:t xml:space="preserve">OMB M-08-23,</w:t>
      </w:r>
      <w:r>
        <w:t xml:space="preserve"> </w:t>
      </w:r>
      <w:r>
        <w:rPr>
          <w:i/>
          <w:iCs/>
        </w:rPr>
        <w:t xml:space="preserve">Securing the Federal Government’s Domain Name System Infrastructure</w:t>
      </w:r>
      <w:r>
        <w:t xml:space="preserve">, August 22, 2008.</w:t>
      </w:r>
      <w:r>
        <w:t xml:space="preserve"> </w:t>
      </w:r>
      <w:hyperlink r:id="rId22">
        <w:r>
          <w:rPr>
            <w:rStyle w:val="Hyperlink"/>
          </w:rPr>
          <w:t xml:space="preserve">https://georgewbush-whitehouse.archives.gov/omb/memoranda/fy2008/m08-23.pdf</w:t>
        </w:r>
      </w:hyperlink>
    </w:p>
    <w:p>
      <w:pPr>
        <w:pStyle w:val="Compact"/>
        <w:numPr>
          <w:ilvl w:val="0"/>
          <w:numId w:val="1077"/>
        </w:numPr>
      </w:pPr>
      <w:r>
        <w:t xml:space="preserve">OMB M-21-07,</w:t>
      </w:r>
      <w:r>
        <w:t xml:space="preserve"> </w:t>
      </w:r>
      <w:r>
        <w:rPr>
          <w:i/>
          <w:iCs/>
        </w:rPr>
        <w:t xml:space="preserve">Completing the Transition to Internet Protocol Version 6 (IPv6)</w:t>
      </w:r>
      <w:r>
        <w:t xml:space="preserve">, November 19, 2020.</w:t>
      </w:r>
      <w:r>
        <w:t xml:space="preserve"> </w:t>
      </w:r>
      <w:hyperlink r:id="rId141">
        <w:r>
          <w:rPr>
            <w:rStyle w:val="Hyperlink"/>
          </w:rPr>
          <w:t xml:space="preserve">https://www.whitehouse.gov/wp-content/uploads/2020/11/M-21-07.pdf</w:t>
        </w:r>
      </w:hyperlink>
    </w:p>
    <w:p>
      <w:pPr>
        <w:pStyle w:val="Compact"/>
        <w:numPr>
          <w:ilvl w:val="0"/>
          <w:numId w:val="1077"/>
        </w:numPr>
      </w:pPr>
      <w:r>
        <w:t xml:space="preserve">CISA, Binding Operational Directive 18-01,</w:t>
      </w:r>
      <w:r>
        <w:t xml:space="preserve"> </w:t>
      </w:r>
      <w:r>
        <w:rPr>
          <w:i/>
          <w:iCs/>
        </w:rPr>
        <w:t xml:space="preserve">Enhance Email and Web Security</w:t>
      </w:r>
      <w:r>
        <w:t xml:space="preserve">, October 16, 2017.</w:t>
      </w:r>
      <w:r>
        <w:t xml:space="preserve"> </w:t>
      </w:r>
      <w:hyperlink r:id="rId888">
        <w:r>
          <w:rPr>
            <w:rStyle w:val="Hyperlink"/>
          </w:rPr>
          <w:t xml:space="preserve">https://www.cisa.gov/news-events/directives/bod-18-01-enhance-email-and-web-security</w:t>
        </w:r>
      </w:hyperlink>
    </w:p>
    <w:p>
      <w:pPr>
        <w:pStyle w:val="Compact"/>
        <w:numPr>
          <w:ilvl w:val="0"/>
          <w:numId w:val="1077"/>
        </w:numPr>
      </w:pPr>
      <w:r>
        <w:t xml:space="preserve">NIST SP 800-81 Rev. 3,</w:t>
      </w:r>
      <w:r>
        <w:t xml:space="preserve"> </w:t>
      </w:r>
      <w:r>
        <w:rPr>
          <w:i/>
          <w:iCs/>
        </w:rPr>
        <w:t xml:space="preserve">Secure Domain Name System (DNS) Deployment Guide</w:t>
      </w:r>
      <w:r>
        <w:t xml:space="preserve">, March 19, 2026 (supersedes SP 800-81-2).</w:t>
      </w:r>
      <w:r>
        <w:t xml:space="preserve"> </w:t>
      </w:r>
      <w:hyperlink r:id="rId24">
        <w:r>
          <w:rPr>
            <w:rStyle w:val="Hyperlink"/>
          </w:rPr>
          <w:t xml:space="preserve">https://csrc.nist.gov/pubs/sp/800/81/r3/final</w:t>
        </w:r>
      </w:hyperlink>
    </w:p>
    <w:p>
      <w:pPr>
        <w:pStyle w:val="Compact"/>
        <w:numPr>
          <w:ilvl w:val="0"/>
          <w:numId w:val="1077"/>
        </w:numPr>
      </w:pPr>
      <w:r>
        <w:t xml:space="preserve">NIST SP 800-207,</w:t>
      </w:r>
      <w:r>
        <w:t xml:space="preserve"> </w:t>
      </w:r>
      <w:r>
        <w:rPr>
          <w:i/>
          <w:iCs/>
        </w:rPr>
        <w:t xml:space="preserve">Zero Trust Architecture</w:t>
      </w:r>
      <w:r>
        <w:t xml:space="preserve">, August 2020.</w:t>
      </w:r>
      <w:r>
        <w:t xml:space="preserve"> </w:t>
      </w:r>
      <w:hyperlink r:id="rId149">
        <w:r>
          <w:rPr>
            <w:rStyle w:val="Hyperlink"/>
          </w:rPr>
          <w:t xml:space="preserve">https://csrc.nist.gov/pubs/sp/800/207/final</w:t>
        </w:r>
      </w:hyperlink>
    </w:p>
    <w:p>
      <w:pPr>
        <w:pStyle w:val="Compact"/>
        <w:numPr>
          <w:ilvl w:val="0"/>
          <w:numId w:val="1077"/>
        </w:numPr>
      </w:pPr>
      <w:r>
        <w:t xml:space="preserve">NIST SP 800-53 Rev. 5,</w:t>
      </w:r>
      <w:r>
        <w:t xml:space="preserve"> </w:t>
      </w:r>
      <w:r>
        <w:rPr>
          <w:i/>
          <w:iCs/>
        </w:rPr>
        <w:t xml:space="preserve">Security and Privacy Controls for Information Systems and Organizations</w:t>
      </w:r>
      <w:r>
        <w:t xml:space="preserve"> </w:t>
      </w:r>
      <w:r>
        <w:t xml:space="preserve">(release 5.2.0): SC-20, SC-21, SC-22 and the other controls cited.</w:t>
      </w:r>
      <w:r>
        <w:t xml:space="preserve"> </w:t>
      </w:r>
      <w:hyperlink r:id="rId139">
        <w:r>
          <w:rPr>
            <w:rStyle w:val="Hyperlink"/>
          </w:rPr>
          <w:t xml:space="preserve">https://csrc.nist.gov/pubs/sp/800/53/r5/upd1/final</w:t>
        </w:r>
      </w:hyperlink>
    </w:p>
    <w:p>
      <w:pPr>
        <w:pStyle w:val="Compact"/>
        <w:numPr>
          <w:ilvl w:val="0"/>
          <w:numId w:val="1077"/>
        </w:numPr>
      </w:pPr>
      <w:r>
        <w:t xml:space="preserve">CISA,</w:t>
      </w:r>
      <w:r>
        <w:t xml:space="preserve"> </w:t>
      </w:r>
      <w:r>
        <w:rPr>
          <w:i/>
          <w:iCs/>
        </w:rPr>
        <w:t xml:space="preserve">Zero Trust Maturity Model</w:t>
      </w:r>
      <w:r>
        <w:t xml:space="preserve">, Version 2.0, April 2023.</w:t>
      </w:r>
      <w:r>
        <w:t xml:space="preserve"> </w:t>
      </w:r>
      <w:hyperlink r:id="rId77">
        <w:r>
          <w:rPr>
            <w:rStyle w:val="Hyperlink"/>
          </w:rPr>
          <w:t xml:space="preserve">https://www.cisa.gov/zero-trust-maturity-model</w:t>
        </w:r>
      </w:hyperlink>
    </w:p>
    <w:p>
      <w:pPr>
        <w:pStyle w:val="Compact"/>
        <w:numPr>
          <w:ilvl w:val="0"/>
          <w:numId w:val="1077"/>
        </w:numPr>
      </w:pP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153">
        <w:r>
          <w:rPr>
            <w:rStyle w:val="Hyperlink"/>
          </w:rPr>
          <w:t xml:space="preserve">https://www.fedramp.gov/2026/agencies/use/</w:t>
        </w:r>
      </w:hyperlink>
    </w:p>
    <w:p>
      <w:pPr>
        <w:pStyle w:val="Compact"/>
        <w:numPr>
          <w:ilvl w:val="0"/>
          <w:numId w:val="1077"/>
        </w:numPr>
      </w:pPr>
      <w:r>
        <w:t xml:space="preserve">FedRAMP Marketplace, Infoblox Government Cloud (package FR2017257053): FedRAMP Certified, Class C (Moderate), Rev5, agency path, certified since December 15, 2022.</w:t>
      </w:r>
      <w:r>
        <w:t xml:space="preserve"> </w:t>
      </w:r>
      <w:hyperlink r:id="rId155">
        <w:r>
          <w:rPr>
            <w:rStyle w:val="Hyperlink"/>
          </w:rPr>
          <w:t xml:space="preserve">https://www.fedramp.gov/marketplace/products/FR2017257053/</w:t>
        </w:r>
      </w:hyperlink>
    </w:p>
    <w:p>
      <w:pPr>
        <w:pStyle w:val="Compact"/>
        <w:numPr>
          <w:ilvl w:val="0"/>
          <w:numId w:val="1077"/>
        </w:numPr>
      </w:pPr>
      <w:r>
        <w:t xml:space="preserve">FedRAMP Marketplace, Microsoft 365 Government Community Cloud &amp; Supporting Services (package MSO365MT): FedRAMP Certified, Class C (Moderate).</w:t>
      </w:r>
      <w:r>
        <w:t xml:space="preserve"> </w:t>
      </w:r>
      <w:hyperlink r:id="rId970">
        <w:r>
          <w:rPr>
            <w:rStyle w:val="Hyperlink"/>
          </w:rPr>
          <w:t xml:space="preserve">https://www.fedramp.gov/marketplace/products/MSO365MT/</w:t>
        </w:r>
      </w:hyperlink>
    </w:p>
    <w:bookmarkEnd w:id="971"/>
    <w:bookmarkStart w:id="972" w:name="X5264b688b651c84108d98f5471b075fdd8f9f0b"/>
    <w:p>
      <w:pPr>
        <w:pStyle w:val="Heading3"/>
      </w:pPr>
      <w:r>
        <w:t xml:space="preserve">Primary sources: IETF, IANA and CA/Browser Forum standards</w:t>
      </w:r>
    </w:p>
    <w:p>
      <w:pPr>
        <w:pStyle w:val="Compact"/>
        <w:numPr>
          <w:ilvl w:val="0"/>
          <w:numId w:val="1078"/>
        </w:numPr>
      </w:pP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37">
        <w:r>
          <w:rPr>
            <w:rStyle w:val="Hyperlink"/>
          </w:rPr>
          <w:t xml:space="preserve">https://www.rfc-editor.org/rfc/rfc882</w:t>
        </w:r>
      </w:hyperlink>
      <w:r>
        <w:t xml:space="preserve">;</w:t>
      </w:r>
      <w:r>
        <w:t xml:space="preserve"> </w:t>
      </w:r>
      <w:hyperlink r:id="rId38">
        <w:r>
          <w:rPr>
            <w:rStyle w:val="Hyperlink"/>
          </w:rPr>
          <w:t xml:space="preserve">https://www.rfc-editor.org/rfc/rfc1034</w:t>
        </w:r>
      </w:hyperlink>
      <w:r>
        <w:t xml:space="preserve">;</w:t>
      </w:r>
      <w:r>
        <w:t xml:space="preserve"> </w:t>
      </w:r>
      <w:hyperlink r:id="rId39">
        <w:r>
          <w:rPr>
            <w:rStyle w:val="Hyperlink"/>
          </w:rPr>
          <w:t xml:space="preserve">https://www.rfc-editor.org/rfc/rfc1035</w:t>
        </w:r>
      </w:hyperlink>
    </w:p>
    <w:p>
      <w:pPr>
        <w:pStyle w:val="Compact"/>
        <w:numPr>
          <w:ilvl w:val="0"/>
          <w:numId w:val="1078"/>
        </w:numPr>
      </w:pPr>
      <w:r>
        <w:t xml:space="preserve">IETF RFC 4033,</w:t>
      </w:r>
      <w:r>
        <w:t xml:space="preserve"> </w:t>
      </w:r>
      <w:r>
        <w:rPr>
          <w:i/>
          <w:iCs/>
        </w:rPr>
        <w:t xml:space="preserve">DNS Security Introduction and Requirements</w:t>
      </w:r>
      <w:r>
        <w:t xml:space="preserve">, March 2005; RFC 4034,</w:t>
      </w:r>
      <w:r>
        <w:t xml:space="preserve"> </w:t>
      </w:r>
      <w:r>
        <w:rPr>
          <w:i/>
          <w:iCs/>
        </w:rPr>
        <w:t xml:space="preserve">Resource Records for the DNS Security Extensions</w:t>
      </w:r>
      <w:r>
        <w:t xml:space="preserve">, March 2005; and RFC 9364,</w:t>
      </w:r>
      <w:r>
        <w:t xml:space="preserve"> </w:t>
      </w:r>
      <w:r>
        <w:rPr>
          <w:i/>
          <w:iCs/>
        </w:rPr>
        <w:t xml:space="preserve">DNS Security Extensions (DNSSEC)</w:t>
      </w:r>
      <w:r>
        <w:t xml:space="preserve">, BCP 237, February 2023.</w:t>
      </w:r>
      <w:r>
        <w:t xml:space="preserve"> </w:t>
      </w:r>
      <w:hyperlink r:id="rId365">
        <w:r>
          <w:rPr>
            <w:rStyle w:val="Hyperlink"/>
          </w:rPr>
          <w:t xml:space="preserve">https://www.rfc-editor.org/rfc/rfc4033</w:t>
        </w:r>
      </w:hyperlink>
      <w:r>
        <w:t xml:space="preserve">;</w:t>
      </w:r>
      <w:r>
        <w:t xml:space="preserve"> </w:t>
      </w:r>
      <w:hyperlink r:id="rId366">
        <w:r>
          <w:rPr>
            <w:rStyle w:val="Hyperlink"/>
          </w:rPr>
          <w:t xml:space="preserve">https://www.rfc-editor.org/rfc/rfc4034</w:t>
        </w:r>
      </w:hyperlink>
      <w:r>
        <w:t xml:space="preserve">;</w:t>
      </w:r>
      <w:r>
        <w:t xml:space="preserve"> </w:t>
      </w:r>
      <w:hyperlink r:id="rId368">
        <w:r>
          <w:rPr>
            <w:rStyle w:val="Hyperlink"/>
          </w:rPr>
          <w:t xml:space="preserve">https://www.rfc-editor.org/rfc/rfc9364</w:t>
        </w:r>
      </w:hyperlink>
    </w:p>
    <w:p>
      <w:pPr>
        <w:pStyle w:val="Compact"/>
        <w:numPr>
          <w:ilvl w:val="0"/>
          <w:numId w:val="1078"/>
        </w:numPr>
      </w:pPr>
      <w:r>
        <w:t xml:space="preserve">IETF RFC 9276,</w:t>
      </w:r>
      <w:r>
        <w:t xml:space="preserve"> </w:t>
      </w:r>
      <w:r>
        <w:rPr>
          <w:i/>
          <w:iCs/>
        </w:rPr>
        <w:t xml:space="preserve">Guidance for NSEC3 Parameter Settings</w:t>
      </w:r>
      <w:r>
        <w:t xml:space="preserve">, BCP 236, August 2022, and RFC 9824,</w:t>
      </w:r>
      <w:r>
        <w:t xml:space="preserve"> </w:t>
      </w:r>
      <w:r>
        <w:rPr>
          <w:i/>
          <w:iCs/>
        </w:rPr>
        <w:t xml:space="preserve">Compact Denial of Existence in DNSSEC</w:t>
      </w:r>
      <w:r>
        <w:t xml:space="preserve">.</w:t>
      </w:r>
      <w:r>
        <w:t xml:space="preserve"> </w:t>
      </w:r>
      <w:hyperlink r:id="rId908">
        <w:r>
          <w:rPr>
            <w:rStyle w:val="Hyperlink"/>
          </w:rPr>
          <w:t xml:space="preserve">https://www.rfc-editor.org/rfc/rfc9276</w:t>
        </w:r>
      </w:hyperlink>
      <w:r>
        <w:t xml:space="preserve">;</w:t>
      </w:r>
      <w:r>
        <w:t xml:space="preserve"> </w:t>
      </w:r>
      <w:hyperlink r:id="rId911">
        <w:r>
          <w:rPr>
            <w:rStyle w:val="Hyperlink"/>
          </w:rPr>
          <w:t xml:space="preserve">https://www.rfc-editor.org/info/rfc9824</w:t>
        </w:r>
      </w:hyperlink>
    </w:p>
    <w:p>
      <w:pPr>
        <w:pStyle w:val="Compact"/>
        <w:numPr>
          <w:ilvl w:val="0"/>
          <w:numId w:val="1078"/>
        </w:numPr>
      </w:pPr>
      <w:r>
        <w:t xml:space="preserve">IETF RFC 6891,</w:t>
      </w:r>
      <w:r>
        <w:t xml:space="preserve"> </w:t>
      </w:r>
      <w:r>
        <w:rPr>
          <w:i/>
          <w:iCs/>
        </w:rPr>
        <w:t xml:space="preserve">Extension Mechanisms for DNS (EDNS(0))</w:t>
      </w:r>
      <w:r>
        <w:t xml:space="preserve">, April 2013.</w:t>
      </w:r>
      <w:r>
        <w:t xml:space="preserve"> </w:t>
      </w:r>
      <w:hyperlink r:id="rId392">
        <w:r>
          <w:rPr>
            <w:rStyle w:val="Hyperlink"/>
          </w:rPr>
          <w:t xml:space="preserve">https://www.rfc-editor.org/rfc/rfc6891</w:t>
        </w:r>
      </w:hyperlink>
    </w:p>
    <w:p>
      <w:pPr>
        <w:pStyle w:val="Compact"/>
        <w:numPr>
          <w:ilvl w:val="0"/>
          <w:numId w:val="1078"/>
        </w:numPr>
      </w:pP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914">
        <w:r>
          <w:rPr>
            <w:rStyle w:val="Hyperlink"/>
          </w:rPr>
          <w:t xml:space="preserve">https://www.rfc-editor.org/rfc/rfc7344</w:t>
        </w:r>
      </w:hyperlink>
    </w:p>
    <w:p>
      <w:pPr>
        <w:pStyle w:val="Compact"/>
        <w:numPr>
          <w:ilvl w:val="0"/>
          <w:numId w:val="1078"/>
        </w:numPr>
      </w:pPr>
      <w:r>
        <w:t xml:space="preserve">IETF RFC 7858 (DNS over TLS), RFC 8484 (DNS over HTTPS) and RFC 9250 (DNS over QUIC).</w:t>
      </w:r>
      <w:r>
        <w:t xml:space="preserve"> </w:t>
      </w:r>
      <w:hyperlink r:id="rId269">
        <w:r>
          <w:rPr>
            <w:rStyle w:val="Hyperlink"/>
          </w:rPr>
          <w:t xml:space="preserve">https://www.rfc-editor.org/rfc/rfc7858</w:t>
        </w:r>
      </w:hyperlink>
      <w:r>
        <w:t xml:space="preserve">;</w:t>
      </w:r>
      <w:r>
        <w:t xml:space="preserve"> </w:t>
      </w:r>
      <w:hyperlink r:id="rId270">
        <w:r>
          <w:rPr>
            <w:rStyle w:val="Hyperlink"/>
          </w:rPr>
          <w:t xml:space="preserve">https://www.rfc-editor.org/rfc/rfc8484</w:t>
        </w:r>
      </w:hyperlink>
      <w:r>
        <w:t xml:space="preserve">;</w:t>
      </w:r>
      <w:r>
        <w:t xml:space="preserve"> </w:t>
      </w:r>
      <w:hyperlink r:id="rId271">
        <w:r>
          <w:rPr>
            <w:rStyle w:val="Hyperlink"/>
          </w:rPr>
          <w:t xml:space="preserve">https://www.rfc-editor.org/rfc/rfc9250</w:t>
        </w:r>
      </w:hyperlink>
    </w:p>
    <w:p>
      <w:pPr>
        <w:pStyle w:val="Compact"/>
        <w:numPr>
          <w:ilvl w:val="0"/>
          <w:numId w:val="1078"/>
        </w:numPr>
      </w:pPr>
      <w:r>
        <w:t xml:space="preserve">IETF RFC 8106,</w:t>
      </w:r>
      <w:r>
        <w:t xml:space="preserve"> </w:t>
      </w:r>
      <w:r>
        <w:rPr>
          <w:i/>
          <w:iCs/>
        </w:rPr>
        <w:t xml:space="preserve">IPv6 Router Advertisement Options for DNS Configuration</w:t>
      </w:r>
      <w:r>
        <w:t xml:space="preserve">, March 2017.</w:t>
      </w:r>
      <w:r>
        <w:t xml:space="preserve"> </w:t>
      </w:r>
      <w:hyperlink r:id="rId310">
        <w:r>
          <w:rPr>
            <w:rStyle w:val="Hyperlink"/>
          </w:rPr>
          <w:t xml:space="preserve">https://www.rfc-editor.org/rfc/rfc8106</w:t>
        </w:r>
      </w:hyperlink>
    </w:p>
    <w:p>
      <w:pPr>
        <w:pStyle w:val="Compact"/>
        <w:numPr>
          <w:ilvl w:val="0"/>
          <w:numId w:val="1078"/>
        </w:numPr>
      </w:pPr>
      <w:r>
        <w:t xml:space="preserve">IETF RFC 8555,</w:t>
      </w:r>
      <w:r>
        <w:t xml:space="preserve"> </w:t>
      </w:r>
      <w:r>
        <w:rPr>
          <w:i/>
          <w:iCs/>
        </w:rPr>
        <w:t xml:space="preserve">Automatic Certificate Management Environment (ACME)</w:t>
      </w:r>
      <w:r>
        <w:t xml:space="preserve">, March 2019 (DNS-01 challenge).</w:t>
      </w:r>
      <w:r>
        <w:t xml:space="preserve"> </w:t>
      </w:r>
      <w:hyperlink r:id="rId337">
        <w:r>
          <w:rPr>
            <w:rStyle w:val="Hyperlink"/>
          </w:rPr>
          <w:t xml:space="preserve">https://www.rfc-editor.org/rfc/rfc8555</w:t>
        </w:r>
      </w:hyperlink>
    </w:p>
    <w:p>
      <w:pPr>
        <w:pStyle w:val="Compact"/>
        <w:numPr>
          <w:ilvl w:val="0"/>
          <w:numId w:val="1078"/>
        </w:numPr>
      </w:pP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341">
        <w:r>
          <w:rPr>
            <w:rStyle w:val="Hyperlink"/>
          </w:rPr>
          <w:t xml:space="preserve">https://www.rfc-editor.org/rfc/rfc6698</w:t>
        </w:r>
      </w:hyperlink>
    </w:p>
    <w:p>
      <w:pPr>
        <w:pStyle w:val="Compact"/>
        <w:numPr>
          <w:ilvl w:val="0"/>
          <w:numId w:val="1078"/>
        </w:numPr>
      </w:pPr>
      <w:r>
        <w:t xml:space="preserve">IETF RFC 8659,</w:t>
      </w:r>
      <w:r>
        <w:t xml:space="preserve"> </w:t>
      </w:r>
      <w:r>
        <w:rPr>
          <w:i/>
          <w:iCs/>
        </w:rPr>
        <w:t xml:space="preserve">DNS Certification Authority Authorization (CAA) Resource Record</w:t>
      </w:r>
      <w:r>
        <w:t xml:space="preserve">, November 2019, and CA/Browser Forum Ballot 187,</w:t>
      </w:r>
      <w:r>
        <w:t xml:space="preserve"> </w:t>
      </w:r>
      <w:r>
        <w:rPr>
          <w:i/>
          <w:iCs/>
        </w:rPr>
        <w:t xml:space="preserve">Make CAA Checking Mandatory</w:t>
      </w:r>
      <w:r>
        <w:t xml:space="preserve"> </w:t>
      </w:r>
      <w:r>
        <w:t xml:space="preserve">(effective September 8, 2017).</w:t>
      </w:r>
      <w:r>
        <w:t xml:space="preserve"> </w:t>
      </w:r>
      <w:hyperlink r:id="rId339">
        <w:r>
          <w:rPr>
            <w:rStyle w:val="Hyperlink"/>
          </w:rPr>
          <w:t xml:space="preserve">https://www.rfc-editor.org/rfc/rfc8659</w:t>
        </w:r>
      </w:hyperlink>
      <w:r>
        <w:t xml:space="preserve">;</w:t>
      </w:r>
      <w:r>
        <w:t xml:space="preserve"> </w:t>
      </w:r>
      <w:hyperlink r:id="rId869">
        <w:r>
          <w:rPr>
            <w:rStyle w:val="Hyperlink"/>
          </w:rPr>
          <w:t xml:space="preserve">https://cabforum.org/2017/03/08/ballot-187-make-caa-checking-mandatory/</w:t>
        </w:r>
      </w:hyperlink>
    </w:p>
    <w:p>
      <w:pPr>
        <w:pStyle w:val="Compact"/>
        <w:numPr>
          <w:ilvl w:val="0"/>
          <w:numId w:val="1078"/>
        </w:numPr>
      </w:pPr>
      <w:r>
        <w:t xml:space="preserve">IETF RFC 7208 (SPF), RFC 6376 (DKIM), RFC 9989 (DMARC, May 2026, which obsoletes RFC 7489 and RFC 9091) and RFC 8461 (MTA-STS).</w:t>
      </w:r>
      <w:r>
        <w:t xml:space="preserve"> </w:t>
      </w:r>
      <w:hyperlink r:id="rId878">
        <w:r>
          <w:rPr>
            <w:rStyle w:val="Hyperlink"/>
          </w:rPr>
          <w:t xml:space="preserve">https://www.rfc-editor.org/rfc/rfc7208</w:t>
        </w:r>
      </w:hyperlink>
      <w:r>
        <w:t xml:space="preserve">;</w:t>
      </w:r>
      <w:r>
        <w:t xml:space="preserve"> </w:t>
      </w:r>
      <w:hyperlink r:id="rId882">
        <w:r>
          <w:rPr>
            <w:rStyle w:val="Hyperlink"/>
          </w:rPr>
          <w:t xml:space="preserve">https://www.rfc-editor.org/rfc/rfc6376</w:t>
        </w:r>
      </w:hyperlink>
      <w:r>
        <w:t xml:space="preserve">;</w:t>
      </w:r>
      <w:r>
        <w:t xml:space="preserve"> </w:t>
      </w:r>
      <w:hyperlink r:id="rId885">
        <w:r>
          <w:rPr>
            <w:rStyle w:val="Hyperlink"/>
          </w:rPr>
          <w:t xml:space="preserve">https://www.rfc-editor.org/rfc/rfc9989</w:t>
        </w:r>
      </w:hyperlink>
      <w:r>
        <w:t xml:space="preserve">;</w:t>
      </w:r>
      <w:r>
        <w:t xml:space="preserve"> </w:t>
      </w:r>
      <w:hyperlink r:id="rId893">
        <w:r>
          <w:rPr>
            <w:rStyle w:val="Hyperlink"/>
          </w:rPr>
          <w:t xml:space="preserve">https://www.rfc-editor.org/rfc/rfc8461</w:t>
        </w:r>
      </w:hyperlink>
    </w:p>
    <w:p>
      <w:pPr>
        <w:pStyle w:val="Compact"/>
        <w:numPr>
          <w:ilvl w:val="0"/>
          <w:numId w:val="1078"/>
        </w:numPr>
      </w:pPr>
      <w:r>
        <w:t xml:space="preserve">IETF RFC 9460,</w:t>
      </w:r>
      <w:r>
        <w:t xml:space="preserve"> </w:t>
      </w:r>
      <w:r>
        <w:rPr>
          <w:i/>
          <w:iCs/>
        </w:rPr>
        <w:t xml:space="preserve">Service Binding and Parameter Specification via the DNS (SVCB and HTTPS Resource Records)</w:t>
      </w:r>
      <w:r>
        <w:t xml:space="preserve">, November 2023; RFC 9848,</w:t>
      </w:r>
      <w:r>
        <w:t xml:space="preserve"> </w:t>
      </w:r>
      <w:r>
        <w:rPr>
          <w:i/>
          <w:iCs/>
        </w:rPr>
        <w:t xml:space="preserve">Bootstrapping TLS Encrypted ClientHello with DNS Service Bindings</w:t>
      </w:r>
      <w:r>
        <w:t xml:space="preserve">, March 2026; and RFC 9849,</w:t>
      </w:r>
      <w:r>
        <w:t xml:space="preserve"> </w:t>
      </w:r>
      <w:r>
        <w:rPr>
          <w:i/>
          <w:iCs/>
        </w:rPr>
        <w:t xml:space="preserve">TLS Encrypted Client Hello</w:t>
      </w:r>
      <w:r>
        <w:t xml:space="preserve">.</w:t>
      </w:r>
      <w:r>
        <w:t xml:space="preserve"> </w:t>
      </w:r>
      <w:hyperlink r:id="rId896">
        <w:r>
          <w:rPr>
            <w:rStyle w:val="Hyperlink"/>
          </w:rPr>
          <w:t xml:space="preserve">https://www.rfc-editor.org/rfc/rfc9460</w:t>
        </w:r>
      </w:hyperlink>
      <w:r>
        <w:t xml:space="preserve">;</w:t>
      </w:r>
      <w:r>
        <w:t xml:space="preserve"> </w:t>
      </w:r>
      <w:hyperlink r:id="rId900">
        <w:r>
          <w:rPr>
            <w:rStyle w:val="Hyperlink"/>
          </w:rPr>
          <w:t xml:space="preserve">https://www.rfc-editor.org/info/rfc9848</w:t>
        </w:r>
      </w:hyperlink>
      <w:r>
        <w:t xml:space="preserve">;</w:t>
      </w:r>
      <w:r>
        <w:t xml:space="preserve"> </w:t>
      </w:r>
      <w:hyperlink r:id="rId901">
        <w:r>
          <w:rPr>
            <w:rStyle w:val="Hyperlink"/>
          </w:rPr>
          <w:t xml:space="preserve">https://www.rfc-editor.org/info/rfc9849</w:t>
        </w:r>
      </w:hyperlink>
    </w:p>
    <w:p>
      <w:pPr>
        <w:pStyle w:val="Compact"/>
        <w:numPr>
          <w:ilvl w:val="0"/>
          <w:numId w:val="1078"/>
        </w:numPr>
      </w:pPr>
      <w:r>
        <w:t xml:space="preserve">IANA,</w:t>
      </w:r>
      <w:r>
        <w:t xml:space="preserve"> </w:t>
      </w:r>
      <w:r>
        <w:rPr>
          <w:i/>
          <w:iCs/>
        </w:rPr>
        <w:t xml:space="preserve">Domain Name System (DNS) Parameters</w:t>
      </w:r>
      <w:r>
        <w:t xml:space="preserve">, Resource Record (RR) TYPEs registry.</w:t>
      </w:r>
      <w:r>
        <w:t xml:space="preserve"> </w:t>
      </w:r>
      <w:hyperlink r:id="rId837">
        <w:r>
          <w:rPr>
            <w:rStyle w:val="Hyperlink"/>
          </w:rPr>
          <w:t xml:space="preserve">https://www.iana.org/assignments/dns-parameters/dns-parameters.xhtml</w:t>
        </w:r>
      </w:hyperlink>
    </w:p>
    <w:p>
      <w:pPr>
        <w:pStyle w:val="FirstParagraph"/>
      </w:pPr>
      <w:r>
        <w:t xml:space="preserve">Appendix A cites the remaining record-type RFCs individually.</w:t>
      </w:r>
    </w:p>
    <w:bookmarkEnd w:id="972"/>
    <w:bookmarkStart w:id="982" w:name="Xb43bd80dcb31b4e7ed3966974b0e42852483c41"/>
    <w:p>
      <w:pPr>
        <w:pStyle w:val="Heading3"/>
      </w:pPr>
      <w:r>
        <w:t xml:space="preserve">Primary sources: cloud and platform provider documentation</w:t>
      </w:r>
    </w:p>
    <w:p>
      <w:pPr>
        <w:pStyle w:val="Compact"/>
        <w:numPr>
          <w:ilvl w:val="0"/>
          <w:numId w:val="1079"/>
        </w:numPr>
      </w:pP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973">
        <w:r>
          <w:rPr>
            <w:rStyle w:val="Hyperlink"/>
          </w:rPr>
          <w:t xml:space="preserve">https://learn.microsoft.com/en-us/azure/private-link/private-endpoint-dns-integration</w:t>
        </w:r>
      </w:hyperlink>
      <w:r>
        <w:t xml:space="preserve">;</w:t>
      </w:r>
      <w:r>
        <w:t xml:space="preserve"> </w:t>
      </w:r>
      <w:hyperlink r:id="rId94">
        <w:r>
          <w:rPr>
            <w:rStyle w:val="Hyperlink"/>
          </w:rPr>
          <w:t xml:space="preserve">https://learn.microsoft.com/en-us/azure/private-link/private-endpoint-dns</w:t>
        </w:r>
      </w:hyperlink>
    </w:p>
    <w:p>
      <w:pPr>
        <w:pStyle w:val="Compact"/>
        <w:numPr>
          <w:ilvl w:val="0"/>
          <w:numId w:val="1079"/>
        </w:numPr>
      </w:pP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55">
        <w:r>
          <w:rPr>
            <w:rStyle w:val="Hyperlink"/>
          </w:rPr>
          <w:t xml:space="preserve">https://learn.microsoft.com/en-us/azure/dns/dns-private-resolver-overview</w:t>
        </w:r>
      </w:hyperlink>
    </w:p>
    <w:p>
      <w:pPr>
        <w:pStyle w:val="Compact"/>
        <w:numPr>
          <w:ilvl w:val="0"/>
          <w:numId w:val="1079"/>
        </w:numPr>
      </w:pPr>
      <w:r>
        <w:t xml:space="preserve">Microsoft Learn,</w:t>
      </w:r>
      <w:r>
        <w:t xml:space="preserve"> </w:t>
      </w:r>
      <w:r>
        <w:t xml:space="preserve">“Azure Private DNS: Secure DNS for Virtual Networks.”</w:t>
      </w:r>
      <w:r>
        <w:t xml:space="preserve"> </w:t>
      </w:r>
      <w:hyperlink r:id="rId974">
        <w:r>
          <w:rPr>
            <w:rStyle w:val="Hyperlink"/>
          </w:rPr>
          <w:t xml:space="preserve">https://learn.microsoft.com/en-us/azure/dns/private-dns-overview</w:t>
        </w:r>
      </w:hyperlink>
    </w:p>
    <w:p>
      <w:pPr>
        <w:pStyle w:val="Compact"/>
        <w:numPr>
          <w:ilvl w:val="0"/>
          <w:numId w:val="1079"/>
        </w:numPr>
      </w:pPr>
      <w:r>
        <w:t xml:space="preserve">Microsoft Learn,</w:t>
      </w:r>
      <w:r>
        <w:t xml:space="preserve"> </w:t>
      </w:r>
      <w:r>
        <w:t xml:space="preserve">“Overview of DNS resolver policy”</w:t>
      </w:r>
      <w:r>
        <w:t xml:space="preserve"> </w:t>
      </w:r>
      <w:r>
        <w:t xml:space="preserve">(Azure DNS security policy).</w:t>
      </w:r>
      <w:r>
        <w:t xml:space="preserve"> </w:t>
      </w:r>
      <w:hyperlink r:id="rId58">
        <w:r>
          <w:rPr>
            <w:rStyle w:val="Hyperlink"/>
          </w:rPr>
          <w:t xml:space="preserve">https://learn.microsoft.com/en-us/azure/dns/dns-security-policy</w:t>
        </w:r>
      </w:hyperlink>
    </w:p>
    <w:p>
      <w:pPr>
        <w:pStyle w:val="Compact"/>
        <w:numPr>
          <w:ilvl w:val="0"/>
          <w:numId w:val="1079"/>
        </w:numPr>
      </w:pPr>
      <w:r>
        <w:t xml:space="preserve">Microsoft Learn,</w:t>
      </w:r>
      <w:r>
        <w:t xml:space="preserve"> </w:t>
      </w:r>
      <w:r>
        <w:t xml:space="preserve">“DNSSEC overview”</w:t>
      </w:r>
      <w:r>
        <w:t xml:space="preserve"> </w:t>
      </w:r>
      <w:r>
        <w:t xml:space="preserve">and</w:t>
      </w:r>
      <w:r>
        <w:t xml:space="preserve"> </w:t>
      </w:r>
      <w:r>
        <w:t xml:space="preserve">“How to sign your Azure Public DNS zone with DNSSEC”</w:t>
      </w:r>
      <w:r>
        <w:t xml:space="preserve"> </w:t>
      </w:r>
      <w:r>
        <w:t xml:space="preserve">(Azure DNS signs public zones only; automatic ZSK rollover).</w:t>
      </w:r>
      <w:r>
        <w:t xml:space="preserve"> </w:t>
      </w:r>
      <w:hyperlink r:id="rId255">
        <w:r>
          <w:rPr>
            <w:rStyle w:val="Hyperlink"/>
          </w:rPr>
          <w:t xml:space="preserve">https://learn.microsoft.com/en-us/azure/dns/dnssec</w:t>
        </w:r>
      </w:hyperlink>
      <w:r>
        <w:t xml:space="preserve">;</w:t>
      </w:r>
      <w:r>
        <w:t xml:space="preserve"> </w:t>
      </w:r>
      <w:hyperlink r:id="rId975">
        <w:r>
          <w:rPr>
            <w:rStyle w:val="Hyperlink"/>
          </w:rPr>
          <w:t xml:space="preserve">https://learn.microsoft.com/en-us/azure/dns/dnssec-how-to</w:t>
        </w:r>
      </w:hyperlink>
    </w:p>
    <w:p>
      <w:pPr>
        <w:pStyle w:val="Compact"/>
        <w:numPr>
          <w:ilvl w:val="0"/>
          <w:numId w:val="1079"/>
        </w:numPr>
      </w:pPr>
      <w:r>
        <w:t xml:space="preserve">Microsoft Learn,</w:t>
      </w:r>
      <w:r>
        <w:t xml:space="preserve"> </w:t>
      </w:r>
      <w:r>
        <w:t xml:space="preserve">“What is IP address management (IPAM) in Azure Virtual Network Manager?”</w:t>
      </w:r>
      <w:r>
        <w:t xml:space="preserve"> </w:t>
      </w:r>
      <w:hyperlink r:id="rId976">
        <w:r>
          <w:rPr>
            <w:rStyle w:val="Hyperlink"/>
          </w:rPr>
          <w:t xml:space="preserve">https://learn.microsoft.com/en-us/azure/virtual-network-manager/concept-ip-address-management</w:t>
        </w:r>
      </w:hyperlink>
    </w:p>
    <w:p>
      <w:pPr>
        <w:pStyle w:val="Compact"/>
        <w:numPr>
          <w:ilvl w:val="0"/>
          <w:numId w:val="1079"/>
        </w:numPr>
      </w:pPr>
      <w:r>
        <w:t xml:space="preserve">Microsoft Learn,</w:t>
      </w:r>
      <w:r>
        <w:t xml:space="preserve"> </w:t>
      </w:r>
      <w:r>
        <w:t xml:space="preserve">“Compare Azure Government and global Azure”</w:t>
      </w:r>
      <w:r>
        <w:t xml:space="preserve"> </w:t>
      </w:r>
      <w:r>
        <w:t xml:space="preserve">and</w:t>
      </w:r>
      <w:r>
        <w:t xml:space="preserve"> </w:t>
      </w:r>
      <w:r>
        <w:t xml:space="preserve">“Azure Government product General Availability (GA) roadmap.”</w:t>
      </w:r>
      <w:r>
        <w:t xml:space="preserve"> </w:t>
      </w:r>
      <w:hyperlink r:id="rId977">
        <w:r>
          <w:rPr>
            <w:rStyle w:val="Hyperlink"/>
          </w:rPr>
          <w:t xml:space="preserve">https://learn.microsoft.com/en-us/azure/azure-government/compare-azure-government-global-azure</w:t>
        </w:r>
      </w:hyperlink>
      <w:r>
        <w:t xml:space="preserve">;</w:t>
      </w:r>
      <w:r>
        <w:t xml:space="preserve"> </w:t>
      </w:r>
      <w:hyperlink r:id="rId978">
        <w:r>
          <w:rPr>
            <w:rStyle w:val="Hyperlink"/>
          </w:rPr>
          <w:t xml:space="preserve">https://learn.microsoft.com/en-us/azure/azure-government/documentation-government-product-roadmap</w:t>
        </w:r>
      </w:hyperlink>
    </w:p>
    <w:p>
      <w:pPr>
        <w:pStyle w:val="Compact"/>
        <w:numPr>
          <w:ilvl w:val="0"/>
          <w:numId w:val="1079"/>
        </w:numPr>
      </w:pPr>
      <w:r>
        <w:t xml:space="preserve">Microsoft Learn,</w:t>
      </w:r>
      <w:r>
        <w:t xml:space="preserve"> </w:t>
      </w:r>
      <w:r>
        <w:t xml:space="preserve">“Azure Government DoD Overview.”</w:t>
      </w:r>
      <w:r>
        <w:t xml:space="preserve"> </w:t>
      </w:r>
      <w:hyperlink r:id="rId979">
        <w:r>
          <w:rPr>
            <w:rStyle w:val="Hyperlink"/>
          </w:rPr>
          <w:t xml:space="preserve">https://learn.microsoft.com/en-us/azure/azure-government/documentation-government-overview-dod</w:t>
        </w:r>
      </w:hyperlink>
    </w:p>
    <w:p>
      <w:pPr>
        <w:pStyle w:val="Compact"/>
        <w:numPr>
          <w:ilvl w:val="0"/>
          <w:numId w:val="1079"/>
        </w:numPr>
      </w:pPr>
      <w:r>
        <w:t xml:space="preserve">Microsoft Learn,</w:t>
      </w:r>
      <w:r>
        <w:t xml:space="preserve"> </w:t>
      </w:r>
      <w:r>
        <w:t xml:space="preserve">“Microsoft 365 informed network routing”</w:t>
      </w:r>
      <w:r>
        <w:t xml:space="preserve"> </w:t>
      </w:r>
      <w:r>
        <w:t xml:space="preserve">(WW Commercial only, not GCC Moderate, GCC High or DoD; Cisco IOS XE SD-WAN 20.4/17.4 or later).</w:t>
      </w:r>
      <w:r>
        <w:t xml:space="preserve"> </w:t>
      </w:r>
      <w:hyperlink r:id="rId34">
        <w:r>
          <w:rPr>
            <w:rStyle w:val="Hyperlink"/>
          </w:rPr>
          <w:t xml:space="preserve">https://learn.microsoft.com/en-us/microsoft-365/enterprise/office-365-network-mac-perf-cpe?view=o365-worldwide</w:t>
        </w:r>
      </w:hyperlink>
    </w:p>
    <w:p>
      <w:pPr>
        <w:pStyle w:val="Compact"/>
        <w:numPr>
          <w:ilvl w:val="0"/>
          <w:numId w:val="1079"/>
        </w:numPr>
      </w:pP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103">
        <w:r>
          <w:rPr>
            <w:rStyle w:val="Hyperlink"/>
          </w:rPr>
          <w:t xml:space="preserve">https://learn.microsoft.com/en-us/microsoft-365/enterprise/urls-and-ip-address-ranges?view=o365-worldwide</w:t>
        </w:r>
      </w:hyperlink>
    </w:p>
    <w:p>
      <w:pPr>
        <w:pStyle w:val="Compact"/>
        <w:numPr>
          <w:ilvl w:val="0"/>
          <w:numId w:val="1079"/>
        </w:numPr>
      </w:pPr>
      <w:r>
        <w:t xml:space="preserve">Microsoft Learn,</w:t>
      </w:r>
      <w:r>
        <w:t xml:space="preserve"> </w:t>
      </w:r>
      <w:r>
        <w:t xml:space="preserve">“Microsoft 365 U.S. Government GCC High endpoints.”</w:t>
      </w:r>
      <w:r>
        <w:t xml:space="preserve"> </w:t>
      </w:r>
      <w:hyperlink r:id="rId45">
        <w:r>
          <w:rPr>
            <w:rStyle w:val="Hyperlink"/>
          </w:rPr>
          <w:t xml:space="preserve">https://learn.microsoft.com/en-us/microsoft-365/enterprise/microsoft-365-u-s-government-gcc-high-endpoints?view=o365-worldwide</w:t>
        </w:r>
      </w:hyperlink>
    </w:p>
    <w:p>
      <w:pPr>
        <w:pStyle w:val="Compact"/>
        <w:numPr>
          <w:ilvl w:val="0"/>
          <w:numId w:val="1079"/>
        </w:numPr>
      </w:pPr>
      <w:r>
        <w:t xml:space="preserve">Microsoft Learn,</w:t>
      </w:r>
      <w:r>
        <w:t xml:space="preserve"> </w:t>
      </w:r>
      <w:r>
        <w:t xml:space="preserve">“Office 365 GCC,”</w:t>
      </w:r>
      <w:r>
        <w:t xml:space="preserve"> </w:t>
      </w:r>
      <w:r>
        <w:t xml:space="preserve">Office 365 US Government service description.</w:t>
      </w:r>
      <w:r>
        <w:t xml:space="preserve"> </w:t>
      </w:r>
      <w:hyperlink r:id="rId349">
        <w:r>
          <w:rPr>
            <w:rStyle w:val="Hyperlink"/>
          </w:rPr>
          <w:t xml:space="preserve">https://learn.microsoft.com/en-us/office365/servicedescriptions/office-365-platform-service-description/office-365-us-government/gcc</w:t>
        </w:r>
      </w:hyperlink>
    </w:p>
    <w:p>
      <w:pPr>
        <w:pStyle w:val="Compact"/>
        <w:numPr>
          <w:ilvl w:val="0"/>
          <w:numId w:val="1079"/>
        </w:numPr>
      </w:pPr>
      <w:r>
        <w:t xml:space="preserve">Microsoft Learn,</w:t>
      </w:r>
      <w:r>
        <w:t xml:space="preserve"> </w:t>
      </w:r>
      <w:r>
        <w:t xml:space="preserve">“DNS and AD DS,”</w:t>
      </w:r>
      <w:r>
        <w:t xml:space="preserve"> </w:t>
      </w:r>
      <w:r>
        <w:t xml:space="preserve">“Verify that SRV Domain Name System (DNS) records have been created”</w:t>
      </w:r>
      <w:r>
        <w:t xml:space="preserve"> </w:t>
      </w:r>
      <w:r>
        <w:t xml:space="preserve">and</w:t>
      </w:r>
      <w:r>
        <w:t xml:space="preserve"> </w:t>
      </w:r>
      <w:r>
        <w:t xml:space="preserve">“Problems occur with DCs in AD integrated DNS zones”</w:t>
      </w:r>
      <w:r>
        <w:t xml:space="preserve"> </w:t>
      </w:r>
      <w:r>
        <w:t xml:space="preserve">(DC locator records).</w:t>
      </w:r>
      <w:r>
        <w:t xml:space="preserve"> </w:t>
      </w:r>
      <w:hyperlink r:id="rId169">
        <w:r>
          <w:rPr>
            <w:rStyle w:val="Hyperlink"/>
          </w:rPr>
          <w:t xml:space="preserve">https://learn.microsoft.com/en-us/windows-server/identity/ad-ds/plan/dns-and-ad-ds</w:t>
        </w:r>
      </w:hyperlink>
      <w:r>
        <w:t xml:space="preserve">;</w:t>
      </w:r>
      <w:r>
        <w:t xml:space="preserve"> </w:t>
      </w:r>
      <w:hyperlink r:id="rId196">
        <w:r>
          <w:rPr>
            <w:rStyle w:val="Hyperlink"/>
          </w:rPr>
          <w:t xml:space="preserve">https://learn.microsoft.com/en-us/troubleshoot/windows-server/networking/verify-srv-dns-records-have-been-created</w:t>
        </w:r>
      </w:hyperlink>
      <w:r>
        <w:t xml:space="preserve">;</w:t>
      </w:r>
      <w:r>
        <w:t xml:space="preserve"> </w:t>
      </w:r>
      <w:hyperlink r:id="rId851">
        <w:r>
          <w:rPr>
            <w:rStyle w:val="Hyperlink"/>
          </w:rPr>
          <w:t xml:space="preserve">https://learn.microsoft.com/en-us/troubleshoot/windows-server/active-directory/problems-with-dc-ad-integrated-dns-zones</w:t>
        </w:r>
      </w:hyperlink>
    </w:p>
    <w:p>
      <w:pPr>
        <w:pStyle w:val="Compact"/>
        <w:numPr>
          <w:ilvl w:val="0"/>
          <w:numId w:val="1079"/>
        </w:numPr>
      </w:pPr>
      <w:r>
        <w:t xml:space="preserve">Microsoft Learn,</w:t>
      </w:r>
      <w:r>
        <w:t xml:space="preserve"> </w:t>
      </w:r>
      <w:r>
        <w:t xml:space="preserve">“Secure DNS Client over HTTPS (DoH) on Windows Server 2022.”</w:t>
      </w:r>
      <w:r>
        <w:t xml:space="preserve"> </w:t>
      </w:r>
      <w:hyperlink r:id="rId280">
        <w:r>
          <w:rPr>
            <w:rStyle w:val="Hyperlink"/>
          </w:rPr>
          <w:t xml:space="preserve">https://learn.microsoft.com/en-us/windows-server/networking/dns/doh-client-support</w:t>
        </w:r>
      </w:hyperlink>
    </w:p>
    <w:p>
      <w:pPr>
        <w:pStyle w:val="Compact"/>
        <w:numPr>
          <w:ilvl w:val="0"/>
          <w:numId w:val="1079"/>
        </w:numPr>
      </w:pP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“Enabling DNSSEC validation in Amazon Route 53”</w:t>
      </w:r>
      <w:r>
        <w:t xml:space="preserve"> </w:t>
      </w:r>
      <w:r>
        <w:t xml:space="preserve">and</w:t>
      </w:r>
      <w:r>
        <w:t xml:space="preserve"> </w:t>
      </w:r>
      <w:r>
        <w:t xml:space="preserve">“Choosing between alias and non-alias records.”</w:t>
      </w:r>
      <w:r>
        <w:t xml:space="preserve"> </w:t>
      </w:r>
      <w:hyperlink r:id="rId408">
        <w:r>
          <w:rPr>
            <w:rStyle w:val="Hyperlink"/>
          </w:rPr>
          <w:t xml:space="preserve">https://docs.aws.amazon.com/Route53/latest/DeveloperGuide/dns-configuring-dnssec.html</w:t>
        </w:r>
      </w:hyperlink>
      <w:r>
        <w:t xml:space="preserve">;</w:t>
      </w:r>
      <w:r>
        <w:t xml:space="preserve"> </w:t>
      </w:r>
      <w:hyperlink r:id="rId410">
        <w:r>
          <w:rPr>
            <w:rStyle w:val="Hyperlink"/>
          </w:rPr>
          <w:t xml:space="preserve">https://docs.aws.amazon.com/Route53/latest/DeveloperGuide/resolver-dnssec-validation.html</w:t>
        </w:r>
      </w:hyperlink>
      <w:r>
        <w:t xml:space="preserve">;</w:t>
      </w:r>
      <w:r>
        <w:t xml:space="preserve"> </w:t>
      </w:r>
      <w:hyperlink r:id="rId844">
        <w:r>
          <w:rPr>
            <w:rStyle w:val="Hyperlink"/>
          </w:rPr>
          <w:t xml:space="preserve">https://docs.aws.amazon.com/Route53/latest/DeveloperGuide/resource-record-sets-choosing-alias-non-alias.html</w:t>
        </w:r>
      </w:hyperlink>
    </w:p>
    <w:p>
      <w:pPr>
        <w:pStyle w:val="Compact"/>
        <w:numPr>
          <w:ilvl w:val="0"/>
          <w:numId w:val="1079"/>
        </w:numPr>
      </w:pP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53">
        <w:r>
          <w:rPr>
            <w:rStyle w:val="Hyperlink"/>
          </w:rPr>
          <w:t xml:space="preserve">https://docs.aws.amazon.com/Route53/latest/DeveloperGuide/resolver-dns-firewall.html</w:t>
        </w:r>
      </w:hyperlink>
    </w:p>
    <w:p>
      <w:pPr>
        <w:pStyle w:val="Compact"/>
        <w:numPr>
          <w:ilvl w:val="0"/>
          <w:numId w:val="1079"/>
        </w:numPr>
      </w:pPr>
      <w:r>
        <w:t xml:space="preserve">AWS,</w:t>
      </w:r>
      <w:r>
        <w:t xml:space="preserve"> </w:t>
      </w:r>
      <w:r>
        <w:t xml:space="preserve">“Amazon VPC IPAM automates IP assignments from Infoblox IPAM,”</w:t>
      </w:r>
      <w:r>
        <w:t xml:space="preserve"> </w:t>
      </w:r>
      <w:r>
        <w:t xml:space="preserve">November 17, 2025 (not available in the AWS China or AWS GovCloud (US) Regions),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only; VPC IPAM Advanced Tier).</w:t>
      </w:r>
      <w:r>
        <w:t xml:space="preserve"> </w:t>
      </w:r>
      <w:hyperlink r:id="rId510">
        <w:r>
          <w:rPr>
            <w:rStyle w:val="Hyperlink"/>
          </w:rPr>
          <w:t xml:space="preserve">https://aws.amazon.com/about-aws/whats-new/2025/11/amazon-vpc-ipam-automates-ip-from-infoblox/</w:t>
        </w:r>
      </w:hyperlink>
      <w:r>
        <w:t xml:space="preserve">;</w:t>
      </w:r>
      <w:r>
        <w:t xml:space="preserve"> </w:t>
      </w:r>
      <w:hyperlink r:id="rId511">
        <w:r>
          <w:rPr>
            <w:rStyle w:val="Hyperlink"/>
          </w:rPr>
          <w:t xml:space="preserve">https://docs.aws.amazon.com/vpc/latest/ipam/integrate-infoblox-ipam.html</w:t>
        </w:r>
      </w:hyperlink>
    </w:p>
    <w:p>
      <w:pPr>
        <w:pStyle w:val="Compact"/>
        <w:numPr>
          <w:ilvl w:val="0"/>
          <w:numId w:val="1079"/>
        </w:numPr>
      </w:pPr>
      <w:r>
        <w:t xml:space="preserve">Google Cloud,</w:t>
      </w:r>
      <w:r>
        <w:t xml:space="preserve"> </w:t>
      </w:r>
      <w:r>
        <w:t xml:space="preserve">“Manage response policies and rules”</w:t>
      </w:r>
      <w:r>
        <w:t xml:space="preserve"> </w:t>
      </w:r>
      <w:r>
        <w:t xml:space="preserve">(Cloud DNS).</w:t>
      </w:r>
      <w:r>
        <w:t xml:space="preserve"> </w:t>
      </w:r>
      <w:hyperlink r:id="rId980">
        <w:r>
          <w:rPr>
            <w:rStyle w:val="Hyperlink"/>
          </w:rPr>
          <w:t xml:space="preserve">https://cloud.google.com/dns/docs/zones/manage-response-policies</w:t>
        </w:r>
      </w:hyperlink>
    </w:p>
    <w:p>
      <w:pPr>
        <w:pStyle w:val="Compact"/>
        <w:numPr>
          <w:ilvl w:val="0"/>
          <w:numId w:val="1079"/>
        </w:numPr>
      </w:pPr>
      <w:r>
        <w:t xml:space="preserve">Google Cloud,</w:t>
      </w:r>
      <w:r>
        <w:t xml:space="preserve"> </w:t>
      </w:r>
      <w:r>
        <w:t xml:space="preserve">“Internal ranges overview”</w:t>
      </w:r>
      <w:r>
        <w:t xml:space="preserve"> </w:t>
      </w:r>
      <w:r>
        <w:t xml:space="preserve">(VPC).</w:t>
      </w:r>
      <w:r>
        <w:t xml:space="preserve"> </w:t>
      </w:r>
      <w:hyperlink r:id="rId981">
        <w:r>
          <w:rPr>
            <w:rStyle w:val="Hyperlink"/>
          </w:rPr>
          <w:t xml:space="preserve">https://cloud.google.com/vpc/docs/internal-ranges</w:t>
        </w:r>
      </w:hyperlink>
    </w:p>
    <w:p>
      <w:pPr>
        <w:pStyle w:val="Compact"/>
        <w:numPr>
          <w:ilvl w:val="0"/>
          <w:numId w:val="1079"/>
        </w:numPr>
      </w:pP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27">
        <w:r>
          <w:rPr>
            <w:rStyle w:val="Hyperlink"/>
          </w:rPr>
          <w:t xml:space="preserve">https://www.cisco.com/c/en/us/td/docs/routers/sdwan/configuration/policies/ios-xe-17/policies-book-xe/redirect-dns.html</w:t>
        </w:r>
      </w:hyperlink>
    </w:p>
    <w:bookmarkEnd w:id="982"/>
    <w:bookmarkStart w:id="983" w:name="third-party-sources"/>
    <w:p>
      <w:pPr>
        <w:pStyle w:val="Heading3"/>
      </w:pPr>
      <w:r>
        <w:t xml:space="preserve">Third-party sources</w:t>
      </w:r>
    </w:p>
    <w:p>
      <w:pPr>
        <w:pStyle w:val="FirstParagraph"/>
      </w:pPr>
      <w:r>
        <w:t xml:space="preserve">Used only for product-specific facts that no primary source documents. They are labeled</w:t>
      </w:r>
      <w:r>
        <w:t xml:space="preserve"> </w:t>
      </w:r>
      <w:r>
        <w:t xml:space="preserve">“Third-party source”</w:t>
      </w:r>
      <w:r>
        <w:t xml:space="preserve"> </w:t>
      </w:r>
      <w:r>
        <w:t xml:space="preserve">in each footnote.</w:t>
      </w:r>
    </w:p>
    <w:p>
      <w:pPr>
        <w:pStyle w:val="Compact"/>
        <w:numPr>
          <w:ilvl w:val="0"/>
          <w:numId w:val="1080"/>
        </w:numPr>
      </w:pP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58">
        <w:r>
          <w:rPr>
            <w:rStyle w:val="Hyperlink"/>
          </w:rPr>
          <w:t xml:space="preserve">https://www.infoblox.com/news/news-events/press-releases/infoblox-government-cloud-achieves-fedramp-moderate-certification-bringing-modern-ddi-and-asset-visibility-to-federal-agencies/</w:t>
        </w:r>
      </w:hyperlink>
    </w:p>
    <w:p>
      <w:pPr>
        <w:pStyle w:val="Compact"/>
        <w:numPr>
          <w:ilvl w:val="0"/>
          <w:numId w:val="1080"/>
        </w:numPr>
      </w:pPr>
      <w:r>
        <w:t xml:space="preserve">Infoblox deployment guides for NIOS outbound API integrations (Palo Alto Networks firewall, December 2023; Tenable.io), and integration documentation from HashiCorp (Terraform Registry, Consul), Ansible, Splunk and ServiceNow, cited individually in Appendix A.</w:t>
      </w:r>
    </w:p>
    <w:p>
      <w:pPr>
        <w:pStyle w:val="Compact"/>
        <w:numPr>
          <w:ilvl w:val="0"/>
          <w:numId w:val="1080"/>
        </w:numPr>
      </w:pP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p>
      <w:pPr>
        <w:pStyle w:val="Compact"/>
        <w:numPr>
          <w:ilvl w:val="0"/>
          <w:numId w:val="1080"/>
        </w:numPr>
      </w:pP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519">
        <w:r>
          <w:rPr>
            <w:rStyle w:val="Hyperlink"/>
          </w:rPr>
          <w:t xml:space="preserve">https://blogs.vmware.com/cloud-foundation/2026/05/15/vcf-networking-9-1-seamless-ddi-integration-with-infoblox/</w:t>
        </w:r>
      </w:hyperlink>
    </w:p>
    <w:bookmarkEnd w:id="983"/>
    <w:bookmarkEnd w:id="984"/>
    <w:bookmarkStart w:id="985" w:name="continue-the-book-13"/>
    <w:p>
      <w:pPr>
        <w:pStyle w:val="Heading2"/>
      </w:pPr>
      <w:bookmarkStart w:id="1170" w:name="_Toc00001170"/>
      <w:r>
        <w:t xml:space="preserve">Continue the book</w:t>
      </w:r>
      <w:bookmarkEnd w:id="1170"/>
    </w:p>
    <w:p>
      <w:pPr>
        <w:pStyle w:val="FirstParagraph"/>
      </w:pPr>
      <w:r>
        <w:t xml:space="preserve">← Previous: Appendix A — DNS Record Types and Ecosystem Integrations · Book index · Next: Appendix C — Applicability →</w:t>
      </w:r>
    </w:p>
    <w:bookmarkEnd w:id="985"/>
    <w:bookmarkEnd w:id="986"/>
    <w:bookmarkStart w:id="1014" w:name="appendix-c-applicability"/>
    <w:p>
      <w:pPr>
        <w:pStyle w:val="Heading1"/>
      </w:pPr>
      <w:bookmarkStart w:id="1171" w:name="_Toc00001171"/>
      <w:r>
        <w:t xml:space="preserve">Appendix C — Applicability</w:t>
      </w:r>
      <w:bookmarkEnd w:id="1171"/>
    </w:p>
    <w:p>
      <w:pPr>
        <w:pStyle w:val="FirstParagraph"/>
      </w:pPr>
      <w:r>
        <w:rPr>
          <w:i/>
          <w:iCs/>
        </w:rPr>
        <w:t xml:space="preserve">The architecture travels to every environment; the services, integrations and authorizations underneath it don’t.</w:t>
      </w:r>
    </w:p>
    <w:bookmarkStart w:id="987" w:name="in-this-appendix-2"/>
    <w:p>
      <w:pPr>
        <w:pStyle w:val="Heading2"/>
      </w:pPr>
      <w:bookmarkStart w:id="1172" w:name="_Toc00001172"/>
      <w:r>
        <w:t xml:space="preserve">In this appendix</w:t>
      </w:r>
      <w:bookmarkEnd w:id="1172"/>
    </w:p>
    <w:p>
      <w:pPr>
        <w:pStyle w:val="FirstParagraph"/>
      </w:pPr>
      <w:r>
        <w:t xml:space="preserve">The environment the book is written for, and what changes in GCC High, Azure Government and AWS GovCloud (US), at DoD impact levels 4 and 5, and in air-gapped and classified networks, with a quick-reference table. Readers in higher-impact environments should start here, then read Chapter 03.</w:t>
      </w:r>
    </w:p>
    <w:bookmarkEnd w:id="987"/>
    <w:bookmarkStart w:id="988" w:name="platform-facts-as-of-october-20-2026"/>
    <w:p>
      <w:pPr>
        <w:pStyle w:val="Heading2"/>
      </w:pPr>
      <w:bookmarkStart w:id="1173" w:name="_Toc00001173"/>
      <w:r>
        <w:t xml:space="preserve">Platform facts as of October 20, 2026</w:t>
      </w:r>
      <w:bookmarkEnd w:id="1173"/>
    </w:p>
    <w:p>
      <w:pPr>
        <w:pStyle w:val="FirstParagraph"/>
      </w:pPr>
      <w:r>
        <w:t xml:space="preserve">Service availability in government clouds changes month to month. Every platform fact on this page was checked against the provider’s documentation or the FedRAMP Marketplace on October 20, 2026. Recheck the linked pages before relying on them.</w:t>
      </w:r>
    </w:p>
    <w:bookmarkEnd w:id="988"/>
    <w:p>
      <w:pPr>
        <w:pStyle w:val="BodyText"/>
      </w:pPr>
      <w:r>
        <w:t xml:space="preserve">The architecture in this book applies in every environment: one authoritative DDI policy plane, agency-controlled resolvers as the first hop, and consistent forwarding and policy everywhere. What changes from one environment to the next is which services are authorized, which integrations exist and which optimizations are available. This appendix sets out those boundaries so that readers in higher-impact environments know which statements in the chapters need adjusting.</w:t>
      </w:r>
    </w:p>
    <w:p>
      <w:pPr>
        <w:pStyle w:val="BodyText"/>
      </w:pPr>
      <w:r>
        <w:t xml:space="preserve">The book uses</w:t>
      </w:r>
      <w:r>
        <w:t xml:space="preserve"> </w:t>
      </w:r>
      <w:r>
        <w:rPr>
          <w:b/>
          <w:bCs/>
        </w:rPr>
        <w:t xml:space="preserve">GCC-Moderate</w:t>
      </w:r>
      <w:r>
        <w:t xml:space="preserve"> </w:t>
      </w:r>
      <w:r>
        <w:t xml:space="preserve">for the Microsoft 365 Government Community Cloud offering that Microsoft documents as</w:t>
      </w:r>
      <w:r>
        <w:t xml:space="preserve"> </w:t>
      </w:r>
      <w:r>
        <w:t xml:space="preserve">“GCC.”</w:t>
      </w:r>
      <w:r>
        <w:rPr>
          <w:rStyle w:val="FootnoteReference"/>
        </w:rPr>
        <w:footnoteReference w:id="989"/>
      </w:r>
      <w:r>
        <w:t xml:space="preserve"> </w:t>
      </w:r>
      <w:r>
        <w:t xml:space="preserve">GCC uses the Worldwide endpoint set,</w:t>
      </w:r>
      <w:r>
        <w:rPr>
          <w:rStyle w:val="FootnoteReference"/>
        </w:rPr>
        <w:footnoteReference w:id="990"/>
      </w:r>
      <w:r>
        <w:t xml:space="preserve"> </w:t>
      </w:r>
      <w:r>
        <w:t xml:space="preserve">and the FedRAMP Marketplace lists it (as Microsoft 365 Government Community Cloud &amp; Supporting Services) as FedRAMP Certified at Class C, which the Marketplace labels Moderate.</w:t>
      </w:r>
      <w:r>
        <w:rPr>
          <w:rStyle w:val="FootnoteReference"/>
        </w:rPr>
        <w:footnoteReference w:id="991"/>
      </w:r>
      <w:r>
        <w:t xml:space="preserve"> </w:t>
      </w:r>
      <w:r>
        <w:t xml:space="preserve">Microsoft’s GCC service description uses broader wording about FedRAMP accreditation;</w:t>
      </w:r>
      <w:r>
        <w:rPr>
          <w:rStyle w:val="FootnoteReference"/>
        </w:rPr>
        <w:footnoteReference w:id="992"/>
      </w:r>
      <w:r>
        <w:t xml:space="preserve"> </w:t>
      </w:r>
      <w:r>
        <w:t xml:space="preserve">for authorization purposes, read the Marketplace listing and the package.</w:t>
      </w:r>
    </w:p>
    <w:bookmarkStart w:id="997" w:name="X6cc3ab9e27fa52221454b168ed8d3062f47fd22"/>
    <w:p>
      <w:pPr>
        <w:pStyle w:val="Heading2"/>
      </w:pPr>
      <w:bookmarkStart w:id="1174" w:name="_Toc00001174"/>
      <w:r>
        <w:t xml:space="preserve">Primary scope: commercial cloud at FedRAMP Moderate</w:t>
      </w:r>
      <w:bookmarkEnd w:id="1174"/>
    </w:p>
    <w:p>
      <w:pPr>
        <w:pStyle w:val="FirstParagraph"/>
      </w:pPr>
      <w:r>
        <w:t xml:space="preserve">The book is written for agencies whose workloads run in commercial Azure, commercial AWS Regions and Google Cloud, with Microsoft 365 in GCC-Moderate, at the FedRAMP Moderate impact level. In this environment:</w:t>
      </w:r>
    </w:p>
    <w:p>
      <w:pPr>
        <w:pStyle w:val="Compact"/>
        <w:numPr>
          <w:ilvl w:val="0"/>
          <w:numId w:val="1081"/>
        </w:numPr>
      </w:pPr>
      <w:r>
        <w:t xml:space="preserve">Everything in Chapters 01–12 applies as written.</w:t>
      </w:r>
    </w:p>
    <w:p>
      <w:pPr>
        <w:pStyle w:val="Compact"/>
        <w:numPr>
          <w:ilvl w:val="0"/>
          <w:numId w:val="1081"/>
        </w:numPr>
      </w:pPr>
      <w:r>
        <w:t xml:space="preserve">A DDI management service delivered as a cloud service must hold a FedRAMP certification at Moderate or higher, and the agency authorizes its own DDI system that uses it; FedRAMP’s rules say an agency</w:t>
      </w:r>
      <w:r>
        <w:t xml:space="preserve"> </w:t>
      </w:r>
      <w:r>
        <w:t xml:space="preserve">“should never create a standalone authorization to operate for a cloud service offering.”</w:t>
      </w:r>
      <w:r>
        <w:rPr>
          <w:rStyle w:val="FootnoteReference"/>
        </w:rPr>
        <w:footnoteReference w:id="993"/>
      </w:r>
      <w:r>
        <w:t xml:space="preserve"> </w:t>
      </w:r>
      <w:r>
        <w:t xml:space="preserve">On-premises and in-tenant resolvers stay inside the agency’s own boundary (Chapter 03).</w:t>
      </w:r>
    </w:p>
    <w:p>
      <w:pPr>
        <w:pStyle w:val="Compact"/>
        <w:numPr>
          <w:ilvl w:val="0"/>
          <w:numId w:val="1081"/>
        </w:numPr>
      </w:pPr>
      <w:r>
        <w:t xml:space="preserve">Microsoft 365 informed network routing (INR) is</w:t>
      </w:r>
      <w:r>
        <w:t xml:space="preserve"> </w:t>
      </w:r>
      <w:r>
        <w:rPr>
          <w:b/>
          <w:bCs/>
        </w:rPr>
        <w:t xml:space="preserve">not</w:t>
      </w:r>
      <w:r>
        <w:t xml:space="preserve"> </w:t>
      </w:r>
      <w:r>
        <w:t xml:space="preserve">available. Microsoft says it</w:t>
      </w:r>
      <w:r>
        <w:t xml:space="preserve"> </w:t>
      </w:r>
      <w:r>
        <w:t xml:space="preserve">“supports tenants in WW Commercial cloud but not the GCC Moderate, GCC High, DoD, Germany, or China clouds”</w:t>
      </w:r>
      <w:r>
        <w:t xml:space="preserve"> </w:t>
      </w:r>
      <w:r>
        <w:t xml:space="preserve">(Chapter 05).</w:t>
      </w:r>
      <w:r>
        <w:rPr>
          <w:rStyle w:val="FootnoteReference"/>
        </w:rPr>
        <w:footnoteReference w:id="994"/>
      </w:r>
    </w:p>
    <w:p>
      <w:pPr>
        <w:pStyle w:val="Compact"/>
        <w:numPr>
          <w:ilvl w:val="0"/>
          <w:numId w:val="1081"/>
        </w:numPr>
      </w:pPr>
      <w:r>
        <w:t xml:space="preserve">The Amazon VPC IPAM integration that lets an external Infoblox IPAM act as the authority for a VPC IPAM scope is available in commercial AWS Regions, for private scopes only, and requires the VPC IPAM Advanced Tier (Chapter 07).</w:t>
      </w:r>
      <w:r>
        <w:rPr>
          <w:rStyle w:val="FootnoteReference"/>
        </w:rPr>
        <w:footnoteReference w:id="995"/>
      </w:r>
    </w:p>
    <w:p>
      <w:pPr>
        <w:pStyle w:val="Compact"/>
        <w:numPr>
          <w:ilvl w:val="0"/>
          <w:numId w:val="1081"/>
        </w:numPr>
      </w:pPr>
      <w:r>
        <w:t xml:space="preserve">Because GCC-Moderate uses the Worldwide endpoint list,</w:t>
      </w:r>
      <w:r>
        <w:rPr>
          <w:rStyle w:val="FootnoteReference"/>
        </w:rPr>
        <w:footnoteReference w:id="996"/>
      </w:r>
      <w:r>
        <w:t xml:space="preserve"> </w:t>
      </w:r>
      <w:r>
        <w:t xml:space="preserve">the DNS risk for Microsoft 365 is path consistency rather than resolving to the wrong cloud (Chapter 02).</w:t>
      </w:r>
    </w:p>
    <w:bookmarkEnd w:id="997"/>
    <w:bookmarkStart w:id="1004" w:name="X9776acfc4c9f2b7965f1d3e75c4e4fa6dfb3269"/>
    <w:p>
      <w:pPr>
        <w:pStyle w:val="Heading2"/>
      </w:pPr>
      <w:bookmarkStart w:id="1175" w:name="_Toc00001175"/>
      <w:r>
        <w:t xml:space="preserve">GCC High, Azure Government and AWS GovCloud (US)</w:t>
      </w:r>
      <w:bookmarkEnd w:id="1175"/>
    </w:p>
    <w:p>
      <w:pPr>
        <w:pStyle w:val="FirstParagraph"/>
      </w:pPr>
      <w:r>
        <w:t xml:space="preserve">The architecture is unchanged. The differences are in authorization and integration:</w:t>
      </w:r>
    </w:p>
    <w:p>
      <w:pPr>
        <w:pStyle w:val="Compact"/>
        <w:numPr>
          <w:ilvl w:val="0"/>
          <w:numId w:val="1082"/>
        </w:numPr>
      </w:pPr>
      <w:r>
        <w:t xml:space="preserve">A policy plane certified only at FedRAMP Moderate doesn’t cover High-impact systems. Either use a service certified at High, or keep the policy plane inside the agency’s own High boundary (on-premises or in-tenant management), and confirm the approach with the authorizing official.</w:t>
      </w:r>
    </w:p>
    <w:p>
      <w:pPr>
        <w:pStyle w:val="Compact"/>
        <w:numPr>
          <w:ilvl w:val="0"/>
          <w:numId w:val="1082"/>
        </w:numPr>
      </w:pPr>
      <w:r>
        <w:t xml:space="preserve">Microsoft 365 GCC High uses its own endpoints and namespaces, many under</w:t>
      </w:r>
      <w:r>
        <w:t xml:space="preserve"> </w:t>
      </w:r>
      <w:r>
        <w:rPr>
          <w:rStyle w:val="VerbatimChar"/>
        </w:rPr>
        <w:t xml:space="preserve">.us</w:t>
      </w:r>
      <w:r>
        <w:t xml:space="preserve"> </w:t>
      </w:r>
      <w:r>
        <w:t xml:space="preserve">domains (for example</w:t>
      </w:r>
      <w:r>
        <w:t xml:space="preserve"> </w:t>
      </w:r>
      <w:r>
        <w:rPr>
          <w:rStyle w:val="VerbatimChar"/>
        </w:rPr>
        <w:t xml:space="preserve">outlook.office365.us</w:t>
      </w:r>
      <w:r>
        <w:t xml:space="preserve">,</w:t>
      </w:r>
      <w:r>
        <w:t xml:space="preserve"> </w:t>
      </w:r>
      <w:r>
        <w:rPr>
          <w:rStyle w:val="VerbatimChar"/>
        </w:rPr>
        <w:t xml:space="preserve">*.sharepoint.us</w:t>
      </w:r>
      <w:r>
        <w:t xml:space="preserve">,</w:t>
      </w:r>
      <w:r>
        <w:t xml:space="preserve"> </w:t>
      </w:r>
      <w:r>
        <w:rPr>
          <w:rStyle w:val="VerbatimChar"/>
        </w:rPr>
        <w:t xml:space="preserve">gov.teams.microsoft.us</w:t>
      </w:r>
      <w:r>
        <w:t xml:space="preserve"> </w:t>
      </w:r>
      <w:r>
        <w:t xml:space="preserve">and</w:t>
      </w:r>
      <w:r>
        <w:t xml:space="preserve"> </w:t>
      </w:r>
      <w:r>
        <w:rPr>
          <w:rStyle w:val="VerbatimChar"/>
        </w:rPr>
        <w:t xml:space="preserve">login.microsoftonline.us</w:t>
      </w:r>
      <w:r>
        <w:t xml:space="preserve">), and every resolver that GCC High users depend on must answer them correctly (Chapter 02).</w:t>
      </w:r>
      <w:r>
        <w:rPr>
          <w:rStyle w:val="FootnoteReference"/>
        </w:rPr>
        <w:footnoteReference w:id="998"/>
      </w:r>
    </w:p>
    <w:p>
      <w:pPr>
        <w:pStyle w:val="Compact"/>
        <w:numPr>
          <w:ilvl w:val="0"/>
          <w:numId w:val="1082"/>
        </w:numPr>
      </w:pPr>
      <w:r>
        <w:t xml:space="preserve">INR is not available.</w:t>
      </w:r>
      <w:r>
        <w:rPr>
          <w:rStyle w:val="FootnoteReference"/>
        </w:rPr>
        <w:footnoteReference w:id="999"/>
      </w:r>
    </w:p>
    <w:p>
      <w:pPr>
        <w:pStyle w:val="Compact"/>
        <w:numPr>
          <w:ilvl w:val="0"/>
          <w:numId w:val="1082"/>
        </w:numPr>
      </w:pPr>
      <w:r>
        <w:t xml:space="preserve">The Amazon VPC IPAM–Infoblox integration is not available in the AWS GovCloud (US) Regions (or the AWS China Regions).</w:t>
      </w:r>
      <w:r>
        <w:rPr>
          <w:rStyle w:val="FootnoteReference"/>
        </w:rPr>
        <w:footnoteReference w:id="1000"/>
      </w:r>
      <w:r>
        <w:t xml:space="preserve"> </w:t>
      </w:r>
      <w:r>
        <w:t xml:space="preserve">Treat GovCloud like Azure and Google Cloud in Chapter 07: discovery, reconciliation and a reservation process.</w:t>
      </w:r>
    </w:p>
    <w:p>
      <w:pPr>
        <w:pStyle w:val="Compact"/>
        <w:numPr>
          <w:ilvl w:val="0"/>
          <w:numId w:val="1082"/>
        </w:numPr>
      </w:pPr>
      <w:r>
        <w:t xml:space="preserve">Azure Government feature availability differs from commercial Azure.</w:t>
      </w:r>
      <w:r>
        <w:rPr>
          <w:rStyle w:val="FootnoteReference"/>
        </w:rPr>
        <w:footnoteReference w:id="1001"/>
      </w:r>
      <w:r>
        <w:t xml:space="preserve"> </w:t>
      </w:r>
      <w:r>
        <w:t xml:space="preserve">On Microsoft’s Azure Government roadmap, Azure DNS private zones and public zones are generally available and authorized at FedRAMP High, DoD IL4 and DoD IL5, and Azure DNS Private Resolver is generally available at FedRAMP High.</w:t>
      </w:r>
      <w:r>
        <w:rPr>
          <w:rStyle w:val="FootnoteReference"/>
        </w:rPr>
        <w:footnoteReference w:id="1002"/>
      </w:r>
      <w:r>
        <w:t xml:space="preserve"> </w:t>
      </w:r>
      <w:r>
        <w:t xml:space="preserve">Confirm DNS security policy and DNSSEC signing availability in the target Azure Government regions before design.</w:t>
      </w:r>
    </w:p>
    <w:p>
      <w:pPr>
        <w:pStyle w:val="Compact"/>
        <w:numPr>
          <w:ilvl w:val="0"/>
          <w:numId w:val="1082"/>
        </w:numPr>
      </w:pPr>
      <w:r>
        <w:t xml:space="preserve">Private endpoint DNS zone names differ in Azure Government (for example</w:t>
      </w:r>
      <w:r>
        <w:t xml:space="preserve"> </w:t>
      </w:r>
      <w:r>
        <w:rPr>
          <w:rStyle w:val="VerbatimChar"/>
        </w:rPr>
        <w:t xml:space="preserve">privatelink.database.usgovcloudapi.net</w:t>
      </w:r>
      <w:r>
        <w:t xml:space="preserve"> </w:t>
      </w:r>
      <w:r>
        <w:t xml:space="preserve">rather than the commercial names), so conditional forwarding rules written for commercial Azure don’t carry over unchanged (Chapter 07).</w:t>
      </w:r>
      <w:r>
        <w:rPr>
          <w:rStyle w:val="FootnoteReference"/>
        </w:rPr>
        <w:footnoteReference w:id="1003"/>
      </w:r>
    </w:p>
    <w:bookmarkEnd w:id="1004"/>
    <w:bookmarkStart w:id="1007" w:name="dod-impact-levels-4-and-5"/>
    <w:p>
      <w:pPr>
        <w:pStyle w:val="Heading2"/>
      </w:pPr>
      <w:bookmarkStart w:id="1176" w:name="_Toc00001176"/>
      <w:r>
        <w:t xml:space="preserve">DoD (impact levels 4 and 5)</w:t>
      </w:r>
      <w:bookmarkEnd w:id="1176"/>
    </w:p>
    <w:p>
      <w:pPr>
        <w:pStyle w:val="FirstParagraph"/>
      </w:pPr>
      <w:r>
        <w:t xml:space="preserve">Everything in the GCC High section applies, plus the DoD Cloud Computing Security Requirements Guide (SRG) and component-specific requirements. Azure Government holds DISA provisional authorizations at IL4 and IL5, with separate IL5 provisional authorizations for the US Gov and US DoD regions.</w:t>
      </w:r>
      <w:r>
        <w:rPr>
          <w:rStyle w:val="FootnoteReference"/>
        </w:rPr>
        <w:footnoteReference w:id="1005"/>
      </w:r>
      <w:r>
        <w:t xml:space="preserve"> </w:t>
      </w:r>
      <w:r>
        <w:t xml:space="preserve">Not every service is authorized at every level: on the Azure Government roadmap, Azure DNS Private Resolver is forecast, not yet authorized, at IL4 and IL5.</w:t>
      </w:r>
      <w:r>
        <w:rPr>
          <w:rStyle w:val="FootnoteReference"/>
        </w:rPr>
        <w:footnoteReference w:id="1006"/>
      </w:r>
      <w:r>
        <w:t xml:space="preserve"> </w:t>
      </w:r>
      <w:r>
        <w:t xml:space="preserve">This book doesn’t map the SRG. Treat Chapter 03 and Appendix B as a starting point only, and confirm provisional authorization status at the required impact level for every cloud service in the design.</w:t>
      </w:r>
    </w:p>
    <w:bookmarkEnd w:id="1007"/>
    <w:bookmarkStart w:id="1009" w:name="air-gapped-and-classified-networks"/>
    <w:p>
      <w:pPr>
        <w:pStyle w:val="Heading2"/>
      </w:pPr>
      <w:bookmarkStart w:id="1177" w:name="_Toc00001177"/>
      <w:r>
        <w:t xml:space="preserve">Air-gapped and classified networks</w:t>
      </w:r>
      <w:bookmarkEnd w:id="1177"/>
    </w:p>
    <w:p>
      <w:pPr>
        <w:pStyle w:val="FirstParagraph"/>
      </w:pPr>
      <w:r>
        <w:t xml:space="preserve">The core design still applies: one authoritative policy plane, agency resolvers as the first hop, consistent forwarding, DNSSEC validation under agency control and full logging. Several things in this book don’t:</w:t>
      </w:r>
    </w:p>
    <w:p>
      <w:pPr>
        <w:pStyle w:val="Compact"/>
        <w:numPr>
          <w:ilvl w:val="0"/>
          <w:numId w:val="1083"/>
        </w:numPr>
      </w:pPr>
      <w:r>
        <w:t xml:space="preserve">No SaaS management plane. The policy plane, resolvers and IPAM run entirely inside the enclave.</w:t>
      </w:r>
    </w:p>
    <w:p>
      <w:pPr>
        <w:pStyle w:val="Compact"/>
        <w:numPr>
          <w:ilvl w:val="0"/>
          <w:numId w:val="1083"/>
        </w:numPr>
      </w:pPr>
      <w:r>
        <w:t xml:space="preserve">No CISA Protective DNS forwarding and no public recursion. The internet-facing guidance in Chapters 02 and 05 doesn’t apply; local response policy zones carry threat intelligence imported through approved cross-domain processes.</w:t>
      </w:r>
    </w:p>
    <w:p>
      <w:pPr>
        <w:pStyle w:val="Compact"/>
        <w:numPr>
          <w:ilvl w:val="0"/>
          <w:numId w:val="1083"/>
        </w:numPr>
      </w:pPr>
      <w:r>
        <w:t xml:space="preserve">DNSSEC trust anchors and any internal root are managed locally.</w:t>
      </w:r>
    </w:p>
    <w:p>
      <w:pPr>
        <w:pStyle w:val="Compact"/>
        <w:numPr>
          <w:ilvl w:val="0"/>
          <w:numId w:val="1083"/>
        </w:numPr>
      </w:pPr>
      <w:r>
        <w:t xml:space="preserve">Cloud-provider integrations apply only where the provider offers a corresponding isolated cloud, and availability there must be confirmed separately. In Azure Government Secret (IL6), for example, Azure DNS private zones are generally available, Azure DNS Private Resolver is awaiting review and public zones are planned.</w:t>
      </w:r>
      <w:r>
        <w:rPr>
          <w:rStyle w:val="FootnoteReference"/>
        </w:rPr>
        <w:footnoteReference w:id="1008"/>
      </w:r>
    </w:p>
    <w:p>
      <w:pPr>
        <w:pStyle w:val="FirstParagraph"/>
      </w:pPr>
      <w:r>
        <w:t xml:space="preserve">Mission-specific guidance governs these environments, and this book’s sources don’t cover it.</w:t>
      </w:r>
    </w:p>
    <w:bookmarkEnd w:id="1009"/>
    <w:bookmarkStart w:id="1012" w:name="quick-reference"/>
    <w:p>
      <w:pPr>
        <w:pStyle w:val="Heading2"/>
      </w:pPr>
      <w:bookmarkStart w:id="1178" w:name="_Toc00001178"/>
      <w:r>
        <w:t xml:space="preserve">Quick reference</w:t>
      </w:r>
      <w:bookmarkEnd w:id="1178"/>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Topic</w:t>
            </w:r>
          </w:p>
        </w:tc>
        <w:tc>
          <w:tcPr/>
          <w:p>
            <w:pPr>
              <w:pStyle w:val="Compact"/>
            </w:pPr>
            <w:r>
              <w:t xml:space="preserve">Commercial / GCC-Moderate</w:t>
            </w:r>
          </w:p>
        </w:tc>
        <w:tc>
          <w:tcPr/>
          <w:p>
            <w:pPr>
              <w:pStyle w:val="Compact"/>
            </w:pPr>
            <w:r>
              <w:t xml:space="preserve">GCC High / Azure Government / GovCloud</w:t>
            </w:r>
          </w:p>
        </w:tc>
        <w:tc>
          <w:tcPr/>
          <w:p>
            <w:pPr>
              <w:pStyle w:val="Compact"/>
            </w:pPr>
            <w:r>
              <w:t xml:space="preserve">DoD IL4–IL5</w:t>
            </w:r>
          </w:p>
        </w:tc>
        <w:tc>
          <w:tcPr/>
          <w:p>
            <w:pPr>
              <w:pStyle w:val="Compact"/>
            </w:pPr>
            <w:r>
              <w:t xml:space="preserve">Air-gapped</w:t>
            </w:r>
          </w:p>
        </w:tc>
      </w:tr>
      <w:tr>
        <w:tc>
          <w:tcPr/>
          <w:p>
            <w:pPr>
              <w:pStyle w:val="Compact"/>
            </w:pPr>
            <w:r>
              <w:t xml:space="preserve">Single DDI policy plane</w:t>
            </w:r>
          </w:p>
        </w:tc>
        <w:tc>
          <w:tcPr/>
          <w:p>
            <w:pPr>
              <w:pStyle w:val="Compact"/>
            </w:pPr>
            <w:r>
              <w:t xml:space="preserve">Applies</w:t>
            </w:r>
          </w:p>
        </w:tc>
        <w:tc>
          <w:tcPr/>
          <w:p>
            <w:pPr>
              <w:pStyle w:val="Compact"/>
            </w:pPr>
            <w:r>
              <w:t xml:space="preserve">Applies</w:t>
            </w:r>
          </w:p>
        </w:tc>
        <w:tc>
          <w:tcPr/>
          <w:p>
            <w:pPr>
              <w:pStyle w:val="Compact"/>
            </w:pPr>
            <w:r>
              <w:t xml:space="preserve">Applies</w:t>
            </w:r>
          </w:p>
        </w:tc>
        <w:tc>
          <w:tcPr/>
          <w:p>
            <w:pPr>
              <w:pStyle w:val="Compact"/>
            </w:pPr>
            <w:r>
              <w:t xml:space="preserve">Applies</w:t>
            </w:r>
          </w:p>
        </w:tc>
      </w:tr>
      <w:tr>
        <w:tc>
          <w:tcPr/>
          <w:p>
            <w:pPr>
              <w:pStyle w:val="Compact"/>
            </w:pPr>
            <w:r>
              <w:t xml:space="preserve">Cloud-delivered management certified at FedRAMP Moderate</w:t>
            </w:r>
          </w:p>
        </w:tc>
        <w:tc>
          <w:tcPr/>
          <w:p>
            <w:pPr>
              <w:pStyle w:val="Compact"/>
            </w:pPr>
            <w:r>
              <w:t xml:space="preserve">Sufficient for Moderate systems; the agency authorizes its own system</w:t>
            </w:r>
          </w:p>
        </w:tc>
        <w:tc>
          <w:tcPr/>
          <w:p>
            <w:pPr>
              <w:pStyle w:val="Compact"/>
            </w:pPr>
            <w:r>
              <w:t xml:space="preserve">Not sufficient alone</w:t>
            </w:r>
          </w:p>
        </w:tc>
        <w:tc>
          <w:tcPr/>
          <w:p>
            <w:pPr>
              <w:pStyle w:val="Compact"/>
            </w:pPr>
            <w:r>
              <w:t xml:space="preserve">Not sufficient alone</w:t>
            </w:r>
          </w:p>
        </w:tc>
        <w:tc>
          <w:tcPr/>
          <w:p>
            <w:pPr>
              <w:pStyle w:val="Compact"/>
            </w:pPr>
            <w:r>
              <w:t xml:space="preserve">Not applicable</w:t>
            </w:r>
          </w:p>
        </w:tc>
      </w:tr>
      <w:tr>
        <w:tc>
          <w:tcPr/>
          <w:p>
            <w:pPr>
              <w:pStyle w:val="Compact"/>
            </w:pPr>
            <w:r>
              <w:t xml:space="preserve">CISA Protective DNS forwarding</w:t>
            </w:r>
          </w:p>
        </w:tc>
        <w:tc>
          <w:tcPr/>
          <w:p>
            <w:pPr>
              <w:pStyle w:val="Compact"/>
            </w:pPr>
            <w:r>
              <w:t xml:space="preserve">Required for federal civilian agency egress</w:t>
            </w:r>
          </w:p>
        </w:tc>
        <w:tc>
          <w:tcPr/>
          <w:p>
            <w:pPr>
              <w:pStyle w:val="Compact"/>
            </w:pPr>
            <w:r>
              <w:t xml:space="preserve">Required for federal civilian agency egress</w:t>
            </w:r>
          </w:p>
        </w:tc>
        <w:tc>
          <w:tcPr/>
          <w:p>
            <w:pPr>
              <w:pStyle w:val="Compact"/>
            </w:pPr>
            <w:r>
              <w:t xml:space="preserve">Per DoD requirements</w:t>
            </w:r>
          </w:p>
        </w:tc>
        <w:tc>
          <w:tcPr/>
          <w:p>
            <w:pPr>
              <w:pStyle w:val="Compact"/>
            </w:pPr>
            <w:r>
              <w:t xml:space="preserve">Not applicable</w:t>
            </w:r>
          </w:p>
        </w:tc>
      </w:tr>
      <w:tr>
        <w:tc>
          <w:tcPr/>
          <w:p>
            <w:pPr>
              <w:pStyle w:val="Compact"/>
            </w:pPr>
            <w:r>
              <w:t xml:space="preserve">Microsoft 365 INR</w:t>
            </w:r>
          </w:p>
        </w:tc>
        <w:tc>
          <w:tcPr/>
          <w:p>
            <w:pPr>
              <w:pStyle w:val="Compact"/>
            </w:pPr>
            <w:r>
              <w:t xml:space="preserve">Not in GCC-Moderate (Worldwide commercial only)</w:t>
            </w:r>
          </w:p>
        </w:tc>
        <w:tc>
          <w:tcPr/>
          <w:p>
            <w:pPr>
              <w:pStyle w:val="Compact"/>
            </w:pPr>
            <w:r>
              <w:t xml:space="preserve">Not available</w:t>
            </w:r>
          </w:p>
        </w:tc>
        <w:tc>
          <w:tcPr/>
          <w:p>
            <w:pPr>
              <w:pStyle w:val="Compact"/>
            </w:pPr>
            <w:r>
              <w:t xml:space="preserve">Not available</w:t>
            </w:r>
          </w:p>
        </w:tc>
        <w:tc>
          <w:tcPr/>
          <w:p>
            <w:pPr>
              <w:pStyle w:val="Compact"/>
            </w:pPr>
            <w:r>
              <w:t xml:space="preserve">Not applicable</w:t>
            </w:r>
          </w:p>
        </w:tc>
      </w:tr>
      <w:tr>
        <w:tc>
          <w:tcPr/>
          <w:p>
            <w:pPr>
              <w:pStyle w:val="Compact"/>
            </w:pPr>
            <w:r>
              <w:t xml:space="preserve">Amazon VPC IPAM external-IPAM (Infoblox) integration</w:t>
            </w:r>
          </w:p>
        </w:tc>
        <w:tc>
          <w:tcPr/>
          <w:p>
            <w:pPr>
              <w:pStyle w:val="Compact"/>
            </w:pPr>
            <w:r>
              <w:t xml:space="preserve">Commercial Regions, private scopes</w:t>
            </w:r>
          </w:p>
        </w:tc>
        <w:tc>
          <w:tcPr/>
          <w:p>
            <w:pPr>
              <w:pStyle w:val="Compact"/>
            </w:pPr>
            <w:r>
              <w:t xml:space="preserve">Not in GovCloud</w:t>
            </w:r>
          </w:p>
        </w:tc>
        <w:tc>
          <w:tcPr/>
          <w:p>
            <w:pPr>
              <w:pStyle w:val="Compact"/>
            </w:pPr>
            <w:r>
              <w:t xml:space="preserve">Not in GovCloud</w:t>
            </w:r>
          </w:p>
        </w:tc>
        <w:tc>
          <w:tcPr/>
          <w:p>
            <w:pPr>
              <w:pStyle w:val="Compact"/>
            </w:pPr>
            <w:r>
              <w:t xml:space="preserve">Not applicable</w:t>
            </w:r>
          </w:p>
        </w:tc>
      </w:tr>
      <w:tr>
        <w:tc>
          <w:tcPr/>
          <w:p>
            <w:pPr>
              <w:pStyle w:val="Compact"/>
            </w:pPr>
            <w:r>
              <w:t xml:space="preserve">Azure DNS Private Resolver</w:t>
            </w:r>
          </w:p>
        </w:tc>
        <w:tc>
          <w:tcPr/>
          <w:p>
            <w:pPr>
              <w:pStyle w:val="Compact"/>
            </w:pPr>
            <w:r>
              <w:t xml:space="preserve">Available</w:t>
            </w:r>
          </w:p>
        </w:tc>
        <w:tc>
          <w:tcPr/>
          <w:p>
            <w:pPr>
              <w:pStyle w:val="Compact"/>
            </w:pPr>
            <w:r>
              <w:t xml:space="preserve">FedRAMP High (Azure Government)</w:t>
            </w:r>
          </w:p>
        </w:tc>
        <w:tc>
          <w:tcPr/>
          <w:p>
            <w:pPr>
              <w:pStyle w:val="Compact"/>
            </w:pPr>
            <w:r>
              <w:t xml:space="preserve">Forecast at IL4 and IL5</w:t>
            </w:r>
          </w:p>
        </w:tc>
        <w:tc>
          <w:tcPr/>
          <w:p>
            <w:pPr>
              <w:pStyle w:val="Compact"/>
            </w:pPr>
            <w:r>
              <w:t xml:space="preserve">Awaiting review in Azure Government Secret</w:t>
            </w:r>
          </w:p>
        </w:tc>
      </w:tr>
      <w:tr>
        <w:tc>
          <w:tcPr/>
          <w:p>
            <w:pPr>
              <w:pStyle w:val="Compact"/>
            </w:pPr>
            <w:r>
              <w:t xml:space="preserve">Azure Private DNS DNSSEC signing</w:t>
            </w:r>
          </w:p>
        </w:tc>
        <w:tc>
          <w:tcPr/>
          <w:p>
            <w:pPr>
              <w:pStyle w:val="Compact"/>
            </w:pPr>
            <w:r>
              <w:t xml:space="preserve">Not supported (Azure DNSSEC signs public zones only)</w:t>
            </w:r>
          </w:p>
        </w:tc>
        <w:tc>
          <w:tcPr/>
          <w:p>
            <w:pPr>
              <w:pStyle w:val="Compact"/>
            </w:pPr>
            <w:r>
              <w:t xml:space="preserve">Not supported</w:t>
            </w:r>
          </w:p>
        </w:tc>
        <w:tc>
          <w:tcPr/>
          <w:p>
            <w:pPr>
              <w:pStyle w:val="Compact"/>
            </w:pPr>
            <w:r>
              <w:t xml:space="preserve">Not supported</w:t>
            </w:r>
          </w:p>
        </w:tc>
        <w:tc>
          <w:tcPr/>
          <w:p>
            <w:pPr>
              <w:pStyle w:val="Compact"/>
            </w:pPr>
            <w:r>
              <w:t xml:space="preserve">Not applicable</w:t>
            </w:r>
          </w:p>
        </w:tc>
      </w:tr>
    </w:tbl>
    <w:p>
      <w:pPr>
        <w:pStyle w:val="BodyText"/>
      </w:pPr>
      <w:r>
        <w:t xml:space="preserve">The Protective DNS row rests on M-22-09’s statement that agencies</w:t>
      </w:r>
      <w:r>
        <w:t xml:space="preserve"> </w:t>
      </w:r>
      <w:r>
        <w:t xml:space="preserve">“are already required to have DNS requests routed through CISA-operated infrastructure.”</w:t>
      </w:r>
      <w:r>
        <w:rPr>
          <w:rStyle w:val="FootnoteReference"/>
        </w:rPr>
        <w:footnoteReference w:id="1010"/>
      </w:r>
      <w:r>
        <w:t xml:space="preserve"> </w:t>
      </w:r>
      <w:r>
        <w:t xml:space="preserve">The DNSSEC row rests on Microsoft’s prerequisite that a zone to be signed</w:t>
      </w:r>
      <w:r>
        <w:t xml:space="preserve"> </w:t>
      </w:r>
      <w:r>
        <w:t xml:space="preserve">“must be hosted by Azure Public DNS.”</w:t>
      </w:r>
      <w:r>
        <w:rPr>
          <w:rStyle w:val="FootnoteReference"/>
        </w:rPr>
        <w:footnoteReference w:id="1011"/>
      </w:r>
    </w:p>
    <w:bookmarkEnd w:id="1012"/>
    <w:bookmarkStart w:id="1013" w:name="continue-the-book-14"/>
    <w:p>
      <w:pPr>
        <w:pStyle w:val="Heading2"/>
      </w:pPr>
      <w:bookmarkStart w:id="1179" w:name="_Toc00001179"/>
      <w:r>
        <w:t xml:space="preserve">Continue the book</w:t>
      </w:r>
      <w:bookmarkEnd w:id="1179"/>
    </w:p>
    <w:p>
      <w:pPr>
        <w:pStyle w:val="FirstParagraph"/>
      </w:pPr>
      <w:r>
        <w:t xml:space="preserve">← Previous: Appendix B — Requirements Mapping and Sources · Book index</w:t>
      </w:r>
    </w:p>
    <w:bookmarkEnd w:id="1013"/>
    <w:bookmarkEnd w:id="10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2">
        <w:r>
          <w:rPr>
            <w:rStyle w:val="Hyperlink"/>
          </w:rPr>
          <w:t xml:space="preserve">https://georgewbush-whitehouse.archives.gov/omb/memoranda/fy2008/m08-23.pdf</w:t>
        </w:r>
      </w:hyperlink>
      <w:r>
        <w:t xml:space="preserve"> </w:t>
      </w:r>
      <w:r>
        <w:t xml:space="preserve">(accessed Oct 20, 2026).</w:t>
      </w:r>
      <w:r>
        <w:t xml:space="preserve"> </w:t>
      </w:r>
      <w:r>
        <w:t xml:space="preserve">“Almost every instance of network communication begins with a request to the Domain Name System.”</w:t>
      </w:r>
    </w:p>
  </w:footnote>
  <w:footnote w:id="2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24">
        <w:r>
          <w:rPr>
            <w:rStyle w:val="Hyperlink"/>
          </w:rPr>
          <w:t xml:space="preserve">https://csrc.nist.gov/pubs/sp/800/81/r3/final</w:t>
        </w:r>
      </w:hyperlink>
      <w:r>
        <w:t xml:space="preserve"> </w:t>
      </w:r>
      <w:r>
        <w:t xml:space="preserve">(accessed Oct 20, 2026). Executive Summary (DNS infrastructure</w:t>
      </w:r>
      <w:r>
        <w:t xml:space="preserve"> </w:t>
      </w:r>
      <w:r>
        <w:t xml:space="preserve">“has become more than a service; it is also a security control”</w:t>
      </w:r>
      <w:r>
        <w:t xml:space="preserve">); Sec. 1.2 (an organization’s DNS service is both an information source for policy decision points and a policy enforcement point).</w:t>
      </w:r>
    </w:p>
  </w:footnote>
  <w:footnote w:id="26">
    <w:p>
      <w:pPr>
        <w:pStyle w:val="FootnoteText"/>
      </w:pPr>
      <w:r>
        <w:rPr>
          <w:rStyle w:val="FootnoteReference"/>
        </w:rPr>
        <w:footnoteRef/>
      </w:r>
      <w:r>
        <w:t xml:space="preserve"> </w:t>
      </w:r>
      <w:r>
        <w:t xml:space="preserve">Cisco,</w:t>
      </w:r>
      <w:r>
        <w:t xml:space="preserve"> </w:t>
      </w:r>
      <w:r>
        <w:t xml:space="preserve">“Redirect DNS in Cisco Catalyst SD-WAN Service-Side VPNs,”</w:t>
      </w:r>
      <w:r>
        <w:t xml:space="preserve"> </w:t>
      </w:r>
      <w:r>
        <w:rPr>
          <w:i/>
          <w:iCs/>
        </w:rPr>
        <w:t xml:space="preserve">Cisco Catalyst SD-WAN Policies Configuration Guide, Cisco IOS XE Catalyst SD-WAN Release 17.x</w:t>
      </w:r>
      <w:r>
        <w:t xml:space="preserve">,</w:t>
      </w:r>
      <w:r>
        <w:t xml:space="preserve"> </w:t>
      </w:r>
      <w:hyperlink r:id="rId27">
        <w:r>
          <w:rPr>
            <w:rStyle w:val="Hyperlink"/>
          </w:rPr>
          <w:t xml:space="preserve">https://www.cisco.com/c/en/us/td/docs/routers/sdwan/configuration/policies/ios-xe-17/policies-book-xe/redirect-dns.html</w:t>
        </w:r>
      </w:hyperlink>
      <w:r>
        <w:t xml:space="preserve"> </w:t>
      </w:r>
      <w:r>
        <w:t xml:space="preserve">(accessed Oct 20, 2026). The</w:t>
      </w:r>
      <w:r>
        <w:t xml:space="preserve"> </w:t>
      </w:r>
      <w:r>
        <w:rPr>
          <w:rStyle w:val="VerbatimChar"/>
        </w:rPr>
        <w:t xml:space="preserve">redirect-dns</w:t>
      </w:r>
      <w:r>
        <w:t xml:space="preserve"> </w:t>
      </w:r>
      <w:r>
        <w:t xml:space="preserve">action in a centralized data policy sends matching DNS requests to a specified DNS server.</w:t>
      </w:r>
    </w:p>
  </w:footnote>
  <w:footnote w:id="33">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34">
        <w:r>
          <w:rPr>
            <w:rStyle w:val="Hyperlink"/>
          </w:rPr>
          <w:t xml:space="preserve">https://learn.microsoft.com/en-us/microsoft-365/enterprise/office-365-network-mac-perf-cpe?view=o365-worldwide</w:t>
        </w:r>
      </w:hyperlink>
      <w:r>
        <w:t xml:space="preserve"> </w:t>
      </w:r>
      <w:r>
        <w:t xml:space="preserve">(accessed Oct 20, 2026). INR</w:t>
      </w:r>
      <w:r>
        <w:t xml:space="preserve"> </w:t>
      </w:r>
      <w:r>
        <w:t xml:space="preserve">“supports tenants in WW Commercial cloud but not the GCC Moderate, GCC High, DoD, Germany, or China clouds”</w:t>
      </w:r>
      <w:r>
        <w:t xml:space="preserve">; Cisco IOS XE SD-WAN 20.4/17.4 is the only listed integrated solution.</w:t>
      </w:r>
    </w:p>
  </w:footnote>
  <w:footnote w:id="36">
    <w:p>
      <w:pPr>
        <w:pStyle w:val="FootnoteText"/>
      </w:pPr>
      <w:r>
        <w:rPr>
          <w:rStyle w:val="FootnoteReference"/>
        </w:rPr>
        <w:footnoteRef/>
      </w:r>
      <w:r>
        <w:t xml:space="preserve"> </w:t>
      </w:r>
      <w:r>
        <w:t xml:space="preserve">IETF RFC 882,</w:t>
      </w:r>
      <w:r>
        <w:t xml:space="preserve"> </w:t>
      </w:r>
      <w:r>
        <w:rPr>
          <w:i/>
          <w:iCs/>
        </w:rPr>
        <w:t xml:space="preserve">Domain Names: Concepts and Facilities</w:t>
      </w:r>
      <w:r>
        <w:t xml:space="preserve">, November 1983,</w:t>
      </w:r>
      <w:r>
        <w:t xml:space="preserve"> </w:t>
      </w:r>
      <w:hyperlink r:id="rId37">
        <w:r>
          <w:rPr>
            <w:rStyle w:val="Hyperlink"/>
          </w:rPr>
          <w:t xml:space="preserve">https://www.rfc-editor.org/rfc/rfc882</w:t>
        </w:r>
      </w:hyperlink>
      <w:r>
        <w:t xml:space="preserve">; RFC 1034,</w:t>
      </w:r>
      <w:r>
        <w:t xml:space="preserve"> </w:t>
      </w:r>
      <w:r>
        <w:rPr>
          <w:i/>
          <w:iCs/>
        </w:rPr>
        <w:t xml:space="preserve">Domain Names: Concepts and Facilities</w:t>
      </w:r>
      <w:r>
        <w:t xml:space="preserve">, November 1987 (obsoletes RFCs 882, 883 and 973),</w:t>
      </w:r>
      <w:r>
        <w:t xml:space="preserve"> </w:t>
      </w:r>
      <w:hyperlink r:id="rId38">
        <w:r>
          <w:rPr>
            <w:rStyle w:val="Hyperlink"/>
          </w:rPr>
          <w:t xml:space="preserve">https://www.rfc-editor.org/rfc/rfc1034</w:t>
        </w:r>
      </w:hyperlink>
      <w:r>
        <w:t xml:space="preserve">; RFC 1035,</w:t>
      </w:r>
      <w:r>
        <w:t xml:space="preserve"> </w:t>
      </w:r>
      <w:r>
        <w:rPr>
          <w:i/>
          <w:iCs/>
        </w:rPr>
        <w:t xml:space="preserve">Domain Names: Implementation and Specification</w:t>
      </w:r>
      <w:r>
        <w:t xml:space="preserve">, November 1987,</w:t>
      </w:r>
      <w:r>
        <w:t xml:space="preserve"> </w:t>
      </w:r>
      <w:hyperlink r:id="rId39">
        <w:r>
          <w:rPr>
            <w:rStyle w:val="Hyperlink"/>
          </w:rPr>
          <w:t xml:space="preserve">https://www.rfc-editor.org/rfc/rfc1035</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“Use private endpoints for Azure Storage,”</w:t>
      </w:r>
      <w:r>
        <w:t xml:space="preserve"> </w:t>
      </w:r>
      <w:r>
        <w:t xml:space="preserve">DNS changes for private endpoints,</w:t>
      </w:r>
      <w:r>
        <w:t xml:space="preserve"> </w:t>
      </w:r>
      <w:hyperlink r:id="rId42">
        <w:r>
          <w:rPr>
            <w:rStyle w:val="Hyperlink"/>
          </w:rPr>
          <w:t xml:space="preserve">https://learn.microsoft.com/en-us/azure/storage/common/storage-private-endpoints</w:t>
        </w:r>
      </w:hyperlink>
      <w:r>
        <w:t xml:space="preserve"> </w:t>
      </w:r>
      <w:r>
        <w:t xml:space="preserve">(accessed Oct 20, 2026). From outside the virtual network hosting the private endpoint the storage endpoint resolves to the public endpoint; from inside it resolves to the private endpoint’s IP address.</w:t>
      </w:r>
    </w:p>
  </w:footnote>
  <w:footnote w:id="43">
    <w:p>
      <w:pPr>
        <w:pStyle w:val="FootnoteText"/>
      </w:pPr>
      <w:r>
        <w:rPr>
          <w:rStyle w:val="FootnoteReference"/>
        </w:rPr>
        <w:footnoteRef/>
      </w:r>
      <w:r>
        <w:t xml:space="preserve"> </w:t>
      </w:r>
      <w:r>
        <w:t xml:space="preserve">Microsoft Learn,</w:t>
      </w:r>
      <w:r>
        <w:t xml:space="preserve"> </w:t>
      </w:r>
      <w:r>
        <w:t xml:space="preserve">“Microsoft 365 endpoints,”</w:t>
      </w:r>
      <w:r>
        <w:t xml:space="preserve"> </w:t>
      </w:r>
      <w:hyperlink r:id="rId44">
        <w:r>
          <w:rPr>
            <w:rStyle w:val="Hyperlink"/>
          </w:rPr>
          <w:t xml:space="preserve">https://learn.microsoft.com/en-us/microsoft-365/enterprise/microsoft-365-endpoints?view=o365-worldwide</w:t>
        </w:r>
      </w:hyperlink>
      <w:r>
        <w:t xml:space="preserve">, and</w:t>
      </w:r>
      <w:r>
        <w:t xml:space="preserve"> </w:t>
      </w:r>
      <w:r>
        <w:t xml:space="preserve">“Microsoft 365 U.S. Government GCC High endpoints,”</w:t>
      </w:r>
      <w:r>
        <w:t xml:space="preserve"> </w:t>
      </w:r>
      <w:hyperlink r:id="rId45">
        <w:r>
          <w:rPr>
            <w:rStyle w:val="Hyperlink"/>
          </w:rPr>
          <w:t xml:space="preserve">https://learn.microsoft.com/en-us/microsoft-365/enterprise/microsoft-365-u-s-government-gcc-high-endpoints?view=o365-worldwide</w:t>
        </w:r>
      </w:hyperlink>
      <w:r>
        <w:t xml:space="preserve"> </w:t>
      </w:r>
      <w:r>
        <w:t xml:space="preserve">(accessed Oct 20, 2026). The Worldwide endpoints include GCC; GCC High and DoD have their own lists and namespaces.</w:t>
      </w:r>
    </w:p>
  </w:footnote>
  <w:footnote w:id="46">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24">
        <w:r>
          <w:rPr>
            <w:rStyle w:val="Hyperlink"/>
          </w:rPr>
          <w:t xml:space="preserve">https://csrc.nist.gov/pubs/sp/800/81/r3/final</w:t>
        </w:r>
      </w:hyperlink>
      <w:r>
        <w:t xml:space="preserve"> </w:t>
      </w:r>
      <w:r>
        <w:t xml:space="preserve">(accessed Oct 20, 2026). Executive Summary (DNS infrastructure</w:t>
      </w:r>
      <w:r>
        <w:t xml:space="preserve"> </w:t>
      </w:r>
      <w:r>
        <w:t xml:space="preserve">“has become more than a service; it is also a security control”</w:t>
      </w:r>
      <w:r>
        <w:t xml:space="preserve">); Sec. 1.2 (an organization’s DNS service is both an information source for policy decision points and a policy enforcement point).</w:t>
      </w:r>
    </w:p>
  </w:footnote>
  <w:footnote w:id="49">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 Renamed from Route 53 Resolver when Route 53 Global Resolver was introduced; VPC+2 address; inbound and outbound endpoints; forwarding rules shareable across accounts.</w:t>
      </w:r>
    </w:p>
  </w:footnote>
  <w:footnote w:id="51">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 Renamed from Route 53 Resolver when Route 53 Global Resolver was introduced; VPC+2 address; inbound and outbound endpoints; forwarding rules shareable across accounts.</w:t>
      </w:r>
    </w:p>
  </w:footnote>
  <w:footnote w:id="52">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53">
        <w:r>
          <w:rPr>
            <w:rStyle w:val="Hyperlink"/>
          </w:rPr>
          <w:t xml:space="preserve">https://docs.aws.amazon.com/Route53/latest/DeveloperGuide/resolver-dns-firewall.html</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55">
        <w:r>
          <w:rPr>
            <w:rStyle w:val="Hyperlink"/>
          </w:rPr>
          <w:t xml:space="preserve">https://learn.microsoft.com/en-us/azure/dns/dns-private-resolver-overview</w:t>
        </w:r>
      </w:hyperlink>
      <w:r>
        <w:t xml:space="preserve">, and</w:t>
      </w:r>
      <w:r>
        <w:t xml:space="preserve"> </w:t>
      </w:r>
      <w:r>
        <w:t xml:space="preserve">“Azure DNS Private Resolver endpoints and rulesets,”</w:t>
      </w:r>
      <w:r>
        <w:t xml:space="preserve"> </w:t>
      </w:r>
      <w:hyperlink r:id="rId56">
        <w:r>
          <w:rPr>
            <w:rStyle w:val="Hyperlink"/>
          </w:rPr>
          <w:t xml:space="preserve">https://learn.microsoft.com/en-us/azure/dns/private-resolver-endpoints-rulesets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58">
        <w:r>
          <w:rPr>
            <w:rStyle w:val="Hyperlink"/>
          </w:rPr>
          <w:t xml:space="preserve">https://learn.microsoft.com/en-us/azure/dns/dns-security-policy</w:t>
        </w:r>
      </w:hyperlink>
      <w:r>
        <w:t xml:space="preserve"> </w:t>
      </w:r>
      <w:r>
        <w:t xml:space="preserve">(accessed Oct 20, 2026). Filters and logs DNS queries at the virtual network level; allow, alert or block rules on domain lists; optional Microsoft Threat Intelligence managed domain list.</w:t>
      </w:r>
    </w:p>
  </w:footnote>
  <w:footnote w:id="59">
    <w:p>
      <w:pPr>
        <w:pStyle w:val="FootnoteText"/>
      </w:pPr>
      <w:r>
        <w:rPr>
          <w:rStyle w:val="FootnoteReference"/>
        </w:rPr>
        <w:footnoteRef/>
      </w:r>
      <w:r>
        <w:t xml:space="preserve"> </w:t>
      </w:r>
      <w:r>
        <w:t xml:space="preserve">Google Cloud,</w:t>
      </w:r>
      <w:r>
        <w:t xml:space="preserve"> </w:t>
      </w:r>
      <w:r>
        <w:t xml:space="preserve">“DNS server policies,”</w:t>
      </w:r>
      <w:r>
        <w:t xml:space="preserve"> </w:t>
      </w:r>
      <w:hyperlink r:id="rId60">
        <w:r>
          <w:rPr>
            <w:rStyle w:val="Hyperlink"/>
          </w:rPr>
          <w:t xml:space="preserve">https://docs.cloud.google.com/dns/docs/server-policies-overview</w:t>
        </w:r>
      </w:hyperlink>
      <w:r>
        <w:t xml:space="preserve"> </w:t>
      </w:r>
      <w:r>
        <w:t xml:space="preserve">(accessed Oct 20, 2026). Inbound server policy entry points are internal addresses from the primary range of every subnet; VMs that use the metadata server</w:t>
      </w:r>
      <w:r>
        <w:t xml:space="preserve"> </w:t>
      </w:r>
      <w:r>
        <w:rPr>
          <w:rStyle w:val="VerbatimChar"/>
        </w:rPr>
        <w:t xml:space="preserve">169.254.169.254</w:t>
      </w:r>
      <w:r>
        <w:t xml:space="preserve"> </w:t>
      </w:r>
      <w:r>
        <w:t xml:space="preserve">are resolved in the VPC network name resolution order.</w:t>
      </w:r>
    </w:p>
  </w:footnote>
  <w:footnote w:id="61">
    <w:p>
      <w:pPr>
        <w:pStyle w:val="FootnoteText"/>
      </w:pPr>
      <w:r>
        <w:rPr>
          <w:rStyle w:val="FootnoteReference"/>
        </w:rPr>
        <w:footnoteRef/>
      </w:r>
      <w:r>
        <w:t xml:space="preserve"> </w:t>
      </w:r>
      <w:r>
        <w:t xml:space="preserve">Google Cloud,</w:t>
      </w:r>
      <w:r>
        <w:t xml:space="preserve"> </w:t>
      </w:r>
      <w:r>
        <w:t xml:space="preserve">“DNS server policies,”</w:t>
      </w:r>
      <w:r>
        <w:t xml:space="preserve"> </w:t>
      </w:r>
      <w:hyperlink r:id="rId60">
        <w:r>
          <w:rPr>
            <w:rStyle w:val="Hyperlink"/>
          </w:rPr>
          <w:t xml:space="preserve">https://docs.cloud.google.com/dns/docs/server-policies-overview</w:t>
        </w:r>
      </w:hyperlink>
      <w:r>
        <w:t xml:space="preserve"> </w:t>
      </w:r>
      <w:r>
        <w:t xml:space="preserve">(accessed Oct 20, 2026). Inbound server policy entry points are internal addresses from the primary range of every subnet; VMs that use the metadata server</w:t>
      </w:r>
      <w:r>
        <w:t xml:space="preserve"> </w:t>
      </w:r>
      <w:r>
        <w:rPr>
          <w:rStyle w:val="VerbatimChar"/>
        </w:rPr>
        <w:t xml:space="preserve">169.254.169.254</w:t>
      </w:r>
      <w:r>
        <w:t xml:space="preserve"> </w:t>
      </w:r>
      <w:r>
        <w:t xml:space="preserve">are resolved in the VPC network name resolution order.</w:t>
      </w:r>
    </w:p>
  </w:footnote>
  <w:footnote w:id="62">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63">
        <w:r>
          <w:rPr>
            <w:rStyle w:val="Hyperlink"/>
          </w:rPr>
          <w:t xml:space="preserve">https://docs.cloud.google.com/dns/docs/zones/manage-response-policies</w:t>
        </w:r>
      </w:hyperlink>
      <w:r>
        <w:t xml:space="preserve"> </w:t>
      </w:r>
      <w:r>
        <w:t xml:space="preserve">(accessed Oct 20, 2026).</w:t>
      </w:r>
    </w:p>
  </w:footnote>
  <w:footnote w:id="64">
    <w:p>
      <w:pPr>
        <w:pStyle w:val="FootnoteText"/>
      </w:pPr>
      <w:r>
        <w:rPr>
          <w:rStyle w:val="FootnoteReference"/>
        </w:rPr>
        <w:footnoteRef/>
      </w:r>
      <w:r>
        <w:t xml:space="preserve"> </w:t>
      </w:r>
      <w:r>
        <w:t xml:space="preserve">VMware,</w:t>
      </w:r>
      <w:r>
        <w:t xml:space="preserve"> </w:t>
      </w:r>
      <w:r>
        <w:rPr>
          <w:i/>
          <w:iCs/>
        </w:rPr>
        <w:t xml:space="preserve">NSX Administration Guide</w:t>
      </w:r>
      <w:r>
        <w:t xml:space="preserve"> </w:t>
      </w:r>
      <w:r>
        <w:t xml:space="preserve">4.1,</w:t>
      </w:r>
      <w:r>
        <w:t xml:space="preserve"> </w:t>
      </w:r>
      <w:r>
        <w:t xml:space="preserve">“Add a DNS Forwarder Service,”</w:t>
      </w:r>
      <w:r>
        <w:t xml:space="preserve"> </w:t>
      </w:r>
      <w:hyperlink r:id="rId65">
        <w:r>
          <w:rPr>
            <w:rStyle w:val="Hyperlink"/>
          </w:rPr>
          <w:t xml:space="preserve">https://docs.vmware.com/en/VMware-NSX/4.1/administration/GUID-A0172881-BB25-4992-A499-14F9BE3BE7F2.html</w:t>
        </w:r>
      </w:hyperlink>
      <w:r>
        <w:t xml:space="preserve"> </w:t>
      </w:r>
      <w:r>
        <w:t xml:space="preserve">(now served from Broadcom TechDocs; accessed Oct 20, 2026). Tier-0 or tier-1 gateway; listener IP; one default zone and up to five FQDN zones, each with up to three DNS servers.</w:t>
      </w:r>
    </w:p>
  </w:footnote>
  <w:footnote w:id="66">
    <w:p>
      <w:pPr>
        <w:pStyle w:val="FootnoteText"/>
      </w:pPr>
      <w:r>
        <w:rPr>
          <w:rStyle w:val="FootnoteReference"/>
        </w:rPr>
        <w:footnoteRef/>
      </w:r>
      <w:r>
        <w:t xml:space="preserve"> </w:t>
      </w:r>
      <w:r>
        <w:t xml:space="preserve">VMware,</w:t>
      </w:r>
      <w:r>
        <w:t xml:space="preserve"> </w:t>
      </w:r>
      <w:r>
        <w:rPr>
          <w:i/>
          <w:iCs/>
        </w:rPr>
        <w:t xml:space="preserve">NSX Administration Guide</w:t>
      </w:r>
      <w:r>
        <w:t xml:space="preserve"> </w:t>
      </w:r>
      <w:r>
        <w:t xml:space="preserve">4.1,</w:t>
      </w:r>
      <w:r>
        <w:t xml:space="preserve"> </w:t>
      </w:r>
      <w:r>
        <w:t xml:space="preserve">“Add a DNS Forwarder Service,”</w:t>
      </w:r>
      <w:r>
        <w:t xml:space="preserve"> </w:t>
      </w:r>
      <w:hyperlink r:id="rId65">
        <w:r>
          <w:rPr>
            <w:rStyle w:val="Hyperlink"/>
          </w:rPr>
          <w:t xml:space="preserve">https://docs.vmware.com/en/VMware-NSX/4.1/administration/GUID-A0172881-BB25-4992-A499-14F9BE3BE7F2.html</w:t>
        </w:r>
      </w:hyperlink>
      <w:r>
        <w:t xml:space="preserve"> </w:t>
      </w:r>
      <w:r>
        <w:t xml:space="preserve">(now served from Broadcom TechDocs; accessed Oct 20, 2026). Tier-0 or tier-1 gateway; listener IP; one default zone and up to five FQDN zones, each with up to three DNS servers.</w:t>
      </w:r>
    </w:p>
  </w:footnote>
  <w:footnote w:id="67">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58">
        <w:r>
          <w:rPr>
            <w:rStyle w:val="Hyperlink"/>
          </w:rPr>
          <w:t xml:space="preserve">https://learn.microsoft.com/en-us/azure/dns/dns-security-policy</w:t>
        </w:r>
      </w:hyperlink>
      <w:r>
        <w:t xml:space="preserve"> </w:t>
      </w:r>
      <w:r>
        <w:t xml:space="preserve">(accessed Oct 20, 2026). Filters and logs DNS queries at the virtual network level; allow, alert or block rules on domain lists; optional Microsoft Threat Intelligence managed domain list.</w:t>
      </w:r>
    </w:p>
  </w:footnote>
  <w:footnote w:id="7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75">
        <w:r>
          <w:rPr>
            <w:rStyle w:val="Hyperlink"/>
          </w:rPr>
          <w:t xml:space="preserve">https://www.whitehouse.gov/wp-content/uploads/2022/01/M-22-09.pdf</w:t>
        </w:r>
      </w:hyperlink>
      <w:r>
        <w:t xml:space="preserve"> </w:t>
      </w:r>
      <w:r>
        <w:t xml:space="preserve">(accessed Oct 20, 2026). Devices goal: a complete inventory of every device the government operates, supported by CISA’s Continuous Diagnostics and Mitigation (CDM) program.</w:t>
      </w:r>
    </w:p>
  </w:footnote>
  <w:footnote w:id="76">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Version 2.0, April 2023,</w:t>
      </w:r>
      <w:r>
        <w:t xml:space="preserve"> </w:t>
      </w:r>
      <w:hyperlink r:id="rId77">
        <w:r>
          <w:rPr>
            <w:rStyle w:val="Hyperlink"/>
          </w:rPr>
          <w:t xml:space="preserve">https://www.cisa.gov/zero-trust-maturity-model</w:t>
        </w:r>
      </w:hyperlink>
      <w:r>
        <w:t xml:space="preserve"> </w:t>
      </w:r>
      <w:r>
        <w:t xml:space="preserve">(accessed Oct 20, 2026). Devices pillar: a dynamic inventory of all assets; cloud assets include network resources such as virtual networks, gateways and DNS services.</w:t>
      </w:r>
    </w:p>
  </w:footnote>
  <w:footnote w:id="92">
    <w:p>
      <w:pPr>
        <w:pStyle w:val="FootnoteText"/>
      </w:pPr>
      <w:r>
        <w:rPr>
          <w:rStyle w:val="FootnoteReference"/>
        </w:rPr>
        <w:footnoteRef/>
      </w:r>
      <w:r>
        <w:t xml:space="preserve"> </w:t>
      </w:r>
      <w:r>
        <w:t xml:space="preserve">Microsoft Learn,</w:t>
      </w:r>
      <w:r>
        <w:t xml:space="preserve"> </w:t>
      </w:r>
      <w:r>
        <w:t xml:space="preserve">“Use private endpoints for Azure Storage,”</w:t>
      </w:r>
      <w:r>
        <w:t xml:space="preserve"> </w:t>
      </w:r>
      <w:r>
        <w:t xml:space="preserve">DNS changes for private endpoints,</w:t>
      </w:r>
      <w:r>
        <w:t xml:space="preserve"> </w:t>
      </w:r>
      <w:hyperlink r:id="rId42">
        <w:r>
          <w:rPr>
            <w:rStyle w:val="Hyperlink"/>
          </w:rPr>
          <w:t xml:space="preserve">https://learn.microsoft.com/en-us/azure/storage/common/storage-private-endpoints</w:t>
        </w:r>
      </w:hyperlink>
      <w:r>
        <w:t xml:space="preserve"> </w:t>
      </w:r>
      <w:r>
        <w:t xml:space="preserve">(accessed Oct 20, 2026). The CNAME is updated to an alias in the</w:t>
      </w:r>
      <w:r>
        <w:t xml:space="preserve"> </w:t>
      </w:r>
      <w:r>
        <w:rPr>
          <w:rStyle w:val="VerbatimChar"/>
        </w:rPr>
        <w:t xml:space="preserve">privatelink</w:t>
      </w:r>
      <w:r>
        <w:t xml:space="preserve"> </w:t>
      </w:r>
      <w:r>
        <w:t xml:space="preserve">subdomain, a private DNS zone holds the A records, and resolution differs inside and outside the virtual network.</w:t>
      </w:r>
    </w:p>
  </w:footnote>
  <w:footnote w:id="9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94">
        <w:r>
          <w:rPr>
            <w:rStyle w:val="Hyperlink"/>
          </w:rPr>
          <w:t xml:space="preserve">https://learn.microsoft.com/en-us/azure/private-link/private-endpoint-dns</w:t>
        </w:r>
      </w:hyperlink>
      <w:r>
        <w:t xml:space="preserve"> </w:t>
      </w:r>
      <w:r>
        <w:t xml:space="preserve">(accessed Oct 20, 2026). The public</w:t>
      </w:r>
      <w:r>
        <w:t xml:space="preserve"> </w:t>
      </w:r>
      <w:r>
        <w:rPr>
          <w:rStyle w:val="VerbatimChar"/>
        </w:rPr>
        <w:t xml:space="preserve">privatelink</w:t>
      </w:r>
      <w:r>
        <w:t xml:space="preserve"> </w:t>
      </w:r>
      <w:r>
        <w:t xml:space="preserve">CNAME chain</w:t>
      </w:r>
      <w:r>
        <w:t xml:space="preserve"> </w:t>
      </w:r>
      <w:r>
        <w:t xml:space="preserve">“is deliberately resolvable from anywhere on the internet so that hybrid and gradual-migration scenarios continue to work”</w:t>
      </w:r>
      <w:r>
        <w:t xml:space="preserve">; DNS resolution and access control are independent.</w:t>
      </w:r>
    </w:p>
  </w:footnote>
  <w:footnote w:id="9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 Outbound endpoints and forwarding rules; formerly named Route 53 Resolver.</w:t>
      </w:r>
    </w:p>
  </w:footnote>
  <w:footnote w:id="96">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56">
        <w:r>
          <w:rPr>
            <w:rStyle w:val="Hyperlink"/>
          </w:rPr>
          <w:t xml:space="preserve">https://learn.microsoft.com/en-us/azure/dns/private-resolver-endpoints-rulesets</w:t>
        </w:r>
      </w:hyperlink>
      <w:r>
        <w:t xml:space="preserve"> </w:t>
      </w:r>
      <w:r>
        <w:t xml:space="preserve">(accessed Oct 20, 2026). Inbound endpoints resolve private DNS zones linked to their virtual network for queries from outside it.</w:t>
      </w:r>
    </w:p>
  </w:footnote>
  <w:footnote w:id="97">
    <w:p>
      <w:pPr>
        <w:pStyle w:val="FootnoteText"/>
      </w:pPr>
      <w:r>
        <w:rPr>
          <w:rStyle w:val="FootnoteReference"/>
        </w:rPr>
        <w:footnoteRef/>
      </w:r>
      <w:r>
        <w:t xml:space="preserve"> </w:t>
      </w:r>
      <w:r>
        <w:t xml:space="preserve">Microsoft Learn,</w:t>
      </w:r>
      <w:r>
        <w:t xml:space="preserve"> </w:t>
      </w:r>
      <w:r>
        <w:t xml:space="preserve">“Troubleshoot</w:t>
      </w:r>
      <w:r>
        <w:t xml:space="preserve"> </w:t>
      </w:r>
      <w:r>
        <w:t xml:space="preserve">‘403’</w:t>
      </w:r>
      <w:r>
        <w:t xml:space="preserve"> </w:t>
      </w:r>
      <w:r>
        <w:t xml:space="preserve">access denied errors for Azure Storage or Azure Key Vault through a private endpoint,”</w:t>
      </w:r>
      <w:r>
        <w:t xml:space="preserve"> </w:t>
      </w:r>
      <w:hyperlink r:id="rId98">
        <w:r>
          <w:rPr>
            <w:rStyle w:val="Hyperlink"/>
          </w:rPr>
          <w:t xml:space="preserve">https://learn.microsoft.com/en-us/troubleshoot/azure/private-link/troubleshoot-403-access-denied-private-endpoint</w:t>
        </w:r>
      </w:hyperlink>
      <w:r>
        <w:t xml:space="preserve"> </w:t>
      </w:r>
      <w:r>
        <w:t xml:space="preserve">(accessed Oct 20, 2026).</w:t>
      </w:r>
      <w:r>
        <w:t xml:space="preserve"> </w:t>
      </w:r>
      <w:r>
        <w:t xml:space="preserve">“Roughly 70 percent of cases are caused by DNS resolving to the public endpoint.”</w:t>
      </w:r>
    </w:p>
  </w:footnote>
  <w:footnote w:id="100">
    <w:p>
      <w:pPr>
        <w:pStyle w:val="FootnoteText"/>
      </w:pPr>
      <w:r>
        <w:rPr>
          <w:rStyle w:val="FootnoteReference"/>
        </w:rPr>
        <w:footnoteRef/>
      </w:r>
      <w:r>
        <w:t xml:space="preserve"> </w:t>
      </w:r>
      <w:r>
        <w:t xml:space="preserve">Microsoft Learn,</w:t>
      </w:r>
      <w:r>
        <w:t xml:space="preserve"> </w:t>
      </w:r>
      <w:r>
        <w:t xml:space="preserve">“Microsoft 365 endpoints,”</w:t>
      </w:r>
      <w:r>
        <w:t xml:space="preserve"> </w:t>
      </w:r>
      <w:hyperlink r:id="rId44">
        <w:r>
          <w:rPr>
            <w:rStyle w:val="Hyperlink"/>
          </w:rPr>
          <w:t xml:space="preserve">https://learn.microsoft.com/en-us/microsoft-365/enterprise/microsoft-365-endpoints?view=o365-worldwide</w:t>
        </w:r>
      </w:hyperlink>
      <w:r>
        <w:t xml:space="preserve"> </w:t>
      </w:r>
      <w:r>
        <w:t xml:space="preserve">(accessed Oct 20, 2026). Five Microsoft 365 clouds, each with its own endpoint list; the Worldwide endpoints include GCC.</w:t>
      </w:r>
    </w:p>
  </w:footnote>
  <w:footnote w:id="101">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45">
        <w:r>
          <w:rPr>
            <w:rStyle w:val="Hyperlink"/>
          </w:rPr>
          <w:t xml:space="preserve">https://learn.microsoft.com/en-us/microsoft-365/enterprise/microsoft-365-u-s-government-gcc-high-endpoints?view=o365-worldwide</w:t>
        </w:r>
      </w:hyperlink>
      <w:r>
        <w:t xml:space="preserve"> </w:t>
      </w:r>
      <w:r>
        <w:t xml:space="preserve">(accessed Oct 20, 2026). Endpoints such as</w:t>
      </w:r>
      <w:r>
        <w:t xml:space="preserve"> </w:t>
      </w:r>
      <w:r>
        <w:rPr>
          <w:rStyle w:val="VerbatimChar"/>
        </w:rPr>
        <w:t xml:space="preserve">*.office365.us</w:t>
      </w:r>
      <w:r>
        <w:t xml:space="preserve"> </w:t>
      </w:r>
      <w:r>
        <w:t xml:space="preserve">and</w:t>
      </w:r>
      <w:r>
        <w:t xml:space="preserve"> </w:t>
      </w:r>
      <w:r>
        <w:rPr>
          <w:rStyle w:val="VerbatimChar"/>
        </w:rPr>
        <w:t xml:space="preserve">*.sharepoint.us</w:t>
      </w:r>
      <w:r>
        <w:t xml:space="preserve">; last updated July 1, 2026.</w:t>
      </w:r>
    </w:p>
  </w:footnote>
  <w:footnote w:id="102">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hyperlink r:id="rId103">
        <w:r>
          <w:rPr>
            <w:rStyle w:val="Hyperlink"/>
          </w:rPr>
          <w:t xml:space="preserve">https://learn.microsoft.com/en-us/microsoft-365/enterprise/urls-and-ip-address-ranges?view=o365-worldwide</w:t>
        </w:r>
      </w:hyperlink>
      <w:r>
        <w:t xml:space="preserve"> </w:t>
      </w:r>
      <w:r>
        <w:t xml:space="preserve">(accessed Oct 20, 2026). Endpoints for Microsoft 365 plans</w:t>
      </w:r>
      <w:r>
        <w:t xml:space="preserve"> </w:t>
      </w:r>
      <w:r>
        <w:t xml:space="preserve">“including Government Community Cloud (GCC).”</w:t>
      </w:r>
    </w:p>
  </w:footnote>
  <w:footnote w:id="109">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53">
        <w:r>
          <w:rPr>
            <w:rStyle w:val="Hyperlink"/>
          </w:rPr>
          <w:t xml:space="preserve">https://docs.aws.amazon.com/Route53/latest/DeveloperGuide/resolver-dns-firewall.html</w:t>
        </w:r>
      </w:hyperlink>
      <w:r>
        <w:t xml:space="preserve"> </w:t>
      </w:r>
      <w:r>
        <w:t xml:space="preserve">(accessed Oct 20, 2026). Rule groups are associated with each VPC and filter queries that pass through VPC Resolver.</w:t>
      </w:r>
    </w:p>
  </w:footnote>
  <w:footnote w:id="110">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58">
        <w:r>
          <w:rPr>
            <w:rStyle w:val="Hyperlink"/>
          </w:rPr>
          <w:t xml:space="preserve">https://learn.microsoft.com/en-us/azure/dns/dns-security-policy</w:t>
        </w:r>
      </w:hyperlink>
      <w:r>
        <w:t xml:space="preserve"> </w:t>
      </w:r>
      <w:r>
        <w:t xml:space="preserve">(accessed Oct 20, 2026). Applied per virtual network through virtual network links, one policy per VNet, same region only.</w:t>
      </w:r>
    </w:p>
  </w:footnote>
  <w:footnote w:id="111">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63">
        <w:r>
          <w:rPr>
            <w:rStyle w:val="Hyperlink"/>
          </w:rPr>
          <w:t xml:space="preserve">https://docs.cloud.google.com/dns/docs/zones/manage-response-policies</w:t>
        </w:r>
      </w:hyperlink>
      <w:r>
        <w:t xml:space="preserve"> </w:t>
      </w:r>
      <w:r>
        <w:t xml:space="preserve">(accessed Oct 20, 2026). One response policy per network.</w:t>
      </w:r>
    </w:p>
  </w:footnote>
  <w:footnote w:id="112">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w:t>
      </w:r>
      <w:r>
        <w:t xml:space="preserve"> </w:t>
      </w:r>
      <w:hyperlink r:id="rId24">
        <w:r>
          <w:rPr>
            <w:rStyle w:val="Hyperlink"/>
          </w:rPr>
          <w:t xml:space="preserve">https://csrc.nist.gov/pubs/sp/800/81/r3/final</w:t>
        </w:r>
      </w:hyperlink>
      <w:r>
        <w:t xml:space="preserve"> </w:t>
      </w:r>
      <w:r>
        <w:t xml:space="preserve">(accessed Oct 20, 2026). Sec. 1.1 (DNS servers</w:t>
      </w:r>
      <w:r>
        <w:t xml:space="preserve"> </w:t>
      </w:r>
      <w:r>
        <w:t xml:space="preserve">“can often prevent security incidents earlier than other systems”</w:t>
      </w:r>
      <w:r>
        <w:t xml:space="preserve">); Sec. 3.2 (lame delegations, zone drift and zone thrash); Sec. 3.6 (dangling CNAME and lame delegation exploitation); Sec. 4.2.4 (detecting data exfiltration via DNS).</w:t>
      </w:r>
    </w:p>
  </w:footnote>
  <w:footnote w:id="11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114">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115">
        <w:r>
          <w:rPr>
            <w:rStyle w:val="Hyperlink"/>
          </w:rPr>
          <w:t xml:space="preserve">https://www.cisa.gov/resources-tools/resources/encrypted-dns-implementation-guidance</w:t>
        </w:r>
      </w:hyperlink>
      <w:r>
        <w:t xml:space="preserve"> </w:t>
      </w:r>
      <w:r>
        <w:t xml:space="preserve">(accessed Oct 20, 2026). Agencies are required to use CISA’s Protective DNS for all egress DNS resolution, per M-22-09 and 6 U.S.C. § 663 note.</w:t>
      </w:r>
    </w:p>
  </w:footnote>
  <w:footnote w:id="118">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w:t>
      </w:r>
      <w:r>
        <w:t xml:space="preserve"> </w:t>
      </w:r>
      <w:hyperlink r:id="rId24">
        <w:r>
          <w:rPr>
            <w:rStyle w:val="Hyperlink"/>
          </w:rPr>
          <w:t xml:space="preserve">https://csrc.nist.gov/pubs/sp/800/81/r3/final</w:t>
        </w:r>
      </w:hyperlink>
      <w:r>
        <w:t xml:space="preserve"> </w:t>
      </w:r>
      <w:r>
        <w:t xml:space="preserve">(accessed Oct 20, 2026). Sec. 1.1 (DNS servers</w:t>
      </w:r>
      <w:r>
        <w:t xml:space="preserve"> </w:t>
      </w:r>
      <w:r>
        <w:t xml:space="preserve">“can often prevent security incidents earlier than other systems”</w:t>
      </w:r>
      <w:r>
        <w:t xml:space="preserve">); Sec. 3.2 (lame delegations, zone drift and zone thrash); Sec. 3.6 (dangling CNAME and lame delegation exploitation); Sec. 4.2.4 (detecting data exfiltration via DNS).</w:t>
      </w:r>
    </w:p>
  </w:footnote>
  <w:footnote w:id="11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“The Business Impact of Enterprise-Grade DDI: New Research Findings,”</w:t>
      </w:r>
      <w:r>
        <w:t xml:space="preserve"> </w:t>
      </w:r>
      <w:r>
        <w:t xml:space="preserve">blog post, April 15, 2025, reporting Enterprise Strategy Group research,</w:t>
      </w:r>
      <w:r>
        <w:t xml:space="preserve"> </w:t>
      </w:r>
      <w:hyperlink r:id="rId120">
        <w:r>
          <w:rPr>
            <w:rStyle w:val="Hyperlink"/>
          </w:rPr>
          <w:t xml:space="preserve">https://www.infoblox.com/blog/company/the-business-impact-of-enterprise-grade-ddi-new-research-findings/</w:t>
        </w:r>
      </w:hyperlink>
      <w:r>
        <w:t xml:space="preserve"> </w:t>
      </w:r>
      <w:r>
        <w:t xml:space="preserve">(accessed Oct 20, 2026). Published by the vendor whose product the research favors; the methodology was not independently reviewed for this book.</w:t>
      </w:r>
    </w:p>
  </w:footnote>
  <w:footnote w:id="13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131">
    <w:p>
      <w:pPr>
        <w:pStyle w:val="FootnoteText"/>
      </w:pPr>
      <w:r>
        <w:rPr>
          <w:rStyle w:val="FootnoteReference"/>
        </w:rPr>
        <w:footnoteRef/>
      </w:r>
      <w:r>
        <w:t xml:space="preserve"> </w:t>
      </w:r>
      <w:r>
        <w:t xml:space="preserve">CISA,</w:t>
      </w:r>
      <w:r>
        <w:t xml:space="preserve"> </w:t>
      </w:r>
      <w:r>
        <w:t xml:space="preserve">“Protective Domain Name System (DNS) Resolver,”</w:t>
      </w:r>
      <w:r>
        <w:t xml:space="preserve"> </w:t>
      </w:r>
      <w:hyperlink r:id="rId132">
        <w:r>
          <w:rPr>
            <w:rStyle w:val="Hyperlink"/>
          </w:rPr>
          <w:t xml:space="preserve">https://www.cisa.gov/resources-tools/services/protective-domain-name-system-dns-resolver</w:t>
        </w:r>
      </w:hyperlink>
      <w:r>
        <w:t xml:space="preserve"> </w:t>
      </w:r>
      <w:r>
        <w:t xml:space="preserve">(accessed Oct 20, 2026). Launched in 2022 as a successor to E3A; implemented upstream of agency networks; mandated for FCEB agencies; mobile, roaming and cloud traffic flows to it directly.</w:t>
      </w:r>
    </w:p>
  </w:footnote>
  <w:footnote w:id="13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115">
        <w:r>
          <w:rPr>
            <w:rStyle w:val="Hyperlink"/>
          </w:rPr>
          <w:t xml:space="preserve">https://www.cisa.gov/resources-tools/resources/encrypted-dns-implementation-guidance</w:t>
        </w:r>
      </w:hyperlink>
      <w:r>
        <w:t xml:space="preserve"> </w:t>
      </w:r>
      <w:r>
        <w:t xml:space="preserve">(accessed Oct 20, 2026). Executive summary (Protective DNS for all egress resolution, per M-22-09 and 6 U.S.C. § 663 note); Sec. 2.1 (phased implementation); Sec. 3 (DoH, DoT, DoQ; Protective DNS supports DoH and DoT over IPv4 and IPv6).</w:t>
      </w:r>
    </w:p>
  </w:footnote>
  <w:footnote w:id="134">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115">
        <w:r>
          <w:rPr>
            <w:rStyle w:val="Hyperlink"/>
          </w:rPr>
          <w:t xml:space="preserve">https://www.cisa.gov/resources-tools/resources/encrypted-dns-implementation-guidance</w:t>
        </w:r>
      </w:hyperlink>
      <w:r>
        <w:t xml:space="preserve"> </w:t>
      </w:r>
      <w:r>
        <w:t xml:space="preserve">(accessed Oct 20, 2026). Executive summary (Protective DNS for all egress resolution, per M-22-09 and 6 U.S.C. § 663 note); Sec. 2.1 (phased implementation); Sec. 3 (DoH, DoT, DoQ; Protective DNS supports DoH and DoT over IPv4 and IPv6).</w:t>
      </w:r>
    </w:p>
  </w:footnote>
  <w:footnote w:id="135">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Basic Requirements),</w:t>
      </w:r>
      <w:r>
        <w:t xml:space="preserve"> </w:t>
      </w:r>
      <w:r>
        <w:t xml:space="preserve">“Passive DNS,”</w:t>
      </w:r>
      <w:r>
        <w:t xml:space="preserve"> </w:t>
      </w:r>
      <w:hyperlink r:id="rId136">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137">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2">
        <w:r>
          <w:rPr>
            <w:rStyle w:val="Hyperlink"/>
          </w:rPr>
          <w:t xml:space="preserve">https://georgewbush-whitehouse.archives.gov/omb/memoranda/fy2008/m08-23.pdf</w:t>
        </w:r>
      </w:hyperlink>
      <w:r>
        <w:t xml:space="preserve"> </w:t>
      </w:r>
      <w:r>
        <w:t xml:space="preserve">(accessed Oct 20, 2026).</w:t>
      </w:r>
    </w:p>
  </w:footnote>
  <w:footnote w:id="138">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minor release 5.2.0, August 27, 2025),</w:t>
      </w:r>
      <w:r>
        <w:t xml:space="preserve"> </w:t>
      </w:r>
      <w:hyperlink r:id="rId139">
        <w:r>
          <w:rPr>
            <w:rStyle w:val="Hyperlink"/>
          </w:rPr>
          <w:t xml:space="preserve">https://csrc.nist.gov/pubs/sp/800/53/r5/upd1/final</w:t>
        </w:r>
      </w:hyperlink>
      <w:r>
        <w:t xml:space="preserve"> </w:t>
      </w:r>
      <w:r>
        <w:t xml:space="preserve">(accessed Oct 20, 2026). SC-20, SC-21, SC-22 and the other controls cited.</w:t>
      </w:r>
    </w:p>
  </w:footnote>
  <w:footnote w:id="140">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141">
        <w:r>
          <w:rPr>
            <w:rStyle w:val="Hyperlink"/>
          </w:rPr>
          <w:t xml:space="preserve">https://www.whitehouse.gov/wp-content/uploads/2020/11/M-21-07.pdf</w:t>
        </w:r>
      </w:hyperlink>
      <w:r>
        <w:t xml:space="preserve"> </w:t>
      </w:r>
      <w:r>
        <w:t xml:space="preserve">(accessed Oct 20, 2026).</w:t>
      </w:r>
    </w:p>
  </w:footnote>
  <w:footnote w:id="142">
    <w:p>
      <w:pPr>
        <w:pStyle w:val="FootnoteText"/>
      </w:pPr>
      <w:r>
        <w:rPr>
          <w:rStyle w:val="FootnoteReference"/>
        </w:rPr>
        <w:footnoteRef/>
      </w:r>
      <w:r>
        <w:t xml:space="preserve"> </w:t>
      </w:r>
      <w:r>
        <w:t xml:space="preserve">CISA,</w:t>
      </w:r>
      <w:r>
        <w:t xml:space="preserve"> </w:t>
      </w:r>
      <w:r>
        <w:rPr>
          <w:i/>
          <w:iCs/>
        </w:rPr>
        <w:t xml:space="preserve">Trusted Internet Connections 3.0 Security Capabilities Catalog</w:t>
      </w:r>
      <w:r>
        <w:t xml:space="preserve">, Version 3.3, publication September 2026, Table 9 (Domain Name System PEP Security Capabilities) and the Web PEP capability Domain Resolution Filtering,</w:t>
      </w:r>
      <w:r>
        <w:t xml:space="preserve"> </w:t>
      </w:r>
      <w:hyperlink r:id="rId143">
        <w:r>
          <w:rPr>
            <w:rStyle w:val="Hyperlink"/>
          </w:rPr>
          <w:t xml:space="preserve">https://www.cisa.gov/sites/default/files/2026-09/TIC_3.0_Security_Capabilities_Catalogs_September_2026_17.pdf</w:t>
        </w:r>
      </w:hyperlink>
      <w:r>
        <w:t xml:space="preserve">, linked from</w:t>
      </w:r>
      <w:r>
        <w:t xml:space="preserve"> </w:t>
      </w:r>
      <w:hyperlink r:id="rId144">
        <w:r>
          <w:rPr>
            <w:rStyle w:val="Hyperlink"/>
          </w:rPr>
          <w:t xml:space="preserve">https://www.cisa.gov/resources-tools/programs/trusted-internet-connections-tic</w:t>
        </w:r>
      </w:hyperlink>
      <w:r>
        <w:t xml:space="preserve"> </w:t>
      </w:r>
      <w:r>
        <w:t xml:space="preserve">(accessed Oct 20, 2026).</w:t>
      </w:r>
    </w:p>
  </w:footnote>
  <w:footnote w:id="146">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24">
        <w:r>
          <w:rPr>
            <w:rStyle w:val="Hyperlink"/>
          </w:rPr>
          <w:t xml:space="preserve">https://csrc.nist.gov/pubs/sp/800/81/r3/final</w:t>
        </w:r>
      </w:hyperlink>
      <w:r>
        <w:t xml:space="preserve"> </w:t>
      </w:r>
      <w:r>
        <w:t xml:space="preserve">(accessed Oct 20, 2026). Final 03/19/26; supersedes SP 800-81-2 (September 2013); Preface; Executive Summary and its footnote on</w:t>
      </w:r>
      <w:r>
        <w:t xml:space="preserve"> </w:t>
      </w:r>
      <w:r>
        <w:t xml:space="preserve">“protective DNS”</w:t>
      </w:r>
      <w:r>
        <w:t xml:space="preserve">; Sec. 1.2 (policy enforcement point); Sec. 2.1.3 (DNS logging); Secs. 3.2 and 3.6 (hygiene threats); Sec. 4.2.2 (restricting public providers).</w:t>
      </w:r>
    </w:p>
  </w:footnote>
  <w:footnote w:id="147">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24">
        <w:r>
          <w:rPr>
            <w:rStyle w:val="Hyperlink"/>
          </w:rPr>
          <w:t xml:space="preserve">https://csrc.nist.gov/pubs/sp/800/81/r3/final</w:t>
        </w:r>
      </w:hyperlink>
      <w:r>
        <w:t xml:space="preserve"> </w:t>
      </w:r>
      <w:r>
        <w:t xml:space="preserve">(accessed Oct 20, 2026). Final 03/19/26; supersedes SP 800-81-2 (September 2013); Preface; Executive Summary and its footnote on</w:t>
      </w:r>
      <w:r>
        <w:t xml:space="preserve"> </w:t>
      </w:r>
      <w:r>
        <w:t xml:space="preserve">“protective DNS”</w:t>
      </w:r>
      <w:r>
        <w:t xml:space="preserve">; Sec. 1.2 (policy enforcement point); Sec. 2.1.3 (DNS logging); Secs. 3.2 and 3.6 (hygiene threats); Sec. 4.2.2 (restricting public providers).</w:t>
      </w:r>
    </w:p>
  </w:footnote>
  <w:footnote w:id="148">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149">
        <w:r>
          <w:rPr>
            <w:rStyle w:val="Hyperlink"/>
          </w:rPr>
          <w:t xml:space="preserve">https://csrc.nist.gov/pubs/sp/800/207/final</w:t>
        </w:r>
      </w:hyperlink>
      <w:r>
        <w:t xml:space="preserve"> </w:t>
      </w:r>
      <w:r>
        <w:t xml:space="preserve">(accessed Oct 20, 2026).</w:t>
      </w:r>
    </w:p>
  </w:footnote>
  <w:footnote w:id="15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minor release 5.2.0, August 27, 2025),</w:t>
      </w:r>
      <w:r>
        <w:t xml:space="preserve"> </w:t>
      </w:r>
      <w:hyperlink r:id="rId139">
        <w:r>
          <w:rPr>
            <w:rStyle w:val="Hyperlink"/>
          </w:rPr>
          <w:t xml:space="preserve">https://csrc.nist.gov/pubs/sp/800/53/r5/upd1/final</w:t>
        </w:r>
      </w:hyperlink>
      <w:r>
        <w:t xml:space="preserve"> </w:t>
      </w:r>
      <w:r>
        <w:t xml:space="preserve">(accessed Oct 20, 2026). SC-20, SC-21, SC-22 and the other controls cited.</w:t>
      </w:r>
    </w:p>
  </w:footnote>
  <w:footnote w:id="152">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153">
        <w:r>
          <w:rPr>
            <w:rStyle w:val="Hyperlink"/>
          </w:rPr>
          <w:t xml:space="preserve">https://www.fedramp.gov/2026/agencies/use/</w:t>
        </w:r>
      </w:hyperlink>
      <w:r>
        <w:t xml:space="preserve"> </w:t>
      </w:r>
      <w:r>
        <w:t xml:space="preserve">(accessed Oct 20, 2026).</w:t>
      </w:r>
    </w:p>
  </w:footnote>
  <w:footnote w:id="154">
    <w:p>
      <w:pPr>
        <w:pStyle w:val="FootnoteText"/>
      </w:pPr>
      <w:r>
        <w:rPr>
          <w:rStyle w:val="FootnoteReference"/>
        </w:rPr>
        <w:footnoteRef/>
      </w:r>
      <w:r>
        <w:t xml:space="preserve"> </w:t>
      </w:r>
      <w:r>
        <w:t xml:space="preserve">FedRAMP Marketplace, Infoblox Government Cloud (FR2017257053),</w:t>
      </w:r>
      <w:r>
        <w:t xml:space="preserve"> </w:t>
      </w:r>
      <w:hyperlink r:id="rId155">
        <w:r>
          <w:rPr>
            <w:rStyle w:val="Hyperlink"/>
          </w:rPr>
          <w:t xml:space="preserve">https://www.fedramp.gov/marketplace/products/FR2017257053/</w:t>
        </w:r>
      </w:hyperlink>
      <w:r>
        <w:t xml:space="preserve">, and Marketplace product data,</w:t>
      </w:r>
      <w:r>
        <w:t xml:space="preserve"> </w:t>
      </w:r>
      <w:hyperlink r:id="rId156">
        <w:r>
          <w:rPr>
            <w:rStyle w:val="Hyperlink"/>
          </w:rPr>
          <w:t xml:space="preserve">https://www.fedramp.gov/marketplace/products.json</w:t>
        </w:r>
      </w:hyperlink>
      <w:r>
        <w:t xml:space="preserve"> </w:t>
      </w:r>
      <w:r>
        <w:t xml:space="preserve">(accessed Oct 20, 2026). Status FedRAMP Certified; Class C (Moderate); Rev5; agency path; certified since December 15, 2022; deployed in AWS GovCloud (US).</w:t>
      </w:r>
    </w:p>
  </w:footnote>
  <w:footnote w:id="157">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58">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160">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61">
        <w:r>
          <w:rPr>
            <w:rStyle w:val="Hyperlink"/>
          </w:rPr>
          <w:t xml:space="preserve">https://learn.microsoft.com/en-us/entra/identity/hybrid/guidance-it-architects-source-of-authority</w:t>
        </w:r>
      </w:hyperlink>
      <w:r>
        <w:t xml:space="preserve"> </w:t>
      </w:r>
      <w:r>
        <w:t xml:space="preserve">(accessed Oct 20, 2026). A phased roadmap from hybrid to cloud-first and AD-minimized states.</w:t>
      </w:r>
    </w:p>
  </w:footnote>
  <w:footnote w:id="168">
    <w:p>
      <w:pPr>
        <w:pStyle w:val="FootnoteText"/>
      </w:pPr>
      <w:r>
        <w:rPr>
          <w:rStyle w:val="FootnoteReference"/>
        </w:rPr>
        <w:footnoteRef/>
      </w:r>
      <w:r>
        <w:t xml:space="preserve"> </w:t>
      </w:r>
      <w:r>
        <w:t xml:space="preserve">Microsoft Learn,</w:t>
      </w:r>
      <w:r>
        <w:t xml:space="preserve"> </w:t>
      </w:r>
      <w:r>
        <w:t xml:space="preserve">“DNS and AD DS,”</w:t>
      </w:r>
      <w:r>
        <w:t xml:space="preserve"> </w:t>
      </w:r>
      <w:hyperlink r:id="rId169">
        <w:r>
          <w:rPr>
            <w:rStyle w:val="Hyperlink"/>
          </w:rPr>
          <w:t xml:space="preserve">https://learn.microsoft.com/en-us/windows-server/identity/ad-ds/plan/dns-and-ad-ds</w:t>
        </w:r>
      </w:hyperlink>
      <w:r>
        <w:t xml:space="preserve"> </w:t>
      </w:r>
      <w:r>
        <w:t xml:space="preserve">(accessed Oct 20, 2026).</w:t>
      </w:r>
    </w:p>
  </w:footnote>
  <w:footnote w:id="174">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175">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176">
    <w:p>
      <w:pPr>
        <w:pStyle w:val="FootnoteText"/>
      </w:pPr>
      <w:r>
        <w:rPr>
          <w:rStyle w:val="FootnoteReference"/>
        </w:rPr>
        <w:footnoteRef/>
      </w:r>
      <w:r>
        <w:t xml:space="preserve"> </w:t>
      </w:r>
      <w:r>
        <w:t xml:space="preserve">Microsoft Learn,</w:t>
      </w:r>
      <w:r>
        <w:t xml:space="preserve"> </w:t>
      </w:r>
      <w:r>
        <w:t xml:space="preserve">“Add-DnsServerPrimaryZone”</w:t>
      </w:r>
      <w:r>
        <w:t xml:space="preserve"> </w:t>
      </w:r>
      <w:r>
        <w:t xml:space="preserve">(DnsServer module),</w:t>
      </w:r>
      <w:r>
        <w:t xml:space="preserve"> </w:t>
      </w:r>
      <w:r>
        <w:rPr>
          <w:rStyle w:val="VerbatimChar"/>
        </w:rPr>
        <w:t xml:space="preserve">-ReplicationScope</w:t>
      </w:r>
      <w:r>
        <w:t xml:space="preserve"> </w:t>
      </w:r>
      <w:r>
        <w:t xml:space="preserve">accepted values Forest, Domain, Legacy and Custom,</w:t>
      </w:r>
      <w:r>
        <w:t xml:space="preserve"> </w:t>
      </w:r>
      <w:hyperlink r:id="rId177">
        <w:r>
          <w:rPr>
            <w:rStyle w:val="Hyperlink"/>
          </w:rPr>
          <w:t xml:space="preserve">https://learn.microsoft.com/en-us/powershell/module/dnsserver/add-dnsserverprimaryzone?view=windowsserver2025-ps</w:t>
        </w:r>
      </w:hyperlink>
      <w:r>
        <w:t xml:space="preserve"> </w:t>
      </w:r>
      <w:r>
        <w:t xml:space="preserve">(accessed Oct 20, 2026).</w:t>
      </w:r>
    </w:p>
  </w:footnote>
  <w:footnote w:id="178">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175">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179">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175">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180">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r>
        <w:t xml:space="preserve">(DnsServer module):</w:t>
      </w:r>
      <w:r>
        <w:t xml:space="preserve"> </w:t>
      </w:r>
      <w:r>
        <w:t xml:space="preserve">“Conditional forwarders are stored as zones on a DNS server,”</w:t>
      </w:r>
      <w:r>
        <w:t xml:space="preserve"> </w:t>
      </w:r>
      <w:r>
        <w:t xml:space="preserve">with selectable replication scope and directory partition,</w:t>
      </w:r>
      <w:r>
        <w:t xml:space="preserve"> </w:t>
      </w:r>
      <w:hyperlink r:id="rId181">
        <w:r>
          <w:rPr>
            <w:rStyle w:val="Hyperlink"/>
          </w:rPr>
          <w:t xml:space="preserve">https://learn.microsoft.com/en-us/powershell/module/dnsserver/add-dnsserverconditionalforwarderzone?view=windowsserver2025-ps</w:t>
        </w:r>
      </w:hyperlink>
      <w:r>
        <w:t xml:space="preserve"> </w:t>
      </w:r>
      <w:r>
        <w:t xml:space="preserve">(accessed Oct 20, 2026).</w:t>
      </w:r>
    </w:p>
  </w:footnote>
  <w:footnote w:id="182">
    <w:p>
      <w:pPr>
        <w:pStyle w:val="FootnoteText"/>
      </w:pPr>
      <w:r>
        <w:rPr>
          <w:rStyle w:val="FootnoteReference"/>
        </w:rPr>
        <w:footnoteRef/>
      </w:r>
      <w:r>
        <w:t xml:space="preserve"> </w:t>
      </w:r>
      <w:r>
        <w:t xml:space="preserve">Microsoft Learn,</w:t>
      </w:r>
      <w:r>
        <w:t xml:space="preserve"> </w:t>
      </w:r>
      <w:r>
        <w:t xml:space="preserve">“Set-DnsServerGlobalNameZone”</w:t>
      </w:r>
      <w:r>
        <w:t xml:space="preserve"> </w:t>
      </w:r>
      <w:r>
        <w:t xml:space="preserve">(DnsServer module): the GlobalNames zone supports single-label names</w:t>
      </w:r>
      <w:r>
        <w:t xml:space="preserve"> </w:t>
      </w:r>
      <w:r>
        <w:t xml:space="preserve">“without using Windows Internet Name Service (WINS) technology,”</w:t>
      </w:r>
      <w:r>
        <w:t xml:space="preserve"> </w:t>
      </w:r>
      <w:hyperlink r:id="rId183">
        <w:r>
          <w:rPr>
            <w:rStyle w:val="Hyperlink"/>
          </w:rPr>
          <w:t xml:space="preserve">https://learn.microsoft.com/en-us/powershell/module/dnsserver/set-dnsserverglobalnamezone?view=windowsserver2025-ps</w:t>
        </w:r>
      </w:hyperlink>
      <w:r>
        <w:t xml:space="preserve"> </w:t>
      </w:r>
      <w:r>
        <w:t xml:space="preserve">(accessed Oct 20, 2026).</w:t>
      </w:r>
    </w:p>
  </w:footnote>
  <w:footnote w:id="184">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175">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185">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186">
        <w:r>
          <w:rPr>
            <w:rStyle w:val="Hyperlink"/>
          </w:rPr>
          <w:t xml:space="preserve">https://learn.microsoft.com/en-us/windows-server/networking/dns/dnssec-key-master</w:t>
        </w:r>
      </w:hyperlink>
      <w:r>
        <w:t xml:space="preserve"> </w:t>
      </w:r>
      <w:r>
        <w:t xml:space="preserve">(accessed Oct 20, 2026).</w:t>
      </w:r>
    </w:p>
  </w:footnote>
  <w:footnote w:id="187">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r>
        <w:t xml:space="preserve">(DnsServer module):</w:t>
      </w:r>
      <w:r>
        <w:t xml:space="preserve"> </w:t>
      </w:r>
      <w:r>
        <w:t xml:space="preserve">“Conditional forwarders are stored as zones on a DNS server,”</w:t>
      </w:r>
      <w:r>
        <w:t xml:space="preserve"> </w:t>
      </w:r>
      <w:r>
        <w:t xml:space="preserve">with selectable replication scope and directory partition,</w:t>
      </w:r>
      <w:r>
        <w:t xml:space="preserve"> </w:t>
      </w:r>
      <w:hyperlink r:id="rId181">
        <w:r>
          <w:rPr>
            <w:rStyle w:val="Hyperlink"/>
          </w:rPr>
          <w:t xml:space="preserve">https://learn.microsoft.com/en-us/powershell/module/dnsserver/add-dnsserverconditionalforwarderzone?view=windowsserver2025-ps</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“Locating domain controllers in Windows and Windows Server,”</w:t>
      </w:r>
      <w:r>
        <w:t xml:space="preserve"> </w:t>
      </w:r>
      <w:r>
        <w:t xml:space="preserve">DNS-based discovery,</w:t>
      </w:r>
      <w:r>
        <w:t xml:space="preserve"> </w:t>
      </w:r>
      <w:hyperlink r:id="rId190">
        <w:r>
          <w:rPr>
            <w:rStyle w:val="Hyperlink"/>
          </w:rPr>
          <w:t xml:space="preserve">https://learn.microsoft.com/en-us/windows-server/identity/ad-ds/manage/dc-locator</w:t>
        </w:r>
      </w:hyperlink>
      <w:r>
        <w:t xml:space="preserve"> </w:t>
      </w:r>
      <w:r>
        <w:t xml:space="preserve">(accessed Oct 20, 2026).</w:t>
      </w:r>
    </w:p>
  </w:footnote>
  <w:footnote w:id="191">
    <w:p>
      <w:pPr>
        <w:pStyle w:val="FootnoteText"/>
      </w:pPr>
      <w:r>
        <w:rPr>
          <w:rStyle w:val="FootnoteReference"/>
        </w:rPr>
        <w:footnoteRef/>
      </w:r>
      <w:r>
        <w:t xml:space="preserve"> </w:t>
      </w:r>
      <w:r>
        <w:t xml:space="preserve">Microsoft Learn,</w:t>
      </w:r>
      <w:r>
        <w:t xml:space="preserve"> </w:t>
      </w:r>
      <w:r>
        <w:t xml:space="preserve">“Kerberos SSP/AP”</w:t>
      </w:r>
      <w:r>
        <w:t xml:space="preserve"> </w:t>
      </w:r>
      <w:r>
        <w:t xml:space="preserve">(Win32 security):</w:t>
      </w:r>
      <w:r>
        <w:t xml:space="preserve"> </w:t>
      </w:r>
      <w:r>
        <w:t xml:space="preserve">“If a Kerberos KDC is not available, Windows uses MSV1_0 and pass-through authentication,”</w:t>
      </w:r>
      <w:r>
        <w:t xml:space="preserve"> </w:t>
      </w:r>
      <w:hyperlink r:id="rId192">
        <w:r>
          <w:rPr>
            <w:rStyle w:val="Hyperlink"/>
          </w:rPr>
          <w:t xml:space="preserve">https://learn.microsoft.com/en-us/windows/win32/secauthn/kerberos-ssp-ap</w:t>
        </w:r>
      </w:hyperlink>
      <w:r>
        <w:t xml:space="preserve"> </w:t>
      </w:r>
      <w:r>
        <w:t xml:space="preserve">(accessed Oct 20, 2026).</w:t>
      </w:r>
    </w:p>
  </w:footnote>
  <w:footnote w:id="193">
    <w:p>
      <w:pPr>
        <w:pStyle w:val="FootnoteText"/>
      </w:pPr>
      <w:r>
        <w:rPr>
          <w:rStyle w:val="FootnoteReference"/>
        </w:rPr>
        <w:footnoteRef/>
      </w:r>
      <w:r>
        <w:t xml:space="preserve"> </w:t>
      </w:r>
      <w:r>
        <w:t xml:space="preserve">Microsoft Learn,</w:t>
      </w:r>
      <w:r>
        <w:t xml:space="preserve"> </w:t>
      </w:r>
      <w:r>
        <w:t xml:space="preserve">“Policy CSP - ADMX_Netlogon,”</w:t>
      </w:r>
      <w:r>
        <w:t xml:space="preserve"> </w:t>
      </w:r>
      <w:r>
        <w:t xml:space="preserve">Netlogon_DnsAvoidRegisterRecords (mnemonics and the DC Locator records they register; records are</w:t>
      </w:r>
      <w:r>
        <w:t xml:space="preserve"> </w:t>
      </w:r>
      <w:r>
        <w:t xml:space="preserve">“dynamically registered by the Net Logon service”</w:t>
      </w:r>
      <w:r>
        <w:t xml:space="preserve">),</w:t>
      </w:r>
      <w:r>
        <w:t xml:space="preserve"> </w:t>
      </w:r>
      <w:hyperlink r:id="rId194">
        <w:r>
          <w:rPr>
            <w:rStyle w:val="Hyperlink"/>
          </w:rPr>
          <w:t xml:space="preserve">https://learn.microsoft.com/en-us/windows/client-management/mdm/policy-csp-admx-netlogon</w:t>
        </w:r>
      </w:hyperlink>
      <w:r>
        <w:t xml:space="preserve"> </w:t>
      </w:r>
      <w:r>
        <w:t xml:space="preserve">(accessed Oct 20, 2026).</w:t>
      </w:r>
    </w:p>
  </w:footnote>
  <w:footnote w:id="195">
    <w:p>
      <w:pPr>
        <w:pStyle w:val="FootnoteText"/>
      </w:pPr>
      <w:r>
        <w:rPr>
          <w:rStyle w:val="FootnoteReference"/>
        </w:rPr>
        <w:footnoteRef/>
      </w:r>
      <w:r>
        <w:t xml:space="preserve"> </w:t>
      </w:r>
      <w:r>
        <w:t xml:space="preserve">Microsoft Learn,</w:t>
      </w:r>
      <w:r>
        <w:t xml:space="preserve"> </w:t>
      </w:r>
      <w:r>
        <w:t xml:space="preserve">“How to verify that SRV DNS records have been created for a domain controller”</w:t>
      </w:r>
      <w:r>
        <w:t xml:space="preserve"> </w:t>
      </w:r>
      <w:r>
        <w:t xml:space="preserve">(KB 816587), including Netlogon.dns for non-Microsoft DNS servers,</w:t>
      </w:r>
      <w:r>
        <w:t xml:space="preserve"> </w:t>
      </w:r>
      <w:hyperlink r:id="rId196">
        <w:r>
          <w:rPr>
            <w:rStyle w:val="Hyperlink"/>
          </w:rPr>
          <w:t xml:space="preserve">https://learn.microsoft.com/en-us/troubleshoot/windows-server/networking/verify-srv-dns-records-have-been-created</w:t>
        </w:r>
      </w:hyperlink>
      <w:r>
        <w:t xml:space="preserve"> </w:t>
      </w:r>
      <w:r>
        <w:t xml:space="preserve">(accessed Oct 20, 2026).</w:t>
      </w:r>
    </w:p>
  </w:footnote>
  <w:footnote w:id="198">
    <w:p>
      <w:pPr>
        <w:pStyle w:val="FootnoteText"/>
      </w:pPr>
      <w:r>
        <w:rPr>
          <w:rStyle w:val="FootnoteReference"/>
        </w:rPr>
        <w:footnoteRef/>
      </w:r>
      <w:r>
        <w:t xml:space="preserve"> </w:t>
      </w:r>
      <w:r>
        <w:t xml:space="preserve">P. Vixie et al., RFC 2136,</w:t>
      </w:r>
      <w:r>
        <w:t xml:space="preserve"> </w:t>
      </w:r>
      <w:r>
        <w:rPr>
          <w:i/>
          <w:iCs/>
        </w:rPr>
        <w:t xml:space="preserve">Dynamic Updates in the Domain Name System (DNS UPDATE)</w:t>
      </w:r>
      <w:r>
        <w:t xml:space="preserve">, April 1997,</w:t>
      </w:r>
      <w:r>
        <w:t xml:space="preserve"> </w:t>
      </w:r>
      <w:hyperlink r:id="rId199">
        <w:r>
          <w:rPr>
            <w:rStyle w:val="Hyperlink"/>
          </w:rPr>
          <w:t xml:space="preserve">https://www.rfc-editor.org/rfc/rfc2136</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201">
        <w:r>
          <w:rPr>
            <w:rStyle w:val="Hyperlink"/>
          </w:rPr>
          <w:t xml:space="preserve">https://learn.microsoft.com/en-us/windows-server/networking/dns/dynamic-update</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(Windows Server),</w:t>
      </w:r>
      <w:r>
        <w:t xml:space="preserve"> </w:t>
      </w:r>
      <w:hyperlink r:id="rId175">
        <w:r>
          <w:rPr>
            <w:rStyle w:val="Hyperlink"/>
          </w:rPr>
          <w:t xml:space="preserve">https://learn.microsoft.com/en-us/windows-server/networking/dns/zone-types</w:t>
        </w:r>
      </w:hyperlink>
      <w:r>
        <w:t xml:space="preserve"> </w:t>
      </w:r>
      <w:r>
        <w:t xml:space="preserve">(accessed Oct 20, 2026). Zone storage in a file or AD DS; AD-integrated zones only on domain controllers running DNS; secure dynamic updates and multi-master primaries; secondary and stub zones; AXFR and IXFR; reverse zones; default ACL letting any authenticated user create A or PTR records.</w:t>
      </w:r>
    </w:p>
  </w:footnote>
  <w:footnote w:id="203">
    <w:p>
      <w:pPr>
        <w:pStyle w:val="FootnoteText"/>
      </w:pPr>
      <w:r>
        <w:rPr>
          <w:rStyle w:val="FootnoteReference"/>
        </w:rPr>
        <w:footnoteRef/>
      </w:r>
      <w:r>
        <w:t xml:space="preserve"> </w:t>
      </w:r>
      <w:r>
        <w:t xml:space="preserve">S. Kwan et al., RFC 3645,</w:t>
      </w:r>
      <w:r>
        <w:t xml:space="preserve"> </w:t>
      </w:r>
      <w:r>
        <w:rPr>
          <w:i/>
          <w:iCs/>
        </w:rPr>
        <w:t xml:space="preserve">Generic Security Service Algorithm for Secret Key Transaction Authentication for DNS (GSS-TSIG)</w:t>
      </w:r>
      <w:r>
        <w:t xml:space="preserve">, October 2003,</w:t>
      </w:r>
      <w:r>
        <w:t xml:space="preserve"> </w:t>
      </w:r>
      <w:hyperlink r:id="rId204">
        <w:r>
          <w:rPr>
            <w:rStyle w:val="Hyperlink"/>
          </w:rPr>
          <w:t xml:space="preserve">https://www.rfc-editor.org/rfc/rfc3645</w:t>
        </w:r>
      </w:hyperlink>
      <w:r>
        <w:t xml:space="preserve"> </w:t>
      </w:r>
      <w:r>
        <w:t xml:space="preserve">(accessed Oct 20, 2026).</w:t>
      </w:r>
    </w:p>
  </w:footnote>
  <w:footnote w:id="205">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201">
        <w:r>
          <w:rPr>
            <w:rStyle w:val="Hyperlink"/>
          </w:rPr>
          <w:t xml:space="preserve">https://learn.microsoft.com/en-us/windows-server/networking/dns/dynamic-update</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“DHCP failover overview,”</w:t>
      </w:r>
      <w:r>
        <w:t xml:space="preserve"> </w:t>
      </w:r>
      <w:r>
        <w:t xml:space="preserve">DHCP failover and DNS dynamic updates,</w:t>
      </w:r>
      <w:r>
        <w:t xml:space="preserve"> </w:t>
      </w:r>
      <w:hyperlink r:id="rId207">
        <w:r>
          <w:rPr>
            <w:rStyle w:val="Hyperlink"/>
          </w:rPr>
          <w:t xml:space="preserve">https://learn.microsoft.com/en-us/windows-server/networking/technologies/dhcp/dhcp-failover</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201">
        <w:r>
          <w:rPr>
            <w:rStyle w:val="Hyperlink"/>
          </w:rPr>
          <w:t xml:space="preserve">https://learn.microsoft.com/en-us/windows-server/networking/dns/dynamic-update</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201">
        <w:r>
          <w:rPr>
            <w:rStyle w:val="Hyperlink"/>
          </w:rPr>
          <w:t xml:space="preserve">https://learn.microsoft.com/en-us/windows-server/networking/dns/dynamic-update</w:t>
        </w:r>
      </w:hyperlink>
      <w:r>
        <w:t xml:space="preserve"> </w:t>
      </w:r>
      <w:r>
        <w:t xml:space="preserve">(accessed Oct 20, 2026).</w:t>
      </w:r>
    </w:p>
  </w:footnote>
  <w:footnote w:id="210">
    <w:p>
      <w:pPr>
        <w:pStyle w:val="FootnoteText"/>
      </w:pPr>
      <w:r>
        <w:rPr>
          <w:rStyle w:val="FootnoteReference"/>
        </w:rPr>
        <w:footnoteRef/>
      </w:r>
      <w:r>
        <w:t xml:space="preserve"> </w:t>
      </w:r>
      <w:r>
        <w:t xml:space="preserve">Microsoft Learn,</w:t>
      </w:r>
      <w:r>
        <w:t xml:space="preserve"> </w:t>
      </w:r>
      <w:r>
        <w:t xml:space="preserve">“Event ID 1056 is logged after installing DHCP,”</w:t>
      </w:r>
      <w:r>
        <w:t xml:space="preserve"> </w:t>
      </w:r>
      <w:hyperlink r:id="rId211">
        <w:r>
          <w:rPr>
            <w:rStyle w:val="Hyperlink"/>
          </w:rPr>
          <w:t xml:space="preserve">https://learn.microsoft.com/en-us/troubleshoot/windows-server/networking/event-1056-install-dhcp-server-service</w:t>
        </w:r>
      </w:hyperlink>
      <w:r>
        <w:t xml:space="preserve"> </w:t>
      </w:r>
      <w:r>
        <w:t xml:space="preserve">(accessed Oct 20, 2026).</w:t>
      </w:r>
    </w:p>
  </w:footnote>
  <w:footnote w:id="212">
    <w:p>
      <w:pPr>
        <w:pStyle w:val="FootnoteText"/>
      </w:pPr>
      <w:r>
        <w:rPr>
          <w:rStyle w:val="FootnoteReference"/>
        </w:rPr>
        <w:footnoteRef/>
      </w:r>
      <w:r>
        <w:t xml:space="preserve"> </w:t>
      </w:r>
      <w:r>
        <w:t xml:space="preserve">Microsoft Learn,</w:t>
      </w:r>
      <w:r>
        <w:t xml:space="preserve"> </w:t>
      </w:r>
      <w:r>
        <w:t xml:space="preserve">“Dynamic update”</w:t>
      </w:r>
      <w:r>
        <w:t xml:space="preserve"> </w:t>
      </w:r>
      <w:r>
        <w:t xml:space="preserve">(Windows Server DNS), secure dynamic update, DnsUpdateProxy and the dedicated user account,</w:t>
      </w:r>
      <w:r>
        <w:t xml:space="preserve"> </w:t>
      </w:r>
      <w:hyperlink r:id="rId201">
        <w:r>
          <w:rPr>
            <w:rStyle w:val="Hyperlink"/>
          </w:rPr>
          <w:t xml:space="preserve">https://learn.microsoft.com/en-us/windows-server/networking/dns/dynamic-update</w:t>
        </w:r>
      </w:hyperlink>
      <w:r>
        <w:t xml:space="preserve"> </w:t>
      </w:r>
      <w:r>
        <w:t xml:space="preserve">(accessed Oct 20, 2026).</w:t>
      </w:r>
    </w:p>
  </w:footnote>
  <w:footnote w:id="213">
    <w:p>
      <w:pPr>
        <w:pStyle w:val="FootnoteText"/>
      </w:pPr>
      <w:r>
        <w:rPr>
          <w:rStyle w:val="FootnoteReference"/>
        </w:rPr>
        <w:footnoteRef/>
      </w:r>
      <w:r>
        <w:t xml:space="preserve"> </w:t>
      </w:r>
      <w:r>
        <w:t xml:space="preserve">Microsoft Learn,</w:t>
      </w:r>
      <w:r>
        <w:t xml:space="preserve"> </w:t>
      </w:r>
      <w:r>
        <w:t xml:space="preserve">“Set-DhcpServerv4DnsSetting”</w:t>
      </w:r>
      <w:r>
        <w:t xml:space="preserve"> </w:t>
      </w:r>
      <w:r>
        <w:t xml:space="preserve">(DhcpServer module),</w:t>
      </w:r>
      <w:r>
        <w:t xml:space="preserve"> </w:t>
      </w:r>
      <w:r>
        <w:rPr>
          <w:rStyle w:val="VerbatimChar"/>
        </w:rPr>
        <w:t xml:space="preserve">-NameProtection</w:t>
      </w:r>
      <w:r>
        <w:t xml:space="preserve"> </w:t>
      </w:r>
      <w:r>
        <w:t xml:space="preserve">and Example 2 (DHCID records),</w:t>
      </w:r>
      <w:r>
        <w:t xml:space="preserve"> </w:t>
      </w:r>
      <w:hyperlink r:id="rId214">
        <w:r>
          <w:rPr>
            <w:rStyle w:val="Hyperlink"/>
          </w:rPr>
          <w:t xml:space="preserve">https://learn.microsoft.com/en-us/powershell/module/dhcpserver/set-dhcpserverv4dnssetting</w:t>
        </w:r>
      </w:hyperlink>
      <w:r>
        <w:t xml:space="preserve"> </w:t>
      </w:r>
      <w:r>
        <w:t xml:space="preserve">(accessed Oct 20, 2026).</w:t>
      </w:r>
    </w:p>
  </w:footnote>
  <w:footnote w:id="215">
    <w:p>
      <w:pPr>
        <w:pStyle w:val="FootnoteText"/>
      </w:pPr>
      <w:r>
        <w:rPr>
          <w:rStyle w:val="FootnoteReference"/>
        </w:rPr>
        <w:footnoteRef/>
      </w:r>
      <w:r>
        <w:t xml:space="preserve"> </w:t>
      </w:r>
      <w:r>
        <w:t xml:space="preserve">M. Stapp et al., RFC 4701,</w:t>
      </w:r>
      <w:r>
        <w:t xml:space="preserve"> </w:t>
      </w:r>
      <w:r>
        <w:rPr>
          <w:i/>
          <w:iCs/>
        </w:rPr>
        <w:t xml:space="preserve">A DNS Resource Record (RR) for Encoding Dynamic Host Configuration Protocol (DHCP) Information (DHCID RR)</w:t>
      </w:r>
      <w:r>
        <w:t xml:space="preserve">, October 2006,</w:t>
      </w:r>
      <w:r>
        <w:t xml:space="preserve"> </w:t>
      </w:r>
      <w:hyperlink r:id="rId216">
        <w:r>
          <w:rPr>
            <w:rStyle w:val="Hyperlink"/>
          </w:rPr>
          <w:t xml:space="preserve">https://www.rfc-editor.org/rfc/rfc4701</w:t>
        </w:r>
      </w:hyperlink>
      <w:r>
        <w:t xml:space="preserve"> </w:t>
      </w:r>
      <w:r>
        <w:t xml:space="preserve">(accessed Oct 20, 2026).</w:t>
      </w:r>
    </w:p>
  </w:footnote>
  <w:footnote w:id="217">
    <w:p>
      <w:pPr>
        <w:pStyle w:val="FootnoteText"/>
      </w:pPr>
      <w:r>
        <w:rPr>
          <w:rStyle w:val="FootnoteReference"/>
        </w:rPr>
        <w:footnoteRef/>
      </w:r>
      <w:r>
        <w:t xml:space="preserve"> </w:t>
      </w:r>
      <w:r>
        <w:t xml:space="preserve">Microsoft Learn,</w:t>
      </w:r>
      <w:r>
        <w:t xml:space="preserve"> </w:t>
      </w:r>
      <w:r>
        <w:t xml:space="preserve">“Multiple records with the same IP address due to DNS scavenging and the DHCP lease duration configurations,”</w:t>
      </w:r>
      <w:r>
        <w:t xml:space="preserve"> </w:t>
      </w:r>
      <w:r>
        <w:t xml:space="preserve">issue analysis,</w:t>
      </w:r>
      <w:r>
        <w:t xml:space="preserve"> </w:t>
      </w:r>
      <w:hyperlink r:id="rId218">
        <w:r>
          <w:rPr>
            <w:rStyle w:val="Hyperlink"/>
          </w:rPr>
          <w:t xml:space="preserve">https://learn.microsoft.com/en-us/troubleshoot/windows-server/networking/troubleshoot-multiple-records-being-registered-with-the-same-ip-address</w:t>
        </w:r>
      </w:hyperlink>
      <w:r>
        <w:t xml:space="preserve"> </w:t>
      </w:r>
      <w:r>
        <w:t xml:space="preserve">(accessed Oct 20, 2026).</w:t>
      </w:r>
    </w:p>
  </w:footnote>
  <w:footnote w:id="221">
    <w:p>
      <w:pPr>
        <w:pStyle w:val="FootnoteText"/>
      </w:pPr>
      <w:r>
        <w:rPr>
          <w:rStyle w:val="FootnoteReference"/>
        </w:rPr>
        <w:footnoteRef/>
      </w:r>
      <w:r>
        <w:t xml:space="preserve"> </w:t>
      </w:r>
      <w:r>
        <w:t xml:space="preserve">Microsoft Learn,</w:t>
      </w:r>
      <w:r>
        <w:t xml:space="preserve"> </w:t>
      </w:r>
      <w:r>
        <w:t xml:space="preserve">“Multiple records with the same IP address due to DNS scavenging and the DHCP lease duration configurations,”</w:t>
      </w:r>
      <w:r>
        <w:t xml:space="preserve"> </w:t>
      </w:r>
      <w:r>
        <w:t xml:space="preserve">issue analysis,</w:t>
      </w:r>
      <w:r>
        <w:t xml:space="preserve"> </w:t>
      </w:r>
      <w:hyperlink r:id="rId218">
        <w:r>
          <w:rPr>
            <w:rStyle w:val="Hyperlink"/>
          </w:rPr>
          <w:t xml:space="preserve">https://learn.microsoft.com/en-us/troubleshoot/windows-server/networking/troubleshoot-multiple-records-being-registered-with-the-same-ip-address</w:t>
        </w:r>
      </w:hyperlink>
      <w:r>
        <w:t xml:space="preserve"> </w:t>
      </w:r>
      <w:r>
        <w:t xml:space="preserve">(accessed Oct 20, 2026).</w:t>
      </w:r>
    </w:p>
  </w:footnote>
  <w:footnote w:id="223">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61">
        <w:r>
          <w:rPr>
            <w:rStyle w:val="Hyperlink"/>
          </w:rPr>
          <w:t xml:space="preserve">https://learn.microsoft.com/en-us/entra/identity/hybrid/guidance-it-architects-source-of-authority</w:t>
        </w:r>
      </w:hyperlink>
      <w:r>
        <w:t xml:space="preserve"> </w:t>
      </w:r>
      <w:r>
        <w:t xml:space="preserve">(accessed Oct 20, 2026).</w:t>
      </w:r>
    </w:p>
  </w:footnote>
  <w:footnote w:id="224">
    <w:p>
      <w:pPr>
        <w:pStyle w:val="FootnoteText"/>
      </w:pPr>
      <w:r>
        <w:rPr>
          <w:rStyle w:val="FootnoteReference"/>
        </w:rPr>
        <w:footnoteRef/>
      </w:r>
      <w:r>
        <w:t xml:space="preserve"> </w:t>
      </w:r>
      <w:r>
        <w:t xml:space="preserve">Microsoft Learn,</w:t>
      </w:r>
      <w:r>
        <w:t xml:space="preserve"> </w:t>
      </w:r>
      <w:r>
        <w:t xml:space="preserve">“What’s new in Windows Server 2025,”</w:t>
      </w:r>
      <w:r>
        <w:t xml:space="preserve"> </w:t>
      </w:r>
      <w:r>
        <w:t xml:space="preserve">Active Directory Domain Services,</w:t>
      </w:r>
      <w:r>
        <w:t xml:space="preserve"> </w:t>
      </w:r>
      <w:hyperlink r:id="rId225">
        <w:r>
          <w:rPr>
            <w:rStyle w:val="Hyperlink"/>
          </w:rPr>
          <w:t xml:space="preserve">https://learn.microsoft.com/en-us/windows-server/get-started/whats-new-windows-server-2025</w:t>
        </w:r>
      </w:hyperlink>
      <w:r>
        <w:t xml:space="preserve"> </w:t>
      </w:r>
      <w:r>
        <w:t xml:space="preserve">(accessed Oct 20, 2026).</w:t>
      </w:r>
    </w:p>
  </w:footnote>
  <w:footnote w:id="226">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61">
        <w:r>
          <w:rPr>
            <w:rStyle w:val="Hyperlink"/>
          </w:rPr>
          <w:t xml:space="preserve">https://learn.microsoft.com/en-us/entra/identity/hybrid/guidance-it-architects-source-of-authority</w:t>
        </w:r>
      </w:hyperlink>
      <w:r>
        <w:t xml:space="preserve"> </w:t>
      </w:r>
      <w:r>
        <w:t xml:space="preserve">(accessed Oct 20, 2026).</w:t>
      </w:r>
    </w:p>
  </w:footnote>
  <w:footnote w:id="227">
    <w:p>
      <w:pPr>
        <w:pStyle w:val="FootnoteText"/>
      </w:pPr>
      <w:r>
        <w:rPr>
          <w:rStyle w:val="FootnoteReference"/>
        </w:rPr>
        <w:footnoteRef/>
      </w:r>
      <w:r>
        <w:t xml:space="preserve"> </w:t>
      </w:r>
      <w:r>
        <w:t xml:space="preserve">Microsoft Learn,</w:t>
      </w:r>
      <w:r>
        <w:t xml:space="preserve"> </w:t>
      </w:r>
      <w:r>
        <w:t xml:space="preserve">“Administer DNS and create conditional forwarders in a Microsoft Entra Domain Services managed domain,”</w:t>
      </w:r>
      <w:r>
        <w:t xml:space="preserve"> </w:t>
      </w:r>
      <w:hyperlink r:id="rId228">
        <w:r>
          <w:rPr>
            <w:rStyle w:val="Hyperlink"/>
          </w:rPr>
          <w:t xml:space="preserve">https://learn.microsoft.com/en-us/entra/identity/domain-services/manage-dns</w:t>
        </w:r>
      </w:hyperlink>
      <w:r>
        <w:t xml:space="preserve">, and</w:t>
      </w:r>
      <w:r>
        <w:t xml:space="preserve"> </w:t>
      </w:r>
      <w:r>
        <w:t xml:space="preserve">“Tutorial: Create and configure a Microsoft Entra Domain Services managed domain,”</w:t>
      </w:r>
      <w:r>
        <w:t xml:space="preserve"> </w:t>
      </w:r>
      <w:r>
        <w:t xml:space="preserve">update DNS settings for the Azure virtual network,</w:t>
      </w:r>
      <w:r>
        <w:t xml:space="preserve"> </w:t>
      </w:r>
      <w:hyperlink r:id="rId229">
        <w:r>
          <w:rPr>
            <w:rStyle w:val="Hyperlink"/>
          </w:rPr>
          <w:t xml:space="preserve">https://learn.microsoft.com/en-us/entra/identity/domain-services/tutorial-create-instance</w:t>
        </w:r>
      </w:hyperlink>
      <w:r>
        <w:t xml:space="preserve"> </w:t>
      </w:r>
      <w:r>
        <w:t xml:space="preserve">(both accessed Oct 20, 2026).</w:t>
      </w:r>
    </w:p>
  </w:footnote>
  <w:footnote w:id="230">
    <w:p>
      <w:pPr>
        <w:pStyle w:val="FootnoteText"/>
      </w:pPr>
      <w:r>
        <w:rPr>
          <w:rStyle w:val="FootnoteReference"/>
        </w:rPr>
        <w:footnoteRef/>
      </w:r>
      <w:r>
        <w:t xml:space="preserve"> </w:t>
      </w:r>
      <w:r>
        <w:t xml:space="preserve">Microsoft Learn,</w:t>
      </w:r>
      <w:r>
        <w:t xml:space="preserve"> </w:t>
      </w:r>
      <w:r>
        <w:t xml:space="preserve">“Administer DNS and create conditional forwarders in a Microsoft Entra Domain Services managed domain,”</w:t>
      </w:r>
      <w:r>
        <w:t xml:space="preserve"> </w:t>
      </w:r>
      <w:hyperlink r:id="rId228">
        <w:r>
          <w:rPr>
            <w:rStyle w:val="Hyperlink"/>
          </w:rPr>
          <w:t xml:space="preserve">https://learn.microsoft.com/en-us/entra/identity/domain-services/manage-dns</w:t>
        </w:r>
      </w:hyperlink>
      <w:r>
        <w:t xml:space="preserve">, and</w:t>
      </w:r>
      <w:r>
        <w:t xml:space="preserve"> </w:t>
      </w:r>
      <w:r>
        <w:t xml:space="preserve">“Tutorial: Create and configure a Microsoft Entra Domain Services managed domain,”</w:t>
      </w:r>
      <w:r>
        <w:t xml:space="preserve"> </w:t>
      </w:r>
      <w:r>
        <w:t xml:space="preserve">update DNS settings for the Azure virtual network,</w:t>
      </w:r>
      <w:r>
        <w:t xml:space="preserve"> </w:t>
      </w:r>
      <w:hyperlink r:id="rId229">
        <w:r>
          <w:rPr>
            <w:rStyle w:val="Hyperlink"/>
          </w:rPr>
          <w:t xml:space="preserve">https://learn.microsoft.com/en-us/entra/identity/domain-services/tutorial-create-instance</w:t>
        </w:r>
      </w:hyperlink>
      <w:r>
        <w:t xml:space="preserve"> </w:t>
      </w:r>
      <w:r>
        <w:t xml:space="preserve">(both accessed Oct 20, 2026).</w:t>
      </w:r>
    </w:p>
  </w:footnote>
  <w:footnote w:id="232">
    <w:p>
      <w:pPr>
        <w:pStyle w:val="FootnoteText"/>
      </w:pPr>
      <w:r>
        <w:rPr>
          <w:rStyle w:val="FootnoteReference"/>
        </w:rPr>
        <w:footnoteRef/>
      </w:r>
      <w:r>
        <w:t xml:space="preserve"> </w:t>
      </w:r>
      <w:r>
        <w:t xml:space="preserve">Infoblox,</w:t>
      </w:r>
      <w:r>
        <w:t xml:space="preserve"> </w:t>
      </w:r>
      <w:r>
        <w:rPr>
          <w:i/>
          <w:iCs/>
        </w:rPr>
        <w:t xml:space="preserve">Deployment Guide: Integrating Microsoft Server 2019 into NIOS 8.6</w:t>
      </w:r>
      <w:r>
        <w:t xml:space="preserve">, November 2023, Introduction (MS-RPC management, Read-Only and Read/Write modes),</w:t>
      </w:r>
      <w:r>
        <w:t xml:space="preserve"> </w:t>
      </w:r>
      <w:hyperlink r:id="rId233">
        <w:r>
          <w:rPr>
            <w:rStyle w:val="Hyperlink"/>
          </w:rPr>
          <w:t xml:space="preserve">https://infoblox.com/resources/deployment-guides/integrating-microsoft-server-2019-into-nios-8-6</w:t>
        </w:r>
      </w:hyperlink>
      <w:r>
        <w:t xml:space="preserve"> </w:t>
      </w:r>
      <w:r>
        <w:t xml:space="preserve">(accessed Oct 20, 2026).</w:t>
      </w:r>
    </w:p>
  </w:footnote>
  <w:footnote w:id="234">
    <w:p>
      <w:pPr>
        <w:pStyle w:val="FootnoteText"/>
      </w:pPr>
      <w:r>
        <w:rPr>
          <w:rStyle w:val="FootnoteReference"/>
        </w:rPr>
        <w:footnoteRef/>
      </w:r>
      <w:r>
        <w:t xml:space="preserve"> </w:t>
      </w:r>
      <w:r>
        <w:t xml:space="preserve">Infoblox,</w:t>
      </w:r>
      <w:r>
        <w:t xml:space="preserve"> </w:t>
      </w:r>
      <w:r>
        <w:rPr>
          <w:i/>
          <w:iCs/>
        </w:rPr>
        <w:t xml:space="preserve">Deployment Guide: Configuring and Enabling GSS-TSIG on NIOS</w:t>
      </w:r>
      <w:r>
        <w:t xml:space="preserve"> </w:t>
      </w:r>
      <w:r>
        <w:t xml:space="preserve">(DG-0141-00), December 2016,</w:t>
      </w:r>
      <w:r>
        <w:t xml:space="preserve"> </w:t>
      </w:r>
      <w:hyperlink r:id="rId235">
        <w:r>
          <w:rPr>
            <w:rStyle w:val="Hyperlink"/>
          </w:rPr>
          <w:t xml:space="preserve">https://infoblox.com/resources/deployment-guides/configuring-and-enabling-gss-tsig-nios</w:t>
        </w:r>
      </w:hyperlink>
      <w:r>
        <w:t xml:space="preserve"> </w:t>
      </w:r>
      <w:r>
        <w:t xml:space="preserve">(accessed Oct 20, 2026).</w:t>
      </w:r>
    </w:p>
  </w:footnote>
  <w:footnote w:id="242">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(use cases, supported releases, restrictions),</w:t>
      </w:r>
      <w:r>
        <w:t xml:space="preserve"> </w:t>
      </w:r>
      <w:hyperlink r:id="rId27">
        <w:r>
          <w:rPr>
            <w:rStyle w:val="Hyperlink"/>
          </w:rPr>
          <w:t xml:space="preserve">https://www.cisco.com/c/en/us/td/docs/routers/sdwan/configuration/policies/ios-xe-17/policies-book-xe/redirect-dns.html</w:t>
        </w:r>
      </w:hyperlink>
      <w:r>
        <w:t xml:space="preserve"> </w:t>
      </w:r>
      <w:r>
        <w:t xml:space="preserve">(accessed Oct 20, 2026).</w:t>
      </w:r>
    </w:p>
  </w:footnote>
  <w:footnote w:id="247">
    <w:p>
      <w:pPr>
        <w:pStyle w:val="FootnoteText"/>
      </w:pPr>
      <w:r>
        <w:rPr>
          <w:rStyle w:val="FootnoteReference"/>
        </w:rPr>
        <w:footnoteRef/>
      </w:r>
      <w:r>
        <w:t xml:space="preserve"> </w:t>
      </w: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(use cases, supported releases, restrictions),</w:t>
      </w:r>
      <w:r>
        <w:t xml:space="preserve"> </w:t>
      </w:r>
      <w:hyperlink r:id="rId27">
        <w:r>
          <w:rPr>
            <w:rStyle w:val="Hyperlink"/>
          </w:rPr>
          <w:t xml:space="preserve">https://www.cisco.com/c/en/us/td/docs/routers/sdwan/configuration/policies/ios-xe-17/policies-book-xe/redirect-dns.html</w:t>
        </w:r>
      </w:hyperlink>
      <w:r>
        <w:t xml:space="preserve"> </w:t>
      </w:r>
      <w:r>
        <w:t xml:space="preserve">(accessed Oct 20, 2026).</w:t>
      </w:r>
    </w:p>
  </w:footnote>
  <w:footnote w:id="248">
    <w:p>
      <w:pPr>
        <w:pStyle w:val="FootnoteText"/>
      </w:pPr>
      <w:r>
        <w:rPr>
          <w:rStyle w:val="FootnoteReference"/>
        </w:rPr>
        <w:footnoteRef/>
      </w:r>
      <w:r>
        <w:t xml:space="preserve"> </w:t>
      </w:r>
      <w:r>
        <w:t xml:space="preserve">Infoblox,</w:t>
      </w:r>
      <w:r>
        <w:t xml:space="preserve"> </w:t>
      </w:r>
      <w:r>
        <w:t xml:space="preserve">“Managing Endpoint”</w:t>
      </w:r>
      <w:r>
        <w:t xml:space="preserve"> </w:t>
      </w:r>
      <w:r>
        <w:t xml:space="preserve">(Infoblox Threat Defense documentation),</w:t>
      </w:r>
      <w:r>
        <w:t xml:space="preserve"> </w:t>
      </w:r>
      <w:hyperlink r:id="rId249">
        <w:r>
          <w:rPr>
            <w:rStyle w:val="Hyperlink"/>
          </w:rPr>
          <w:t xml:space="preserve">https://docs.infoblox.com/space/BloxOneThreatDefense/35374260/Managing+Endpoint</w:t>
        </w:r>
      </w:hyperlink>
      <w:r>
        <w:t xml:space="preserve"> </w:t>
      </w:r>
      <w:r>
        <w:t xml:space="preserve">(accessed Oct 20, 2026).</w:t>
      </w:r>
    </w:p>
  </w:footnote>
  <w:footnote w:id="250">
    <w:p>
      <w:pPr>
        <w:pStyle w:val="FootnoteText"/>
      </w:pPr>
      <w:r>
        <w:rPr>
          <w:rStyle w:val="FootnoteReference"/>
        </w:rPr>
        <w:footnoteRef/>
      </w:r>
      <w:r>
        <w:t xml:space="preserve"> </w:t>
      </w:r>
      <w:r>
        <w:t xml:space="preserve">FedRAMP Marketplace dataset, product FR2304757473A,</w:t>
      </w:r>
      <w:r>
        <w:t xml:space="preserve"> </w:t>
      </w:r>
      <w:r>
        <w:t xml:space="preserve">“Cisco Security Cloud for Government”</w:t>
      </w:r>
      <w:r>
        <w:t xml:space="preserve"> </w:t>
      </w:r>
      <w:r>
        <w:t xml:space="preserve">(status FedRAMP Certified, impact level High, certified August 6, 2026; service description including Cisco Umbrella for Government and</w:t>
      </w:r>
      <w:r>
        <w:t xml:space="preserve"> </w:t>
      </w:r>
      <w:r>
        <w:t xml:space="preserve">“integration with CISA Protective DNS”</w:t>
      </w:r>
      <w:r>
        <w:t xml:space="preserve">),</w:t>
      </w:r>
      <w:r>
        <w:t xml:space="preserve"> </w:t>
      </w:r>
      <w:hyperlink r:id="rId156">
        <w:r>
          <w:rPr>
            <w:rStyle w:val="Hyperlink"/>
          </w:rPr>
          <w:t xml:space="preserve">https://www.fedramp.gov/marketplace/products.json</w:t>
        </w:r>
      </w:hyperlink>
      <w:r>
        <w:t xml:space="preserve"> </w:t>
      </w:r>
      <w:r>
        <w:t xml:space="preserve">(accessed Oct 20, 2026).</w:t>
      </w:r>
    </w:p>
  </w:footnote>
  <w:footnote w:id="251">
    <w:p>
      <w:pPr>
        <w:pStyle w:val="FootnoteText"/>
      </w:pPr>
      <w:r>
        <w:rPr>
          <w:rStyle w:val="FootnoteReference"/>
        </w:rPr>
        <w:footnoteRef/>
      </w:r>
      <w:r>
        <w:t xml:space="preserve"> </w:t>
      </w:r>
      <w:r>
        <w:t xml:space="preserve">Cisco,</w:t>
      </w:r>
      <w:r>
        <w:t xml:space="preserve"> </w:t>
      </w:r>
      <w:r>
        <w:t xml:space="preserve">“Configure Integration with Cisco Umbrella and Troubleshooting Common Problems”</w:t>
      </w:r>
      <w:r>
        <w:t xml:space="preserve"> </w:t>
      </w:r>
      <w:r>
        <w:t xml:space="preserve">(Cisco SD-WAN), April 8, 2021,</w:t>
      </w:r>
      <w:r>
        <w:t xml:space="preserve"> </w:t>
      </w:r>
      <w:hyperlink r:id="rId252">
        <w:r>
          <w:rPr>
            <w:rStyle w:val="Hyperlink"/>
          </w:rPr>
          <w:t xml:space="preserve">https://www.cisco.com/c/en/us/support/docs/routers/sd-wan/214155-configure-integration-with-cisco-umbrell.html</w:t>
        </w:r>
      </w:hyperlink>
      <w:r>
        <w:t xml:space="preserve"> </w:t>
      </w:r>
      <w:r>
        <w:t xml:space="preserve">(accessed Oct 20, 2026).</w:t>
      </w:r>
    </w:p>
  </w:footnote>
  <w:footnote w:id="254">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DNSSEC validation and trust anchors,</w:t>
      </w:r>
      <w:r>
        <w:t xml:space="preserve"> </w:t>
      </w:r>
      <w:hyperlink r:id="rId255">
        <w:r>
          <w:rPr>
            <w:rStyle w:val="Hyperlink"/>
          </w:rPr>
          <w:t xml:space="preserve">https://learn.microsoft.com/en-us/azure/dns/dnssec</w:t>
        </w:r>
      </w:hyperlink>
      <w:r>
        <w:t xml:space="preserve"> </w:t>
      </w:r>
      <w:r>
        <w:t xml:space="preserve">(accessed Oct 20, 2026).</w:t>
      </w:r>
    </w:p>
  </w:footnote>
  <w:footnote w:id="256">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24">
        <w:r>
          <w:rPr>
            <w:rStyle w:val="Hyperlink"/>
          </w:rPr>
          <w:t xml:space="preserve">https://csrc.nist.gov/pubs/sp/800/81/r3/final</w:t>
        </w:r>
      </w:hyperlink>
      <w:r>
        <w:t xml:space="preserve"> </w:t>
      </w:r>
      <w:r>
        <w:t xml:space="preserve">(accessed Oct 20, 2026).</w:t>
      </w:r>
    </w:p>
  </w:footnote>
  <w:footnote w:id="258">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34">
        <w:r>
          <w:rPr>
            <w:rStyle w:val="Hyperlink"/>
          </w:rPr>
          <w:t xml:space="preserve">https://learn.microsoft.com/en-us/microsoft-365/enterprise/office-365-network-mac-perf-cpe?view=o365-worldwide</w:t>
        </w:r>
      </w:hyperlink>
      <w:r>
        <w:t xml:space="preserve"> </w:t>
      </w:r>
      <w:r>
        <w:t xml:space="preserve">(accessed Oct 20, 2026).</w:t>
      </w:r>
    </w:p>
  </w:footnote>
  <w:footnote w:id="26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r>
        <w:t xml:space="preserve">pp. 13–14,</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266">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68">
    <w:p>
      <w:pPr>
        <w:pStyle w:val="FootnoteText"/>
      </w:pPr>
      <w:r>
        <w:rPr>
          <w:rStyle w:val="FootnoteReference"/>
        </w:rPr>
        <w:footnoteRef/>
      </w:r>
      <w:r>
        <w:t xml:space="preserve"> </w:t>
      </w:r>
      <w:r>
        <w:t xml:space="preserve">Z. Hu et al., RFC 7858,</w:t>
      </w:r>
      <w:r>
        <w:t xml:space="preserve"> </w:t>
      </w:r>
      <w:r>
        <w:rPr>
          <w:i/>
          <w:iCs/>
        </w:rPr>
        <w:t xml:space="preserve">Specification for DNS over Transport Layer Security (TLS)</w:t>
      </w:r>
      <w:r>
        <w:t xml:space="preserve">, May 2016,</w:t>
      </w:r>
      <w:r>
        <w:t xml:space="preserve"> </w:t>
      </w:r>
      <w:hyperlink r:id="rId269">
        <w:r>
          <w:rPr>
            <w:rStyle w:val="Hyperlink"/>
          </w:rPr>
          <w:t xml:space="preserve">https://www.rfc-editor.org/rfc/rfc7858</w:t>
        </w:r>
      </w:hyperlink>
      <w:r>
        <w:t xml:space="preserve">; P. Hoffman and P. McManus, RFC 8484,</w:t>
      </w:r>
      <w:r>
        <w:t xml:space="preserve"> </w:t>
      </w:r>
      <w:r>
        <w:rPr>
          <w:i/>
          <w:iCs/>
        </w:rPr>
        <w:t xml:space="preserve">DNS Queries over HTTPS (DoH)</w:t>
      </w:r>
      <w:r>
        <w:t xml:space="preserve">, October 2018,</w:t>
      </w:r>
      <w:r>
        <w:t xml:space="preserve"> </w:t>
      </w:r>
      <w:hyperlink r:id="rId270">
        <w:r>
          <w:rPr>
            <w:rStyle w:val="Hyperlink"/>
          </w:rPr>
          <w:t xml:space="preserve">https://www.rfc-editor.org/rfc/rfc8484</w:t>
        </w:r>
      </w:hyperlink>
      <w:r>
        <w:t xml:space="preserve">; C. Huitema et al., RFC 9250,</w:t>
      </w:r>
      <w:r>
        <w:t xml:space="preserve"> </w:t>
      </w:r>
      <w:r>
        <w:rPr>
          <w:i/>
          <w:iCs/>
        </w:rPr>
        <w:t xml:space="preserve">DNS over Dedicated QUIC Connections</w:t>
      </w:r>
      <w:r>
        <w:t xml:space="preserve">, May 2022,</w:t>
      </w:r>
      <w:r>
        <w:t xml:space="preserve"> </w:t>
      </w:r>
      <w:hyperlink r:id="rId271">
        <w:r>
          <w:rPr>
            <w:rStyle w:val="Hyperlink"/>
          </w:rPr>
          <w:t xml:space="preserve">https://www.rfc-editor.org/rfc/rfc9250</w:t>
        </w:r>
      </w:hyperlink>
      <w:r>
        <w:t xml:space="preserve"> </w:t>
      </w:r>
      <w:r>
        <w:t xml:space="preserve">(all accessed Oct 20, 2026).</w:t>
      </w:r>
    </w:p>
  </w:footnote>
  <w:footnote w:id="272">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24">
        <w:r>
          <w:rPr>
            <w:rStyle w:val="Hyperlink"/>
          </w:rPr>
          <w:t xml:space="preserve">https://csrc.nist.gov/pubs/sp/800/81/r3/final</w:t>
        </w:r>
      </w:hyperlink>
      <w:r>
        <w:t xml:space="preserve"> </w:t>
      </w:r>
      <w:r>
        <w:t xml:space="preserve">(accessed Oct 20, 2026).</w:t>
      </w:r>
    </w:p>
  </w:footnote>
  <w:footnote w:id="27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24">
        <w:r>
          <w:rPr>
            <w:rStyle w:val="Hyperlink"/>
          </w:rPr>
          <w:t xml:space="preserve">https://csrc.nist.gov/pubs/sp/800/81/r3/final</w:t>
        </w:r>
      </w:hyperlink>
      <w:r>
        <w:t xml:space="preserve"> </w:t>
      </w:r>
      <w:r>
        <w:t xml:space="preserve">(accessed Oct 20, 2026).</w:t>
      </w:r>
    </w:p>
  </w:footnote>
  <w:footnote w:id="274">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75">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§4.2.2 (blocking unauthorized external DNS, DoT, DoH and DoQ) and §5.2 (DNSSEC considerations for stub resolvers),</w:t>
      </w:r>
      <w:r>
        <w:t xml:space="preserve"> </w:t>
      </w:r>
      <w:hyperlink r:id="rId24">
        <w:r>
          <w:rPr>
            <w:rStyle w:val="Hyperlink"/>
          </w:rPr>
          <w:t xml:space="preserve">https://csrc.nist.gov/pubs/sp/800/81/r3/final</w:t>
        </w:r>
      </w:hyperlink>
      <w:r>
        <w:t xml:space="preserve"> </w:t>
      </w:r>
      <w:r>
        <w:t xml:space="preserve">(accessed Oct 20, 2026).</w:t>
      </w:r>
    </w:p>
  </w:footnote>
  <w:footnote w:id="276">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77">
    <w:p>
      <w:pPr>
        <w:pStyle w:val="FootnoteText"/>
      </w:pPr>
      <w:r>
        <w:rPr>
          <w:rStyle w:val="FootnoteReference"/>
        </w:rPr>
        <w:footnoteRef/>
      </w:r>
      <w:r>
        <w:t xml:space="preserve"> </w:t>
      </w:r>
      <w:r>
        <w:t xml:space="preserve">Cisco,</w:t>
      </w:r>
      <w:r>
        <w:t xml:space="preserve"> </w:t>
      </w:r>
      <w:r>
        <w:t xml:space="preserve">“Configure Integration with Cisco Umbrella and Troubleshooting Common Problems”</w:t>
      </w:r>
      <w:r>
        <w:t xml:space="preserve"> </w:t>
      </w:r>
      <w:r>
        <w:t xml:space="preserve">(Cisco SD-WAN), April 8, 2021,</w:t>
      </w:r>
      <w:r>
        <w:t xml:space="preserve"> </w:t>
      </w:r>
      <w:hyperlink r:id="rId252">
        <w:r>
          <w:rPr>
            <w:rStyle w:val="Hyperlink"/>
          </w:rPr>
          <w:t xml:space="preserve">https://www.cisco.com/c/en/us/support/docs/routers/sd-wan/214155-configure-integration-with-cisco-umbrell.html</w:t>
        </w:r>
      </w:hyperlink>
      <w:r>
        <w:t xml:space="preserve"> </w:t>
      </w:r>
      <w:r>
        <w:t xml:space="preserve">(accessed Oct 20, 2026).</w:t>
      </w:r>
    </w:p>
  </w:footnote>
  <w:footnote w:id="279">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280">
        <w:r>
          <w:rPr>
            <w:rStyle w:val="Hyperlink"/>
          </w:rPr>
          <w:t xml:space="preserve">https://learn.microsoft.com/en-us/windows-server/networking/dns/doh-client-support</w:t>
        </w:r>
      </w:hyperlink>
      <w:r>
        <w:t xml:space="preserve"> </w:t>
      </w:r>
      <w:r>
        <w:t xml:space="preserve">(accessed Oct 20, 2026).</w:t>
      </w:r>
    </w:p>
  </w:footnote>
  <w:footnote w:id="281">
    <w:p>
      <w:pPr>
        <w:pStyle w:val="FootnoteText"/>
      </w:pPr>
      <w:r>
        <w:rPr>
          <w:rStyle w:val="FootnoteReference"/>
        </w:rPr>
        <w:footnoteRef/>
      </w:r>
      <w:r>
        <w:t xml:space="preserve"> </w:t>
      </w:r>
      <w:r>
        <w:t xml:space="preserve">Microsoft Learn,</w:t>
      </w:r>
      <w:r>
        <w:t xml:space="preserve"> </w:t>
      </w:r>
      <w:r>
        <w:t xml:space="preserve">“Network security”</w:t>
      </w:r>
      <w:r>
        <w:t xml:space="preserve"> </w:t>
      </w:r>
      <w:r>
        <w:t xml:space="preserve">(Windows security book), Domain Name System (DNS) security,</w:t>
      </w:r>
      <w:r>
        <w:t xml:space="preserve"> </w:t>
      </w:r>
      <w:hyperlink r:id="rId282">
        <w:r>
          <w:rPr>
            <w:rStyle w:val="Hyperlink"/>
          </w:rPr>
          <w:t xml:space="preserve">https://learn.microsoft.com/en-us/windows/security/book/operating-system-security-network-security</w:t>
        </w:r>
      </w:hyperlink>
      <w:r>
        <w:t xml:space="preserve"> </w:t>
      </w:r>
      <w:r>
        <w:t xml:space="preserve">(accessed Oct 20, 2026).</w:t>
      </w:r>
    </w:p>
  </w:footnote>
  <w:footnote w:id="283">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280">
        <w:r>
          <w:rPr>
            <w:rStyle w:val="Hyperlink"/>
          </w:rPr>
          <w:t xml:space="preserve">https://learn.microsoft.com/en-us/windows-server/networking/dns/doh-client-support</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“DNS encryption using DNS over HTTPS,”</w:t>
      </w:r>
      <w:r>
        <w:t xml:space="preserve"> </w:t>
      </w:r>
      <w:r>
        <w:t xml:space="preserve">DNS over HTTPS for DNS Server,</w:t>
      </w:r>
      <w:r>
        <w:t xml:space="preserve"> </w:t>
      </w:r>
      <w:hyperlink r:id="rId285">
        <w:r>
          <w:rPr>
            <w:rStyle w:val="Hyperlink"/>
          </w:rPr>
          <w:t xml:space="preserve">https://learn.microsoft.com/en-us/windows-server/networking/dns/dns-encryption-dns-over-https</w:t>
        </w:r>
      </w:hyperlink>
      <w:r>
        <w:t xml:space="preserve">, and</w:t>
      </w:r>
      <w:r>
        <w:t xml:space="preserve"> </w:t>
      </w:r>
      <w:r>
        <w:t xml:space="preserve">“Enable DNS over HTTPS in DNS Server,”</w:t>
      </w:r>
      <w:r>
        <w:t xml:space="preserve"> </w:t>
      </w:r>
      <w:r>
        <w:t xml:space="preserve">prerequisites,</w:t>
      </w:r>
      <w:r>
        <w:t xml:space="preserve"> </w:t>
      </w:r>
      <w:hyperlink r:id="rId286">
        <w:r>
          <w:rPr>
            <w:rStyle w:val="Hyperlink"/>
          </w:rPr>
          <w:t xml:space="preserve">https://learn.microsoft.com/en-us/windows-server/networking/dns/enable-dns-over-https-server</w:t>
        </w:r>
      </w:hyperlink>
      <w:r>
        <w:t xml:space="preserve"> </w:t>
      </w:r>
      <w:r>
        <w:t xml:space="preserve">(both accessed Oct 20, 2026).</w:t>
      </w:r>
    </w:p>
  </w:footnote>
  <w:footnote w:id="287">
    <w:p>
      <w:pPr>
        <w:pStyle w:val="FootnoteText"/>
      </w:pPr>
      <w:r>
        <w:rPr>
          <w:rStyle w:val="FootnoteReference"/>
        </w:rPr>
        <w:footnoteRef/>
      </w:r>
      <w:r>
        <w:t xml:space="preserve"> </w:t>
      </w:r>
      <w:r>
        <w:t xml:space="preserve">Microsoft Learn,</w:t>
      </w:r>
      <w:r>
        <w:t xml:space="preserve"> </w:t>
      </w:r>
      <w:r>
        <w:t xml:space="preserve">“Secure DNS Client over HTTPS (DoH)”</w:t>
      </w:r>
      <w:r>
        <w:t xml:space="preserve"> </w:t>
      </w:r>
      <w:r>
        <w:t xml:space="preserve">(Windows Server),</w:t>
      </w:r>
      <w:r>
        <w:t xml:space="preserve"> </w:t>
      </w:r>
      <w:hyperlink r:id="rId280">
        <w:r>
          <w:rPr>
            <w:rStyle w:val="Hyperlink"/>
          </w:rPr>
          <w:t xml:space="preserve">https://learn.microsoft.com/en-us/windows-server/networking/dns/doh-client-support</w:t>
        </w:r>
      </w:hyperlink>
      <w:r>
        <w:t xml:space="preserve"> </w:t>
      </w:r>
      <w:r>
        <w:t xml:space="preserve">(accessed Oct 20, 2026).</w:t>
      </w:r>
    </w:p>
  </w:footnote>
  <w:footnote w:id="288">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89">
    <w:p>
      <w:pPr>
        <w:pStyle w:val="FootnoteText"/>
      </w:pPr>
      <w:r>
        <w:rPr>
          <w:rStyle w:val="FootnoteReference"/>
        </w:rPr>
        <w:footnoteRef/>
      </w:r>
      <w:r>
        <w:t xml:space="preserve"> </w:t>
      </w:r>
      <w:r>
        <w:t xml:space="preserve">Microsoft Learn,</w:t>
      </w:r>
      <w:r>
        <w:t xml:space="preserve"> </w:t>
      </w:r>
      <w:r>
        <w:t xml:space="preserve">“Zero Trust DNS,”</w:t>
      </w:r>
      <w:r>
        <w:t xml:space="preserve"> </w:t>
      </w:r>
      <w:hyperlink r:id="rId290">
        <w:r>
          <w:rPr>
            <w:rStyle w:val="Hyperlink"/>
          </w:rPr>
          <w:t xml:space="preserve">https://learn.microsoft.com/en-us/windows/security/operating-system-security/network-security/zero-trust-dns/</w:t>
        </w:r>
      </w:hyperlink>
      <w:r>
        <w:t xml:space="preserve"> </w:t>
      </w:r>
      <w:r>
        <w:t xml:space="preserve">(accessed Oct 20, 2026).</w:t>
      </w:r>
    </w:p>
  </w:footnote>
  <w:footnote w:id="291">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93">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294">
    <w:p>
      <w:pPr>
        <w:pStyle w:val="FootnoteText"/>
      </w:pPr>
      <w:r>
        <w:rPr>
          <w:rStyle w:val="FootnoteReference"/>
        </w:rPr>
        <w:footnoteRef/>
      </w:r>
      <w:r>
        <w:t xml:space="preserve"> </w:t>
      </w:r>
      <w:r>
        <w:t xml:space="preserve">Microsoft Learn,</w:t>
      </w:r>
      <w:r>
        <w:t xml:space="preserve"> </w:t>
      </w:r>
      <w:r>
        <w:t xml:space="preserve">“DnsOverHttpsMode”</w:t>
      </w:r>
      <w:r>
        <w:t xml:space="preserve"> </w:t>
      </w:r>
      <w:r>
        <w:t xml:space="preserve">(Microsoft Edge browser policy),</w:t>
      </w:r>
      <w:r>
        <w:t xml:space="preserve"> </w:t>
      </w:r>
      <w:hyperlink r:id="rId295">
        <w:r>
          <w:rPr>
            <w:rStyle w:val="Hyperlink"/>
          </w:rPr>
          <w:t xml:space="preserve">https://learn.microsoft.com/en-us/deployedge/microsoft-edge-browser-policies/dnsoverhttpsmode</w:t>
        </w:r>
      </w:hyperlink>
      <w:r>
        <w:t xml:space="preserve"> </w:t>
      </w:r>
      <w:r>
        <w:t xml:space="preserve">(accessed Oct 20, 2026).</w:t>
      </w:r>
    </w:p>
  </w:footnote>
  <w:footnote w:id="296">
    <w:p>
      <w:pPr>
        <w:pStyle w:val="FootnoteText"/>
      </w:pPr>
      <w:r>
        <w:rPr>
          <w:rStyle w:val="FootnoteReference"/>
        </w:rPr>
        <w:footnoteRef/>
      </w:r>
      <w:r>
        <w:t xml:space="preserve"> </w:t>
      </w:r>
      <w:r>
        <w:t xml:space="preserve">Google, Chrome Enterprise policy list,</w:t>
      </w:r>
      <w:r>
        <w:t xml:space="preserve"> </w:t>
      </w:r>
      <w:r>
        <w:t xml:space="preserve">“DnsOverHttpsMode: Controls the mode of DNS-over-HTTPS,”</w:t>
      </w:r>
      <w:r>
        <w:t xml:space="preserve"> </w:t>
      </w:r>
      <w:hyperlink r:id="rId297">
        <w:r>
          <w:rPr>
            <w:rStyle w:val="Hyperlink"/>
          </w:rPr>
          <w:t xml:space="preserve">https://chromeenterprise.google/policies/dns-over-https-mode/</w:t>
        </w:r>
      </w:hyperlink>
      <w:r>
        <w:t xml:space="preserve"> </w:t>
      </w:r>
      <w:r>
        <w:t xml:space="preserve">(accessed Oct 20, 2026). CISA’s guidance (Appendix A.1.2) documents the same policy for Chrome.</w:t>
      </w:r>
    </w:p>
  </w:footnote>
  <w:footnote w:id="298">
    <w:p>
      <w:pPr>
        <w:pStyle w:val="FootnoteText"/>
      </w:pPr>
      <w:r>
        <w:rPr>
          <w:rStyle w:val="FootnoteReference"/>
        </w:rPr>
        <w:footnoteRef/>
      </w:r>
      <w:r>
        <w:t xml:space="preserve"> </w:t>
      </w:r>
      <w:r>
        <w:t xml:space="preserve">Mozilla Support,</w:t>
      </w:r>
      <w:r>
        <w:t xml:space="preserve"> </w:t>
      </w:r>
      <w:r>
        <w:t xml:space="preserve">“Configure networks to disable DNS over HTTPS”</w:t>
      </w:r>
      <w:r>
        <w:t xml:space="preserve"> </w:t>
      </w:r>
      <w:r>
        <w:t xml:space="preserve">(canary domain use-application-dns.net),</w:t>
      </w:r>
      <w:r>
        <w:t xml:space="preserve"> </w:t>
      </w:r>
      <w:hyperlink r:id="rId299">
        <w:r>
          <w:rPr>
            <w:rStyle w:val="Hyperlink"/>
          </w:rPr>
          <w:t xml:space="preserve">https://support.mozilla.org/en-US/kb/configuring-networks-disable-dns-over-https</w:t>
        </w:r>
      </w:hyperlink>
      <w:r>
        <w:t xml:space="preserve"> </w:t>
      </w:r>
      <w:r>
        <w:t xml:space="preserve">(accessed Oct 20, 2026); cited by CISA,</w:t>
      </w:r>
      <w:r>
        <w:t xml:space="preserve"> </w:t>
      </w:r>
      <w:r>
        <w:rPr>
          <w:i/>
          <w:iCs/>
        </w:rPr>
        <w:t xml:space="preserve">Encrypted DNS Implementation Guidance</w:t>
      </w:r>
      <w:r>
        <w:t xml:space="preserve">, Appendix A.1.1.</w:t>
      </w:r>
    </w:p>
  </w:footnote>
  <w:footnote w:id="300">
    <w:p>
      <w:pPr>
        <w:pStyle w:val="FootnoteText"/>
      </w:pPr>
      <w:r>
        <w:rPr>
          <w:rStyle w:val="FootnoteReference"/>
        </w:rPr>
        <w:footnoteRef/>
      </w:r>
      <w:r>
        <w:t xml:space="preserve"> </w:t>
      </w:r>
      <w:r>
        <w:t xml:space="preserve">Mozilla Wiki,</w:t>
      </w:r>
      <w:r>
        <w:t xml:space="preserve"> </w:t>
      </w:r>
      <w:r>
        <w:t xml:space="preserve">“Security/DNS Over HTTPS/Heuristics”</w:t>
      </w:r>
      <w:r>
        <w:t xml:space="preserve">:</w:t>
      </w:r>
      <w:r>
        <w:t xml:space="preserve"> </w:t>
      </w:r>
      <w:r>
        <w:t xml:space="preserve">“If enterprise policies are active, we disable DoH unless it is explicitly enabled by the DNSOverHTTPS policy,”</w:t>
      </w:r>
      <w:r>
        <w:t xml:space="preserve"> </w:t>
      </w:r>
      <w:hyperlink r:id="rId301">
        <w:r>
          <w:rPr>
            <w:rStyle w:val="Hyperlink"/>
          </w:rPr>
          <w:t xml:space="preserve">https://wiki.mozilla.org/Security/DNS_Over_HTTPS/Heuristics</w:t>
        </w:r>
      </w:hyperlink>
      <w:r>
        <w:t xml:space="preserve"> </w:t>
      </w:r>
      <w:r>
        <w:t xml:space="preserve">(accessed Oct 20, 2026).</w:t>
      </w:r>
    </w:p>
  </w:footnote>
  <w:footnote w:id="302">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 Executive Summary, §2 (agency implementation checklist, including blocking by transport, and §2.1 phased implementation), §3.3 (agency DNS infrastructure: IPsec, proxies, root hints, fallback resolvers) and Appendix A.1 (web browsers),</w:t>
      </w:r>
      <w:r>
        <w:t xml:space="preserve"> </w:t>
      </w:r>
      <w:hyperlink r:id="rId267">
        <w:r>
          <w:rPr>
            <w:rStyle w:val="Hyperlink"/>
          </w:rPr>
          <w:t xml:space="preserve">https://www.cisa.gov/sites/default/files/2024-05/Encrypted%20DNS%20Implementation%20Guidance_508c.pdf</w:t>
        </w:r>
      </w:hyperlink>
      <w:r>
        <w:t xml:space="preserve"> </w:t>
      </w:r>
      <w:r>
        <w:t xml:space="preserve">(accessed Oct 20, 2026); landing page</w:t>
      </w:r>
      <w:r>
        <w:t xml:space="preserve"> </w:t>
      </w:r>
      <w:hyperlink r:id="rId115">
        <w:r>
          <w:rPr>
            <w:rStyle w:val="Hyperlink"/>
          </w:rPr>
          <w:t xml:space="preserve">https://www.cisa.gov/resources-tools/resources/encrypted-dns-implementation-guidance</w:t>
        </w:r>
      </w:hyperlink>
      <w:r>
        <w:t xml:space="preserve">.</w:t>
      </w:r>
    </w:p>
  </w:footnote>
  <w:footnote w:id="307">
    <w:p>
      <w:pPr>
        <w:pStyle w:val="FootnoteText"/>
      </w:pPr>
      <w:r>
        <w:rPr>
          <w:rStyle w:val="FootnoteReference"/>
        </w:rPr>
        <w:footnoteRef/>
      </w:r>
      <w:r>
        <w:t xml:space="preserve"> </w:t>
      </w:r>
      <w:r>
        <w:t xml:space="preserve">MITRE ATT&amp;CK,</w:t>
      </w:r>
      <w:r>
        <w:t xml:space="preserve"> </w:t>
      </w:r>
      <w:r>
        <w:t xml:space="preserve">“Adversary-in-the-Middle: DHCP Spoofing”</w:t>
      </w:r>
      <w:r>
        <w:t xml:space="preserve"> </w:t>
      </w:r>
      <w:r>
        <w:t xml:space="preserve">(T1557.003), including mitigation M1037,</w:t>
      </w:r>
      <w:r>
        <w:t xml:space="preserve"> </w:t>
      </w:r>
      <w:hyperlink r:id="rId308">
        <w:r>
          <w:rPr>
            <w:rStyle w:val="Hyperlink"/>
          </w:rPr>
          <w:t xml:space="preserve">https://attack.mitre.org/techniques/T1557/003/</w:t>
        </w:r>
      </w:hyperlink>
      <w:r>
        <w:t xml:space="preserve"> </w:t>
      </w:r>
      <w:r>
        <w:t xml:space="preserve">(accessed Oct 20, 2026).</w:t>
      </w:r>
    </w:p>
  </w:footnote>
  <w:footnote w:id="309">
    <w:p>
      <w:pPr>
        <w:pStyle w:val="FootnoteText"/>
      </w:pPr>
      <w:r>
        <w:rPr>
          <w:rStyle w:val="FootnoteReference"/>
        </w:rPr>
        <w:footnoteRef/>
      </w:r>
      <w:r>
        <w:t xml:space="preserve"> </w:t>
      </w:r>
      <w:r>
        <w:t xml:space="preserve">J. Jeong et al., RFC 8106,</w:t>
      </w:r>
      <w:r>
        <w:t xml:space="preserve"> </w:t>
      </w:r>
      <w:r>
        <w:rPr>
          <w:i/>
          <w:iCs/>
        </w:rPr>
        <w:t xml:space="preserve">IPv6 Router Advertisement Options for DNS Configuration</w:t>
      </w:r>
      <w:r>
        <w:t xml:space="preserve">, March 2017,</w:t>
      </w:r>
      <w:r>
        <w:t xml:space="preserve"> </w:t>
      </w:r>
      <w:hyperlink r:id="rId310">
        <w:r>
          <w:rPr>
            <w:rStyle w:val="Hyperlink"/>
          </w:rPr>
          <w:t xml:space="preserve">https://www.rfc-editor.org/rfc/rfc8106</w:t>
        </w:r>
      </w:hyperlink>
      <w:r>
        <w:t xml:space="preserve"> </w:t>
      </w:r>
      <w:r>
        <w:t xml:space="preserve">(accessed Oct 20, 2026).</w:t>
      </w:r>
    </w:p>
  </w:footnote>
  <w:footnote w:id="311">
    <w:p>
      <w:pPr>
        <w:pStyle w:val="FootnoteText"/>
      </w:pPr>
      <w:r>
        <w:rPr>
          <w:rStyle w:val="FootnoteReference"/>
        </w:rPr>
        <w:footnoteRef/>
      </w:r>
      <w:r>
        <w:t xml:space="preserve"> </w:t>
      </w:r>
      <w:r>
        <w:t xml:space="preserve">M. Boucadair et al., RFC 9463,</w:t>
      </w:r>
      <w:r>
        <w:t xml:space="preserve"> </w:t>
      </w:r>
      <w:r>
        <w:rPr>
          <w:i/>
          <w:iCs/>
        </w:rPr>
        <w:t xml:space="preserve">DHCP and Router Advertisement Options for the Discovery of Network-designated Resolvers (DNR)</w:t>
      </w:r>
      <w:r>
        <w:t xml:space="preserve">, November 2023,</w:t>
      </w:r>
      <w:r>
        <w:t xml:space="preserve"> </w:t>
      </w:r>
      <w:hyperlink r:id="rId312">
        <w:r>
          <w:rPr>
            <w:rStyle w:val="Hyperlink"/>
          </w:rPr>
          <w:t xml:space="preserve">https://www.rfc-editor.org/rfc/rfc9463</w:t>
        </w:r>
      </w:hyperlink>
      <w:r>
        <w:t xml:space="preserve"> </w:t>
      </w:r>
      <w:r>
        <w:t xml:space="preserve">(accessed Oct 20, 2026).</w:t>
      </w:r>
    </w:p>
  </w:footnote>
  <w:footnote w:id="31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r>
        <w:t xml:space="preserve">pp. 13–14,</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314">
    <w:p>
      <w:pPr>
        <w:pStyle w:val="FootnoteText"/>
      </w:pPr>
      <w:r>
        <w:rPr>
          <w:rStyle w:val="FootnoteReference"/>
        </w:rPr>
        <w:footnoteRef/>
      </w:r>
      <w:r>
        <w:t xml:space="preserve"> </w:t>
      </w:r>
      <w:r>
        <w:t xml:space="preserve">IANA,</w:t>
      </w:r>
      <w:r>
        <w:t xml:space="preserve"> </w:t>
      </w:r>
      <w:r>
        <w:t xml:space="preserve">“Dynamic Host Configuration Protocol (DHCP) and Bootstrap Protocol (BOOTP) Parameters,”</w:t>
      </w:r>
      <w:r>
        <w:t xml:space="preserve"> </w:t>
      </w:r>
      <w:r>
        <w:t xml:space="preserve">BOOTP Vendor Extensions and DHCP Options,</w:t>
      </w:r>
      <w:r>
        <w:t xml:space="preserve"> </w:t>
      </w:r>
      <w:hyperlink r:id="rId315">
        <w:r>
          <w:rPr>
            <w:rStyle w:val="Hyperlink"/>
          </w:rPr>
          <w:t xml:space="preserve">https://www.iana.org/assignments/bootp-dhcp-parameters/bootp-dhcp-parameters.xhtml</w:t>
        </w:r>
      </w:hyperlink>
      <w:r>
        <w:t xml:space="preserve"> </w:t>
      </w:r>
      <w:r>
        <w:t xml:space="preserve">(accessed Oct 20, 2026).</w:t>
      </w:r>
    </w:p>
  </w:footnote>
  <w:footnote w:id="316">
    <w:p>
      <w:pPr>
        <w:pStyle w:val="FootnoteText"/>
      </w:pPr>
      <w:r>
        <w:rPr>
          <w:rStyle w:val="FootnoteReference"/>
        </w:rPr>
        <w:footnoteRef/>
      </w:r>
      <w:r>
        <w:t xml:space="preserve"> </w:t>
      </w:r>
      <w:r>
        <w:t xml:space="preserve">Microsoft Learn,</w:t>
      </w:r>
      <w:r>
        <w:t xml:space="preserve"> </w:t>
      </w:r>
      <w:r>
        <w:t xml:space="preserve">“Add-DhcpServerv4OptionDefinition”</w:t>
      </w:r>
      <w:r>
        <w:t xml:space="preserve"> </w:t>
      </w:r>
      <w:r>
        <w:t xml:space="preserve">(DhcpServer module), Example 1 (option ID 252,</w:t>
      </w:r>
      <w:r>
        <w:t xml:space="preserve"> </w:t>
      </w:r>
      <w:r>
        <w:t xml:space="preserve">“WPAD”</w:t>
      </w:r>
      <w:r>
        <w:t xml:space="preserve">),</w:t>
      </w:r>
      <w:r>
        <w:t xml:space="preserve"> </w:t>
      </w:r>
      <w:hyperlink r:id="rId317">
        <w:r>
          <w:rPr>
            <w:rStyle w:val="Hyperlink"/>
          </w:rPr>
          <w:t xml:space="preserve">https://learn.microsoft.com/en-us/powershell/module/dhcpserver/add-dhcpserverv4optiondefinition?view=windowsserver2025-ps</w:t>
        </w:r>
      </w:hyperlink>
      <w:r>
        <w:t xml:space="preserve">, and</w:t>
      </w:r>
      <w:r>
        <w:t xml:space="preserve"> </w:t>
      </w:r>
      <w:r>
        <w:t xml:space="preserve">“WinHTTP AutoProxy Support,”</w:t>
      </w:r>
      <w:r>
        <w:t xml:space="preserve"> </w:t>
      </w:r>
      <w:hyperlink r:id="rId318">
        <w:r>
          <w:rPr>
            <w:rStyle w:val="Hyperlink"/>
          </w:rPr>
          <w:t xml:space="preserve">https://learn.microsoft.com/en-us/windows/win32/winhttp/winhttp-autoproxy-support</w:t>
        </w:r>
      </w:hyperlink>
      <w:r>
        <w:t xml:space="preserve"> </w:t>
      </w:r>
      <w:r>
        <w:t xml:space="preserve">(both accessed Oct 20, 2026).</w:t>
      </w:r>
    </w:p>
  </w:footnote>
  <w:footnote w:id="319">
    <w:p>
      <w:pPr>
        <w:pStyle w:val="FootnoteText"/>
      </w:pPr>
      <w:r>
        <w:rPr>
          <w:rStyle w:val="FootnoteReference"/>
        </w:rPr>
        <w:footnoteRef/>
      </w:r>
      <w:r>
        <w:t xml:space="preserve"> </w:t>
      </w:r>
      <w:r>
        <w:t xml:space="preserve">Microsoft Learn,</w:t>
      </w:r>
      <w:r>
        <w:t xml:space="preserve"> </w:t>
      </w:r>
      <w:r>
        <w:t xml:space="preserve">“Troubleshooting guide: DHCP authorization failures,”</w:t>
      </w:r>
      <w:r>
        <w:t xml:space="preserve"> </w:t>
      </w:r>
      <w:r>
        <w:t xml:space="preserve">DHCP authorization flow,</w:t>
      </w:r>
      <w:r>
        <w:t xml:space="preserve"> </w:t>
      </w:r>
      <w:hyperlink r:id="rId320">
        <w:r>
          <w:rPr>
            <w:rStyle w:val="Hyperlink"/>
          </w:rPr>
          <w:t xml:space="preserve">https://learn.microsoft.com/en-us/troubleshoot/windows-server/networking/troubleshooting-guide-dhcp-authorization-failures</w:t>
        </w:r>
      </w:hyperlink>
      <w:r>
        <w:t xml:space="preserve">, and</w:t>
      </w:r>
      <w:r>
        <w:t xml:space="preserve"> </w:t>
      </w:r>
      <w:r>
        <w:t xml:space="preserve">“Quickstart: Install and configure DHCP Server,”</w:t>
      </w:r>
      <w:r>
        <w:t xml:space="preserve"> </w:t>
      </w:r>
      <w:hyperlink r:id="rId321">
        <w:r>
          <w:rPr>
            <w:rStyle w:val="Hyperlink"/>
          </w:rPr>
          <w:t xml:space="preserve">https://learn.microsoft.com/en-us/windows-server/networking/technologies/dhcp/quickstart-install-configure-dhcp-server</w:t>
        </w:r>
      </w:hyperlink>
      <w:r>
        <w:t xml:space="preserve"> </w:t>
      </w:r>
      <w:r>
        <w:t xml:space="preserve">(both accessed Oct 20, 2026).</w:t>
      </w:r>
    </w:p>
  </w:footnote>
  <w:footnote w:id="323">
    <w:p>
      <w:pPr>
        <w:pStyle w:val="FootnoteText"/>
      </w:pPr>
      <w:r>
        <w:rPr>
          <w:rStyle w:val="FootnoteReference"/>
        </w:rPr>
        <w:footnoteRef/>
      </w:r>
      <w:r>
        <w:t xml:space="preserve"> </w:t>
      </w:r>
      <w:r>
        <w:t xml:space="preserve">MITRE ATT&amp;CK,</w:t>
      </w:r>
      <w:r>
        <w:t xml:space="preserve"> </w:t>
      </w:r>
      <w:r>
        <w:t xml:space="preserve">“Adversary-in-the-Middle: DHCP Spoofing”</w:t>
      </w:r>
      <w:r>
        <w:t xml:space="preserve"> </w:t>
      </w:r>
      <w:r>
        <w:t xml:space="preserve">(T1557.003), including mitigation M1037,</w:t>
      </w:r>
      <w:r>
        <w:t xml:space="preserve"> </w:t>
      </w:r>
      <w:hyperlink r:id="rId308">
        <w:r>
          <w:rPr>
            <w:rStyle w:val="Hyperlink"/>
          </w:rPr>
          <w:t xml:space="preserve">https://attack.mitre.org/techniques/T1557/003/</w:t>
        </w:r>
      </w:hyperlink>
      <w:r>
        <w:t xml:space="preserve"> </w:t>
      </w:r>
      <w:r>
        <w:t xml:space="preserve">(accessed Oct 20, 2026).</w:t>
      </w:r>
    </w:p>
  </w:footnote>
  <w:footnote w:id="324">
    <w:p>
      <w:pPr>
        <w:pStyle w:val="FootnoteText"/>
      </w:pPr>
      <w:r>
        <w:rPr>
          <w:rStyle w:val="FootnoteReference"/>
        </w:rPr>
        <w:footnoteRef/>
      </w:r>
      <w:r>
        <w:t xml:space="preserve"> </w:t>
      </w:r>
      <w:r>
        <w:t xml:space="preserve">E. Levy-Abegnoli et al., RFC 6105,</w:t>
      </w:r>
      <w:r>
        <w:t xml:space="preserve"> </w:t>
      </w:r>
      <w:r>
        <w:rPr>
          <w:i/>
          <w:iCs/>
        </w:rPr>
        <w:t xml:space="preserve">IPv6 Router Advertisement Guard</w:t>
      </w:r>
      <w:r>
        <w:t xml:space="preserve">, February 2011,</w:t>
      </w:r>
      <w:r>
        <w:t xml:space="preserve"> </w:t>
      </w:r>
      <w:hyperlink r:id="rId325">
        <w:r>
          <w:rPr>
            <w:rStyle w:val="Hyperlink"/>
          </w:rPr>
          <w:t xml:space="preserve">https://www.rfc-editor.org/rfc/rfc6105</w:t>
        </w:r>
      </w:hyperlink>
      <w:r>
        <w:t xml:space="preserve"> </w:t>
      </w:r>
      <w:r>
        <w:t xml:space="preserve">(accessed Oct 20, 2026).</w:t>
      </w:r>
    </w:p>
  </w:footnote>
  <w:footnote w:id="336">
    <w:p>
      <w:pPr>
        <w:pStyle w:val="FootnoteText"/>
      </w:pPr>
      <w:r>
        <w:rPr>
          <w:rStyle w:val="FootnoteReference"/>
        </w:rPr>
        <w:footnoteRef/>
      </w:r>
      <w:r>
        <w:t xml:space="preserve"> </w:t>
      </w:r>
      <w:r>
        <w:t xml:space="preserve">R. Barnes et al., RFC 8555,</w:t>
      </w:r>
      <w:r>
        <w:t xml:space="preserve"> </w:t>
      </w:r>
      <w:r>
        <w:rPr>
          <w:i/>
          <w:iCs/>
        </w:rPr>
        <w:t xml:space="preserve">Automatic Certificate Management Environment (ACME)</w:t>
      </w:r>
      <w:r>
        <w:t xml:space="preserve">, March 2019, §8.4 (DNS challenge),</w:t>
      </w:r>
      <w:r>
        <w:t xml:space="preserve"> </w:t>
      </w:r>
      <w:hyperlink r:id="rId337">
        <w:r>
          <w:rPr>
            <w:rStyle w:val="Hyperlink"/>
          </w:rPr>
          <w:t xml:space="preserve">https://www.rfc-editor.org/rfc/rfc8555</w:t>
        </w:r>
      </w:hyperlink>
      <w:r>
        <w:t xml:space="preserve"> </w:t>
      </w:r>
      <w:r>
        <w:t xml:space="preserve">(accessed Oct 20, 2026).</w:t>
      </w:r>
    </w:p>
  </w:footnote>
  <w:footnote w:id="338">
    <w:p>
      <w:pPr>
        <w:pStyle w:val="FootnoteText"/>
      </w:pPr>
      <w:r>
        <w:rPr>
          <w:rStyle w:val="FootnoteReference"/>
        </w:rPr>
        <w:footnoteRef/>
      </w:r>
      <w:r>
        <w:t xml:space="preserve"> </w:t>
      </w:r>
      <w:r>
        <w:t xml:space="preserve">P. Hallam-Baker et al., RFC 8659,</w:t>
      </w:r>
      <w:r>
        <w:t xml:space="preserve"> </w:t>
      </w:r>
      <w:r>
        <w:rPr>
          <w:i/>
          <w:iCs/>
        </w:rPr>
        <w:t xml:space="preserve">DNS Certification Authority Authorization (CAA) Resource Record</w:t>
      </w:r>
      <w:r>
        <w:t xml:space="preserve">, November 2019,</w:t>
      </w:r>
      <w:r>
        <w:t xml:space="preserve"> </w:t>
      </w:r>
      <w:hyperlink r:id="rId339">
        <w:r>
          <w:rPr>
            <w:rStyle w:val="Hyperlink"/>
          </w:rPr>
          <w:t xml:space="preserve">https://www.rfc-editor.org/rfc/rfc8659</w:t>
        </w:r>
      </w:hyperlink>
      <w:r>
        <w:t xml:space="preserve"> </w:t>
      </w:r>
      <w:r>
        <w:t xml:space="preserve">(accessed Oct 20, 2026).</w:t>
      </w:r>
    </w:p>
  </w:footnote>
  <w:footnote w:id="340">
    <w:p>
      <w:pPr>
        <w:pStyle w:val="FootnoteText"/>
      </w:pPr>
      <w:r>
        <w:rPr>
          <w:rStyle w:val="FootnoteReference"/>
        </w:rPr>
        <w:footnoteRef/>
      </w:r>
      <w:r>
        <w:t xml:space="preserve"> </w:t>
      </w:r>
      <w:r>
        <w:t xml:space="preserve">P. Hoffman and J. Schlyter, RFC 6698,</w:t>
      </w:r>
      <w:r>
        <w:t xml:space="preserve"> </w:t>
      </w:r>
      <w:r>
        <w:rPr>
          <w:i/>
          <w:iCs/>
        </w:rPr>
        <w:t xml:space="preserve">The DNS-Based Authentication of Named Entities (DANE) Transport Layer Security (TLS) Protocol: TLSA</w:t>
      </w:r>
      <w:r>
        <w:t xml:space="preserve">, August 2012,</w:t>
      </w:r>
      <w:r>
        <w:t xml:space="preserve"> </w:t>
      </w:r>
      <w:hyperlink r:id="rId341">
        <w:r>
          <w:rPr>
            <w:rStyle w:val="Hyperlink"/>
          </w:rPr>
          <w:t xml:space="preserve">https://www.rfc-editor.org/rfc/rfc6698</w:t>
        </w:r>
      </w:hyperlink>
      <w:r>
        <w:t xml:space="preserve"> </w:t>
      </w:r>
      <w:r>
        <w:t xml:space="preserve">(accessed Oct 20, 2026).</w:t>
      </w:r>
    </w:p>
  </w:footnote>
  <w:footnote w:id="342">
    <w:p>
      <w:pPr>
        <w:pStyle w:val="FootnoteText"/>
      </w:pPr>
      <w:r>
        <w:rPr>
          <w:rStyle w:val="FootnoteReference"/>
        </w:rPr>
        <w:footnoteRef/>
      </w:r>
      <w:r>
        <w:t xml:space="preserve"> </w:t>
      </w:r>
      <w:r>
        <w:t xml:space="preserve">Microsoft Learn,</w:t>
      </w:r>
      <w:r>
        <w:t xml:space="preserve"> </w:t>
      </w:r>
      <w:r>
        <w:t xml:space="preserve">“Enable DNS over HTTPS in DNS Server,”</w:t>
      </w:r>
      <w:r>
        <w:t xml:space="preserve"> </w:t>
      </w:r>
      <w:r>
        <w:t xml:space="preserve">prerequisites and certificate requirements,</w:t>
      </w:r>
      <w:r>
        <w:t xml:space="preserve"> </w:t>
      </w:r>
      <w:hyperlink r:id="rId286">
        <w:r>
          <w:rPr>
            <w:rStyle w:val="Hyperlink"/>
          </w:rPr>
          <w:t xml:space="preserve">https://learn.microsoft.com/en-us/windows-server/networking/dns/enable-dns-over-https-server</w:t>
        </w:r>
      </w:hyperlink>
      <w:r>
        <w:t xml:space="preserve"> </w:t>
      </w:r>
      <w:r>
        <w:t xml:space="preserve">(accessed Oct 20, 2026).</w:t>
      </w:r>
    </w:p>
  </w:footnote>
  <w:footnote w:id="344">
    <w:p>
      <w:pPr>
        <w:pStyle w:val="FootnoteText"/>
      </w:pPr>
      <w:r>
        <w:rPr>
          <w:rStyle w:val="FootnoteReference"/>
        </w:rPr>
        <w:footnoteRef/>
      </w:r>
      <w:r>
        <w:t xml:space="preserve"> </w:t>
      </w:r>
      <w:r>
        <w:t xml:space="preserve">Microsoft Learn,</w:t>
      </w:r>
      <w:r>
        <w:t xml:space="preserve"> </w:t>
      </w:r>
      <w:r>
        <w:t xml:space="preserve">“Microsoft Entra authentication &amp; national clouds,”</w:t>
      </w:r>
      <w:r>
        <w:t xml:space="preserve"> </w:t>
      </w:r>
      <w:r>
        <w:t xml:space="preserve">Microsoft Entra authentication endpoints,</w:t>
      </w:r>
      <w:r>
        <w:t xml:space="preserve"> </w:t>
      </w:r>
      <w:hyperlink r:id="rId345">
        <w:r>
          <w:rPr>
            <w:rStyle w:val="Hyperlink"/>
          </w:rPr>
          <w:t xml:space="preserve">https://learn.microsoft.com/en-us/entra/identity-platform/authentication-national-cloud</w:t>
        </w:r>
      </w:hyperlink>
      <w:r>
        <w:t xml:space="preserve"> </w:t>
      </w:r>
      <w:r>
        <w:t xml:space="preserve">(accessed Oct 20, 2026).</w:t>
      </w:r>
    </w:p>
  </w:footnote>
  <w:footnote w:id="346">
    <w:p>
      <w:pPr>
        <w:pStyle w:val="FootnoteText"/>
      </w:pPr>
      <w:r>
        <w:rPr>
          <w:rStyle w:val="FootnoteReference"/>
        </w:rPr>
        <w:footnoteRef/>
      </w:r>
      <w:r>
        <w:t xml:space="preserve"> </w:t>
      </w:r>
      <w:r>
        <w:t xml:space="preserve">Microsoft Learn,</w:t>
      </w:r>
      <w:r>
        <w:t xml:space="preserve"> </w:t>
      </w:r>
      <w:r>
        <w:t xml:space="preserve">“Error AADSTS900439 - USGClientNotSupportedOnPublicEndpoint”</w:t>
      </w:r>
      <w:r>
        <w:t xml:space="preserve"> </w:t>
      </w:r>
      <w:r>
        <w:t xml:space="preserve">(the Azure Government authority</w:t>
      </w:r>
      <w:r>
        <w:t xml:space="preserve"> </w:t>
      </w:r>
      <w:r>
        <w:rPr>
          <w:rStyle w:val="VerbatimChar"/>
        </w:rPr>
        <w:t xml:space="preserve">login.microsoftonline.us</w:t>
      </w:r>
      <w:r>
        <w:t xml:space="preserve"> </w:t>
      </w:r>
      <w:r>
        <w:t xml:space="preserve">also serves Microsoft 365 GCC High and DoD),</w:t>
      </w:r>
      <w:r>
        <w:t xml:space="preserve"> </w:t>
      </w:r>
      <w:hyperlink r:id="rId347">
        <w:r>
          <w:rPr>
            <w:rStyle w:val="Hyperlink"/>
          </w:rPr>
          <w:t xml:space="preserve">https://learn.microsoft.com/en-us/troubleshoot/entra/entra-id/app-integration/error-aadsts900439-usgclientnotsupportedonpublicendpoint</w:t>
        </w:r>
      </w:hyperlink>
      <w:r>
        <w:t xml:space="preserve"> </w:t>
      </w:r>
      <w:r>
        <w:t xml:space="preserve">(accessed Oct 20, 2026).</w:t>
      </w:r>
    </w:p>
  </w:footnote>
  <w:footnote w:id="348">
    <w:p>
      <w:pPr>
        <w:pStyle w:val="FootnoteText"/>
      </w:pPr>
      <w:r>
        <w:rPr>
          <w:rStyle w:val="FootnoteReference"/>
        </w:rPr>
        <w:footnoteRef/>
      </w:r>
      <w:r>
        <w:t xml:space="preserve"> </w:t>
      </w:r>
      <w:r>
        <w:t xml:space="preserve">Microsoft Learn,</w:t>
      </w:r>
      <w:r>
        <w:t xml:space="preserve"> </w:t>
      </w:r>
      <w:r>
        <w:t xml:space="preserve">“Office 365 GCC - Service Descriptions,”</w:t>
      </w:r>
      <w:r>
        <w:t xml:space="preserve"> </w:t>
      </w:r>
      <w:r>
        <w:t xml:space="preserve">customer support (</w:t>
      </w:r>
      <w:r>
        <w:t xml:space="preserve">“Office 365 GCC operates in conjunction with Azure Public Cloud”</w:t>
      </w:r>
      <w:r>
        <w:t xml:space="preserve">),</w:t>
      </w:r>
      <w:r>
        <w:t xml:space="preserve"> </w:t>
      </w:r>
      <w:hyperlink r:id="rId349">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350">
    <w:p>
      <w:pPr>
        <w:pStyle w:val="FootnoteText"/>
      </w:pPr>
      <w:r>
        <w:rPr>
          <w:rStyle w:val="FootnoteReference"/>
        </w:rPr>
        <w:footnoteRef/>
      </w:r>
      <w:r>
        <w:t xml:space="preserve"> </w:t>
      </w:r>
      <w:r>
        <w:t xml:space="preserve">Microsoft Learn,</w:t>
      </w:r>
      <w:r>
        <w:t xml:space="preserve"> </w:t>
      </w:r>
      <w:r>
        <w:t xml:space="preserve">“Access token claims reference”</w:t>
      </w:r>
      <w:r>
        <w:t xml:space="preserve"> </w:t>
      </w:r>
      <w:r>
        <w:t xml:space="preserve">(Microsoft identity platform),</w:t>
      </w:r>
      <w:r>
        <w:t xml:space="preserve"> </w:t>
      </w:r>
      <w:r>
        <w:rPr>
          <w:rStyle w:val="VerbatimChar"/>
        </w:rPr>
        <w:t xml:space="preserve">aud</w:t>
      </w:r>
      <w:r>
        <w:t xml:space="preserve"> </w:t>
      </w:r>
      <w:r>
        <w:t xml:space="preserve">claim,</w:t>
      </w:r>
      <w:r>
        <w:t xml:space="preserve"> </w:t>
      </w:r>
      <w:hyperlink r:id="rId351">
        <w:r>
          <w:rPr>
            <w:rStyle w:val="Hyperlink"/>
          </w:rPr>
          <w:t xml:space="preserve">https://learn.microsoft.com/en-us/entra/identity-platform/access-token-claims-reference</w:t>
        </w:r>
      </w:hyperlink>
      <w:r>
        <w:t xml:space="preserve"> </w:t>
      </w:r>
      <w:r>
        <w:t xml:space="preserve">(accessed Oct 20, 2026).</w:t>
      </w:r>
    </w:p>
  </w:footnote>
  <w:footnote w:id="353">
    <w:p>
      <w:pPr>
        <w:pStyle w:val="FootnoteText"/>
      </w:pPr>
      <w:r>
        <w:rPr>
          <w:rStyle w:val="FootnoteReference"/>
        </w:rPr>
        <w:footnoteRef/>
      </w:r>
      <w:r>
        <w:t xml:space="preserve"> </w:t>
      </w:r>
      <w:r>
        <w:t xml:space="preserve">P. Saint-Andre and R. Salz, RFC 9525,</w:t>
      </w:r>
      <w:r>
        <w:t xml:space="preserve"> </w:t>
      </w:r>
      <w:r>
        <w:rPr>
          <w:i/>
          <w:iCs/>
        </w:rPr>
        <w:t xml:space="preserve">Service Identity in TLS</w:t>
      </w:r>
      <w:r>
        <w:t xml:space="preserve">, November 2023, §6.3 (wildcard rules; obsoletes RFC 6125),</w:t>
      </w:r>
      <w:r>
        <w:t xml:space="preserve"> </w:t>
      </w:r>
      <w:hyperlink r:id="rId354">
        <w:r>
          <w:rPr>
            <w:rStyle w:val="Hyperlink"/>
          </w:rPr>
          <w:t xml:space="preserve">https://www.rfc-editor.org/rfc/rfc9525</w:t>
        </w:r>
      </w:hyperlink>
      <w:r>
        <w:t xml:space="preserve"> </w:t>
      </w:r>
      <w:r>
        <w:t xml:space="preserve">(accessed Oct 20, 2026).</w:t>
      </w:r>
    </w:p>
  </w:footnote>
  <w:footnote w:id="355">
    <w:p>
      <w:pPr>
        <w:pStyle w:val="FootnoteText"/>
      </w:pPr>
      <w:r>
        <w:rPr>
          <w:rStyle w:val="FootnoteReference"/>
        </w:rPr>
        <w:footnoteRef/>
      </w:r>
      <w:r>
        <w:t xml:space="preserve"> </w:t>
      </w:r>
      <w:r>
        <w:t xml:space="preserve">P. Saint-Andre and R. Salz, RFC 9525,</w:t>
      </w:r>
      <w:r>
        <w:t xml:space="preserve"> </w:t>
      </w:r>
      <w:r>
        <w:rPr>
          <w:i/>
          <w:iCs/>
        </w:rPr>
        <w:t xml:space="preserve">Service Identity in TLS</w:t>
      </w:r>
      <w:r>
        <w:t xml:space="preserve">, November 2023, §6.3 (wildcard rules; obsoletes RFC 6125),</w:t>
      </w:r>
      <w:r>
        <w:t xml:space="preserve"> </w:t>
      </w:r>
      <w:hyperlink r:id="rId354">
        <w:r>
          <w:rPr>
            <w:rStyle w:val="Hyperlink"/>
          </w:rPr>
          <w:t xml:space="preserve">https://www.rfc-editor.org/rfc/rfc9525</w:t>
        </w:r>
      </w:hyperlink>
      <w:r>
        <w:t xml:space="preserve"> </w:t>
      </w:r>
      <w:r>
        <w:t xml:space="preserve">(accessed Oct 20, 2026).</w:t>
      </w:r>
    </w:p>
  </w:footnote>
  <w:footnote w:id="356">
    <w:p>
      <w:pPr>
        <w:pStyle w:val="FootnoteText"/>
      </w:pPr>
      <w:r>
        <w:rPr>
          <w:rStyle w:val="FootnoteReference"/>
        </w:rPr>
        <w:footnoteRef/>
      </w:r>
      <w:r>
        <w:t xml:space="preserve"> </w:t>
      </w:r>
      <w:r>
        <w:t xml:space="preserve">D. Cooper et al., RFC 5280,</w:t>
      </w:r>
      <w:r>
        <w:t xml:space="preserve"> </w:t>
      </w:r>
      <w:r>
        <w:rPr>
          <w:i/>
          <w:iCs/>
        </w:rPr>
        <w:t xml:space="preserve">Internet X.509 Public Key Infrastructure Certificate and Certificate Revocation List (CRL) Profile</w:t>
      </w:r>
      <w:r>
        <w:t xml:space="preserve">, May 2008, §4.2.1.10 (Name Constraints),</w:t>
      </w:r>
      <w:r>
        <w:t xml:space="preserve"> </w:t>
      </w:r>
      <w:hyperlink r:id="rId357">
        <w:r>
          <w:rPr>
            <w:rStyle w:val="Hyperlink"/>
          </w:rPr>
          <w:t xml:space="preserve">https://www.rfc-editor.org/rfc/rfc5280</w:t>
        </w:r>
      </w:hyperlink>
      <w:r>
        <w:t xml:space="preserve"> </w:t>
      </w:r>
      <w:r>
        <w:t xml:space="preserve">(accessed Oct 20, 2026).</w:t>
      </w:r>
    </w:p>
  </w:footnote>
  <w:footnote w:id="360">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149">
        <w:r>
          <w:rPr>
            <w:rStyle w:val="Hyperlink"/>
          </w:rPr>
          <w:t xml:space="preserve">https://csrc.nist.gov/pubs/sp/800/207/final</w:t>
        </w:r>
      </w:hyperlink>
      <w:r>
        <w:t xml:space="preserve"> </w:t>
      </w:r>
      <w:r>
        <w:t xml:space="preserve">(accessed Oct 20, 2026).</w:t>
      </w:r>
    </w:p>
  </w:footnote>
  <w:footnote w:id="361">
    <w:p>
      <w:pPr>
        <w:pStyle w:val="FootnoteText"/>
      </w:pPr>
      <w:r>
        <w:rPr>
          <w:rStyle w:val="FootnoteReference"/>
        </w:rPr>
        <w:footnoteRef/>
      </w:r>
      <w:r>
        <w:t xml:space="preserve"> </w:t>
      </w:r>
      <w:r>
        <w:t xml:space="preserve">E. Lewis, RFC 4592,</w:t>
      </w:r>
      <w:r>
        <w:t xml:space="preserve"> </w:t>
      </w:r>
      <w:r>
        <w:rPr>
          <w:i/>
          <w:iCs/>
        </w:rPr>
        <w:t xml:space="preserve">The Role of Wildcards in the Domain Name System</w:t>
      </w:r>
      <w:r>
        <w:t xml:space="preserve">, July 2006,</w:t>
      </w:r>
      <w:r>
        <w:t xml:space="preserve"> </w:t>
      </w:r>
      <w:hyperlink r:id="rId362">
        <w:r>
          <w:rPr>
            <w:rStyle w:val="Hyperlink"/>
          </w:rPr>
          <w:t xml:space="preserve">https://www.rfc-editor.org/rfc/rfc4592</w:t>
        </w:r>
      </w:hyperlink>
      <w:r>
        <w:t xml:space="preserve"> </w:t>
      </w:r>
      <w:r>
        <w:t xml:space="preserve">(accessed Oct 20, 2026).</w:t>
      </w:r>
    </w:p>
  </w:footnote>
  <w:footnote w:id="364">
    <w:p>
      <w:pPr>
        <w:pStyle w:val="FootnoteText"/>
      </w:pPr>
      <w:r>
        <w:rPr>
          <w:rStyle w:val="FootnoteReference"/>
        </w:rPr>
        <w:footnoteRef/>
      </w:r>
      <w:r>
        <w:t xml:space="preserve"> </w:t>
      </w:r>
      <w:r>
        <w:t xml:space="preserve">R. Arends et al., RFC 4033,</w:t>
      </w:r>
      <w:r>
        <w:t xml:space="preserve"> </w:t>
      </w:r>
      <w:r>
        <w:rPr>
          <w:i/>
          <w:iCs/>
        </w:rPr>
        <w:t xml:space="preserve">DNS Security Introduction and Requirements</w:t>
      </w:r>
      <w:r>
        <w:t xml:space="preserve">, March 2005,</w:t>
      </w:r>
      <w:r>
        <w:t xml:space="preserve"> </w:t>
      </w:r>
      <w:hyperlink r:id="rId365">
        <w:r>
          <w:rPr>
            <w:rStyle w:val="Hyperlink"/>
          </w:rPr>
          <w:t xml:space="preserve">https://www.rfc-editor.org/rfc/rfc4033</w:t>
        </w:r>
      </w:hyperlink>
      <w:r>
        <w:t xml:space="preserve">; RFC 4034,</w:t>
      </w:r>
      <w:r>
        <w:t xml:space="preserve"> </w:t>
      </w:r>
      <w:r>
        <w:rPr>
          <w:i/>
          <w:iCs/>
        </w:rPr>
        <w:t xml:space="preserve">Resource Records for the DNS Security Extensions</w:t>
      </w:r>
      <w:r>
        <w:t xml:space="preserve">, March 2005,</w:t>
      </w:r>
      <w:r>
        <w:t xml:space="preserve"> </w:t>
      </w:r>
      <w:hyperlink r:id="rId366">
        <w:r>
          <w:rPr>
            <w:rStyle w:val="Hyperlink"/>
          </w:rPr>
          <w:t xml:space="preserve">https://www.rfc-editor.org/rfc/rfc4034</w:t>
        </w:r>
      </w:hyperlink>
      <w:r>
        <w:t xml:space="preserve">; RFC 4035,</w:t>
      </w:r>
      <w:r>
        <w:t xml:space="preserve"> </w:t>
      </w:r>
      <w:r>
        <w:rPr>
          <w:i/>
          <w:iCs/>
        </w:rPr>
        <w:t xml:space="preserve">Protocol Modifications for the DNS Security Extensions</w:t>
      </w:r>
      <w:r>
        <w:t xml:space="preserve">, March 2005,</w:t>
      </w:r>
      <w:r>
        <w:t xml:space="preserve"> </w:t>
      </w:r>
      <w:hyperlink r:id="rId367">
        <w:r>
          <w:rPr>
            <w:rStyle w:val="Hyperlink"/>
          </w:rPr>
          <w:t xml:space="preserve">https://www.rfc-editor.org/rfc/rfc4035</w:t>
        </w:r>
      </w:hyperlink>
      <w:r>
        <w:t xml:space="preserve">; P. Hoffman, RFC 9364,</w:t>
      </w:r>
      <w:r>
        <w:t xml:space="preserve"> </w:t>
      </w:r>
      <w:r>
        <w:rPr>
          <w:i/>
          <w:iCs/>
        </w:rPr>
        <w:t xml:space="preserve">DNS Security Extensions (DNSSEC)</w:t>
      </w:r>
      <w:r>
        <w:t xml:space="preserve">, BCP 237, February 2023,</w:t>
      </w:r>
      <w:r>
        <w:t xml:space="preserve"> </w:t>
      </w:r>
      <w:hyperlink r:id="rId368">
        <w:r>
          <w:rPr>
            <w:rStyle w:val="Hyperlink"/>
          </w:rPr>
          <w:t xml:space="preserve">https://www.rfc-editor.org/rfc/rfc9364</w:t>
        </w:r>
      </w:hyperlink>
      <w:r>
        <w:t xml:space="preserve"> </w:t>
      </w:r>
      <w:r>
        <w:t xml:space="preserve">(all accessed Oct 20, 2026).</w:t>
      </w:r>
    </w:p>
  </w:footnote>
  <w:footnote w:id="369">
    <w:p>
      <w:pPr>
        <w:pStyle w:val="FootnoteText"/>
      </w:pPr>
      <w:r>
        <w:rPr>
          <w:rStyle w:val="FootnoteReference"/>
        </w:rPr>
        <w:footnoteRef/>
      </w:r>
      <w:r>
        <w:t xml:space="preserve"> </w:t>
      </w:r>
      <w:r>
        <w:t xml:space="preserve">R. Arends et al., RFC 4033,</w:t>
      </w:r>
      <w:r>
        <w:t xml:space="preserve"> </w:t>
      </w:r>
      <w:r>
        <w:rPr>
          <w:i/>
          <w:iCs/>
        </w:rPr>
        <w:t xml:space="preserve">DNS Security Introduction and Requirements</w:t>
      </w:r>
      <w:r>
        <w:t xml:space="preserve">, March 2005,</w:t>
      </w:r>
      <w:r>
        <w:t xml:space="preserve"> </w:t>
      </w:r>
      <w:hyperlink r:id="rId365">
        <w:r>
          <w:rPr>
            <w:rStyle w:val="Hyperlink"/>
          </w:rPr>
          <w:t xml:space="preserve">https://www.rfc-editor.org/rfc/rfc4033</w:t>
        </w:r>
      </w:hyperlink>
      <w:r>
        <w:t xml:space="preserve">; RFC 4034,</w:t>
      </w:r>
      <w:r>
        <w:t xml:space="preserve"> </w:t>
      </w:r>
      <w:r>
        <w:rPr>
          <w:i/>
          <w:iCs/>
        </w:rPr>
        <w:t xml:space="preserve">Resource Records for the DNS Security Extensions</w:t>
      </w:r>
      <w:r>
        <w:t xml:space="preserve">, March 2005,</w:t>
      </w:r>
      <w:r>
        <w:t xml:space="preserve"> </w:t>
      </w:r>
      <w:hyperlink r:id="rId366">
        <w:r>
          <w:rPr>
            <w:rStyle w:val="Hyperlink"/>
          </w:rPr>
          <w:t xml:space="preserve">https://www.rfc-editor.org/rfc/rfc4034</w:t>
        </w:r>
      </w:hyperlink>
      <w:r>
        <w:t xml:space="preserve">; RFC 4035,</w:t>
      </w:r>
      <w:r>
        <w:t xml:space="preserve"> </w:t>
      </w:r>
      <w:r>
        <w:rPr>
          <w:i/>
          <w:iCs/>
        </w:rPr>
        <w:t xml:space="preserve">Protocol Modifications for the DNS Security Extensions</w:t>
      </w:r>
      <w:r>
        <w:t xml:space="preserve">, March 2005,</w:t>
      </w:r>
      <w:r>
        <w:t xml:space="preserve"> </w:t>
      </w:r>
      <w:hyperlink r:id="rId367">
        <w:r>
          <w:rPr>
            <w:rStyle w:val="Hyperlink"/>
          </w:rPr>
          <w:t xml:space="preserve">https://www.rfc-editor.org/rfc/rfc4035</w:t>
        </w:r>
      </w:hyperlink>
      <w:r>
        <w:t xml:space="preserve">; P. Hoffman, RFC 9364,</w:t>
      </w:r>
      <w:r>
        <w:t xml:space="preserve"> </w:t>
      </w:r>
      <w:r>
        <w:rPr>
          <w:i/>
          <w:iCs/>
        </w:rPr>
        <w:t xml:space="preserve">DNS Security Extensions (DNSSEC)</w:t>
      </w:r>
      <w:r>
        <w:t xml:space="preserve">, BCP 237, February 2023,</w:t>
      </w:r>
      <w:r>
        <w:t xml:space="preserve"> </w:t>
      </w:r>
      <w:hyperlink r:id="rId368">
        <w:r>
          <w:rPr>
            <w:rStyle w:val="Hyperlink"/>
          </w:rPr>
          <w:t xml:space="preserve">https://www.rfc-editor.org/rfc/rfc9364</w:t>
        </w:r>
      </w:hyperlink>
      <w:r>
        <w:t xml:space="preserve"> </w:t>
      </w:r>
      <w:r>
        <w:t xml:space="preserve">(all accessed Oct 20, 2026).</w:t>
      </w:r>
    </w:p>
  </w:footnote>
  <w:footnote w:id="370">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255">
        <w:r>
          <w:rPr>
            <w:rStyle w:val="Hyperlink"/>
          </w:rPr>
          <w:t xml:space="preserve">https://learn.microsoft.com/en-us/azure/dns/dnssec</w:t>
        </w:r>
      </w:hyperlink>
      <w:r>
        <w:t xml:space="preserve"> </w:t>
      </w:r>
      <w:r>
        <w:t xml:space="preserve">(accessed Oct 20, 2026).</w:t>
      </w:r>
    </w:p>
  </w:footnote>
  <w:footnote w:id="371">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76">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2">
        <w:r>
          <w:rPr>
            <w:rStyle w:val="Hyperlink"/>
          </w:rPr>
          <w:t xml:space="preserve">https://georgewbush-whitehouse.archives.gov/omb/memoranda/fy2008/m08-23.pdf</w:t>
        </w:r>
      </w:hyperlink>
      <w:r>
        <w:t xml:space="preserve"> </w:t>
      </w:r>
      <w:r>
        <w:t xml:space="preserve">(accessed Oct 20, 2026).</w:t>
      </w:r>
    </w:p>
  </w:footnote>
  <w:footnote w:id="377">
    <w:p>
      <w:pPr>
        <w:pStyle w:val="FootnoteText"/>
      </w:pPr>
      <w:r>
        <w:rPr>
          <w:rStyle w:val="FootnoteReference"/>
        </w:rPr>
        <w:footnoteRef/>
      </w:r>
      <w:r>
        <w:t xml:space="preserve"> </w:t>
      </w:r>
      <w:r>
        <w:t xml:space="preserve">NIST SP 800-53 Rev. 5 (release 5.2.0 OSCAL catalog), SC-20</w:t>
      </w:r>
      <w:r>
        <w:t xml:space="preserve"> </w:t>
      </w:r>
      <w:r>
        <w:rPr>
          <w:i/>
          <w:iCs/>
        </w:rPr>
        <w:t xml:space="preserve">Secure Name/Address Resolution Service (Authoritative Source)</w:t>
      </w:r>
      <w:r>
        <w:t xml:space="preserve"> </w:t>
      </w:r>
      <w:r>
        <w:t xml:space="preserve">and SC-21</w:t>
      </w:r>
      <w:r>
        <w:t xml:space="preserve"> </w:t>
      </w:r>
      <w:r>
        <w:rPr>
          <w:i/>
          <w:iCs/>
        </w:rPr>
        <w:t xml:space="preserve">Secure Name/Address Resolution Service (Recursive or Caching Resolver)</w:t>
      </w:r>
      <w:r>
        <w:t xml:space="preserve">,</w:t>
      </w:r>
      <w:r>
        <w:t xml:space="preserve"> </w:t>
      </w:r>
      <w:hyperlink r:id="rId139">
        <w:r>
          <w:rPr>
            <w:rStyle w:val="Hyperlink"/>
          </w:rPr>
          <w:t xml:space="preserve">https://csrc.nist.gov/pubs/sp/800/53/r5/upd1/final</w:t>
        </w:r>
      </w:hyperlink>
      <w:r>
        <w:t xml:space="preserve">; catalog</w:t>
      </w:r>
      <w:r>
        <w:t xml:space="preserve"> </w:t>
      </w:r>
      <w:hyperlink r:id="rId378">
        <w:r>
          <w:rPr>
            <w:rStyle w:val="Hyperlink"/>
          </w:rPr>
          <w:t xml:space="preserve">https://github.com/usnistgov/oscal-content/blob/main/nist.gov/SP800-53/rev5/json/NIST_SP-800-53_rev5_catalog.json</w:t>
        </w:r>
      </w:hyperlink>
      <w:r>
        <w:t xml:space="preserve"> </w:t>
      </w:r>
      <w:r>
        <w:t xml:space="preserve">(accessed Oct 20, 2026).</w:t>
      </w:r>
    </w:p>
  </w:footnote>
  <w:footnote w:id="379">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80">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82">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8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84">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385">
        <w:r>
          <w:rPr>
            <w:rStyle w:val="Hyperlink"/>
          </w:rPr>
          <w:t xml:space="preserve">https://learn.microsoft.com/en-us/windows-server/networking/dns/sign-dnssec-zone</w:t>
        </w:r>
      </w:hyperlink>
      <w:r>
        <w:t xml:space="preserve"> </w:t>
      </w:r>
      <w:r>
        <w:t xml:space="preserve">(accessed Oct 20, 2026).</w:t>
      </w:r>
    </w:p>
  </w:footnote>
  <w:footnote w:id="386">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385">
        <w:r>
          <w:rPr>
            <w:rStyle w:val="Hyperlink"/>
          </w:rPr>
          <w:t xml:space="preserve">https://learn.microsoft.com/en-us/windows-server/networking/dns/sign-dnssec-zone</w:t>
        </w:r>
      </w:hyperlink>
      <w:r>
        <w:t xml:space="preserve"> </w:t>
      </w:r>
      <w:r>
        <w:t xml:space="preserve">(accessed Oct 20, 2026).</w:t>
      </w:r>
    </w:p>
  </w:footnote>
  <w:footnote w:id="387">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88">
    <w:p>
      <w:pPr>
        <w:pStyle w:val="FootnoteText"/>
      </w:pPr>
      <w:r>
        <w:rPr>
          <w:rStyle w:val="FootnoteReference"/>
        </w:rPr>
        <w:footnoteRef/>
      </w:r>
      <w:r>
        <w:t xml:space="preserve"> </w:t>
      </w:r>
      <w:r>
        <w:t xml:space="preserve">RFC 9824,</w:t>
      </w:r>
      <w:r>
        <w:t xml:space="preserve"> </w:t>
      </w:r>
      <w:r>
        <w:rPr>
          <w:i/>
          <w:iCs/>
        </w:rPr>
        <w:t xml:space="preserve">Compact Denial of Existence in DNSSEC</w:t>
      </w:r>
      <w:r>
        <w:t xml:space="preserve">, September 2025,</w:t>
      </w:r>
      <w:r>
        <w:t xml:space="preserve"> </w:t>
      </w:r>
      <w:hyperlink r:id="rId389">
        <w:r>
          <w:rPr>
            <w:rStyle w:val="Hyperlink"/>
          </w:rPr>
          <w:t xml:space="preserve">https://www.rfc-editor.org/rfc/rfc9824</w:t>
        </w:r>
      </w:hyperlink>
      <w:r>
        <w:t xml:space="preserve"> </w:t>
      </w:r>
      <w:r>
        <w:t xml:space="preserve">(accessed Oct 20, 2026).</w:t>
      </w:r>
    </w:p>
  </w:footnote>
  <w:footnote w:id="390">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255">
        <w:r>
          <w:rPr>
            <w:rStyle w:val="Hyperlink"/>
          </w:rPr>
          <w:t xml:space="preserve">https://learn.microsoft.com/en-us/azure/dns/dnssec</w:t>
        </w:r>
      </w:hyperlink>
      <w:r>
        <w:t xml:space="preserve"> </w:t>
      </w:r>
      <w:r>
        <w:t xml:space="preserve">(accessed Oct 20, 2026).</w:t>
      </w:r>
    </w:p>
  </w:footnote>
  <w:footnote w:id="391">
    <w:p>
      <w:pPr>
        <w:pStyle w:val="FootnoteText"/>
      </w:pPr>
      <w:r>
        <w:rPr>
          <w:rStyle w:val="FootnoteReference"/>
        </w:rPr>
        <w:footnoteRef/>
      </w:r>
      <w:r>
        <w:t xml:space="preserve"> </w:t>
      </w:r>
      <w:r>
        <w:t xml:space="preserve">J. Damas et al., RFC 6891,</w:t>
      </w:r>
      <w:r>
        <w:t xml:space="preserve"> </w:t>
      </w:r>
      <w:r>
        <w:rPr>
          <w:i/>
          <w:iCs/>
        </w:rPr>
        <w:t xml:space="preserve">Extension Mechanisms for DNS (EDNS(0))</w:t>
      </w:r>
      <w:r>
        <w:t xml:space="preserve">, April 2013,</w:t>
      </w:r>
      <w:r>
        <w:t xml:space="preserve"> </w:t>
      </w:r>
      <w:hyperlink r:id="rId392">
        <w:r>
          <w:rPr>
            <w:rStyle w:val="Hyperlink"/>
          </w:rPr>
          <w:t xml:space="preserve">https://www.rfc-editor.org/rfc/rfc6891</w:t>
        </w:r>
      </w:hyperlink>
      <w:r>
        <w:t xml:space="preserve"> </w:t>
      </w:r>
      <w:r>
        <w:t xml:space="preserve">(accessed Oct 20, 2026).</w:t>
      </w:r>
    </w:p>
  </w:footnote>
  <w:footnote w:id="393">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94">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397">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186">
        <w:r>
          <w:rPr>
            <w:rStyle w:val="Hyperlink"/>
          </w:rPr>
          <w:t xml:space="preserve">https://learn.microsoft.com/en-us/windows-server/networking/dns/dnssec-key-master</w:t>
        </w:r>
      </w:hyperlink>
      <w:r>
        <w:t xml:space="preserve"> </w:t>
      </w:r>
      <w:r>
        <w:t xml:space="preserve">(accessed Oct 20, 2026).</w:t>
      </w:r>
    </w:p>
  </w:footnote>
  <w:footnote w:id="398">
    <w:p>
      <w:pPr>
        <w:pStyle w:val="FootnoteText"/>
      </w:pPr>
      <w:r>
        <w:rPr>
          <w:rStyle w:val="FootnoteReference"/>
        </w:rPr>
        <w:footnoteRef/>
      </w:r>
      <w:r>
        <w:t xml:space="preserve"> </w:t>
      </w:r>
      <w:r>
        <w:t xml:space="preserve">Microsoft Learn,</w:t>
      </w:r>
      <w:r>
        <w:t xml:space="preserve"> </w:t>
      </w:r>
      <w:r>
        <w:t xml:space="preserve">“Sign DNS zones with DNSSEC”</w:t>
      </w:r>
      <w:r>
        <w:t xml:space="preserve"> </w:t>
      </w:r>
      <w:r>
        <w:t xml:space="preserve">(Windows Server), Zone Signing Wizard parameters,</w:t>
      </w:r>
      <w:r>
        <w:t xml:space="preserve"> </w:t>
      </w:r>
      <w:hyperlink r:id="rId385">
        <w:r>
          <w:rPr>
            <w:rStyle w:val="Hyperlink"/>
          </w:rPr>
          <w:t xml:space="preserve">https://learn.microsoft.com/en-us/windows-server/networking/dns/sign-dnssec-zone</w:t>
        </w:r>
      </w:hyperlink>
      <w:r>
        <w:t xml:space="preserve"> </w:t>
      </w:r>
      <w:r>
        <w:t xml:space="preserve">(accessed Oct 20, 2026).</w:t>
      </w:r>
    </w:p>
  </w:footnote>
  <w:footnote w:id="399">
    <w:p>
      <w:pPr>
        <w:pStyle w:val="FootnoteText"/>
      </w:pPr>
      <w:r>
        <w:rPr>
          <w:rStyle w:val="FootnoteReference"/>
        </w:rPr>
        <w:footnoteRef/>
      </w:r>
      <w:r>
        <w:t xml:space="preserve"> </w:t>
      </w:r>
      <w:r>
        <w:t xml:space="preserve">Microsoft Learn,</w:t>
      </w:r>
      <w:r>
        <w:t xml:space="preserve"> </w:t>
      </w:r>
      <w:r>
        <w:t xml:space="preserve">“What is DNSSEC?”</w:t>
      </w:r>
      <w:r>
        <w:t xml:space="preserve"> </w:t>
      </w:r>
      <w:r>
        <w:t xml:space="preserve">(Windows Server), trust anchors,</w:t>
      </w:r>
      <w:r>
        <w:t xml:space="preserve"> </w:t>
      </w:r>
      <w:hyperlink r:id="rId400">
        <w:r>
          <w:rPr>
            <w:rStyle w:val="Hyperlink"/>
          </w:rPr>
          <w:t xml:space="preserve">https://learn.microsoft.com/en-us/windows-server/networking/dns/dnssec-overview</w:t>
        </w:r>
      </w:hyperlink>
      <w:r>
        <w:t xml:space="preserve"> </w:t>
      </w:r>
      <w:r>
        <w:t xml:space="preserve">(accessed Oct 20, 2026).</w:t>
      </w:r>
    </w:p>
  </w:footnote>
  <w:footnote w:id="401">
    <w:p>
      <w:pPr>
        <w:pStyle w:val="FootnoteText"/>
      </w:pPr>
      <w:r>
        <w:rPr>
          <w:rStyle w:val="FootnoteReference"/>
        </w:rPr>
        <w:footnoteRef/>
      </w:r>
      <w:r>
        <w:t xml:space="preserve"> </w:t>
      </w:r>
      <w:r>
        <w:t xml:space="preserve">Microsoft Learn,</w:t>
      </w:r>
      <w:r>
        <w:t xml:space="preserve"> </w:t>
      </w:r>
      <w:r>
        <w:t xml:space="preserve">“Validate and secure DNS responses using DNSSEC”</w:t>
      </w:r>
      <w:r>
        <w:t xml:space="preserve"> </w:t>
      </w:r>
      <w:r>
        <w:t xml:space="preserve">(Windows Server), DNSSEC scenarios (RFC 5011 automatic trust-anchor update),</w:t>
      </w:r>
      <w:r>
        <w:t xml:space="preserve"> </w:t>
      </w:r>
      <w:hyperlink r:id="rId402">
        <w:r>
          <w:rPr>
            <w:rStyle w:val="Hyperlink"/>
          </w:rPr>
          <w:t xml:space="preserve">https://learn.microsoft.com/en-us/windows-server/networking/dns/validate-dnssec-responses</w:t>
        </w:r>
      </w:hyperlink>
      <w:r>
        <w:t xml:space="preserve"> </w:t>
      </w:r>
      <w:r>
        <w:t xml:space="preserve">(accessed Oct 20, 2026).</w:t>
      </w:r>
    </w:p>
  </w:footnote>
  <w:footnote w:id="403">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255">
        <w:r>
          <w:rPr>
            <w:rStyle w:val="Hyperlink"/>
          </w:rPr>
          <w:t xml:space="preserve">https://learn.microsoft.com/en-us/azure/dns/dnssec</w:t>
        </w:r>
      </w:hyperlink>
      <w:r>
        <w:t xml:space="preserve"> </w:t>
      </w:r>
      <w:r>
        <w:t xml:space="preserve">(accessed Oct 20, 2026).</w:t>
      </w:r>
    </w:p>
  </w:footnote>
  <w:footnote w:id="404">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255">
        <w:r>
          <w:rPr>
            <w:rStyle w:val="Hyperlink"/>
          </w:rPr>
          <w:t xml:space="preserve">https://learn.microsoft.com/en-us/azure/dns/dnssec</w:t>
        </w:r>
      </w:hyperlink>
      <w:r>
        <w:t xml:space="preserve"> </w:t>
      </w:r>
      <w:r>
        <w:t xml:space="preserve">(accessed Oct 20, 2026).</w:t>
      </w:r>
    </w:p>
  </w:footnote>
  <w:footnote w:id="405">
    <w:p>
      <w:pPr>
        <w:pStyle w:val="FootnoteText"/>
      </w:pPr>
      <w:r>
        <w:rPr>
          <w:rStyle w:val="FootnoteReference"/>
        </w:rPr>
        <w:footnoteRef/>
      </w:r>
      <w:r>
        <w:t xml:space="preserve"> </w:t>
      </w:r>
      <w:r>
        <w:t xml:space="preserve">Microsoft Learn,</w:t>
      </w:r>
      <w:r>
        <w:t xml:space="preserve"> </w:t>
      </w:r>
      <w:r>
        <w:t xml:space="preserve">“Azure DNS FAQ”</w:t>
      </w:r>
      <w:r>
        <w:t xml:space="preserve">:</w:t>
      </w:r>
      <w:r>
        <w:t xml:space="preserve"> </w:t>
      </w:r>
      <w:r>
        <w:t xml:space="preserve">“Azure Public DNS supports DNSSEC,”</w:t>
      </w:r>
      <w:r>
        <w:t xml:space="preserve"> </w:t>
      </w:r>
      <w:hyperlink r:id="rId406">
        <w:r>
          <w:rPr>
            <w:rStyle w:val="Hyperlink"/>
          </w:rPr>
          <w:t xml:space="preserve">https://learn.microsoft.com/en-us/azure/dns/dns-faq</w:t>
        </w:r>
      </w:hyperlink>
      <w:r>
        <w:t xml:space="preserve"> </w:t>
      </w:r>
      <w:r>
        <w:t xml:space="preserve">(accessed Oct 20, 2026).</w:t>
      </w:r>
    </w:p>
  </w:footnote>
  <w:footnote w:id="407">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hyperlink r:id="rId408">
        <w:r>
          <w:rPr>
            <w:rStyle w:val="Hyperlink"/>
          </w:rPr>
          <w:t xml:space="preserve">https://docs.aws.amazon.com/Route53/latest/DeveloperGuide/dns-configuring-dnssec.html</w:t>
        </w:r>
      </w:hyperlink>
      <w:r>
        <w:t xml:space="preserve"> </w:t>
      </w:r>
      <w:r>
        <w:t xml:space="preserve">(accessed Oct 20, 2026).</w:t>
      </w:r>
    </w:p>
  </w:footnote>
  <w:footnote w:id="409">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“Enabling DNSSEC validation in Amazon Route 53,”</w:t>
      </w:r>
      <w:r>
        <w:t xml:space="preserve"> </w:t>
      </w:r>
      <w:hyperlink r:id="rId410">
        <w:r>
          <w:rPr>
            <w:rStyle w:val="Hyperlink"/>
          </w:rPr>
          <w:t xml:space="preserve">https://docs.aws.amazon.com/Route53/latest/DeveloperGuide/resolver-dnssec-validation.html</w:t>
        </w:r>
      </w:hyperlink>
      <w:r>
        <w:t xml:space="preserve"> </w:t>
      </w:r>
      <w:r>
        <w:t xml:space="preserve">(accessed Oct 20, 2026).</w:t>
      </w:r>
    </w:p>
  </w:footnote>
  <w:footnote w:id="411">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DNS): validation, trust anchors, Windows clients as non-validating stubs and NRPT, Azure-provided resolver not validating, key rollover, ECDSAP256SHA256, RFC 9824, nslookup and Resolve-DnsName,</w:t>
      </w:r>
      <w:r>
        <w:t xml:space="preserve"> </w:t>
      </w:r>
      <w:hyperlink r:id="rId255">
        <w:r>
          <w:rPr>
            <w:rStyle w:val="Hyperlink"/>
          </w:rPr>
          <w:t xml:space="preserve">https://learn.microsoft.com/en-us/azure/dns/dnssec</w:t>
        </w:r>
      </w:hyperlink>
      <w:r>
        <w:t xml:space="preserve"> </w:t>
      </w:r>
      <w:r>
        <w:t xml:space="preserve">(accessed Oct 20, 2026).</w:t>
      </w:r>
    </w:p>
  </w:footnote>
  <w:footnote w:id="414">
    <w:p>
      <w:pPr>
        <w:pStyle w:val="FootnoteText"/>
      </w:pPr>
      <w:r>
        <w:rPr>
          <w:rStyle w:val="FootnoteReference"/>
        </w:rPr>
        <w:footnoteRef/>
      </w:r>
      <w:r>
        <w:t xml:space="preserve"> </w:t>
      </w:r>
      <w:r>
        <w:t xml:space="preserve">Microsoft Learn,</w:t>
      </w:r>
      <w:r>
        <w:t xml:space="preserve"> </w:t>
      </w:r>
      <w:r>
        <w:t xml:space="preserve">“How to unsign your Azure Public DNS zone,”</w:t>
      </w:r>
      <w:r>
        <w:t xml:space="preserve"> </w:t>
      </w:r>
      <w:hyperlink r:id="rId415">
        <w:r>
          <w:rPr>
            <w:rStyle w:val="Hyperlink"/>
          </w:rPr>
          <w:t xml:space="preserve">https://learn.microsoft.com/en-us/azure/dns/dnssec-unsign</w:t>
        </w:r>
      </w:hyperlink>
      <w:r>
        <w:t xml:space="preserve"> </w:t>
      </w:r>
      <w:r>
        <w:t xml:space="preserve">(accessed Oct 20, 2026).</w:t>
      </w:r>
    </w:p>
  </w:footnote>
  <w:footnote w:id="416">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March 2026: §3.8 and §3.8.1–3.8.6 (DNSSEC signing, algorithms, validity periods, NSEC and NSEC3, algorithm migration, internal zones), §4.2.5–4.2.6 (validation and trust anchors), §5.2 (stub resolvers),</w:t>
      </w:r>
      <w:r>
        <w:t xml:space="preserve"> </w:t>
      </w:r>
      <w:hyperlink r:id="rId24">
        <w:r>
          <w:rPr>
            <w:rStyle w:val="Hyperlink"/>
          </w:rPr>
          <w:t xml:space="preserve">https://csrc.nist.gov/pubs/sp/800/81/r3/final</w:t>
        </w:r>
      </w:hyperlink>
      <w:r>
        <w:t xml:space="preserve"> </w:t>
      </w:r>
      <w:r>
        <w:t xml:space="preserve">(accessed Oct 20, 2026).</w:t>
      </w:r>
    </w:p>
  </w:footnote>
  <w:footnote w:id="417">
    <w:p>
      <w:pPr>
        <w:pStyle w:val="FootnoteText"/>
      </w:pPr>
      <w:r>
        <w:rPr>
          <w:rStyle w:val="FootnoteReference"/>
        </w:rPr>
        <w:footnoteRef/>
      </w:r>
      <w:r>
        <w:t xml:space="preserve"> </w:t>
      </w:r>
      <w:r>
        <w:t xml:space="preserve">Microsoft Learn,</w:t>
      </w:r>
      <w:r>
        <w:t xml:space="preserve"> </w:t>
      </w:r>
      <w:r>
        <w:t xml:space="preserve">“What is Azure Virtual Network encryption?,”</w:t>
      </w:r>
      <w:r>
        <w:t xml:space="preserve"> </w:t>
      </w:r>
      <w:hyperlink r:id="rId418">
        <w:r>
          <w:rPr>
            <w:rStyle w:val="Hyperlink"/>
          </w:rPr>
          <w:t xml:space="preserve">https://learn.microsoft.com/en-us/azure/virtual-network/virtual-network-encryption-overview</w:t>
        </w:r>
      </w:hyperlink>
      <w:r>
        <w:t xml:space="preserve"> </w:t>
      </w:r>
      <w:r>
        <w:t xml:space="preserve">(accessed Oct 20, 2026).</w:t>
      </w:r>
    </w:p>
  </w:footnote>
  <w:footnote w:id="424">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w:t>
      </w:r>
    </w:p>
  </w:footnote>
  <w:footnote w:id="425">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w:t>
      </w:r>
    </w:p>
  </w:footnote>
  <w:footnote w:id="426">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53">
        <w:r>
          <w:rPr>
            <w:rStyle w:val="Hyperlink"/>
          </w:rPr>
          <w:t xml:space="preserve">https://docs.aws.amazon.com/Route53/latest/DeveloperGuide/resolver-dns-firewall.html</w:t>
        </w:r>
      </w:hyperlink>
      <w:r>
        <w:t xml:space="preserve"> </w:t>
      </w:r>
      <w:r>
        <w:t xml:space="preserve">(accessed Oct 20, 2026).</w:t>
      </w:r>
    </w:p>
  </w:footnote>
  <w:footnote w:id="427">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428">
        <w:r>
          <w:rPr>
            <w:rStyle w:val="Hyperlink"/>
          </w:rPr>
          <w:t xml:space="preserve">https://learn.microsoft.com/azure/dns/private-dns-overview</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31">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32">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433">
        <w:r>
          <w:rPr>
            <w:rStyle w:val="Hyperlink"/>
          </w:rPr>
          <w:t xml:space="preserve">https://learn.microsoft.com/azure/dns/dns-security-policy</w:t>
        </w:r>
      </w:hyperlink>
      <w:r>
        <w:t xml:space="preserve"> </w:t>
      </w:r>
      <w:r>
        <w:t xml:space="preserve">(accessed Oct 20, 2026).</w:t>
      </w:r>
    </w:p>
  </w:footnote>
  <w:footnote w:id="434">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60">
        <w:r>
          <w:rPr>
            <w:rStyle w:val="Hyperlink"/>
          </w:rPr>
          <w:t xml:space="preserve">https://docs.cloud.google.com/dns/docs/server-policies-overview</w:t>
        </w:r>
      </w:hyperlink>
      <w:r>
        <w:t xml:space="preserve"> </w:t>
      </w:r>
      <w:r>
        <w:t xml:space="preserve">(accessed Oct 20, 2026).</w:t>
      </w:r>
    </w:p>
  </w:footnote>
  <w:footnote w:id="435">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60">
        <w:r>
          <w:rPr>
            <w:rStyle w:val="Hyperlink"/>
          </w:rPr>
          <w:t xml:space="preserve">https://docs.cloud.google.com/dns/docs/server-policies-overview</w:t>
        </w:r>
      </w:hyperlink>
      <w:r>
        <w:t xml:space="preserve"> </w:t>
      </w:r>
      <w:r>
        <w:t xml:space="preserve">(accessed Oct 20, 2026).</w:t>
      </w:r>
    </w:p>
  </w:footnote>
  <w:footnote w:id="436">
    <w:p>
      <w:pPr>
        <w:pStyle w:val="FootnoteText"/>
      </w:pPr>
      <w:r>
        <w:rPr>
          <w:rStyle w:val="FootnoteReference"/>
        </w:rPr>
        <w:footnoteRef/>
      </w:r>
      <w:r>
        <w:t xml:space="preserve"> </w:t>
      </w:r>
      <w:r>
        <w:t xml:space="preserve">Google Cloud, Cloud DNS documentation,</w:t>
      </w:r>
      <w:r>
        <w:t xml:space="preserve"> </w:t>
      </w:r>
      <w:r>
        <w:t xml:space="preserve">“Zones overview,”</w:t>
      </w:r>
      <w:r>
        <w:t xml:space="preserve"> </w:t>
      </w:r>
      <w:hyperlink r:id="rId437">
        <w:r>
          <w:rPr>
            <w:rStyle w:val="Hyperlink"/>
          </w:rPr>
          <w:t xml:space="preserve">https://docs.cloud.google.com/dns/docs/zones/zones-overview</w:t>
        </w:r>
      </w:hyperlink>
      <w:r>
        <w:t xml:space="preserve"> </w:t>
      </w:r>
      <w:r>
        <w:t xml:space="preserve">(accessed Oct 20, 2026).</w:t>
      </w:r>
    </w:p>
  </w:footnote>
  <w:footnote w:id="438">
    <w:p>
      <w:pPr>
        <w:pStyle w:val="FootnoteText"/>
      </w:pPr>
      <w:r>
        <w:rPr>
          <w:rStyle w:val="FootnoteReference"/>
        </w:rPr>
        <w:footnoteRef/>
      </w:r>
      <w:r>
        <w:t xml:space="preserve"> </w:t>
      </w:r>
      <w:r>
        <w:t xml:space="preserve">Google Cloud, Cloud DNS documentation,</w:t>
      </w:r>
      <w:r>
        <w:t xml:space="preserve"> </w:t>
      </w:r>
      <w:r>
        <w:t xml:space="preserve">“DNS server policies,”</w:t>
      </w:r>
      <w:r>
        <w:t xml:space="preserve"> </w:t>
      </w:r>
      <w:hyperlink r:id="rId60">
        <w:r>
          <w:rPr>
            <w:rStyle w:val="Hyperlink"/>
          </w:rPr>
          <w:t xml:space="preserve">https://docs.cloud.google.com/dns/docs/server-policies-overview</w:t>
        </w:r>
      </w:hyperlink>
      <w:r>
        <w:t xml:space="preserve"> </w:t>
      </w:r>
      <w:r>
        <w:t xml:space="preserve">(accessed Oct 20, 2026).</w:t>
      </w:r>
    </w:p>
  </w:footnote>
  <w:footnote w:id="439">
    <w:p>
      <w:pPr>
        <w:pStyle w:val="FootnoteText"/>
      </w:pPr>
      <w:r>
        <w:rPr>
          <w:rStyle w:val="FootnoteReference"/>
        </w:rPr>
        <w:footnoteRef/>
      </w:r>
      <w:r>
        <w:t xml:space="preserve"> </w:t>
      </w:r>
      <w:r>
        <w:t xml:space="preserve">Google Cloud, Cloud DNS documentation,</w:t>
      </w:r>
      <w:r>
        <w:t xml:space="preserve"> </w:t>
      </w:r>
      <w:r>
        <w:t xml:space="preserve">“Manage response policies and rules,”</w:t>
      </w:r>
      <w:r>
        <w:t xml:space="preserve"> </w:t>
      </w:r>
      <w:hyperlink r:id="rId63">
        <w:r>
          <w:rPr>
            <w:rStyle w:val="Hyperlink"/>
          </w:rPr>
          <w:t xml:space="preserve">https://docs.cloud.google.com/dns/docs/zones/manage-response-policies</w:t>
        </w:r>
      </w:hyperlink>
      <w:r>
        <w:t xml:space="preserve"> </w:t>
      </w:r>
      <w:r>
        <w:t xml:space="preserve">(accessed Oct 20, 2026).</w:t>
      </w:r>
    </w:p>
  </w:footnote>
  <w:footnote w:id="440">
    <w:p>
      <w:pPr>
        <w:pStyle w:val="FootnoteText"/>
      </w:pPr>
      <w:r>
        <w:rPr>
          <w:rStyle w:val="FootnoteReference"/>
        </w:rPr>
        <w:footnoteRef/>
      </w:r>
      <w:r>
        <w:t xml:space="preserve"> </w:t>
      </w:r>
      <w:r>
        <w:t xml:space="preserve">Microsoft Learn,</w:t>
      </w:r>
      <w:r>
        <w:t xml:space="preserve"> </w:t>
      </w:r>
      <w:r>
        <w:t xml:space="preserve">“Configure a DNS forwarder in the Azure portal”</w:t>
      </w:r>
      <w:r>
        <w:t xml:space="preserve"> </w:t>
      </w:r>
      <w:r>
        <w:t xml:space="preserve">(Azure VMware Solution; describes the NSX DNS Forwarder Service),</w:t>
      </w:r>
      <w:r>
        <w:t xml:space="preserve"> </w:t>
      </w:r>
      <w:hyperlink r:id="rId441">
        <w:r>
          <w:rPr>
            <w:rStyle w:val="Hyperlink"/>
          </w:rPr>
          <w:t xml:space="preserve">https://learn.microsoft.com/azure/azure-vmware/configure-dns-azure-vmware-solution</w:t>
        </w:r>
      </w:hyperlink>
      <w:r>
        <w:t xml:space="preserve"> </w:t>
      </w:r>
      <w:r>
        <w:t xml:space="preserve">(accessed Oct 20, 2026).</w:t>
      </w:r>
    </w:p>
  </w:footnote>
  <w:footnote w:id="442">
    <w:p>
      <w:pPr>
        <w:pStyle w:val="FootnoteText"/>
      </w:pPr>
      <w:r>
        <w:rPr>
          <w:rStyle w:val="FootnoteReference"/>
        </w:rPr>
        <w:footnoteRef/>
      </w:r>
      <w:r>
        <w:t xml:space="preserve"> </w:t>
      </w:r>
      <w:r>
        <w:t xml:space="preserve">Microsoft Learn,</w:t>
      </w:r>
      <w:r>
        <w:t xml:space="preserve"> </w:t>
      </w:r>
      <w:r>
        <w:t xml:space="preserve">“Configure a DNS forwarder in the Azure portal”</w:t>
      </w:r>
      <w:r>
        <w:t xml:space="preserve"> </w:t>
      </w:r>
      <w:r>
        <w:t xml:space="preserve">(Azure VMware Solution; describes the NSX DNS Forwarder Service),</w:t>
      </w:r>
      <w:r>
        <w:t xml:space="preserve"> </w:t>
      </w:r>
      <w:hyperlink r:id="rId441">
        <w:r>
          <w:rPr>
            <w:rStyle w:val="Hyperlink"/>
          </w:rPr>
          <w:t xml:space="preserve">https://learn.microsoft.com/azure/azure-vmware/configure-dns-azure-vmware-solution</w:t>
        </w:r>
      </w:hyperlink>
      <w:r>
        <w:t xml:space="preserve"> </w:t>
      </w:r>
      <w:r>
        <w:t xml:space="preserve">(accessed Oct 20, 2026).</w:t>
      </w:r>
    </w:p>
  </w:footnote>
  <w:footnote w:id="443">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w:t>
      </w:r>
    </w:p>
  </w:footnote>
  <w:footnote w:id="449">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51">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453">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54">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428">
        <w:r>
          <w:rPr>
            <w:rStyle w:val="Hyperlink"/>
          </w:rPr>
          <w:t xml:space="preserve">https://learn.microsoft.com/azure/dns/private-dns-overview</w:t>
        </w:r>
      </w:hyperlink>
      <w:r>
        <w:t xml:space="preserve"> </w:t>
      </w:r>
      <w:r>
        <w:t xml:space="preserve">(accessed Oct 20, 2026).</w:t>
      </w:r>
    </w:p>
  </w:footnote>
  <w:footnote w:id="455">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456">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57">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459">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460">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61">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462">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63">
    <w:p>
      <w:pPr>
        <w:pStyle w:val="FootnoteText"/>
      </w:pPr>
      <w:r>
        <w:rPr>
          <w:rStyle w:val="FootnoteReference"/>
        </w:rPr>
        <w:footnoteRef/>
      </w:r>
      <w:r>
        <w:t xml:space="preserve"> </w:t>
      </w:r>
      <w:r>
        <w:t xml:space="preserve">Microsoft Learn,</w:t>
      </w:r>
      <w:r>
        <w:t xml:space="preserve"> </w:t>
      </w:r>
      <w:r>
        <w:t xml:space="preserve">“What is the autoregistration feature in Azure DNS private zones?,”</w:t>
      </w:r>
      <w:r>
        <w:t xml:space="preserve"> </w:t>
      </w:r>
      <w:hyperlink r:id="rId464">
        <w:r>
          <w:rPr>
            <w:rStyle w:val="Hyperlink"/>
          </w:rPr>
          <w:t xml:space="preserve">https://learn.microsoft.com/azure/dns/private-dns-autoregistration</w:t>
        </w:r>
      </w:hyperlink>
      <w:r>
        <w:t xml:space="preserve"> </w:t>
      </w:r>
      <w:r>
        <w:t xml:space="preserve">(accessed Oct 20, 2026).</w:t>
      </w:r>
    </w:p>
  </w:footnote>
  <w:footnote w:id="466">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467">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468">
        <w:r>
          <w:rPr>
            <w:rStyle w:val="Hyperlink"/>
          </w:rPr>
          <w:t xml:space="preserve">https://learn.microsoft.com/azure/dns/private-resolver-endpoints-rulesets</w:t>
        </w:r>
      </w:hyperlink>
      <w:r>
        <w:t xml:space="preserve"> </w:t>
      </w:r>
      <w:r>
        <w:t xml:space="preserve">(accessed Oct 20, 2026).</w:t>
      </w:r>
    </w:p>
  </w:footnote>
  <w:footnote w:id="469">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“Limitations of Azure DNS Integration,”</w:t>
      </w:r>
      <w:r>
        <w:t xml:space="preserve"> </w:t>
      </w:r>
      <w:hyperlink r:id="rId470">
        <w:r>
          <w:rPr>
            <w:rStyle w:val="Hyperlink"/>
          </w:rPr>
          <w:t xml:space="preserve">https://docs.infoblox.com/space/BloxOneDDI/365461729/Limitations+of+Azure+DNS+Integration</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77">
    <w:p>
      <w:pPr>
        <w:pStyle w:val="FootnoteText"/>
      </w:pPr>
      <w:r>
        <w:rPr>
          <w:rStyle w:val="FootnoteReference"/>
        </w:rPr>
        <w:footnoteRef/>
      </w:r>
      <w:r>
        <w:t xml:space="preserve"> </w:t>
      </w:r>
      <w:r>
        <w:t xml:space="preserve">Microsoft Learn, Azure Architecture Center,</w:t>
      </w:r>
      <w:r>
        <w:t xml:space="preserve"> </w:t>
      </w:r>
      <w:r>
        <w:t xml:space="preserve">“Azure DNS Private Resolver,”</w:t>
      </w:r>
      <w:r>
        <w:t xml:space="preserve"> </w:t>
      </w:r>
      <w:hyperlink r:id="rId478">
        <w:r>
          <w:rPr>
            <w:rStyle w:val="Hyperlink"/>
          </w:rPr>
          <w:t xml:space="preserve">https://learn.microsoft.com/azure/architecture/networking/architecture/azure-dns-private-resolver</w:t>
        </w:r>
      </w:hyperlink>
      <w:r>
        <w:t xml:space="preserve"> </w:t>
      </w:r>
      <w:r>
        <w:t xml:space="preserve">(accessed Oct 20, 2026).</w:t>
      </w:r>
    </w:p>
  </w:footnote>
  <w:footnote w:id="479">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80">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81">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82">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468">
        <w:r>
          <w:rPr>
            <w:rStyle w:val="Hyperlink"/>
          </w:rPr>
          <w:t xml:space="preserve">https://learn.microsoft.com/azure/dns/private-resolver-endpoints-rulesets</w:t>
        </w:r>
      </w:hyperlink>
      <w:r>
        <w:t xml:space="preserve"> </w:t>
      </w:r>
      <w:r>
        <w:t xml:space="preserve">(accessed Oct 20, 2026).</w:t>
      </w:r>
    </w:p>
  </w:footnote>
  <w:footnote w:id="483">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468">
        <w:r>
          <w:rPr>
            <w:rStyle w:val="Hyperlink"/>
          </w:rPr>
          <w:t xml:space="preserve">https://learn.microsoft.com/azure/dns/private-resolver-endpoints-rulesets</w:t>
        </w:r>
      </w:hyperlink>
      <w:r>
        <w:t xml:space="preserve"> </w:t>
      </w:r>
      <w:r>
        <w:t xml:space="preserve">(accessed Oct 20, 2026).</w:t>
      </w:r>
    </w:p>
  </w:footnote>
  <w:footnote w:id="484">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468">
        <w:r>
          <w:rPr>
            <w:rStyle w:val="Hyperlink"/>
          </w:rPr>
          <w:t xml:space="preserve">https://learn.microsoft.com/azure/dns/private-resolver-endpoints-rulesets</w:t>
        </w:r>
      </w:hyperlink>
      <w:r>
        <w:t xml:space="preserve"> </w:t>
      </w:r>
      <w:r>
        <w:t xml:space="preserve">(accessed Oct 20, 2026).</w:t>
      </w:r>
    </w:p>
  </w:footnote>
  <w:footnote w:id="485">
    <w:p>
      <w:pPr>
        <w:pStyle w:val="FootnoteText"/>
      </w:pPr>
      <w:r>
        <w:rPr>
          <w:rStyle w:val="FootnoteReference"/>
        </w:rPr>
        <w:footnoteRef/>
      </w:r>
      <w:r>
        <w:t xml:space="preserve"> </w:t>
      </w:r>
      <w:r>
        <w:t xml:space="preserve">Microsoft Learn,</w:t>
      </w:r>
      <w:r>
        <w:t xml:space="preserve"> </w:t>
      </w:r>
      <w:r>
        <w:t xml:space="preserve">“Troubleshoot DNS resolution failures from inside the pod but not from the worker node”</w:t>
      </w:r>
      <w:r>
        <w:t xml:space="preserve"> </w:t>
      </w:r>
      <w:r>
        <w:t xml:space="preserve">(do not combine Azure DNS with custom DNS servers in virtual network settings),</w:t>
      </w:r>
      <w:r>
        <w:t xml:space="preserve"> </w:t>
      </w:r>
      <w:hyperlink r:id="rId486">
        <w:r>
          <w:rPr>
            <w:rStyle w:val="Hyperlink"/>
          </w:rPr>
          <w:t xml:space="preserve">https://learn.microsoft.com/troubleshoot/azure/azure-kubernetes/connectivity/dns/troubleshoot-dns-failure-from-pod-but-not-from-worker-node</w:t>
        </w:r>
      </w:hyperlink>
      <w:r>
        <w:t xml:space="preserve"> </w:t>
      </w:r>
      <w:r>
        <w:t xml:space="preserve">(accessed Oct 20, 2026).</w:t>
      </w:r>
    </w:p>
  </w:footnote>
  <w:footnote w:id="487">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488">
        <w:r>
          <w:rPr>
            <w:rStyle w:val="Hyperlink"/>
          </w:rPr>
          <w:t xml:space="preserve">https://learn.microsoft.com/azure/virtual-network/virtual-networks-name-resolution-for-vms-and-role-instances</w:t>
        </w:r>
      </w:hyperlink>
      <w:r>
        <w:t xml:space="preserve"> </w:t>
      </w:r>
      <w:r>
        <w:t xml:space="preserve">(accessed Oct 20, 2026).</w:t>
      </w:r>
    </w:p>
  </w:footnote>
  <w:footnote w:id="489">
    <w:p>
      <w:pPr>
        <w:pStyle w:val="FootnoteText"/>
      </w:pPr>
      <w:r>
        <w:rPr>
          <w:rStyle w:val="FootnoteReference"/>
        </w:rPr>
        <w:footnoteRef/>
      </w:r>
      <w:r>
        <w:t xml:space="preserve"> </w:t>
      </w:r>
      <w:r>
        <w:t xml:space="preserve">Microsoft Learn,</w:t>
      </w:r>
      <w:r>
        <w:t xml:space="preserve"> </w:t>
      </w:r>
      <w:r>
        <w:t xml:space="preserve">“Azure DNS Private Resolver endpoints and rulesets,”</w:t>
      </w:r>
      <w:r>
        <w:t xml:space="preserve"> </w:t>
      </w:r>
      <w:hyperlink r:id="rId468">
        <w:r>
          <w:rPr>
            <w:rStyle w:val="Hyperlink"/>
          </w:rPr>
          <w:t xml:space="preserve">https://learn.microsoft.com/azure/dns/private-resolver-endpoints-rulesets</w:t>
        </w:r>
      </w:hyperlink>
      <w:r>
        <w:t xml:space="preserve"> </w:t>
      </w:r>
      <w:r>
        <w:t xml:space="preserve">(accessed Oct 20, 2026).</w:t>
      </w:r>
    </w:p>
  </w:footnote>
  <w:footnote w:id="490">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491">
    <w:p>
      <w:pPr>
        <w:pStyle w:val="FootnoteText"/>
      </w:pPr>
      <w:r>
        <w:rPr>
          <w:rStyle w:val="FootnoteReference"/>
        </w:rPr>
        <w:footnoteRef/>
      </w:r>
      <w:r>
        <w:t xml:space="preserve"> </w:t>
      </w:r>
      <w:r>
        <w:t xml:space="preserve">Microsoft Learn, Azure Architecture Center,</w:t>
      </w:r>
      <w:r>
        <w:t xml:space="preserve"> </w:t>
      </w:r>
      <w:r>
        <w:t xml:space="preserve">“Design a hybrid Domain Name System (DNS) solution by using Azure,”</w:t>
      </w:r>
      <w:r>
        <w:t xml:space="preserve"> </w:t>
      </w:r>
      <w:r>
        <w:t xml:space="preserve">multiregional design,</w:t>
      </w:r>
      <w:r>
        <w:t xml:space="preserve"> </w:t>
      </w:r>
      <w:hyperlink r:id="rId492">
        <w:r>
          <w:rPr>
            <w:rStyle w:val="Hyperlink"/>
          </w:rPr>
          <w:t xml:space="preserve">https://learn.microsoft.com/azure/architecture/hybrid/hybrid-dns-infra</w:t>
        </w:r>
      </w:hyperlink>
      <w:r>
        <w:t xml:space="preserve"> </w:t>
      </w:r>
      <w:r>
        <w:t xml:space="preserve">(accessed Oct 20, 2026).</w:t>
      </w:r>
    </w:p>
  </w:footnote>
  <w:footnote w:id="493">
    <w:p>
      <w:pPr>
        <w:pStyle w:val="FootnoteText"/>
      </w:pPr>
      <w:r>
        <w:rPr>
          <w:rStyle w:val="FootnoteReference"/>
        </w:rPr>
        <w:footnoteRef/>
      </w:r>
      <w:r>
        <w:t xml:space="preserve"> </w:t>
      </w:r>
      <w:r>
        <w:t xml:space="preserve">Microsoft Learn,</w:t>
      </w:r>
      <w:r>
        <w:t xml:space="preserve"> </w:t>
      </w:r>
      <w:r>
        <w:t xml:space="preserve">“What is Azure Public DNS?,”</w:t>
      </w:r>
      <w:r>
        <w:t xml:space="preserve"> </w:t>
      </w:r>
      <w:hyperlink r:id="rId494">
        <w:r>
          <w:rPr>
            <w:rStyle w:val="Hyperlink"/>
          </w:rPr>
          <w:t xml:space="preserve">https://learn.microsoft.com/azure/dns/public-dns-overview</w:t>
        </w:r>
      </w:hyperlink>
      <w:r>
        <w:t xml:space="preserve"> </w:t>
      </w:r>
      <w:r>
        <w:t xml:space="preserve">(accessed Oct 20, 2026).</w:t>
      </w:r>
    </w:p>
  </w:footnote>
  <w:footnote w:id="496">
    <w:p>
      <w:pPr>
        <w:pStyle w:val="FootnoteText"/>
      </w:pPr>
      <w:r>
        <w:rPr>
          <w:rStyle w:val="FootnoteReference"/>
        </w:rPr>
        <w:footnoteRef/>
      </w:r>
      <w:r>
        <w:t xml:space="preserve"> </w:t>
      </w:r>
      <w:r>
        <w:t xml:space="preserve">Microsoft Learn,</w:t>
      </w:r>
      <w:r>
        <w:t xml:space="preserve"> </w:t>
      </w:r>
      <w:r>
        <w:t xml:space="preserve">“Quickstart: Create an Azure DNS Private Resolver using Azure PowerShell,”</w:t>
      </w:r>
      <w:r>
        <w:t xml:space="preserve"> </w:t>
      </w:r>
      <w:hyperlink r:id="rId497">
        <w:r>
          <w:rPr>
            <w:rStyle w:val="Hyperlink"/>
          </w:rPr>
          <w:t xml:space="preserve">https://learn.microsoft.com/azure/dns/dns-private-resolver-get-started-powershell</w:t>
        </w:r>
      </w:hyperlink>
      <w:r>
        <w:t xml:space="preserve"> </w:t>
      </w:r>
      <w:r>
        <w:t xml:space="preserve">(accessed Oct 20, 2026).</w:t>
      </w:r>
    </w:p>
  </w:footnote>
  <w:footnote w:id="498">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500">
    <w:p>
      <w:pPr>
        <w:pStyle w:val="FootnoteText"/>
      </w:pPr>
      <w:r>
        <w:rPr>
          <w:rStyle w:val="FootnoteReference"/>
        </w:rPr>
        <w:footnoteRef/>
      </w:r>
      <w:r>
        <w:t xml:space="preserve"> </w:t>
      </w:r>
      <w:r>
        <w:t xml:space="preserve">Microsoft Learn,</w:t>
      </w:r>
      <w:r>
        <w:t xml:space="preserve"> </w:t>
      </w:r>
      <w:r>
        <w:t xml:space="preserve">“What is Azure Private DNS?,”</w:t>
      </w:r>
      <w:r>
        <w:t xml:space="preserve"> </w:t>
      </w:r>
      <w:hyperlink r:id="rId428">
        <w:r>
          <w:rPr>
            <w:rStyle w:val="Hyperlink"/>
          </w:rPr>
          <w:t xml:space="preserve">https://learn.microsoft.com/azure/dns/private-dns-overview</w:t>
        </w:r>
      </w:hyperlink>
      <w:r>
        <w:t xml:space="preserve"> </w:t>
      </w:r>
      <w:r>
        <w:t xml:space="preserve">(accessed Oct 20, 2026).</w:t>
      </w:r>
    </w:p>
  </w:footnote>
  <w:footnote w:id="501">
    <w:p>
      <w:pPr>
        <w:pStyle w:val="FootnoteText"/>
      </w:pPr>
      <w:r>
        <w:rPr>
          <w:rStyle w:val="FootnoteReference"/>
        </w:rPr>
        <w:footnoteRef/>
      </w:r>
      <w:r>
        <w:t xml:space="preserve"> </w:t>
      </w:r>
      <w:r>
        <w:t xml:space="preserve">Microsoft Learn, Azure Architecture Center,</w:t>
      </w:r>
      <w:r>
        <w:t xml:space="preserve"> </w:t>
      </w:r>
      <w:r>
        <w:t xml:space="preserve">“Azure DNS Private Resolver,”</w:t>
      </w:r>
      <w:r>
        <w:t xml:space="preserve"> </w:t>
      </w:r>
      <w:hyperlink r:id="rId478">
        <w:r>
          <w:rPr>
            <w:rStyle w:val="Hyperlink"/>
          </w:rPr>
          <w:t xml:space="preserve">https://learn.microsoft.com/azure/architecture/networking/architecture/azure-dns-private-resolver</w:t>
        </w:r>
      </w:hyperlink>
      <w:r>
        <w:t xml:space="preserve"> </w:t>
      </w:r>
      <w:r>
        <w:t xml:space="preserve">(accessed Oct 20, 2026).</w:t>
      </w:r>
    </w:p>
  </w:footnote>
  <w:footnote w:id="509">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What’s New, November 17, 2025 (available in all Regions where VPC IPAM is supported, excluding the AWS China and AWS GovCloud (US) Regions),</w:t>
      </w:r>
      <w:r>
        <w:t xml:space="preserve"> </w:t>
      </w:r>
      <w:hyperlink r:id="rId510">
        <w:r>
          <w:rPr>
            <w:rStyle w:val="Hyperlink"/>
          </w:rPr>
          <w:t xml:space="preserve">https://aws.amazon.com/about-aws/whats-new/2025/11/amazon-vpc-ipam-automates-ip-from-infoblox/</w:t>
        </w:r>
      </w:hyperlink>
      <w:r>
        <w:t xml:space="preserve">;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(Advanced Tier; private scopes only),</w:t>
      </w:r>
      <w:r>
        <w:t xml:space="preserve"> </w:t>
      </w:r>
      <w:hyperlink r:id="rId511">
        <w:r>
          <w:rPr>
            <w:rStyle w:val="Hyperlink"/>
          </w:rPr>
          <w:t xml:space="preserve">https://docs.aws.amazon.com/vpc/latest/ipam/integrate-infoblox-ipam.html</w:t>
        </w:r>
      </w:hyperlink>
      <w:r>
        <w:t xml:space="preserve"> </w:t>
      </w:r>
      <w:r>
        <w:t xml:space="preserve">(both accessed Oct 20, 2026).</w:t>
      </w:r>
    </w:p>
  </w:footnote>
  <w:footnote w:id="513">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514">
        <w:r>
          <w:rPr>
            <w:rStyle w:val="Hyperlink"/>
          </w:rPr>
          <w:t xml:space="preserve">https://learn.microsoft.com/azure/virtual-network-manager/concept-ip-address-management</w:t>
        </w:r>
      </w:hyperlink>
      <w:r>
        <w:t xml:space="preserve"> </w:t>
      </w:r>
      <w:r>
        <w:t xml:space="preserve">(accessed Oct 20, 2026).</w:t>
      </w:r>
    </w:p>
  </w:footnote>
  <w:footnote w:id="515">
    <w:p>
      <w:pPr>
        <w:pStyle w:val="FootnoteText"/>
      </w:pPr>
      <w:r>
        <w:rPr>
          <w:rStyle w:val="FootnoteReference"/>
        </w:rPr>
        <w:footnoteRef/>
      </w:r>
      <w:r>
        <w:t xml:space="preserve"> </w:t>
      </w:r>
      <w:r>
        <w:t xml:space="preserve">Google Cloud, VPC documentation,</w:t>
      </w:r>
      <w:r>
        <w:t xml:space="preserve"> </w:t>
      </w:r>
      <w:r>
        <w:t xml:space="preserve">“Internal ranges,”</w:t>
      </w:r>
      <w:r>
        <w:t xml:space="preserve"> </w:t>
      </w:r>
      <w:hyperlink r:id="rId516">
        <w:r>
          <w:rPr>
            <w:rStyle w:val="Hyperlink"/>
          </w:rPr>
          <w:t xml:space="preserve">https://docs.cloud.google.com/vpc/docs/internal-ranges</w:t>
        </w:r>
      </w:hyperlink>
      <w:r>
        <w:t xml:space="preserve"> </w:t>
      </w:r>
      <w:r>
        <w:t xml:space="preserve">(accessed Oct 20, 2026).</w:t>
      </w:r>
    </w:p>
  </w:footnote>
  <w:footnote w:id="518">
    <w:p>
      <w:pPr>
        <w:pStyle w:val="FootnoteText"/>
      </w:pPr>
      <w:r>
        <w:rPr>
          <w:rStyle w:val="FootnoteReference"/>
        </w:rPr>
        <w:footnoteRef/>
      </w:r>
      <w:r>
        <w:t xml:space="preserve"> </w:t>
      </w:r>
      <w:r>
        <w:rPr>
          <w:b/>
          <w:bCs/>
        </w:rPr>
        <w:t xml:space="preserve">Third-party source (vendor blog).</w:t>
      </w:r>
      <w:r>
        <w:t xml:space="preserve"> </w:t>
      </w: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519">
        <w:r>
          <w:rPr>
            <w:rStyle w:val="Hyperlink"/>
          </w:rPr>
          <w:t xml:space="preserve">https://blogs.vmware.com/cloud-foundation/2026/05/15/vcf-networking-9-1-seamless-ddi-integration-with-infoblox/</w:t>
        </w:r>
      </w:hyperlink>
      <w:r>
        <w:t xml:space="preserve"> </w:t>
      </w:r>
      <w:r>
        <w:t xml:space="preserve">(accessed Oct 20, 2026).</w:t>
      </w:r>
    </w:p>
  </w:footnote>
  <w:footnote w:id="524">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141">
        <w:r>
          <w:rPr>
            <w:rStyle w:val="Hyperlink"/>
          </w:rPr>
          <w:t xml:space="preserve">https://www.whitehouse.gov/wp-content/uploads/2020/11/M-21-07.pdf</w:t>
        </w:r>
      </w:hyperlink>
      <w:r>
        <w:t xml:space="preserve"> </w:t>
      </w:r>
      <w:r>
        <w:t xml:space="preserve">(accessed Oct 20, 2026).</w:t>
      </w:r>
    </w:p>
  </w:footnote>
  <w:footnote w:id="525">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514">
        <w:r>
          <w:rPr>
            <w:rStyle w:val="Hyperlink"/>
          </w:rPr>
          <w:t xml:space="preserve">https://learn.microsoft.com/azure/virtual-network-manager/concept-ip-address-management</w:t>
        </w:r>
      </w:hyperlink>
      <w:r>
        <w:t xml:space="preserve"> </w:t>
      </w:r>
      <w:r>
        <w:t xml:space="preserve">(accessed Oct 20, 2026).</w:t>
      </w:r>
    </w:p>
  </w:footnote>
  <w:footnote w:id="526">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536">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132">
        <w:r>
          <w:rPr>
            <w:rStyle w:val="Hyperlink"/>
          </w:rPr>
          <w:t xml:space="preserve">https://www.cisa.gov/resources-tools/services/protective-domain-name-system-dns-resolver</w:t>
        </w:r>
      </w:hyperlink>
      <w:r>
        <w:t xml:space="preserve"> </w:t>
      </w:r>
      <w:r>
        <w:t xml:space="preserve">(accessed Oct 20, 2026).</w:t>
      </w:r>
    </w:p>
  </w:footnote>
  <w:footnote w:id="537">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“Managing Endpoint,”</w:t>
      </w:r>
      <w:r>
        <w:t xml:space="preserve"> </w:t>
      </w:r>
      <w:hyperlink r:id="rId249">
        <w:r>
          <w:rPr>
            <w:rStyle w:val="Hyperlink"/>
          </w:rPr>
          <w:t xml:space="preserve">https://docs.infoblox.com/space/BloxOneThreatDefense/35374260/Managing+Endpoint</w:t>
        </w:r>
      </w:hyperlink>
      <w:r>
        <w:t xml:space="preserve"> </w:t>
      </w:r>
      <w:r>
        <w:t xml:space="preserve">(accessed Oct 20, 2026).</w:t>
      </w:r>
    </w:p>
  </w:footnote>
  <w:footnote w:id="540">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hyperlink r:id="rId450">
        <w:r>
          <w:rPr>
            <w:rStyle w:val="Hyperlink"/>
          </w:rPr>
          <w:t xml:space="preserve">https://learn.microsoft.com/azure/private-link/private-endpoint-dns-integration</w:t>
        </w:r>
      </w:hyperlink>
      <w:r>
        <w:t xml:space="preserve"> </w:t>
      </w:r>
      <w:r>
        <w:t xml:space="preserve">(accessed Oct 20, 2026).</w:t>
      </w:r>
    </w:p>
  </w:footnote>
  <w:footnote w:id="541">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“What is Route 53 VPC Resolver?,”</w:t>
      </w:r>
      <w:r>
        <w:t xml:space="preserve"> </w:t>
      </w:r>
      <w:hyperlink r:id="rId50">
        <w:r>
          <w:rPr>
            <w:rStyle w:val="Hyperlink"/>
          </w:rPr>
          <w:t xml:space="preserve">https://docs.aws.amazon.com/Route53/latest/DeveloperGuide/resolver.html</w:t>
        </w:r>
      </w:hyperlink>
      <w:r>
        <w:t xml:space="preserve"> </w:t>
      </w:r>
      <w:r>
        <w:t xml:space="preserve">(accessed Oct 20, 2026).</w:t>
      </w:r>
    </w:p>
  </w:footnote>
  <w:footnote w:id="546">
    <w:p>
      <w:pPr>
        <w:pStyle w:val="FootnoteText"/>
      </w:pPr>
      <w:r>
        <w:rPr>
          <w:rStyle w:val="FootnoteReference"/>
        </w:rPr>
        <w:footnoteRef/>
      </w:r>
      <w:r>
        <w:t xml:space="preserve"> </w:t>
      </w:r>
      <w:r>
        <w:rPr>
          <w:b/>
          <w:bCs/>
        </w:rPr>
        <w:t xml:space="preserve">Third-party source (vendor blog).</w:t>
      </w:r>
      <w:r>
        <w:t xml:space="preserve"> </w:t>
      </w:r>
      <w:r>
        <w:t xml:space="preserve">Infoblox,</w:t>
      </w:r>
      <w:r>
        <w:t xml:space="preserve"> </w:t>
      </w:r>
      <w:r>
        <w:t xml:space="preserve">“November 2025 – January 2026 Innovations: What’s New in Infoblox DDI,”</w:t>
      </w:r>
      <w:r>
        <w:t xml:space="preserve"> </w:t>
      </w:r>
      <w:hyperlink r:id="rId547">
        <w:r>
          <w:rPr>
            <w:rStyle w:val="Hyperlink"/>
          </w:rPr>
          <w:t xml:space="preserve">https://www.infoblox.com/blog/company/november-2025-january-2026-innovations-whats-new-in-infoblox-ddi/</w:t>
        </w:r>
      </w:hyperlink>
      <w:r>
        <w:t xml:space="preserve"> </w:t>
      </w:r>
      <w:r>
        <w:t xml:space="preserve">(accessed Oct 20, 2026).</w:t>
      </w:r>
    </w:p>
  </w:footnote>
  <w:footnote w:id="548">
    <w:p>
      <w:pPr>
        <w:pStyle w:val="FootnoteText"/>
      </w:pPr>
      <w:r>
        <w:rPr>
          <w:rStyle w:val="FootnoteReference"/>
        </w:rPr>
        <w:footnoteRef/>
      </w:r>
      <w:r>
        <w:t xml:space="preserve"> </w:t>
      </w:r>
      <w:r>
        <w:t xml:space="preserve">FedRAMP, Marketplace product data (entry FR2017257053, Infoblox Government Cloud: FedRAMP Certified, Moderate, since December 15, 2022; AWS GovCloud (US)),</w:t>
      </w:r>
      <w:r>
        <w:t xml:space="preserve"> </w:t>
      </w:r>
      <w:hyperlink r:id="rId156">
        <w:r>
          <w:rPr>
            <w:rStyle w:val="Hyperlink"/>
          </w:rPr>
          <w:t xml:space="preserve">https://www.fedramp.gov/marketplace/products.json</w:t>
        </w:r>
      </w:hyperlink>
      <w:r>
        <w:t xml:space="preserve"> </w:t>
      </w:r>
      <w:r>
        <w:t xml:space="preserve">(accessed Oct 20, 2026).</w:t>
      </w:r>
    </w:p>
  </w:footnote>
  <w:footnote w:id="54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58">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554">
    <w:p>
      <w:pPr>
        <w:pStyle w:val="FootnoteText"/>
      </w:pPr>
      <w:r>
        <w:rPr>
          <w:rStyle w:val="FootnoteReference"/>
        </w:rPr>
        <w:footnoteRef/>
      </w:r>
      <w:r>
        <w:t xml:space="preserve"> </w:t>
      </w:r>
      <w:r>
        <w:t xml:space="preserve">FedRAMP, Marketplace product data (entry FR2017257053, Infoblox Government Cloud: FedRAMP Certified, Moderate, since December 15, 2022; AWS GovCloud (US)),</w:t>
      </w:r>
      <w:r>
        <w:t xml:space="preserve"> </w:t>
      </w:r>
      <w:hyperlink r:id="rId156">
        <w:r>
          <w:rPr>
            <w:rStyle w:val="Hyperlink"/>
          </w:rPr>
          <w:t xml:space="preserve">https://www.fedramp.gov/marketplace/products.json</w:t>
        </w:r>
      </w:hyperlink>
      <w:r>
        <w:t xml:space="preserve"> </w:t>
      </w:r>
      <w:r>
        <w:t xml:space="preserve">(accessed Oct 20, 2026).</w:t>
      </w:r>
    </w:p>
  </w:footnote>
  <w:footnote w:id="555">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hyperlink r:id="rId452">
        <w:r>
          <w:rPr>
            <w:rStyle w:val="Hyperlink"/>
          </w:rPr>
          <w:t xml:space="preserve">https://learn.microsoft.com/azure/private-link/private-endpoint-dns</w:t>
        </w:r>
      </w:hyperlink>
      <w:r>
        <w:t xml:space="preserve"> </w:t>
      </w:r>
      <w:r>
        <w:t xml:space="preserve">(accessed Oct 20, 2026).</w:t>
      </w:r>
    </w:p>
  </w:footnote>
  <w:footnote w:id="556">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What’s New, November 17, 2025,</w:t>
      </w:r>
      <w:r>
        <w:t xml:space="preserve"> </w:t>
      </w:r>
      <w:hyperlink r:id="rId510">
        <w:r>
          <w:rPr>
            <w:rStyle w:val="Hyperlink"/>
          </w:rPr>
          <w:t xml:space="preserve">https://aws.amazon.com/about-aws/whats-new/2025/11/amazon-vpc-ipam-automates-ip-from-infoblox/</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558">
        <w:r>
          <w:rPr>
            <w:rStyle w:val="Hyperlink"/>
          </w:rPr>
          <w:t xml:space="preserve">https://learn.microsoft.com/microsoft-365/enterprise/office-365-network-mac-perf-cpe</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558">
        <w:r>
          <w:rPr>
            <w:rStyle w:val="Hyperlink"/>
          </w:rPr>
          <w:t xml:space="preserve">https://learn.microsoft.com/microsoft-365/enterprise/office-365-network-mac-perf-cpe</w:t>
        </w:r>
      </w:hyperlink>
      <w:r>
        <w:t xml:space="preserve"> </w:t>
      </w:r>
      <w:r>
        <w:t xml:space="preserve">(accessed Oct 20, 2026).</w:t>
      </w:r>
    </w:p>
  </w:footnote>
  <w:footnote w:id="561">
    <w:p>
      <w:pPr>
        <w:pStyle w:val="FootnoteText"/>
      </w:pPr>
      <w:r>
        <w:rPr>
          <w:rStyle w:val="FootnoteReference"/>
        </w:rPr>
        <w:footnoteRef/>
      </w:r>
      <w:r>
        <w:t xml:space="preserve"> </w:t>
      </w:r>
      <w:r>
        <w:rPr>
          <w:b/>
          <w:bCs/>
        </w:rPr>
        <w:t xml:space="preserve">Third-party source (vendor).</w:t>
      </w:r>
      <w:r>
        <w:t xml:space="preserve"> </w:t>
      </w:r>
      <w:r>
        <w:t xml:space="preserve">Infoblox documentation,</w:t>
      </w:r>
      <w:r>
        <w:t xml:space="preserve"> </w:t>
      </w:r>
      <w:r>
        <w:t xml:space="preserve">“Managing Endpoint,”</w:t>
      </w:r>
      <w:r>
        <w:t xml:space="preserve"> </w:t>
      </w:r>
      <w:hyperlink r:id="rId249">
        <w:r>
          <w:rPr>
            <w:rStyle w:val="Hyperlink"/>
          </w:rPr>
          <w:t xml:space="preserve">https://docs.infoblox.com/space/BloxOneThreatDefense/35374260/Managing+Endpoint</w:t>
        </w:r>
      </w:hyperlink>
      <w:r>
        <w:t xml:space="preserve"> </w:t>
      </w:r>
      <w:r>
        <w:t xml:space="preserve">(accessed Oct 20, 2026).</w:t>
      </w:r>
    </w:p>
  </w:footnote>
  <w:footnote w:id="567">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section</w:t>
      </w:r>
      <w:r>
        <w:t xml:space="preserve"> </w:t>
      </w:r>
      <w:r>
        <w:t xml:space="preserve">“Access to zones and names,”</w:t>
      </w:r>
      <w:r>
        <w:t xml:space="preserve"> </w:t>
      </w:r>
      <w:hyperlink r:id="rId568">
        <w:r>
          <w:rPr>
            <w:rStyle w:val="Hyperlink"/>
          </w:rPr>
          <w:t xml:space="preserve">https://learn.microsoft.com/windows-server/networking/dns/zone-types</w:t>
        </w:r>
      </w:hyperlink>
      <w:r>
        <w:t xml:space="preserve"> </w:t>
      </w:r>
      <w:r>
        <w:t xml:space="preserve">(accessed Oct 20, 2026).</w:t>
      </w:r>
    </w:p>
  </w:footnote>
  <w:footnote w:id="569">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r>
        <w:t xml:space="preserve">(Microsoft Defender for Identity),</w:t>
      </w:r>
      <w:r>
        <w:t xml:space="preserve"> </w:t>
      </w:r>
      <w:hyperlink r:id="rId570">
        <w:r>
          <w:rPr>
            <w:rStyle w:val="Hyperlink"/>
          </w:rPr>
          <w:t xml:space="preserve">https://learn.microsoft.com/defender-for-identity/unsafe-permissions-dns-admins-group</w:t>
        </w:r>
      </w:hyperlink>
      <w:r>
        <w:t xml:space="preserve"> </w:t>
      </w:r>
      <w:r>
        <w:t xml:space="preserve">(accessed Oct 20, 2026).</w:t>
      </w:r>
    </w:p>
  </w:footnote>
  <w:footnote w:id="571">
    <w:p>
      <w:pPr>
        <w:pStyle w:val="FootnoteText"/>
      </w:pPr>
      <w:r>
        <w:rPr>
          <w:rStyle w:val="FootnoteReference"/>
        </w:rPr>
        <w:footnoteRef/>
      </w:r>
      <w:r>
        <w:t xml:space="preserve"> </w:t>
      </w:r>
      <w:r>
        <w:t xml:space="preserve">Microsoft Learn,</w:t>
      </w:r>
      <w:r>
        <w:t xml:space="preserve"> </w:t>
      </w:r>
      <w:r>
        <w:t xml:space="preserve">“DNS zones,”</w:t>
      </w:r>
      <w:r>
        <w:t xml:space="preserve"> </w:t>
      </w:r>
      <w:r>
        <w:t xml:space="preserve">section</w:t>
      </w:r>
      <w:r>
        <w:t xml:space="preserve"> </w:t>
      </w:r>
      <w:r>
        <w:t xml:space="preserve">“Access to zones and names,”</w:t>
      </w:r>
      <w:r>
        <w:t xml:space="preserve"> </w:t>
      </w:r>
      <w:hyperlink r:id="rId568">
        <w:r>
          <w:rPr>
            <w:rStyle w:val="Hyperlink"/>
          </w:rPr>
          <w:t xml:space="preserve">https://learn.microsoft.com/windows-server/networking/dns/zone-types</w:t>
        </w:r>
      </w:hyperlink>
      <w:r>
        <w:t xml:space="preserve"> </w:t>
      </w:r>
      <w:r>
        <w:t xml:space="preserve">(accessed Oct 20, 2026).</w:t>
      </w:r>
    </w:p>
  </w:footnote>
  <w:footnote w:id="572">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sections</w:t>
      </w:r>
      <w:r>
        <w:t xml:space="preserve"> </w:t>
      </w:r>
      <w:r>
        <w:t xml:space="preserve">“DnsAdmins,”</w:t>
      </w:r>
      <w:r>
        <w:t xml:space="preserve"> </w:t>
      </w:r>
      <w:r>
        <w:t xml:space="preserve">“DnsUpdateProxy”</w:t>
      </w:r>
      <w:r>
        <w:t xml:space="preserve"> </w:t>
      </w:r>
      <w:r>
        <w:t xml:space="preserve">and</w:t>
      </w:r>
      <w:r>
        <w:t xml:space="preserve"> </w:t>
      </w:r>
      <w:r>
        <w:t xml:space="preserve">“DHCP Administrators,”</w:t>
      </w:r>
      <w:r>
        <w:t xml:space="preserve"> </w:t>
      </w:r>
      <w:hyperlink r:id="rId573">
        <w:r>
          <w:rPr>
            <w:rStyle w:val="Hyperlink"/>
          </w:rPr>
          <w:t xml:space="preserve">https://learn.microsoft.com/windows-server/identity/ad-ds/manage/understand-security-groups</w:t>
        </w:r>
      </w:hyperlink>
      <w:r>
        <w:t xml:space="preserve"> </w:t>
      </w:r>
      <w:r>
        <w:t xml:space="preserve">(accessed Oct 20, 2026).</w:t>
      </w:r>
    </w:p>
  </w:footnote>
  <w:footnote w:id="574">
    <w:p>
      <w:pPr>
        <w:pStyle w:val="FootnoteText"/>
      </w:pPr>
      <w:r>
        <w:rPr>
          <w:rStyle w:val="FootnoteReference"/>
        </w:rPr>
        <w:footnoteRef/>
      </w:r>
      <w:r>
        <w:t xml:space="preserve"> </w:t>
      </w:r>
      <w:r>
        <w:t xml:space="preserve">Microsoft Learn,</w:t>
      </w:r>
      <w:r>
        <w:t xml:space="preserve"> </w:t>
      </w:r>
      <w:r>
        <w:t xml:space="preserve">“DNS for AD DS Owner Role,”</w:t>
      </w:r>
      <w:r>
        <w:t xml:space="preserve"> </w:t>
      </w:r>
      <w:hyperlink r:id="rId575">
        <w:r>
          <w:rPr>
            <w:rStyle w:val="Hyperlink"/>
          </w:rPr>
          <w:t xml:space="preserve">https://learn.microsoft.com/windows-server/identity/ad-ds/deploy/assigning-the-dns-for-ad-ds-owner-role</w:t>
        </w:r>
      </w:hyperlink>
      <w:r>
        <w:t xml:space="preserve"> </w:t>
      </w:r>
      <w:r>
        <w:t xml:space="preserve">(accessed Oct 20, 2026).</w:t>
      </w:r>
    </w:p>
  </w:footnote>
  <w:footnote w:id="581">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582">
        <w:r>
          <w:rPr>
            <w:rStyle w:val="Hyperlink"/>
          </w:rPr>
          <w:t xml:space="preserve">https://csrc.nist.gov/pubs/sp/800/37/r2/final</w:t>
        </w:r>
      </w:hyperlink>
      <w:r>
        <w:t xml:space="preserve"> </w:t>
      </w:r>
      <w:r>
        <w:t xml:space="preserve">(accessed Oct 20, 2026).</w:t>
      </w:r>
    </w:p>
  </w:footnote>
  <w:footnote w:id="58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585">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132">
        <w:r>
          <w:rPr>
            <w:rStyle w:val="Hyperlink"/>
          </w:rPr>
          <w:t xml:space="preserve">https://www.cisa.gov/resources-tools/services/protective-domain-name-system-dns-resolver</w:t>
        </w:r>
      </w:hyperlink>
      <w:r>
        <w:t xml:space="preserve"> </w:t>
      </w:r>
      <w:r>
        <w:t xml:space="preserve">(accessed Oct 20, 2026).</w:t>
      </w:r>
    </w:p>
  </w:footnote>
  <w:footnote w:id="586">
    <w:p>
      <w:pPr>
        <w:pStyle w:val="FootnoteText"/>
      </w:pPr>
      <w:r>
        <w:rPr>
          <w:rStyle w:val="FootnoteReference"/>
        </w:rPr>
        <w:footnoteRef/>
      </w:r>
      <w:r>
        <w:t xml:space="preserve"> </w:t>
      </w:r>
      <w:r>
        <w:t xml:space="preserve">Microsoft Learn,</w:t>
      </w:r>
      <w:r>
        <w:t xml:space="preserve"> </w:t>
      </w:r>
      <w:r>
        <w:t xml:space="preserve">“Security assessment: Unsafe permissions on the DnsAdmins group”</w:t>
      </w:r>
      <w:r>
        <w:t xml:space="preserve"> </w:t>
      </w:r>
      <w:r>
        <w:t xml:space="preserve">(Microsoft Defender for Identity),</w:t>
      </w:r>
      <w:r>
        <w:t xml:space="preserve"> </w:t>
      </w:r>
      <w:hyperlink r:id="rId570">
        <w:r>
          <w:rPr>
            <w:rStyle w:val="Hyperlink"/>
          </w:rPr>
          <w:t xml:space="preserve">https://learn.microsoft.com/defender-for-identity/unsafe-permissions-dns-admins-group</w:t>
        </w:r>
      </w:hyperlink>
      <w:r>
        <w:t xml:space="preserve"> </w:t>
      </w:r>
      <w:r>
        <w:t xml:space="preserve">(accessed Oct 20, 2026).</w:t>
      </w:r>
    </w:p>
  </w:footnote>
  <w:footnote w:id="587">
    <w:p>
      <w:pPr>
        <w:pStyle w:val="FootnoteText"/>
      </w:pPr>
      <w:r>
        <w:rPr>
          <w:rStyle w:val="FootnoteReference"/>
        </w:rPr>
        <w:footnoteRef/>
      </w:r>
      <w:r>
        <w:t xml:space="preserve"> </w:t>
      </w:r>
      <w:r>
        <w:t xml:space="preserve">Microsoft Learn,</w:t>
      </w:r>
      <w:r>
        <w:t xml:space="preserve"> </w:t>
      </w:r>
      <w:r>
        <w:t xml:space="preserve">“DNSSEC Key Master,”</w:t>
      </w:r>
      <w:r>
        <w:t xml:space="preserve"> </w:t>
      </w:r>
      <w:hyperlink r:id="rId588">
        <w:r>
          <w:rPr>
            <w:rStyle w:val="Hyperlink"/>
          </w:rPr>
          <w:t xml:space="preserve">https://learn.microsoft.com/windows-server/networking/dns/dnssec-key-master</w:t>
        </w:r>
      </w:hyperlink>
      <w:r>
        <w:t xml:space="preserve">, and</w:t>
      </w:r>
      <w:r>
        <w:t xml:space="preserve"> </w:t>
      </w:r>
      <w:r>
        <w:t xml:space="preserve">“Transfer Key Master role,”</w:t>
      </w:r>
      <w:r>
        <w:t xml:space="preserve"> </w:t>
      </w:r>
      <w:r>
        <w:t xml:space="preserve">section</w:t>
      </w:r>
      <w:r>
        <w:t xml:space="preserve"> </w:t>
      </w:r>
      <w:r>
        <w:t xml:space="preserve">“Transfer without access to the signing keys,”</w:t>
      </w:r>
      <w:r>
        <w:t xml:space="preserve"> </w:t>
      </w:r>
      <w:hyperlink r:id="rId589">
        <w:r>
          <w:rPr>
            <w:rStyle w:val="Hyperlink"/>
          </w:rPr>
          <w:t xml:space="preserve">https://learn.microsoft.com/windows-server/networking/dns/transfer-dnssec-key-master</w:t>
        </w:r>
      </w:hyperlink>
      <w:r>
        <w:t xml:space="preserve"> </w:t>
      </w:r>
      <w:r>
        <w:t xml:space="preserve">(accessed Oct 20, 2026).</w:t>
      </w:r>
    </w:p>
  </w:footnote>
  <w:footnote w:id="590">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591">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592">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93">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94">
        <w:r>
          <w:rPr>
            <w:rStyle w:val="Hyperlink"/>
          </w:rPr>
          <w:t xml:space="preserve">https://learn.microsoft.com/azure/dns/dns-protect-zones-recordsets</w:t>
        </w:r>
      </w:hyperlink>
      <w:r>
        <w:t xml:space="preserve"> </w:t>
      </w:r>
      <w:r>
        <w:t xml:space="preserve">(accessed Oct 20, 2026).</w:t>
      </w:r>
    </w:p>
  </w:footnote>
  <w:footnote w:id="595">
    <w:p>
      <w:pPr>
        <w:pStyle w:val="FootnoteText"/>
      </w:pPr>
      <w:r>
        <w:rPr>
          <w:rStyle w:val="FootnoteReference"/>
        </w:rPr>
        <w:footnoteRef/>
      </w:r>
      <w:r>
        <w:t xml:space="preserve"> </w:t>
      </w:r>
      <w:r>
        <w:t xml:space="preserve">Microsoft Learn,</w:t>
      </w:r>
      <w:r>
        <w:t xml:space="preserve"> </w:t>
      </w:r>
      <w:r>
        <w:t xml:space="preserve">“Manage IP addresses with Azure Virtual Network Manager,”</w:t>
      </w:r>
      <w:r>
        <w:t xml:space="preserve"> </w:t>
      </w:r>
      <w:r>
        <w:t xml:space="preserve">section</w:t>
      </w:r>
      <w:r>
        <w:t xml:space="preserve"> </w:t>
      </w:r>
      <w:r>
        <w:t xml:space="preserve">“Prerequisites,”</w:t>
      </w:r>
      <w:r>
        <w:t xml:space="preserve"> </w:t>
      </w:r>
      <w:hyperlink r:id="rId596">
        <w:r>
          <w:rPr>
            <w:rStyle w:val="Hyperlink"/>
          </w:rPr>
          <w:t xml:space="preserve">https://learn.microsoft.com/azure/virtual-network-manager/how-to-manage-ip-addresses-network-manager</w:t>
        </w:r>
      </w:hyperlink>
      <w:r>
        <w:t xml:space="preserve">, and</w:t>
      </w:r>
      <w:r>
        <w:t xml:space="preserve"> </w:t>
      </w:r>
      <w:r>
        <w:t xml:space="preserve">“What is IP address management (IPAM) in Azure Virtual Network Manager?,”</w:t>
      </w:r>
      <w:r>
        <w:t xml:space="preserve"> </w:t>
      </w:r>
      <w:hyperlink r:id="rId514">
        <w:r>
          <w:rPr>
            <w:rStyle w:val="Hyperlink"/>
          </w:rPr>
          <w:t xml:space="preserve">https://learn.microsoft.com/azure/virtual-network-manager/concept-ip-address-management</w:t>
        </w:r>
      </w:hyperlink>
      <w:r>
        <w:t xml:space="preserve"> </w:t>
      </w:r>
      <w:r>
        <w:t xml:space="preserve">(accessed Oct 20, 2026).</w:t>
      </w:r>
    </w:p>
  </w:footnote>
  <w:footnote w:id="597">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98">
        <w:r>
          <w:rPr>
            <w:rStyle w:val="Hyperlink"/>
          </w:rPr>
          <w:t xml:space="preserve">https://docs.aws.amazon.com/Route53/latest/DeveloperGuide/resolver-rules-managing.html</w:t>
        </w:r>
      </w:hyperlink>
      <w:r>
        <w:t xml:space="preserve"> </w:t>
      </w:r>
      <w:r>
        <w:t xml:space="preserve">(accessed Oct 20, 2026).</w:t>
      </w:r>
    </w:p>
  </w:footnote>
  <w:footnote w:id="599">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600">
        <w:r>
          <w:rPr>
            <w:rStyle w:val="Hyperlink"/>
          </w:rPr>
          <w:t xml:space="preserve">https://docs.aws.amazon.com/vpc/latest/ipam/enable-integ-ipam.html</w:t>
        </w:r>
      </w:hyperlink>
      <w:r>
        <w:t xml:space="preserve"> </w:t>
      </w:r>
      <w:r>
        <w:t xml:space="preserve">(accessed Oct 20, 2026).</w:t>
      </w:r>
    </w:p>
  </w:footnote>
  <w:footnote w:id="601">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132">
        <w:r>
          <w:rPr>
            <w:rStyle w:val="Hyperlink"/>
          </w:rPr>
          <w:t xml:space="preserve">https://www.cisa.gov/resources-tools/services/protective-domain-name-system-dns-resolver</w:t>
        </w:r>
      </w:hyperlink>
      <w:r>
        <w:t xml:space="preserve"> </w:t>
      </w:r>
      <w:r>
        <w:t xml:space="preserve">(accessed Oct 20, 2026).</w:t>
      </w:r>
    </w:p>
  </w:footnote>
  <w:footnote w:id="602">
    <w:p>
      <w:pPr>
        <w:pStyle w:val="FootnoteText"/>
      </w:pPr>
      <w:r>
        <w:rPr>
          <w:rStyle w:val="FootnoteReference"/>
        </w:rPr>
        <w:footnoteRef/>
      </w:r>
      <w:r>
        <w:t xml:space="preserve"> </w:t>
      </w:r>
      <w:r>
        <w:t xml:space="preserve">Cybersecurity and Infrastructure Security Agency, get.gov,</w:t>
      </w:r>
      <w:r>
        <w:t xml:space="preserve"> </w:t>
      </w:r>
      <w:r>
        <w:t xml:space="preserve">“Domain management,”</w:t>
      </w:r>
      <w:r>
        <w:t xml:space="preserve"> </w:t>
      </w:r>
      <w:hyperlink r:id="rId603">
        <w:r>
          <w:rPr>
            <w:rStyle w:val="Hyperlink"/>
          </w:rPr>
          <w:t xml:space="preserve">https://get.gov/help/domain-management/</w:t>
        </w:r>
      </w:hyperlink>
      <w:r>
        <w:t xml:space="preserve"> </w:t>
      </w:r>
      <w:r>
        <w:t xml:space="preserve">(accessed Oct 20, 2026).</w:t>
      </w:r>
    </w:p>
  </w:footnote>
  <w:footnote w:id="604">
    <w:p>
      <w:pPr>
        <w:pStyle w:val="FootnoteText"/>
      </w:pPr>
      <w:r>
        <w:rPr>
          <w:rStyle w:val="FootnoteReference"/>
        </w:rPr>
        <w:footnoteRef/>
      </w:r>
      <w:r>
        <w:t xml:space="preserve"> </w:t>
      </w:r>
      <w:r>
        <w:t xml:space="preserve">Cybersecurity and Infrastructure Security Agency, get.gov,</w:t>
      </w:r>
      <w:r>
        <w:t xml:space="preserve"> </w:t>
      </w:r>
      <w:r>
        <w:t xml:space="preserve">“Domain management,”</w:t>
      </w:r>
      <w:r>
        <w:t xml:space="preserve"> </w:t>
      </w:r>
      <w:hyperlink r:id="rId603">
        <w:r>
          <w:rPr>
            <w:rStyle w:val="Hyperlink"/>
          </w:rPr>
          <w:t xml:space="preserve">https://get.gov/help/domain-management/</w:t>
        </w:r>
      </w:hyperlink>
      <w:r>
        <w:t xml:space="preserve"> </w:t>
      </w:r>
      <w:r>
        <w:t xml:space="preserve">(accessed Oct 20, 2026).</w:t>
      </w:r>
    </w:p>
  </w:footnote>
  <w:footnote w:id="611">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591">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612">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r>
        <w:t xml:space="preserve">section</w:t>
      </w:r>
      <w:r>
        <w:t xml:space="preserve"> </w:t>
      </w:r>
      <w:r>
        <w:t xml:space="preserve">“Custom roles,”</w:t>
      </w:r>
      <w:r>
        <w:t xml:space="preserve"> </w:t>
      </w:r>
      <w:hyperlink r:id="rId613">
        <w:r>
          <w:rPr>
            <w:rStyle w:val="Hyperlink"/>
          </w:rPr>
          <w:t xml:space="preserve">https://learn.microsoft.com/azure/dns/dns-protect-private-zones-recordsets</w:t>
        </w:r>
      </w:hyperlink>
      <w:r>
        <w:t xml:space="preserve"> </w:t>
      </w:r>
      <w:r>
        <w:t xml:space="preserve">(accessed Oct 20, 2026).</w:t>
      </w:r>
    </w:p>
  </w:footnote>
  <w:footnote w:id="615">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93">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94">
        <w:r>
          <w:rPr>
            <w:rStyle w:val="Hyperlink"/>
          </w:rPr>
          <w:t xml:space="preserve">https://learn.microsoft.com/azure/dns/dns-protect-zones-recordsets</w:t>
        </w:r>
      </w:hyperlink>
      <w:r>
        <w:t xml:space="preserve"> </w:t>
      </w:r>
      <w:r>
        <w:t xml:space="preserve">(accessed Oct 20, 2026).</w:t>
      </w:r>
    </w:p>
  </w:footnote>
  <w:footnote w:id="616">
    <w:p>
      <w:pPr>
        <w:pStyle w:val="FootnoteText"/>
      </w:pPr>
      <w:r>
        <w:rPr>
          <w:rStyle w:val="FootnoteReference"/>
        </w:rPr>
        <w:footnoteRef/>
      </w:r>
      <w:r>
        <w:t xml:space="preserve"> </w:t>
      </w:r>
      <w:r>
        <w:t xml:space="preserve">Microsoft Learn,</w:t>
      </w:r>
      <w:r>
        <w:t xml:space="preserve"> </w:t>
      </w:r>
      <w:r>
        <w:t xml:space="preserve">“Azure built-in roles for Networking,”</w:t>
      </w:r>
      <w:r>
        <w:t xml:space="preserve"> </w:t>
      </w:r>
      <w:r>
        <w:t xml:space="preserve">sections</w:t>
      </w:r>
      <w:r>
        <w:t xml:space="preserve"> </w:t>
      </w:r>
      <w:r>
        <w:t xml:space="preserve">“DNS Zone Contributor,”</w:t>
      </w:r>
      <w:r>
        <w:t xml:space="preserve"> </w:t>
      </w:r>
      <w:r>
        <w:t xml:space="preserve">“Network Contributor”</w:t>
      </w:r>
      <w:r>
        <w:t xml:space="preserve"> </w:t>
      </w:r>
      <w:r>
        <w:t xml:space="preserve">and</w:t>
      </w:r>
      <w:r>
        <w:t xml:space="preserve"> </w:t>
      </w:r>
      <w:r>
        <w:t xml:space="preserve">“Private DNS Zone Contributor,”</w:t>
      </w:r>
      <w:r>
        <w:t xml:space="preserve"> </w:t>
      </w:r>
      <w:hyperlink r:id="rId593">
        <w:r>
          <w:rPr>
            <w:rStyle w:val="Hyperlink"/>
          </w:rPr>
          <w:t xml:space="preserve">https://learn.microsoft.com/azure/role-based-access-control/built-in-roles/networking</w:t>
        </w:r>
      </w:hyperlink>
      <w:r>
        <w:t xml:space="preserve">, and</w:t>
      </w:r>
      <w:r>
        <w:t xml:space="preserve"> </w:t>
      </w:r>
      <w:r>
        <w:t xml:space="preserve">“How to protect DNS zones and records,”</w:t>
      </w:r>
      <w:r>
        <w:t xml:space="preserve"> </w:t>
      </w:r>
      <w:hyperlink r:id="rId594">
        <w:r>
          <w:rPr>
            <w:rStyle w:val="Hyperlink"/>
          </w:rPr>
          <w:t xml:space="preserve">https://learn.microsoft.com/azure/dns/dns-protect-zones-recordsets</w:t>
        </w:r>
      </w:hyperlink>
      <w:r>
        <w:t xml:space="preserve"> </w:t>
      </w:r>
      <w:r>
        <w:t xml:space="preserve">(accessed Oct 20, 2026).</w:t>
      </w:r>
    </w:p>
  </w:footnote>
  <w:footnote w:id="617">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r>
        <w:t xml:space="preserve">sections</w:t>
      </w:r>
      <w:r>
        <w:t xml:space="preserve"> </w:t>
      </w:r>
      <w:r>
        <w:t xml:space="preserve">“DnsAdmins,”</w:t>
      </w:r>
      <w:r>
        <w:t xml:space="preserve"> </w:t>
      </w:r>
      <w:r>
        <w:t xml:space="preserve">“DnsUpdateProxy”</w:t>
      </w:r>
      <w:r>
        <w:t xml:space="preserve"> </w:t>
      </w:r>
      <w:r>
        <w:t xml:space="preserve">and</w:t>
      </w:r>
      <w:r>
        <w:t xml:space="preserve"> </w:t>
      </w:r>
      <w:r>
        <w:t xml:space="preserve">“DHCP Administrators,”</w:t>
      </w:r>
      <w:r>
        <w:t xml:space="preserve"> </w:t>
      </w:r>
      <w:hyperlink r:id="rId573">
        <w:r>
          <w:rPr>
            <w:rStyle w:val="Hyperlink"/>
          </w:rPr>
          <w:t xml:space="preserve">https://learn.microsoft.com/windows-server/identity/ad-ds/manage/understand-security-groups</w:t>
        </w:r>
      </w:hyperlink>
      <w:r>
        <w:t xml:space="preserve"> </w:t>
      </w:r>
      <w:r>
        <w:t xml:space="preserve">(accessed Oct 20, 2026).</w:t>
      </w:r>
    </w:p>
  </w:footnote>
  <w:footnote w:id="618">
    <w:p>
      <w:pPr>
        <w:pStyle w:val="FootnoteText"/>
      </w:pPr>
      <w:r>
        <w:rPr>
          <w:rStyle w:val="FootnoteReference"/>
        </w:rPr>
        <w:footnoteRef/>
      </w:r>
      <w:r>
        <w:t xml:space="preserve"> </w:t>
      </w:r>
      <w:r>
        <w:t xml:space="preserve">Microsoft Learn,</w:t>
      </w:r>
      <w:r>
        <w:t xml:space="preserve"> </w:t>
      </w:r>
      <w:r>
        <w:t xml:space="preserve">“Private Link and DNS integration at scale”</w:t>
      </w:r>
      <w:r>
        <w:t xml:space="preserve"> </w:t>
      </w:r>
      <w:r>
        <w:t xml:space="preserve">(Cloud Adoption Framework),</w:t>
      </w:r>
      <w:r>
        <w:t xml:space="preserve"> </w:t>
      </w:r>
      <w:hyperlink r:id="rId591">
        <w:r>
          <w:rPr>
            <w:rStyle w:val="Hyperlink"/>
          </w:rPr>
          <w:t xml:space="preserve">https://learn.microsoft.com/azure/cloud-adoption-framework/ready/azure-best-practices/private-link-and-dns-integration-at-scale</w:t>
        </w:r>
      </w:hyperlink>
      <w:r>
        <w:t xml:space="preserve"> </w:t>
      </w:r>
      <w:r>
        <w:t xml:space="preserve">(accessed Oct 20, 2026).</w:t>
      </w:r>
    </w:p>
  </w:footnote>
  <w:footnote w:id="619">
    <w:p>
      <w:pPr>
        <w:pStyle w:val="FootnoteText"/>
      </w:pPr>
      <w:r>
        <w:rPr>
          <w:rStyle w:val="FootnoteReference"/>
        </w:rPr>
        <w:footnoteRef/>
      </w:r>
      <w:r>
        <w:t xml:space="preserve"> </w:t>
      </w:r>
      <w:r>
        <w:t xml:space="preserve">Microsoft Learn,</w:t>
      </w:r>
      <w:r>
        <w:t xml:space="preserve"> </w:t>
      </w:r>
      <w:r>
        <w:t xml:space="preserve">“Manage IP addresses with Azure Virtual Network Manager,”</w:t>
      </w:r>
      <w:r>
        <w:t xml:space="preserve"> </w:t>
      </w:r>
      <w:r>
        <w:t xml:space="preserve">section</w:t>
      </w:r>
      <w:r>
        <w:t xml:space="preserve"> </w:t>
      </w:r>
      <w:r>
        <w:t xml:space="preserve">“Prerequisites,”</w:t>
      </w:r>
      <w:r>
        <w:t xml:space="preserve"> </w:t>
      </w:r>
      <w:hyperlink r:id="rId596">
        <w:r>
          <w:rPr>
            <w:rStyle w:val="Hyperlink"/>
          </w:rPr>
          <w:t xml:space="preserve">https://learn.microsoft.com/azure/virtual-network-manager/how-to-manage-ip-addresses-network-manager</w:t>
        </w:r>
      </w:hyperlink>
      <w:r>
        <w:t xml:space="preserve">, and</w:t>
      </w:r>
      <w:r>
        <w:t xml:space="preserve"> </w:t>
      </w:r>
      <w:r>
        <w:t xml:space="preserve">“What is IP address management (IPAM) in Azure Virtual Network Manager?,”</w:t>
      </w:r>
      <w:r>
        <w:t xml:space="preserve"> </w:t>
      </w:r>
      <w:hyperlink r:id="rId514">
        <w:r>
          <w:rPr>
            <w:rStyle w:val="Hyperlink"/>
          </w:rPr>
          <w:t xml:space="preserve">https://learn.microsoft.com/azure/virtual-network-manager/concept-ip-address-management</w:t>
        </w:r>
      </w:hyperlink>
      <w:r>
        <w:t xml:space="preserve"> </w:t>
      </w:r>
      <w:r>
        <w:t xml:space="preserve">(accessed Oct 20, 2026).</w:t>
      </w:r>
    </w:p>
  </w:footnote>
  <w:footnote w:id="620">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98">
        <w:r>
          <w:rPr>
            <w:rStyle w:val="Hyperlink"/>
          </w:rPr>
          <w:t xml:space="preserve">https://docs.aws.amazon.com/Route53/latest/DeveloperGuide/resolver-rules-managing.html</w:t>
        </w:r>
      </w:hyperlink>
      <w:r>
        <w:t xml:space="preserve"> </w:t>
      </w:r>
      <w:r>
        <w:t xml:space="preserve">(accessed Oct 20, 2026).</w:t>
      </w:r>
    </w:p>
  </w:footnote>
  <w:footnote w:id="621">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600">
        <w:r>
          <w:rPr>
            <w:rStyle w:val="Hyperlink"/>
          </w:rPr>
          <w:t xml:space="preserve">https://docs.aws.amazon.com/vpc/latest/ipam/enable-integ-ipam.html</w:t>
        </w:r>
      </w:hyperlink>
      <w:r>
        <w:t xml:space="preserve"> </w:t>
      </w:r>
      <w:r>
        <w:t xml:space="preserve">(accessed Oct 20, 2026).</w:t>
      </w:r>
    </w:p>
  </w:footnote>
  <w:footnote w:id="640">
    <w:p>
      <w:pPr>
        <w:pStyle w:val="FootnoteText"/>
      </w:pPr>
      <w:r>
        <w:rPr>
          <w:rStyle w:val="FootnoteReference"/>
        </w:rPr>
        <w:footnoteRef/>
      </w:r>
      <w:r>
        <w:t xml:space="preserve"> </w:t>
      </w:r>
      <w:r>
        <w:t xml:space="preserve">Microsoft Learn,</w:t>
      </w:r>
      <w:r>
        <w:t xml:space="preserve"> </w:t>
      </w:r>
      <w:r>
        <w:t xml:space="preserve">“DnsServer Module,”</w:t>
      </w:r>
      <w:r>
        <w:t xml:space="preserve"> </w:t>
      </w:r>
      <w:hyperlink r:id="rId641">
        <w:r>
          <w:rPr>
            <w:rStyle w:val="Hyperlink"/>
          </w:rPr>
          <w:t xml:space="preserve">https://learn.microsoft.com/powershell/module/dnsserver/</w:t>
        </w:r>
      </w:hyperlink>
      <w:r>
        <w:t xml:space="preserve"> </w:t>
      </w:r>
      <w:r>
        <w:t xml:space="preserve">(accessed Oct 20, 2026).</w:t>
      </w:r>
    </w:p>
  </w:footnote>
  <w:footnote w:id="642">
    <w:p>
      <w:pPr>
        <w:pStyle w:val="FootnoteText"/>
      </w:pPr>
      <w:r>
        <w:rPr>
          <w:rStyle w:val="FootnoteReference"/>
        </w:rPr>
        <w:footnoteRef/>
      </w:r>
      <w:r>
        <w:t xml:space="preserve"> </w:t>
      </w:r>
      <w:r>
        <w:t xml:space="preserve">Microsoft Learn,</w:t>
      </w:r>
      <w:r>
        <w:t xml:space="preserve"> </w:t>
      </w:r>
      <w:r>
        <w:t xml:space="preserve">“Get-DnsServerResourceRecord,”</w:t>
      </w:r>
      <w:r>
        <w:t xml:space="preserve"> </w:t>
      </w:r>
      <w:hyperlink r:id="rId643">
        <w:r>
          <w:rPr>
            <w:rStyle w:val="Hyperlink"/>
          </w:rPr>
          <w:t xml:space="preserve">https://learn.microsoft.com/powershell/module/dnsserver/get-dnsserverresourcerecord?view=windowsserver2025-ps</w:t>
        </w:r>
      </w:hyperlink>
      <w:r>
        <w:t xml:space="preserve"> </w:t>
      </w:r>
      <w:r>
        <w:t xml:space="preserve">(accessed Oct 20, 2026).</w:t>
      </w:r>
    </w:p>
  </w:footnote>
  <w:footnote w:id="644">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645">
        <w:r>
          <w:rPr>
            <w:rStyle w:val="Hyperlink"/>
          </w:rPr>
          <w:t xml:space="preserve">https://learn.microsoft.com/powershell/module/dnsclient/resolve-dnsname?view=windowsserver2025-ps</w:t>
        </w:r>
      </w:hyperlink>
      <w:r>
        <w:t xml:space="preserve"> </w:t>
      </w:r>
      <w:r>
        <w:t xml:space="preserve">(accessed Oct 20, 2026).</w:t>
      </w:r>
    </w:p>
  </w:footnote>
  <w:footnote w:id="646">
    <w:p>
      <w:pPr>
        <w:pStyle w:val="FootnoteText"/>
      </w:pPr>
      <w:r>
        <w:rPr>
          <w:rStyle w:val="FootnoteReference"/>
        </w:rPr>
        <w:footnoteRef/>
      </w:r>
      <w:r>
        <w:t xml:space="preserve"> </w:t>
      </w:r>
      <w:r>
        <w:t xml:space="preserve">Microsoft Learn,</w:t>
      </w:r>
      <w:r>
        <w:t xml:space="preserve"> </w:t>
      </w:r>
      <w:r>
        <w:t xml:space="preserve">“Export-DhcpServer,”</w:t>
      </w:r>
      <w:r>
        <w:t xml:space="preserve"> </w:t>
      </w:r>
      <w:hyperlink r:id="rId647">
        <w:r>
          <w:rPr>
            <w:rStyle w:val="Hyperlink"/>
          </w:rPr>
          <w:t xml:space="preserve">https://learn.microsoft.com/powershell/module/dhcpserver/export-dhcpserver?view=windowsserver2025-ps</w:t>
        </w:r>
      </w:hyperlink>
      <w:r>
        <w:t xml:space="preserve"> </w:t>
      </w:r>
      <w:r>
        <w:t xml:space="preserve">(accessed Oct 20, 2026).</w:t>
      </w:r>
    </w:p>
  </w:footnote>
  <w:footnote w:id="648">
    <w:p>
      <w:pPr>
        <w:pStyle w:val="FootnoteText"/>
      </w:pPr>
      <w:r>
        <w:rPr>
          <w:rStyle w:val="FootnoteReference"/>
        </w:rPr>
        <w:footnoteRef/>
      </w:r>
      <w:r>
        <w:t xml:space="preserve"> </w:t>
      </w:r>
      <w:r>
        <w:t xml:space="preserve">Microsoft Learn,</w:t>
      </w:r>
      <w:r>
        <w:t xml:space="preserve"> </w:t>
      </w:r>
      <w:r>
        <w:t xml:space="preserve">“Export-DnsServerZone,”</w:t>
      </w:r>
      <w:r>
        <w:t xml:space="preserve"> </w:t>
      </w:r>
      <w:hyperlink r:id="rId649">
        <w:r>
          <w:rPr>
            <w:rStyle w:val="Hyperlink"/>
          </w:rPr>
          <w:t xml:space="preserve">https://learn.microsoft.com/powershell/module/dnsserver/export-dnsserverzone?view=windowsserver2025-ps</w:t>
        </w:r>
      </w:hyperlink>
      <w:r>
        <w:t xml:space="preserve"> </w:t>
      </w:r>
      <w:r>
        <w:t xml:space="preserve">(accessed Oct 20, 2026).</w:t>
      </w:r>
    </w:p>
  </w:footnote>
  <w:footnote w:id="650">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651">
        <w:r>
          <w:rPr>
            <w:rStyle w:val="Hyperlink"/>
          </w:rPr>
          <w:t xml:space="preserve">https://learn.microsoft.com/azure/dns/dns-faq-private</w:t>
        </w:r>
      </w:hyperlink>
      <w:r>
        <w:t xml:space="preserve"> </w:t>
      </w:r>
      <w:r>
        <w:t xml:space="preserve">(accessed Oct 20, 2026).</w:t>
      </w:r>
    </w:p>
  </w:footnote>
  <w:footnote w:id="652">
    <w:p>
      <w:pPr>
        <w:pStyle w:val="FootnoteText"/>
      </w:pPr>
      <w:r>
        <w:rPr>
          <w:rStyle w:val="FootnoteReference"/>
        </w:rPr>
        <w:footnoteRef/>
      </w:r>
      <w:r>
        <w:t xml:space="preserve"> </w:t>
      </w:r>
      <w:r>
        <w:t xml:space="preserve">Microsoft Learn,</w:t>
      </w:r>
      <w:r>
        <w:t xml:space="preserve"> </w:t>
      </w:r>
      <w:r>
        <w:t xml:space="preserve">“What is the autoregistration feature in Azure DNS private zones?,”</w:t>
      </w:r>
      <w:r>
        <w:t xml:space="preserve"> </w:t>
      </w:r>
      <w:hyperlink r:id="rId464">
        <w:r>
          <w:rPr>
            <w:rStyle w:val="Hyperlink"/>
          </w:rPr>
          <w:t xml:space="preserve">https://learn.microsoft.com/azure/dns/private-dns-autoregistration</w:t>
        </w:r>
      </w:hyperlink>
      <w:r>
        <w:t xml:space="preserve"> </w:t>
      </w:r>
      <w:r>
        <w:t xml:space="preserve">(accessed Oct 20, 2026).</w:t>
      </w:r>
    </w:p>
  </w:footnote>
  <w:footnote w:id="654">
    <w:p>
      <w:pPr>
        <w:pStyle w:val="FootnoteText"/>
      </w:pPr>
      <w:r>
        <w:rPr>
          <w:rStyle w:val="FootnoteReference"/>
        </w:rPr>
        <w:footnoteRef/>
      </w:r>
      <w:r>
        <w:t xml:space="preserve"> </w:t>
      </w:r>
      <w:r>
        <w:t xml:space="preserve">Infoblox, NIOS 8.5 documentation, introduction to managing Microsoft Windows DNS and DHCP servers from Grid Manager,</w:t>
      </w:r>
      <w:r>
        <w:t xml:space="preserve"> </w:t>
      </w:r>
      <w:hyperlink r:id="rId655">
        <w:r>
          <w:rPr>
            <w:rStyle w:val="Hyperlink"/>
          </w:rPr>
          <w:t xml:space="preserve">https://docs.infoblox.com/space/nios85/35480435</w:t>
        </w:r>
      </w:hyperlink>
      <w:r>
        <w:t xml:space="preserve"> </w:t>
      </w:r>
      <w:r>
        <w:t xml:space="preserve">(accessed Oct 20, 2026).</w:t>
      </w:r>
    </w:p>
  </w:footnote>
  <w:footnote w:id="656">
    <w:p>
      <w:pPr>
        <w:pStyle w:val="FootnoteText"/>
      </w:pPr>
      <w:r>
        <w:rPr>
          <w:rStyle w:val="FootnoteReference"/>
        </w:rPr>
        <w:footnoteRef/>
      </w:r>
      <w:r>
        <w:t xml:space="preserve"> </w:t>
      </w:r>
      <w:r>
        <w:t xml:space="preserve">Microsoft Learn,</w:t>
      </w:r>
      <w:r>
        <w:t xml:space="preserve"> </w:t>
      </w:r>
      <w:r>
        <w:t xml:space="preserve">“What is Azure DNS Private Resolver?,”</w:t>
      </w:r>
      <w:r>
        <w:t xml:space="preserve"> </w:t>
      </w:r>
      <w:hyperlink r:id="rId430">
        <w:r>
          <w:rPr>
            <w:rStyle w:val="Hyperlink"/>
          </w:rPr>
          <w:t xml:space="preserve">https://learn.microsoft.com/azure/dns/dns-private-resolver-overview</w:t>
        </w:r>
      </w:hyperlink>
      <w:r>
        <w:t xml:space="preserve"> </w:t>
      </w:r>
      <w:r>
        <w:t xml:space="preserve">(accessed Oct 20, 2026).</w:t>
      </w:r>
    </w:p>
  </w:footnote>
  <w:footnote w:id="657">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488">
        <w:r>
          <w:rPr>
            <w:rStyle w:val="Hyperlink"/>
          </w:rPr>
          <w:t xml:space="preserve">https://learn.microsoft.com/azure/virtual-network/virtual-networks-name-resolution-for-vms-and-role-instances</w:t>
        </w:r>
      </w:hyperlink>
      <w:r>
        <w:t xml:space="preserve"> </w:t>
      </w:r>
      <w:r>
        <w:t xml:space="preserve">(accessed Oct 20, 2026).</w:t>
      </w:r>
    </w:p>
  </w:footnote>
  <w:footnote w:id="658">
    <w:p>
      <w:pPr>
        <w:pStyle w:val="FootnoteText"/>
      </w:pPr>
      <w:r>
        <w:rPr>
          <w:rStyle w:val="FootnoteReference"/>
        </w:rPr>
        <w:footnoteRef/>
      </w:r>
      <w:r>
        <w:t xml:space="preserve"> </w:t>
      </w:r>
      <w:r>
        <w:t xml:space="preserve">Microsoft Learn,</w:t>
      </w:r>
      <w:r>
        <w:t xml:space="preserve"> </w:t>
      </w:r>
      <w:r>
        <w:t xml:space="preserve">“Add-DnsServerConditionalForwarderZone,”</w:t>
      </w:r>
      <w:r>
        <w:t xml:space="preserve"> </w:t>
      </w:r>
      <w:hyperlink r:id="rId659">
        <w:r>
          <w:rPr>
            <w:rStyle w:val="Hyperlink"/>
          </w:rPr>
          <w:t xml:space="preserve">https://learn.microsoft.com/powershell/module/dnsserver/add-dnsserverconditionalforwarderzone?view=windowsserver2025-ps</w:t>
        </w:r>
      </w:hyperlink>
      <w:r>
        <w:t xml:space="preserve"> </w:t>
      </w:r>
      <w:r>
        <w:t xml:space="preserve">(accessed Oct 20, 2026).</w:t>
      </w:r>
    </w:p>
  </w:footnote>
  <w:footnote w:id="660">
    <w:p>
      <w:pPr>
        <w:pStyle w:val="FootnoteText"/>
      </w:pPr>
      <w:r>
        <w:rPr>
          <w:rStyle w:val="FootnoteReference"/>
        </w:rPr>
        <w:footnoteRef/>
      </w:r>
      <w:r>
        <w:t xml:space="preserve"> </w:t>
      </w:r>
      <w:r>
        <w:t xml:space="preserve">Microsoft Learn,</w:t>
      </w:r>
      <w:r>
        <w:t xml:space="preserve"> </w:t>
      </w:r>
      <w:r>
        <w:t xml:space="preserve">“az dns-resolver forwarding-rule,”</w:t>
      </w:r>
      <w:r>
        <w:t xml:space="preserve"> </w:t>
      </w:r>
      <w:hyperlink r:id="rId661">
        <w:r>
          <w:rPr>
            <w:rStyle w:val="Hyperlink"/>
          </w:rPr>
          <w:t xml:space="preserve">https://learn.microsoft.com/cli/azure/dns-resolver/forwarding-rule?view=azure-cli-latest</w:t>
        </w:r>
      </w:hyperlink>
      <w:r>
        <w:t xml:space="preserve"> </w:t>
      </w:r>
      <w:r>
        <w:t xml:space="preserve">(accessed Oct 20, 2026).</w:t>
      </w:r>
    </w:p>
  </w:footnote>
  <w:footnote w:id="662">
    <w:p>
      <w:pPr>
        <w:pStyle w:val="FootnoteText"/>
      </w:pPr>
      <w:r>
        <w:rPr>
          <w:rStyle w:val="FootnoteReference"/>
        </w:rPr>
        <w:footnoteRef/>
      </w:r>
      <w:r>
        <w:t xml:space="preserve"> </w:t>
      </w:r>
      <w:r>
        <w:t xml:space="preserve">Microsoft Learn,</w:t>
      </w:r>
      <w:r>
        <w:t xml:space="preserve"> </w:t>
      </w:r>
      <w:r>
        <w:t xml:space="preserve">“Quickstart: Create an Azure DNS Private Resolver using Azure PowerShell,”</w:t>
      </w:r>
      <w:r>
        <w:t xml:space="preserve"> </w:t>
      </w:r>
      <w:hyperlink r:id="rId497">
        <w:r>
          <w:rPr>
            <w:rStyle w:val="Hyperlink"/>
          </w:rPr>
          <w:t xml:space="preserve">https://learn.microsoft.com/azure/dns/dns-private-resolver-get-started-powershell</w:t>
        </w:r>
      </w:hyperlink>
      <w:r>
        <w:t xml:space="preserve"> </w:t>
      </w:r>
      <w:r>
        <w:t xml:space="preserve">(accessed Oct 20, 2026).</w:t>
      </w:r>
    </w:p>
  </w:footnote>
  <w:footnote w:id="663">
    <w:p>
      <w:pPr>
        <w:pStyle w:val="FootnoteText"/>
      </w:pPr>
      <w:r>
        <w:rPr>
          <w:rStyle w:val="FootnoteReference"/>
        </w:rPr>
        <w:footnoteRef/>
      </w:r>
      <w:r>
        <w:t xml:space="preserve"> </w:t>
      </w:r>
      <w:r>
        <w:t xml:space="preserve">Microsoft Learn,</w:t>
      </w:r>
      <w:r>
        <w:t xml:space="preserve"> </w:t>
      </w:r>
      <w:r>
        <w:t xml:space="preserve">“az dns-resolver forwarding-rule,”</w:t>
      </w:r>
      <w:r>
        <w:t xml:space="preserve"> </w:t>
      </w:r>
      <w:hyperlink r:id="rId661">
        <w:r>
          <w:rPr>
            <w:rStyle w:val="Hyperlink"/>
          </w:rPr>
          <w:t xml:space="preserve">https://learn.microsoft.com/cli/azure/dns-resolver/forwarding-rule?view=azure-cli-latest</w:t>
        </w:r>
      </w:hyperlink>
      <w:r>
        <w:t xml:space="preserve"> </w:t>
      </w:r>
      <w:r>
        <w:t xml:space="preserve">(accessed Oct 20, 2026).</w:t>
      </w:r>
    </w:p>
  </w:footnote>
  <w:footnote w:id="664">
    <w:p>
      <w:pPr>
        <w:pStyle w:val="FootnoteText"/>
      </w:pPr>
      <w:r>
        <w:rPr>
          <w:rStyle w:val="FootnoteReference"/>
        </w:rPr>
        <w:footnoteRef/>
      </w:r>
      <w:r>
        <w:t xml:space="preserve"> </w:t>
      </w:r>
      <w:r>
        <w:t xml:space="preserve">Microsoft Learn,</w:t>
      </w:r>
      <w:r>
        <w:t xml:space="preserve"> </w:t>
      </w:r>
      <w:r>
        <w:t xml:space="preserve">“Troubleshoot hybrid DNS resolution failures with Azure DNS Private Resolver,”</w:t>
      </w:r>
      <w:r>
        <w:t xml:space="preserve"> </w:t>
      </w:r>
      <w:hyperlink r:id="rId665">
        <w:r>
          <w:rPr>
            <w:rStyle w:val="Hyperlink"/>
          </w:rPr>
          <w:t xml:space="preserve">https://learn.microsoft.com/troubleshoot/azure/dns/troubleshoot-azure-dns-private-resolver-hybrid-resolution-failure</w:t>
        </w:r>
      </w:hyperlink>
      <w:r>
        <w:t xml:space="preserve"> </w:t>
      </w:r>
      <w:r>
        <w:t xml:space="preserve">(accessed Oct 20, 2026).</w:t>
      </w:r>
    </w:p>
  </w:footnote>
  <w:footnote w:id="666">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488">
        <w:r>
          <w:rPr>
            <w:rStyle w:val="Hyperlink"/>
          </w:rPr>
          <w:t xml:space="preserve">https://learn.microsoft.com/azure/virtual-network/virtual-networks-name-resolution-for-vms-and-role-instances</w:t>
        </w:r>
      </w:hyperlink>
      <w:r>
        <w:t xml:space="preserve"> </w:t>
      </w:r>
      <w:r>
        <w:t xml:space="preserve">(accessed Oct 20, 2026).</w:t>
      </w:r>
    </w:p>
  </w:footnote>
  <w:footnote w:id="668">
    <w:p>
      <w:pPr>
        <w:pStyle w:val="FootnoteText"/>
      </w:pPr>
      <w:r>
        <w:rPr>
          <w:rStyle w:val="FootnoteReference"/>
        </w:rPr>
        <w:footnoteRef/>
      </w:r>
      <w:r>
        <w:t xml:space="preserve"> </w:t>
      </w:r>
      <w:r>
        <w:t xml:space="preserve">Microsoft Learn,</w:t>
      </w:r>
      <w:r>
        <w:t xml:space="preserve"> </w:t>
      </w:r>
      <w:r>
        <w:t xml:space="preserve">“Set-DnsServerResourceRecord,”</w:t>
      </w:r>
      <w:r>
        <w:t xml:space="preserve"> </w:t>
      </w:r>
      <w:hyperlink r:id="rId669">
        <w:r>
          <w:rPr>
            <w:rStyle w:val="Hyperlink"/>
          </w:rPr>
          <w:t xml:space="preserve">https://learn.microsoft.com/powershell/module/dnsserver/set-dnsserverresourcerecord?view=windowsserver2025-ps</w:t>
        </w:r>
      </w:hyperlink>
      <w:r>
        <w:t xml:space="preserve"> </w:t>
      </w:r>
      <w:r>
        <w:t xml:space="preserve">(accessed Oct 20, 2026).</w:t>
      </w:r>
    </w:p>
  </w:footnote>
  <w:footnote w:id="673">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651">
        <w:r>
          <w:rPr>
            <w:rStyle w:val="Hyperlink"/>
          </w:rPr>
          <w:t xml:space="preserve">https://learn.microsoft.com/azure/dns/dns-faq-private</w:t>
        </w:r>
      </w:hyperlink>
      <w:r>
        <w:t xml:space="preserve"> </w:t>
      </w:r>
      <w:r>
        <w:t xml:space="preserve">(accessed Oct 20, 2026).</w:t>
      </w:r>
    </w:p>
  </w:footnote>
  <w:footnote w:id="674">
    <w:p>
      <w:pPr>
        <w:pStyle w:val="FootnoteText"/>
      </w:pPr>
      <w:r>
        <w:rPr>
          <w:rStyle w:val="FootnoteReference"/>
        </w:rPr>
        <w:footnoteRef/>
      </w:r>
      <w:r>
        <w:t xml:space="preserve"> </w:t>
      </w:r>
      <w:r>
        <w:t xml:space="preserve">Microsoft Learn,</w:t>
      </w:r>
      <w:r>
        <w:t xml:space="preserve"> </w:t>
      </w:r>
      <w:r>
        <w:t xml:space="preserve">“Azure DNS FAQ,”</w:t>
      </w:r>
      <w:r>
        <w:t xml:space="preserve"> </w:t>
      </w:r>
      <w:hyperlink r:id="rId675">
        <w:r>
          <w:rPr>
            <w:rStyle w:val="Hyperlink"/>
          </w:rPr>
          <w:t xml:space="preserve">https://learn.microsoft.com/azure/dns/dns-faq</w:t>
        </w:r>
      </w:hyperlink>
      <w:r>
        <w:t xml:space="preserve"> </w:t>
      </w:r>
      <w:r>
        <w:t xml:space="preserve">(accessed Oct 20, 2026).</w:t>
      </w:r>
    </w:p>
  </w:footnote>
  <w:footnote w:id="678">
    <w:p>
      <w:pPr>
        <w:pStyle w:val="FootnoteText"/>
      </w:pPr>
      <w:r>
        <w:rPr>
          <w:rStyle w:val="FootnoteReference"/>
        </w:rPr>
        <w:footnoteRef/>
      </w:r>
      <w:r>
        <w:t xml:space="preserve"> </w:t>
      </w:r>
      <w:r>
        <w:t xml:space="preserve">Microsoft Learn,</w:t>
      </w:r>
      <w:r>
        <w:t xml:space="preserve"> </w:t>
      </w:r>
      <w:r>
        <w:t xml:space="preserve">“Export-DhcpServer,”</w:t>
      </w:r>
      <w:r>
        <w:t xml:space="preserve"> </w:t>
      </w:r>
      <w:hyperlink r:id="rId647">
        <w:r>
          <w:rPr>
            <w:rStyle w:val="Hyperlink"/>
          </w:rPr>
          <w:t xml:space="preserve">https://learn.microsoft.com/powershell/module/dhcpserver/export-dhcpserver?view=windowsserver2025-ps</w:t>
        </w:r>
      </w:hyperlink>
      <w:r>
        <w:t xml:space="preserve"> </w:t>
      </w:r>
      <w:r>
        <w:t xml:space="preserve">(accessed Oct 20, 2026).</w:t>
      </w:r>
    </w:p>
  </w:footnote>
  <w:footnote w:id="679">
    <w:p>
      <w:pPr>
        <w:pStyle w:val="FootnoteText"/>
      </w:pPr>
      <w:r>
        <w:rPr>
          <w:rStyle w:val="FootnoteReference"/>
        </w:rPr>
        <w:footnoteRef/>
      </w:r>
      <w:r>
        <w:t xml:space="preserve"> </w:t>
      </w:r>
      <w:r>
        <w:t xml:space="preserve">Microsoft Learn,</w:t>
      </w:r>
      <w:r>
        <w:t xml:space="preserve"> </w:t>
      </w:r>
      <w:r>
        <w:t xml:space="preserve">“Import-DhcpServer,”</w:t>
      </w:r>
      <w:r>
        <w:t xml:space="preserve"> </w:t>
      </w:r>
      <w:hyperlink r:id="rId680">
        <w:r>
          <w:rPr>
            <w:rStyle w:val="Hyperlink"/>
          </w:rPr>
          <w:t xml:space="preserve">https://learn.microsoft.com/powershell/module/dhcpserver/import-dhcpserver?view=windowsserver2025-ps</w:t>
        </w:r>
      </w:hyperlink>
      <w:r>
        <w:t xml:space="preserve"> </w:t>
      </w:r>
      <w:r>
        <w:t xml:space="preserve">(accessed Oct 20, 2026).</w:t>
      </w:r>
    </w:p>
  </w:footnote>
  <w:footnote w:id="681">
    <w:p>
      <w:pPr>
        <w:pStyle w:val="FootnoteText"/>
      </w:pPr>
      <w:r>
        <w:rPr>
          <w:rStyle w:val="FootnoteReference"/>
        </w:rPr>
        <w:footnoteRef/>
      </w:r>
      <w:r>
        <w:t xml:space="preserve"> </w:t>
      </w:r>
      <w:r>
        <w:t xml:space="preserve">Microsoft Learn,</w:t>
      </w:r>
      <w:r>
        <w:t xml:space="preserve"> </w:t>
      </w:r>
      <w:r>
        <w:t xml:space="preserve">“DHCP failover overview,”</w:t>
      </w:r>
      <w:r>
        <w:t xml:space="preserve"> </w:t>
      </w:r>
      <w:hyperlink r:id="rId682">
        <w:r>
          <w:rPr>
            <w:rStyle w:val="Hyperlink"/>
          </w:rPr>
          <w:t xml:space="preserve">https://learn.microsoft.com/windows-server/networking/technologies/dhcp/dhcp-failover</w:t>
        </w:r>
      </w:hyperlink>
      <w:r>
        <w:t xml:space="preserve"> </w:t>
      </w:r>
      <w:r>
        <w:t xml:space="preserve">(accessed Oct 20, 2026).</w:t>
      </w:r>
    </w:p>
  </w:footnote>
  <w:footnote w:id="684">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685">
        <w:r>
          <w:rPr>
            <w:rStyle w:val="Hyperlink"/>
          </w:rPr>
          <w:t xml:space="preserve">https://learn.microsoft.com/azure/virtual-network/manage-virtual-network</w:t>
        </w:r>
      </w:hyperlink>
      <w:r>
        <w:t xml:space="preserve"> </w:t>
      </w:r>
      <w:r>
        <w:t xml:space="preserve">(accessed Oct 20, 2026).</w:t>
      </w:r>
    </w:p>
  </w:footnote>
  <w:footnote w:id="686">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685">
        <w:r>
          <w:rPr>
            <w:rStyle w:val="Hyperlink"/>
          </w:rPr>
          <w:t xml:space="preserve">https://learn.microsoft.com/azure/virtual-network/manage-virtual-network</w:t>
        </w:r>
      </w:hyperlink>
      <w:r>
        <w:t xml:space="preserve"> </w:t>
      </w:r>
      <w:r>
        <w:t xml:space="preserve">(accessed Oct 20, 2026).</w:t>
      </w:r>
    </w:p>
  </w:footnote>
  <w:footnote w:id="687">
    <w:p>
      <w:pPr>
        <w:pStyle w:val="FootnoteText"/>
      </w:pPr>
      <w:r>
        <w:rPr>
          <w:rStyle w:val="FootnoteReference"/>
        </w:rPr>
        <w:footnoteRef/>
      </w:r>
      <w:r>
        <w:t xml:space="preserve"> </w:t>
      </w:r>
      <w:r>
        <w:t xml:space="preserve">Microsoft Learn,</w:t>
      </w:r>
      <w:r>
        <w:t xml:space="preserve"> </w:t>
      </w:r>
      <w:r>
        <w:t xml:space="preserve">“Azure Virtual Network frequently asked questions (FAQ)”</w:t>
      </w:r>
      <w:r>
        <w:t xml:space="preserve"> </w:t>
      </w:r>
      <w:r>
        <w:t xml:space="preserve">(Name resolution),</w:t>
      </w:r>
      <w:r>
        <w:t xml:space="preserve"> </w:t>
      </w:r>
      <w:hyperlink r:id="rId688">
        <w:r>
          <w:rPr>
            <w:rStyle w:val="Hyperlink"/>
          </w:rPr>
          <w:t xml:space="preserve">https://learn.microsoft.com/azure/virtual-network/virtual-networks-faq</w:t>
        </w:r>
      </w:hyperlink>
      <w:r>
        <w:t xml:space="preserve"> </w:t>
      </w:r>
      <w:r>
        <w:t xml:space="preserve">(accessed Oct 20, 2026).</w:t>
      </w:r>
    </w:p>
  </w:footnote>
  <w:footnote w:id="692">
    <w:p>
      <w:pPr>
        <w:pStyle w:val="FootnoteText"/>
      </w:pPr>
      <w:r>
        <w:rPr>
          <w:rStyle w:val="FootnoteReference"/>
        </w:rPr>
        <w:footnoteRef/>
      </w:r>
      <w:r>
        <w:t xml:space="preserve"> </w:t>
      </w:r>
      <w:r>
        <w:t xml:space="preserve">Microsoft Learn,</w:t>
      </w:r>
      <w:r>
        <w:t xml:space="preserve"> </w:t>
      </w:r>
      <w:r>
        <w:t xml:space="preserve">“Remove-DhcpServerInDC,”</w:t>
      </w:r>
      <w:r>
        <w:t xml:space="preserve"> </w:t>
      </w:r>
      <w:hyperlink r:id="rId693">
        <w:r>
          <w:rPr>
            <w:rStyle w:val="Hyperlink"/>
          </w:rPr>
          <w:t xml:space="preserve">https://learn.microsoft.com/powershell/module/dhcpserver/remove-dhcpserverindc?view=windowsserver2025-ps</w:t>
        </w:r>
      </w:hyperlink>
      <w:r>
        <w:t xml:space="preserve"> </w:t>
      </w:r>
      <w:r>
        <w:t xml:space="preserve">(accessed Oct 20, 2026).</w:t>
      </w:r>
    </w:p>
  </w:footnote>
  <w:footnote w:id="707">
    <w:p>
      <w:pPr>
        <w:pStyle w:val="FootnoteText"/>
      </w:pPr>
      <w:r>
        <w:rPr>
          <w:rStyle w:val="FootnoteReference"/>
        </w:rPr>
        <w:footnoteRef/>
      </w:r>
      <w:r>
        <w:t xml:space="preserve"> </w:t>
      </w:r>
      <w:r>
        <w:t xml:space="preserve">Infoblox,</w:t>
      </w:r>
      <w:r>
        <w:t xml:space="preserve"> </w:t>
      </w:r>
      <w:r>
        <w:t xml:space="preserve">“About Access Views”</w:t>
      </w:r>
      <w:r>
        <w:t xml:space="preserve"> </w:t>
      </w:r>
      <w:r>
        <w:t xml:space="preserve">(Universal DDI documentation),</w:t>
      </w:r>
      <w:r>
        <w:t xml:space="preserve"> </w:t>
      </w:r>
      <w:hyperlink r:id="rId708">
        <w:r>
          <w:rPr>
            <w:rStyle w:val="Hyperlink"/>
          </w:rPr>
          <w:t xml:space="preserve">https://infoblox-docs.atlassian.net/wiki/x/PgKSK</w:t>
        </w:r>
      </w:hyperlink>
      <w:r>
        <w:t xml:space="preserve"> </w:t>
      </w:r>
      <w:r>
        <w:t xml:space="preserve">(accessed Oct 20, 2026).</w:t>
      </w:r>
    </w:p>
  </w:footnote>
  <w:footnote w:id="709">
    <w:p>
      <w:pPr>
        <w:pStyle w:val="FootnoteText"/>
      </w:pPr>
      <w:r>
        <w:rPr>
          <w:rStyle w:val="FootnoteReference"/>
        </w:rPr>
        <w:footnoteRef/>
      </w:r>
      <w:r>
        <w:t xml:space="preserve"> </w:t>
      </w:r>
      <w:r>
        <w:t xml:space="preserve">Infoblox,</w:t>
      </w:r>
      <w:r>
        <w:t xml:space="preserve"> </w:t>
      </w:r>
      <w:r>
        <w:t xml:space="preserve">“Creating Access Policies”</w:t>
      </w:r>
      <w:r>
        <w:t xml:space="preserve"> </w:t>
      </w:r>
      <w:r>
        <w:t xml:space="preserve">(Infoblox Portal documentation),</w:t>
      </w:r>
      <w:r>
        <w:t xml:space="preserve"> </w:t>
      </w:r>
      <w:hyperlink r:id="rId710">
        <w:r>
          <w:rPr>
            <w:rStyle w:val="Hyperlink"/>
          </w:rPr>
          <w:t xml:space="preserve">https://docs.infoblox.com/space/BloxOneCloud/35431431</w:t>
        </w:r>
      </w:hyperlink>
      <w:r>
        <w:t xml:space="preserve"> </w:t>
      </w:r>
      <w:r>
        <w:t xml:space="preserve">(accessed Oct 20, 2026).</w:t>
      </w:r>
    </w:p>
  </w:footnote>
  <w:footnote w:id="712">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hyperlink r:id="rId573">
        <w:r>
          <w:rPr>
            <w:rStyle w:val="Hyperlink"/>
          </w:rPr>
          <w:t xml:space="preserve">https://learn.microsoft.com/windows-server/identity/ad-ds/manage/understand-security-groups</w:t>
        </w:r>
      </w:hyperlink>
      <w:r>
        <w:t xml:space="preserve">; and</w:t>
      </w:r>
      <w:r>
        <w:t xml:space="preserve"> </w:t>
      </w:r>
      <w:r>
        <w:t xml:space="preserve">“Appendix B: Privileged Accounts and Groups in Active Directory,”</w:t>
      </w:r>
      <w:r>
        <w:t xml:space="preserve"> </w:t>
      </w:r>
      <w:hyperlink r:id="rId713">
        <w:r>
          <w:rPr>
            <w:rStyle w:val="Hyperlink"/>
          </w:rPr>
          <w:t xml:space="preserve">https://learn.microsoft.com/windows-server/identity/ad-ds/plan/security-best-practices/appendix-b--privileged-accounts-and-groups-in-active-directory</w:t>
        </w:r>
      </w:hyperlink>
      <w:r>
        <w:t xml:space="preserve"> </w:t>
      </w:r>
      <w:r>
        <w:t xml:space="preserve">(accessed Oct 20, 2026).</w:t>
      </w:r>
    </w:p>
  </w:footnote>
  <w:footnote w:id="714">
    <w:p>
      <w:pPr>
        <w:pStyle w:val="FootnoteText"/>
      </w:pPr>
      <w:r>
        <w:rPr>
          <w:rStyle w:val="FootnoteReference"/>
        </w:rPr>
        <w:footnoteRef/>
      </w:r>
      <w:r>
        <w:t xml:space="preserve"> </w:t>
      </w:r>
      <w:r>
        <w:t xml:space="preserve">Microsoft Learn,</w:t>
      </w:r>
      <w:r>
        <w:t xml:space="preserve"> </w:t>
      </w:r>
      <w:r>
        <w:t xml:space="preserve">“Active Directory security groups,”</w:t>
      </w:r>
      <w:r>
        <w:t xml:space="preserve"> </w:t>
      </w:r>
      <w:hyperlink r:id="rId573">
        <w:r>
          <w:rPr>
            <w:rStyle w:val="Hyperlink"/>
          </w:rPr>
          <w:t xml:space="preserve">https://learn.microsoft.com/windows-server/identity/ad-ds/manage/understand-security-groups</w:t>
        </w:r>
      </w:hyperlink>
      <w:r>
        <w:t xml:space="preserve">; and</w:t>
      </w:r>
      <w:r>
        <w:t xml:space="preserve"> </w:t>
      </w:r>
      <w:r>
        <w:t xml:space="preserve">“Appendix B: Privileged Accounts and Groups in Active Directory,”</w:t>
      </w:r>
      <w:r>
        <w:t xml:space="preserve"> </w:t>
      </w:r>
      <w:hyperlink r:id="rId713">
        <w:r>
          <w:rPr>
            <w:rStyle w:val="Hyperlink"/>
          </w:rPr>
          <w:t xml:space="preserve">https://learn.microsoft.com/windows-server/identity/ad-ds/plan/security-best-practices/appendix-b--privileged-accounts-and-groups-in-active-directory</w:t>
        </w:r>
      </w:hyperlink>
      <w:r>
        <w:t xml:space="preserve"> </w:t>
      </w:r>
      <w:r>
        <w:t xml:space="preserve">(accessed Oct 20, 2026).</w:t>
      </w:r>
    </w:p>
  </w:footnote>
  <w:footnote w:id="715">
    <w:p>
      <w:pPr>
        <w:pStyle w:val="FootnoteText"/>
      </w:pPr>
      <w:r>
        <w:rPr>
          <w:rStyle w:val="FootnoteReference"/>
        </w:rPr>
        <w:footnoteRef/>
      </w:r>
      <w:r>
        <w:t xml:space="preserve"> </w:t>
      </w:r>
      <w:r>
        <w:t xml:space="preserve">Microsoft Learn,</w:t>
      </w:r>
      <w:r>
        <w:t xml:space="preserve"> </w:t>
      </w:r>
      <w:r>
        <w:t xml:space="preserve">“How to protect DNS zones and records,”</w:t>
      </w:r>
      <w:r>
        <w:t xml:space="preserve"> </w:t>
      </w:r>
      <w:hyperlink r:id="rId594">
        <w:r>
          <w:rPr>
            <w:rStyle w:val="Hyperlink"/>
          </w:rPr>
          <w:t xml:space="preserve">https://learn.microsoft.com/azure/dns/dns-protect-zones-recordsets</w:t>
        </w:r>
      </w:hyperlink>
      <w:r>
        <w:t xml:space="preserve"> </w:t>
      </w:r>
      <w:r>
        <w:t xml:space="preserve">(accessed Oct 20, 2026).</w:t>
      </w:r>
    </w:p>
  </w:footnote>
  <w:footnote w:id="716">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hyperlink r:id="rId613">
        <w:r>
          <w:rPr>
            <w:rStyle w:val="Hyperlink"/>
          </w:rPr>
          <w:t xml:space="preserve">https://learn.microsoft.com/azure/dns/dns-protect-private-zones-recordsets</w:t>
        </w:r>
      </w:hyperlink>
      <w:r>
        <w:t xml:space="preserve"> </w:t>
      </w:r>
      <w:r>
        <w:t xml:space="preserve">(accessed Oct 20, 2026).</w:t>
      </w:r>
    </w:p>
  </w:footnote>
  <w:footnote w:id="717">
    <w:p>
      <w:pPr>
        <w:pStyle w:val="FootnoteText"/>
      </w:pPr>
      <w:r>
        <w:rPr>
          <w:rStyle w:val="FootnoteReference"/>
        </w:rPr>
        <w:footnoteRef/>
      </w:r>
      <w:r>
        <w:t xml:space="preserve"> </w:t>
      </w:r>
      <w:r>
        <w:t xml:space="preserve">Microsoft Learn,</w:t>
      </w:r>
      <w:r>
        <w:t xml:space="preserve"> </w:t>
      </w:r>
      <w:r>
        <w:t xml:space="preserve">“How to protect private DNS zones and records,”</w:t>
      </w:r>
      <w:r>
        <w:t xml:space="preserve"> </w:t>
      </w:r>
      <w:hyperlink r:id="rId613">
        <w:r>
          <w:rPr>
            <w:rStyle w:val="Hyperlink"/>
          </w:rPr>
          <w:t xml:space="preserve">https://learn.microsoft.com/azure/dns/dns-protect-private-zones-recordsets</w:t>
        </w:r>
      </w:hyperlink>
      <w:r>
        <w:t xml:space="preserve"> </w:t>
      </w:r>
      <w:r>
        <w:t xml:space="preserve">(accessed Oct 20, 2026).</w:t>
      </w:r>
    </w:p>
  </w:footnote>
  <w:footnote w:id="718">
    <w:p>
      <w:pPr>
        <w:pStyle w:val="FootnoteText"/>
      </w:pPr>
      <w:r>
        <w:rPr>
          <w:rStyle w:val="FootnoteReference"/>
        </w:rPr>
        <w:footnoteRef/>
      </w:r>
      <w:r>
        <w:t xml:space="preserve"> </w:t>
      </w:r>
      <w:r>
        <w:t xml:space="preserve">Microsoft Learn,</w:t>
      </w:r>
      <w:r>
        <w:t xml:space="preserve"> </w:t>
      </w:r>
      <w:r>
        <w:t xml:space="preserve">“Secure your Azure DNS deployment,”</w:t>
      </w:r>
      <w:r>
        <w:t xml:space="preserve"> </w:t>
      </w:r>
      <w:hyperlink r:id="rId719">
        <w:r>
          <w:rPr>
            <w:rStyle w:val="Hyperlink"/>
          </w:rPr>
          <w:t xml:space="preserve">https://learn.microsoft.com/azure/dns/secure-dns</w:t>
        </w:r>
      </w:hyperlink>
      <w:r>
        <w:t xml:space="preserve"> </w:t>
      </w:r>
      <w:r>
        <w:t xml:space="preserve">(accessed Oct 20, 2026).</w:t>
      </w:r>
    </w:p>
  </w:footnote>
  <w:footnote w:id="720">
    <w:p>
      <w:pPr>
        <w:pStyle w:val="FootnoteText"/>
      </w:pPr>
      <w:r>
        <w:rPr>
          <w:rStyle w:val="FootnoteReference"/>
        </w:rPr>
        <w:footnoteRef/>
      </w:r>
      <w:r>
        <w:t xml:space="preserve"> </w:t>
      </w:r>
      <w:r>
        <w:t xml:space="preserve">Infoblox,</w:t>
      </w:r>
      <w:r>
        <w:t xml:space="preserve"> </w:t>
      </w:r>
      <w:r>
        <w:t xml:space="preserve">“terraform-provider-bloxone”</w:t>
      </w:r>
      <w:r>
        <w:t xml:space="preserve"> </w:t>
      </w:r>
      <w:r>
        <w:t xml:space="preserve">(Terraform provider for Universal DDI), GitHub,</w:t>
      </w:r>
      <w:r>
        <w:t xml:space="preserve"> </w:t>
      </w:r>
      <w:hyperlink r:id="rId721">
        <w:r>
          <w:rPr>
            <w:rStyle w:val="Hyperlink"/>
          </w:rPr>
          <w:t xml:space="preserve">https://github.com/infobloxopen/terraform-provider-bloxone</w:t>
        </w:r>
      </w:hyperlink>
      <w:r>
        <w:t xml:space="preserve"> </w:t>
      </w:r>
      <w:r>
        <w:t xml:space="preserve">(accessed Oct 20, 2026).</w:t>
      </w:r>
    </w:p>
  </w:footnote>
  <w:footnote w:id="722">
    <w:p>
      <w:pPr>
        <w:pStyle w:val="FootnoteText"/>
      </w:pPr>
      <w:r>
        <w:rPr>
          <w:rStyle w:val="FootnoteReference"/>
        </w:rPr>
        <w:footnoteRef/>
      </w:r>
      <w:r>
        <w:t xml:space="preserve"> </w:t>
      </w:r>
      <w:r>
        <w:t xml:space="preserve">Red Hat Ecosystem Catalog,</w:t>
      </w:r>
      <w:r>
        <w:t xml:space="preserve"> </w:t>
      </w:r>
      <w:r>
        <w:t xml:space="preserve">“universal_ddi”</w:t>
      </w:r>
      <w:r>
        <w:t xml:space="preserve"> </w:t>
      </w:r>
      <w:r>
        <w:t xml:space="preserve">(Infoblox certified Ansible collection),</w:t>
      </w:r>
      <w:r>
        <w:t xml:space="preserve"> </w:t>
      </w:r>
      <w:hyperlink r:id="rId723">
        <w:r>
          <w:rPr>
            <w:rStyle w:val="Hyperlink"/>
          </w:rPr>
          <w:t xml:space="preserve">https://catalog.redhat.com/en/software/collection/infoblox/universal_ddi</w:t>
        </w:r>
      </w:hyperlink>
      <w:r>
        <w:t xml:space="preserve"> </w:t>
      </w:r>
      <w:r>
        <w:t xml:space="preserve">(accessed Oct 20, 2026).</w:t>
      </w:r>
    </w:p>
  </w:footnote>
  <w:footnote w:id="725">
    <w:p>
      <w:pPr>
        <w:pStyle w:val="FootnoteText"/>
      </w:pPr>
      <w:r>
        <w:rPr>
          <w:rStyle w:val="FootnoteReference"/>
        </w:rPr>
        <w:footnoteRef/>
      </w:r>
      <w:r>
        <w:t xml:space="preserve"> </w:t>
      </w:r>
      <w:r>
        <w:t xml:space="preserve">ServiceNow,</w:t>
      </w:r>
      <w:r>
        <w:t xml:space="preserve"> </w:t>
      </w:r>
      <w:r>
        <w:t xml:space="preserve">“Infoblox spoke”</w:t>
      </w:r>
      <w:r>
        <w:t xml:space="preserve"> </w:t>
      </w:r>
      <w:r>
        <w:t xml:space="preserve">(IntegrationHub),</w:t>
      </w:r>
      <w:r>
        <w:t xml:space="preserve"> </w:t>
      </w:r>
      <w:hyperlink r:id="rId726">
        <w:r>
          <w:rPr>
            <w:rStyle w:val="Hyperlink"/>
          </w:rPr>
          <w:t xml:space="preserve">https://docs.servicenow.com/bundle/utah-integrate-applications/page/administer/integrationhub-store-spokes/concept/infoblox-spoke.html</w:t>
        </w:r>
      </w:hyperlink>
      <w:r>
        <w:t xml:space="preserve"> </w:t>
      </w:r>
      <w:r>
        <w:t xml:space="preserve">(accessed Oct 20, 2026).</w:t>
      </w:r>
    </w:p>
  </w:footnote>
  <w:footnote w:id="727">
    <w:p>
      <w:pPr>
        <w:pStyle w:val="FootnoteText"/>
      </w:pPr>
      <w:r>
        <w:rPr>
          <w:rStyle w:val="FootnoteReference"/>
        </w:rPr>
        <w:footnoteRef/>
      </w:r>
      <w:r>
        <w:t xml:space="preserve"> </w:t>
      </w:r>
      <w:r>
        <w:t xml:space="preserve">ServiceNow,</w:t>
      </w:r>
      <w:r>
        <w:t xml:space="preserve"> </w:t>
      </w:r>
      <w:r>
        <w:t xml:space="preserve">“Service Graph Connector for Infoblox,”</w:t>
      </w:r>
      <w:r>
        <w:t xml:space="preserve"> </w:t>
      </w:r>
      <w:hyperlink r:id="rId728">
        <w:r>
          <w:rPr>
            <w:rStyle w:val="Hyperlink"/>
          </w:rPr>
          <w:t xml:space="preserve">https://docs.servicenow.com/bundle/xanadu-servicenow-platform/page/product/configuration-management/concept/sgc-cmdb-integration-infoblox.html</w:t>
        </w:r>
      </w:hyperlink>
      <w:r>
        <w:t xml:space="preserve"> </w:t>
      </w:r>
      <w:r>
        <w:t xml:space="preserve">(accessed Oct 20, 2026).</w:t>
      </w:r>
    </w:p>
  </w:footnote>
  <w:footnote w:id="730">
    <w:p>
      <w:pPr>
        <w:pStyle w:val="FootnoteText"/>
      </w:pPr>
      <w:r>
        <w:rPr>
          <w:rStyle w:val="FootnoteReference"/>
        </w:rPr>
        <w:footnoteRef/>
      </w:r>
      <w:r>
        <w:t xml:space="preserve"> </w:t>
      </w:r>
      <w:r>
        <w:t xml:space="preserve">Posh-ACME,</w:t>
      </w:r>
      <w:r>
        <w:t xml:space="preserve"> </w:t>
      </w:r>
      <w:r>
        <w:t xml:space="preserve">“Infoblox”</w:t>
      </w:r>
      <w:r>
        <w:t xml:space="preserve"> </w:t>
      </w:r>
      <w:r>
        <w:t xml:space="preserve">(DNS plugin guide),</w:t>
      </w:r>
      <w:r>
        <w:t xml:space="preserve"> </w:t>
      </w:r>
      <w:hyperlink r:id="rId731">
        <w:r>
          <w:rPr>
            <w:rStyle w:val="Hyperlink"/>
          </w:rPr>
          <w:t xml:space="preserve">https://poshac.me/docs/latest/Plugins/Infoblox/</w:t>
        </w:r>
      </w:hyperlink>
      <w:r>
        <w:t xml:space="preserve"> </w:t>
      </w:r>
      <w:r>
        <w:t xml:space="preserve">(accessed Oct 20, 2026).</w:t>
      </w:r>
    </w:p>
  </w:footnote>
  <w:footnote w:id="732">
    <w:p>
      <w:pPr>
        <w:pStyle w:val="FootnoteText"/>
      </w:pPr>
      <w:r>
        <w:rPr>
          <w:rStyle w:val="FootnoteReference"/>
        </w:rPr>
        <w:footnoteRef/>
      </w:r>
      <w:r>
        <w:t xml:space="preserve"> </w:t>
      </w:r>
      <w:r>
        <w:t xml:space="preserve">lego,</w:t>
      </w:r>
      <w:r>
        <w:t xml:space="preserve"> </w:t>
      </w:r>
      <w:r>
        <w:t xml:space="preserve">“Infoblox”</w:t>
      </w:r>
      <w:r>
        <w:t xml:space="preserve"> </w:t>
      </w:r>
      <w:r>
        <w:t xml:space="preserve">(DNS provider),</w:t>
      </w:r>
      <w:r>
        <w:t xml:space="preserve"> </w:t>
      </w:r>
      <w:hyperlink r:id="rId733">
        <w:r>
          <w:rPr>
            <w:rStyle w:val="Hyperlink"/>
          </w:rPr>
          <w:t xml:space="preserve">https://go-acme.github.io/lego/dns/infoblox/</w:t>
        </w:r>
      </w:hyperlink>
      <w:r>
        <w:t xml:space="preserve"> </w:t>
      </w:r>
      <w:r>
        <w:t xml:space="preserve">(accessed Oct 20, 2026).</w:t>
      </w:r>
    </w:p>
  </w:footnote>
  <w:footnote w:id="734">
    <w:p>
      <w:pPr>
        <w:pStyle w:val="FootnoteText"/>
      </w:pPr>
      <w:r>
        <w:rPr>
          <w:rStyle w:val="FootnoteReference"/>
        </w:rPr>
        <w:footnoteRef/>
      </w:r>
      <w:r>
        <w:t xml:space="preserve"> </w:t>
      </w:r>
      <w:r>
        <w:t xml:space="preserve">Posh-ACME,</w:t>
      </w:r>
      <w:r>
        <w:t xml:space="preserve"> </w:t>
      </w:r>
      <w:r>
        <w:t xml:space="preserve">“Infoblox”</w:t>
      </w:r>
      <w:r>
        <w:t xml:space="preserve"> </w:t>
      </w:r>
      <w:r>
        <w:t xml:space="preserve">(DNS plugin guide),</w:t>
      </w:r>
      <w:r>
        <w:t xml:space="preserve"> </w:t>
      </w:r>
      <w:hyperlink r:id="rId731">
        <w:r>
          <w:rPr>
            <w:rStyle w:val="Hyperlink"/>
          </w:rPr>
          <w:t xml:space="preserve">https://poshac.me/docs/latest/Plugins/Infoblox/</w:t>
        </w:r>
      </w:hyperlink>
      <w:r>
        <w:t xml:space="preserve"> </w:t>
      </w:r>
      <w:r>
        <w:t xml:space="preserve">(accessed Oct 20, 2026).</w:t>
      </w:r>
    </w:p>
  </w:footnote>
  <w:footnote w:id="735">
    <w:p>
      <w:pPr>
        <w:pStyle w:val="FootnoteText"/>
      </w:pPr>
      <w:r>
        <w:rPr>
          <w:rStyle w:val="FootnoteReference"/>
        </w:rPr>
        <w:footnoteRef/>
      </w:r>
      <w:r>
        <w:t xml:space="preserve"> </w:t>
      </w:r>
      <w:r>
        <w:t xml:space="preserve">lego,</w:t>
      </w:r>
      <w:r>
        <w:t xml:space="preserve"> </w:t>
      </w:r>
      <w:r>
        <w:t xml:space="preserve">“Infoblox”</w:t>
      </w:r>
      <w:r>
        <w:t xml:space="preserve"> </w:t>
      </w:r>
      <w:r>
        <w:t xml:space="preserve">(DNS provider),</w:t>
      </w:r>
      <w:r>
        <w:t xml:space="preserve"> </w:t>
      </w:r>
      <w:hyperlink r:id="rId733">
        <w:r>
          <w:rPr>
            <w:rStyle w:val="Hyperlink"/>
          </w:rPr>
          <w:t xml:space="preserve">https://go-acme.github.io/lego/dns/infoblox/</w:t>
        </w:r>
      </w:hyperlink>
      <w:r>
        <w:t xml:space="preserve"> </w:t>
      </w:r>
      <w:r>
        <w:t xml:space="preserve">(accessed Oct 20, 2026).</w:t>
      </w:r>
    </w:p>
  </w:footnote>
  <w:footnote w:id="738">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136">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739">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136">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745">
    <w:p>
      <w:pPr>
        <w:pStyle w:val="FootnoteText"/>
      </w:pPr>
      <w:r>
        <w:rPr>
          <w:rStyle w:val="FootnoteReference"/>
        </w:rPr>
        <w:footnoteRef/>
      </w:r>
      <w:r>
        <w:t xml:space="preserve"> </w:t>
      </w:r>
      <w:r>
        <w:t xml:space="preserve">Microsoft Learn,</w:t>
      </w:r>
      <w:r>
        <w:t xml:space="preserve"> </w:t>
      </w:r>
      <w:r>
        <w:t xml:space="preserve">“Enable DNS Logging and Diagnostics,”</w:t>
      </w:r>
      <w:r>
        <w:t xml:space="preserve"> </w:t>
      </w:r>
      <w:hyperlink r:id="rId746">
        <w:r>
          <w:rPr>
            <w:rStyle w:val="Hyperlink"/>
          </w:rPr>
          <w:t xml:space="preserve">https://learn.microsoft.com/windows-server/networking/dns/dns-logging-and-diagnostics</w:t>
        </w:r>
      </w:hyperlink>
      <w:r>
        <w:t xml:space="preserve"> </w:t>
      </w:r>
      <w:r>
        <w:t xml:space="preserve">(accessed Oct 20, 2026).</w:t>
      </w:r>
    </w:p>
  </w:footnote>
  <w:footnote w:id="747">
    <w:p>
      <w:pPr>
        <w:pStyle w:val="FootnoteText"/>
      </w:pPr>
      <w:r>
        <w:rPr>
          <w:rStyle w:val="FootnoteReference"/>
        </w:rPr>
        <w:footnoteRef/>
      </w:r>
      <w:r>
        <w:t xml:space="preserve"> </w:t>
      </w:r>
      <w:r>
        <w:t xml:space="preserve">Microsoft Learn,</w:t>
      </w:r>
      <w:r>
        <w:t xml:space="preserve"> </w:t>
      </w:r>
      <w:r>
        <w:t xml:space="preserve">“Stream and filter data from Windows DNS servers with the AMA connector,”</w:t>
      </w:r>
      <w:r>
        <w:t xml:space="preserve"> </w:t>
      </w:r>
      <w:hyperlink r:id="rId748">
        <w:r>
          <w:rPr>
            <w:rStyle w:val="Hyperlink"/>
          </w:rPr>
          <w:t xml:space="preserve">https://learn.microsoft.com/azure/sentinel/connect-dns-ama</w:t>
        </w:r>
      </w:hyperlink>
      <w:r>
        <w:t xml:space="preserve"> </w:t>
      </w:r>
      <w:r>
        <w:t xml:space="preserve">(accessed Oct 20, 2026).</w:t>
      </w:r>
    </w:p>
  </w:footnote>
  <w:footnote w:id="749">
    <w:p>
      <w:pPr>
        <w:pStyle w:val="FootnoteText"/>
      </w:pPr>
      <w:r>
        <w:rPr>
          <w:rStyle w:val="FootnoteReference"/>
        </w:rPr>
        <w:footnoteRef/>
      </w:r>
      <w:r>
        <w:t xml:space="preserve"> </w:t>
      </w:r>
      <w:r>
        <w:t xml:space="preserve">Microsoft Learn,</w:t>
      </w:r>
      <w:r>
        <w:t xml:space="preserve"> </w:t>
      </w:r>
      <w:r>
        <w:t xml:space="preserve">“DNS resolver policy,”</w:t>
      </w:r>
      <w:r>
        <w:t xml:space="preserve"> </w:t>
      </w:r>
      <w:hyperlink r:id="rId433">
        <w:r>
          <w:rPr>
            <w:rStyle w:val="Hyperlink"/>
          </w:rPr>
          <w:t xml:space="preserve">https://learn.microsoft.com/azure/dns/dns-security-policy</w:t>
        </w:r>
      </w:hyperlink>
      <w:r>
        <w:t xml:space="preserve"> </w:t>
      </w:r>
      <w:r>
        <w:t xml:space="preserve">(accessed Oct 20, 2026).</w:t>
      </w:r>
    </w:p>
  </w:footnote>
  <w:footnote w:id="750">
    <w:p>
      <w:pPr>
        <w:pStyle w:val="FootnoteText"/>
      </w:pPr>
      <w:r>
        <w:rPr>
          <w:rStyle w:val="FootnoteReference"/>
        </w:rPr>
        <w:footnoteRef/>
      </w:r>
      <w:r>
        <w:t xml:space="preserve"> </w:t>
      </w:r>
      <w:r>
        <w:t xml:space="preserve">Microsoft Learn,</w:t>
      </w:r>
      <w:r>
        <w:t xml:space="preserve"> </w:t>
      </w:r>
      <w:r>
        <w:t xml:space="preserve">“Secure and view DNS traffic,”</w:t>
      </w:r>
      <w:r>
        <w:t xml:space="preserve"> </w:t>
      </w:r>
      <w:hyperlink r:id="rId751">
        <w:r>
          <w:rPr>
            <w:rStyle w:val="Hyperlink"/>
          </w:rPr>
          <w:t xml:space="preserve">https://learn.microsoft.com/azure/dns/dns-traffic-log-how-to</w:t>
        </w:r>
      </w:hyperlink>
      <w:r>
        <w:t xml:space="preserve"> </w:t>
      </w:r>
      <w:r>
        <w:t xml:space="preserve">(accessed Oct 20, 2026).</w:t>
      </w:r>
    </w:p>
  </w:footnote>
  <w:footnote w:id="752">
    <w:p>
      <w:pPr>
        <w:pStyle w:val="FootnoteText"/>
      </w:pPr>
      <w:r>
        <w:rPr>
          <w:rStyle w:val="FootnoteReference"/>
        </w:rPr>
        <w:footnoteRef/>
      </w:r>
      <w:r>
        <w:t xml:space="preserve"> </w:t>
      </w:r>
      <w:r>
        <w:t xml:space="preserve">Microsoft Learn,</w:t>
      </w:r>
      <w:r>
        <w:t xml:space="preserve"> </w:t>
      </w:r>
      <w:r>
        <w:t xml:space="preserve">“Get-DhcpServerAuditLog,”</w:t>
      </w:r>
      <w:r>
        <w:t xml:space="preserve"> </w:t>
      </w:r>
      <w:hyperlink r:id="rId753">
        <w:r>
          <w:rPr>
            <w:rStyle w:val="Hyperlink"/>
          </w:rPr>
          <w:t xml:space="preserve">https://learn.microsoft.com/powershell/module/dhcpserver/get-dhcpserverauditlog?view=windowsserver2025-ps</w:t>
        </w:r>
      </w:hyperlink>
      <w:r>
        <w:t xml:space="preserve"> </w:t>
      </w:r>
      <w:r>
        <w:t xml:space="preserve">(accessed Oct 20, 2026).</w:t>
      </w:r>
    </w:p>
  </w:footnote>
  <w:footnote w:id="754">
    <w:p>
      <w:pPr>
        <w:pStyle w:val="FootnoteText"/>
      </w:pPr>
      <w:r>
        <w:rPr>
          <w:rStyle w:val="FootnoteReference"/>
        </w:rPr>
        <w:footnoteRef/>
      </w:r>
      <w:r>
        <w:t xml:space="preserve"> </w:t>
      </w:r>
      <w:r>
        <w:t xml:space="preserve">Microsoft Learn,</w:t>
      </w:r>
      <w:r>
        <w:t xml:space="preserve"> </w:t>
      </w:r>
      <w:r>
        <w:t xml:space="preserve">“DHCP failover events in Windows Server,”</w:t>
      </w:r>
      <w:r>
        <w:t xml:space="preserve"> </w:t>
      </w:r>
      <w:hyperlink r:id="rId755">
        <w:r>
          <w:rPr>
            <w:rStyle w:val="Hyperlink"/>
          </w:rPr>
          <w:t xml:space="preserve">https://learn.microsoft.com/windows-server/networking/technologies/dhcp/dhcp-failover-events</w:t>
        </w:r>
      </w:hyperlink>
      <w:r>
        <w:t xml:space="preserve"> </w:t>
      </w:r>
      <w:r>
        <w:t xml:space="preserve">(accessed Oct 20, 2026).</w:t>
      </w:r>
    </w:p>
  </w:footnote>
  <w:footnote w:id="756">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57">
        <w:r>
          <w:rPr>
            <w:rStyle w:val="Hyperlink"/>
          </w:rPr>
          <w:t xml:space="preserve">https://learn.microsoft.com/azure/dns/monitor-dns-reference</w:t>
        </w:r>
      </w:hyperlink>
      <w:r>
        <w:t xml:space="preserve"> </w:t>
      </w:r>
      <w:r>
        <w:t xml:space="preserve">(accessed Oct 20, 2026).</w:t>
      </w:r>
    </w:p>
  </w:footnote>
  <w:footnote w:id="759">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57">
        <w:r>
          <w:rPr>
            <w:rStyle w:val="Hyperlink"/>
          </w:rPr>
          <w:t xml:space="preserve">https://learn.microsoft.com/azure/dns/monitor-dns-reference</w:t>
        </w:r>
      </w:hyperlink>
      <w:r>
        <w:t xml:space="preserve"> </w:t>
      </w:r>
      <w:r>
        <w:t xml:space="preserve">(accessed Oct 20, 2026).</w:t>
      </w:r>
    </w:p>
  </w:footnote>
  <w:footnote w:id="760">
    <w:p>
      <w:pPr>
        <w:pStyle w:val="FootnoteText"/>
      </w:pPr>
      <w:r>
        <w:rPr>
          <w:rStyle w:val="FootnoteReference"/>
        </w:rPr>
        <w:footnoteRef/>
      </w:r>
      <w:r>
        <w:t xml:space="preserve"> </w:t>
      </w:r>
      <w:r>
        <w:t xml:space="preserve">Microsoft Learn,</w:t>
      </w:r>
      <w:r>
        <w:t xml:space="preserve"> </w:t>
      </w:r>
      <w:r>
        <w:t xml:space="preserve">“Azure DNS monitoring data reference,”</w:t>
      </w:r>
      <w:r>
        <w:t xml:space="preserve"> </w:t>
      </w:r>
      <w:hyperlink r:id="rId757">
        <w:r>
          <w:rPr>
            <w:rStyle w:val="Hyperlink"/>
          </w:rPr>
          <w:t xml:space="preserve">https://learn.microsoft.com/azure/dns/monitor-dns-reference</w:t>
        </w:r>
      </w:hyperlink>
      <w:r>
        <w:t xml:space="preserve"> </w:t>
      </w:r>
      <w:r>
        <w:t xml:space="preserve">(accessed Oct 20, 2026).</w:t>
      </w:r>
    </w:p>
  </w:footnote>
  <w:footnote w:id="765">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645">
        <w:r>
          <w:rPr>
            <w:rStyle w:val="Hyperlink"/>
          </w:rPr>
          <w:t xml:space="preserve">https://learn.microsoft.com/powershell/module/dnsclient/resolve-dnsname?view=windowsserver2025-ps</w:t>
        </w:r>
      </w:hyperlink>
      <w:r>
        <w:t xml:space="preserve"> </w:t>
      </w:r>
      <w:r>
        <w:t xml:space="preserve">(accessed Oct 20, 2026).</w:t>
      </w:r>
    </w:p>
  </w:footnote>
  <w:footnote w:id="766">
    <w:p>
      <w:pPr>
        <w:pStyle w:val="FootnoteText"/>
      </w:pPr>
      <w:r>
        <w:rPr>
          <w:rStyle w:val="FootnoteReference"/>
        </w:rPr>
        <w:footnoteRef/>
      </w:r>
      <w:r>
        <w:t xml:space="preserve"> </w:t>
      </w:r>
      <w:r>
        <w:t xml:space="preserve">Microsoft Learn,</w:t>
      </w:r>
      <w:r>
        <w:t xml:space="preserve"> </w:t>
      </w:r>
      <w:r>
        <w:t xml:space="preserve">“Get-DnsServerResourceRecord,”</w:t>
      </w:r>
      <w:r>
        <w:t xml:space="preserve"> </w:t>
      </w:r>
      <w:hyperlink r:id="rId643">
        <w:r>
          <w:rPr>
            <w:rStyle w:val="Hyperlink"/>
          </w:rPr>
          <w:t xml:space="preserve">https://learn.microsoft.com/powershell/module/dnsserver/get-dnsserverresourcerecord?view=windowsserver2025-ps</w:t>
        </w:r>
      </w:hyperlink>
      <w:r>
        <w:t xml:space="preserve"> </w:t>
      </w:r>
      <w:r>
        <w:t xml:space="preserve">(accessed Oct 20, 2026).</w:t>
      </w:r>
    </w:p>
  </w:footnote>
  <w:footnote w:id="767">
    <w:p>
      <w:pPr>
        <w:pStyle w:val="FootnoteText"/>
      </w:pPr>
      <w:r>
        <w:rPr>
          <w:rStyle w:val="FootnoteReference"/>
        </w:rPr>
        <w:footnoteRef/>
      </w:r>
      <w:r>
        <w:t xml:space="preserve"> </w:t>
      </w:r>
      <w:r>
        <w:t xml:space="preserve">Microsoft Learn,</w:t>
      </w:r>
      <w:r>
        <w:t xml:space="preserve"> </w:t>
      </w:r>
      <w:r>
        <w:t xml:space="preserve">“az network private-dns record-set,”</w:t>
      </w:r>
      <w:r>
        <w:t xml:space="preserve"> </w:t>
      </w:r>
      <w:hyperlink r:id="rId768">
        <w:r>
          <w:rPr>
            <w:rStyle w:val="Hyperlink"/>
          </w:rPr>
          <w:t xml:space="preserve">https://learn.microsoft.com/cli/azure/network/private-dns/record-set?view=azure-cli-latest</w:t>
        </w:r>
      </w:hyperlink>
      <w:r>
        <w:t xml:space="preserve"> </w:t>
      </w:r>
      <w:r>
        <w:t xml:space="preserve">(accessed Oct 20, 2026).</w:t>
      </w:r>
    </w:p>
  </w:footnote>
  <w:footnote w:id="770">
    <w:p>
      <w:pPr>
        <w:pStyle w:val="FootnoteText"/>
      </w:pPr>
      <w:r>
        <w:rPr>
          <w:rStyle w:val="FootnoteReference"/>
        </w:rPr>
        <w:footnoteRef/>
      </w:r>
      <w:r>
        <w:t xml:space="preserve"> </w:t>
      </w:r>
      <w:r>
        <w:t xml:space="preserve">Microsoft Learn,</w:t>
      </w:r>
      <w:r>
        <w:t xml:space="preserve"> </w:t>
      </w:r>
      <w:r>
        <w:t xml:space="preserve">“Prevent dangling DNS entries and avoid subdomain takeover,”</w:t>
      </w:r>
      <w:r>
        <w:t xml:space="preserve"> </w:t>
      </w:r>
      <w:hyperlink r:id="rId771">
        <w:r>
          <w:rPr>
            <w:rStyle w:val="Hyperlink"/>
          </w:rPr>
          <w:t xml:space="preserve">https://learn.microsoft.com/azure/security/fundamentals/subdomain-takeover</w:t>
        </w:r>
      </w:hyperlink>
      <w:r>
        <w:t xml:space="preserve"> </w:t>
      </w:r>
      <w:r>
        <w:t xml:space="preserve">(accessed Oct 20, 2026).</w:t>
      </w:r>
    </w:p>
  </w:footnote>
  <w:footnote w:id="772">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488">
        <w:r>
          <w:rPr>
            <w:rStyle w:val="Hyperlink"/>
          </w:rPr>
          <w:t xml:space="preserve">https://learn.microsoft.com/azure/virtual-network/virtual-networks-name-resolution-for-vms-and-role-instances</w:t>
        </w:r>
      </w:hyperlink>
      <w:r>
        <w:t xml:space="preserve"> </w:t>
      </w:r>
      <w:r>
        <w:t xml:space="preserve">(accessed Oct 20, 2026).</w:t>
      </w:r>
    </w:p>
  </w:footnote>
  <w:footnote w:id="773">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651">
        <w:r>
          <w:rPr>
            <w:rStyle w:val="Hyperlink"/>
          </w:rPr>
          <w:t xml:space="preserve">https://learn.microsoft.com/azure/dns/dns-faq-private</w:t>
        </w:r>
      </w:hyperlink>
      <w:r>
        <w:t xml:space="preserve"> </w:t>
      </w:r>
      <w:r>
        <w:t xml:space="preserve">(accessed Oct 20, 2026).</w:t>
      </w:r>
    </w:p>
  </w:footnote>
  <w:footnote w:id="775">
    <w:p>
      <w:pPr>
        <w:pStyle w:val="FootnoteText"/>
      </w:pPr>
      <w:r>
        <w:rPr>
          <w:rStyle w:val="FootnoteReference"/>
        </w:rPr>
        <w:footnoteRef/>
      </w:r>
      <w:r>
        <w:t xml:space="preserve"> </w:t>
      </w:r>
      <w:r>
        <w:t xml:space="preserve">Microsoft Learn,</w:t>
      </w:r>
      <w:r>
        <w:t xml:space="preserve"> </w:t>
      </w:r>
      <w:r>
        <w:t xml:space="preserve">“Troubleshoot hybrid DNS resolution failures with Azure DNS Private Resolver,”</w:t>
      </w:r>
      <w:r>
        <w:t xml:space="preserve"> </w:t>
      </w:r>
      <w:hyperlink r:id="rId665">
        <w:r>
          <w:rPr>
            <w:rStyle w:val="Hyperlink"/>
          </w:rPr>
          <w:t xml:space="preserve">https://learn.microsoft.com/troubleshoot/azure/dns/troubleshoot-azure-dns-private-resolver-hybrid-resolution-failure</w:t>
        </w:r>
      </w:hyperlink>
      <w:r>
        <w:t xml:space="preserve"> </w:t>
      </w:r>
      <w:r>
        <w:t xml:space="preserve">(accessed Oct 20, 2026).</w:t>
      </w:r>
    </w:p>
  </w:footnote>
  <w:footnote w:id="776">
    <w:p>
      <w:pPr>
        <w:pStyle w:val="FootnoteText"/>
      </w:pPr>
      <w:r>
        <w:rPr>
          <w:rStyle w:val="FootnoteReference"/>
        </w:rPr>
        <w:footnoteRef/>
      </w:r>
      <w:r>
        <w:t xml:space="preserve"> </w:t>
      </w:r>
      <w:r>
        <w:t xml:space="preserve">Microsoft Learn,</w:t>
      </w:r>
      <w:r>
        <w:t xml:space="preserve"> </w:t>
      </w:r>
      <w:r>
        <w:t xml:space="preserve">“Configure DNS name resolution for Azure virtual networks,”</w:t>
      </w:r>
      <w:r>
        <w:t xml:space="preserve"> </w:t>
      </w:r>
      <w:hyperlink r:id="rId488">
        <w:r>
          <w:rPr>
            <w:rStyle w:val="Hyperlink"/>
          </w:rPr>
          <w:t xml:space="preserve">https://learn.microsoft.com/azure/virtual-network/virtual-networks-name-resolution-for-vms-and-role-instances</w:t>
        </w:r>
      </w:hyperlink>
      <w:r>
        <w:t xml:space="preserve"> </w:t>
      </w:r>
      <w:r>
        <w:t xml:space="preserve">(accessed Oct 20, 2026).</w:t>
      </w:r>
    </w:p>
  </w:footnote>
  <w:footnote w:id="777">
    <w:p>
      <w:pPr>
        <w:pStyle w:val="FootnoteText"/>
      </w:pPr>
      <w:r>
        <w:rPr>
          <w:rStyle w:val="FootnoteReference"/>
        </w:rPr>
        <w:footnoteRef/>
      </w:r>
      <w:r>
        <w:t xml:space="preserve"> </w:t>
      </w:r>
      <w:r>
        <w:t xml:space="preserve">Microsoft Learn,</w:t>
      </w:r>
      <w:r>
        <w:t xml:space="preserve"> </w:t>
      </w:r>
      <w:r>
        <w:t xml:space="preserve">“Create, change, or delete a virtual network”</w:t>
      </w:r>
      <w:r>
        <w:t xml:space="preserve"> </w:t>
      </w:r>
      <w:r>
        <w:t xml:space="preserve">(Change DNS servers),</w:t>
      </w:r>
      <w:r>
        <w:t xml:space="preserve"> </w:t>
      </w:r>
      <w:hyperlink r:id="rId685">
        <w:r>
          <w:rPr>
            <w:rStyle w:val="Hyperlink"/>
          </w:rPr>
          <w:t xml:space="preserve">https://learn.microsoft.com/azure/virtual-network/manage-virtual-network</w:t>
        </w:r>
      </w:hyperlink>
      <w:r>
        <w:t xml:space="preserve"> </w:t>
      </w:r>
      <w:r>
        <w:t xml:space="preserve">(accessed Oct 20, 2026).</w:t>
      </w:r>
    </w:p>
  </w:footnote>
  <w:footnote w:id="778">
    <w:p>
      <w:pPr>
        <w:pStyle w:val="FootnoteText"/>
      </w:pPr>
      <w:r>
        <w:rPr>
          <w:rStyle w:val="FootnoteReference"/>
        </w:rPr>
        <w:footnoteRef/>
      </w:r>
      <w:r>
        <w:t xml:space="preserve"> </w:t>
      </w:r>
      <w:r>
        <w:t xml:space="preserve">Microsoft Learn,</w:t>
      </w:r>
      <w:r>
        <w:t xml:space="preserve"> </w:t>
      </w:r>
      <w:r>
        <w:t xml:space="preserve">“Azure Private DNS FAQ,”</w:t>
      </w:r>
      <w:r>
        <w:t xml:space="preserve"> </w:t>
      </w:r>
      <w:hyperlink r:id="rId651">
        <w:r>
          <w:rPr>
            <w:rStyle w:val="Hyperlink"/>
          </w:rPr>
          <w:t xml:space="preserve">https://learn.microsoft.com/azure/dns/dns-faq-private</w:t>
        </w:r>
      </w:hyperlink>
      <w:r>
        <w:t xml:space="preserve"> </w:t>
      </w:r>
      <w:r>
        <w:t xml:space="preserve">(accessed Oct 20, 2026).</w:t>
      </w:r>
    </w:p>
  </w:footnote>
  <w:footnote w:id="779">
    <w:p>
      <w:pPr>
        <w:pStyle w:val="FootnoteText"/>
      </w:pPr>
      <w:r>
        <w:rPr>
          <w:rStyle w:val="FootnoteReference"/>
        </w:rPr>
        <w:footnoteRef/>
      </w:r>
      <w:r>
        <w:t xml:space="preserve"> </w:t>
      </w:r>
      <w:r>
        <w:t xml:space="preserve">Microsoft Learn,</w:t>
      </w:r>
      <w:r>
        <w:t xml:space="preserve"> </w:t>
      </w:r>
      <w:r>
        <w:t xml:space="preserve">“Resolve-DnsName,”</w:t>
      </w:r>
      <w:r>
        <w:t xml:space="preserve"> </w:t>
      </w:r>
      <w:hyperlink r:id="rId645">
        <w:r>
          <w:rPr>
            <w:rStyle w:val="Hyperlink"/>
          </w:rPr>
          <w:t xml:space="preserve">https://learn.microsoft.com/powershell/module/dnsclient/resolve-dnsname?view=windowsserver2025-ps</w:t>
        </w:r>
      </w:hyperlink>
      <w:r>
        <w:t xml:space="preserve"> </w:t>
      </w:r>
      <w:r>
        <w:t xml:space="preserve">(accessed Oct 20, 2026).</w:t>
      </w:r>
    </w:p>
  </w:footnote>
  <w:footnote w:id="781">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Passive DNS) and Appendix C,</w:t>
      </w:r>
      <w:r>
        <w:t xml:space="preserve"> </w:t>
      </w:r>
      <w:hyperlink r:id="rId136">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782">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139">
        <w:r>
          <w:rPr>
            <w:rStyle w:val="Hyperlink"/>
          </w:rPr>
          <w:t xml:space="preserve">https://csrc.nist.gov/pubs/sp/800/53/r5/upd1/final</w:t>
        </w:r>
      </w:hyperlink>
      <w:r>
        <w:t xml:space="preserve"> </w:t>
      </w:r>
      <w:r>
        <w:t xml:space="preserve">(accessed Oct 20, 2026).</w:t>
      </w:r>
    </w:p>
  </w:footnote>
  <w:footnote w:id="78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139">
        <w:r>
          <w:rPr>
            <w:rStyle w:val="Hyperlink"/>
          </w:rPr>
          <w:t xml:space="preserve">https://csrc.nist.gov/pubs/sp/800/53/r5/upd1/final</w:t>
        </w:r>
      </w:hyperlink>
      <w:r>
        <w:t xml:space="preserve"> </w:t>
      </w:r>
      <w:r>
        <w:t xml:space="preserve">(accessed Oct 20, 2026).</w:t>
      </w:r>
    </w:p>
  </w:footnote>
  <w:footnote w:id="790">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791">
        <w:r>
          <w:rPr>
            <w:rStyle w:val="Hyperlink"/>
          </w:rPr>
          <w:t xml:space="preserve">https://prices.azure.com/api/retail/prices?$filter=serviceName%20eq%20'Azure%20DNS'</w:t>
        </w:r>
      </w:hyperlink>
      <w:r>
        <w:t xml:space="preserve"> </w:t>
      </w:r>
      <w:r>
        <w:t xml:space="preserve">(retrieved Oct 20, 2026).</w:t>
      </w:r>
    </w:p>
  </w:footnote>
  <w:footnote w:id="792">
    <w:p>
      <w:pPr>
        <w:pStyle w:val="FootnoteText"/>
      </w:pPr>
      <w:r>
        <w:rPr>
          <w:rStyle w:val="FootnoteReference"/>
        </w:rPr>
        <w:footnoteRef/>
      </w:r>
      <w:r>
        <w:t xml:space="preserve"> </w:t>
      </w:r>
      <w:r>
        <w:t xml:space="preserve">Microsoft,</w:t>
      </w:r>
      <w:r>
        <w:t xml:space="preserve"> </w:t>
      </w:r>
      <w:r>
        <w:t xml:space="preserve">“Azure DNS pricing,”</w:t>
      </w:r>
      <w:r>
        <w:t xml:space="preserve"> </w:t>
      </w:r>
      <w:hyperlink r:id="rId793">
        <w:r>
          <w:rPr>
            <w:rStyle w:val="Hyperlink"/>
          </w:rPr>
          <w:t xml:space="preserve">https://azure.microsoft.com/pricing/details/dns/</w:t>
        </w:r>
      </w:hyperlink>
      <w:r>
        <w:t xml:space="preserve"> </w:t>
      </w:r>
      <w:r>
        <w:t xml:space="preserve">(accessed Oct 20, 2026); the page lists the Private Resolver meters as per endpoint per month and per ruleset per month.</w:t>
      </w:r>
    </w:p>
  </w:footnote>
  <w:footnote w:id="794">
    <w:p>
      <w:pPr>
        <w:pStyle w:val="FootnoteText"/>
      </w:pPr>
      <w:r>
        <w:rPr>
          <w:rStyle w:val="FootnoteReference"/>
        </w:rPr>
        <w:footnoteRef/>
      </w:r>
      <w:r>
        <w:t xml:space="preserve"> </w:t>
      </w:r>
      <w:r>
        <w:t xml:space="preserve">Microsoft Learn,</w:t>
      </w:r>
      <w:r>
        <w:t xml:space="preserve"> </w:t>
      </w:r>
      <w:r>
        <w:t xml:space="preserve">“DNS security and private name resolution (cross-cloud),”</w:t>
      </w:r>
      <w:r>
        <w:t xml:space="preserve"> </w:t>
      </w:r>
      <w:r>
        <w:t xml:space="preserve">section</w:t>
      </w:r>
      <w:r>
        <w:t xml:space="preserve"> </w:t>
      </w:r>
      <w:r>
        <w:t xml:space="preserve">“Azure services and features,”</w:t>
      </w:r>
      <w:r>
        <w:t xml:space="preserve"> </w:t>
      </w:r>
      <w:hyperlink r:id="rId795">
        <w:r>
          <w:rPr>
            <w:rStyle w:val="Hyperlink"/>
          </w:rPr>
          <w:t xml:space="preserve">https://learn.microsoft.com/azure/networking/design-guide/dns-security</w:t>
        </w:r>
      </w:hyperlink>
      <w:r>
        <w:t xml:space="preserve"> </w:t>
      </w:r>
      <w:r>
        <w:t xml:space="preserve">(accessed Oct 20, 2026).</w:t>
      </w:r>
    </w:p>
  </w:footnote>
  <w:footnote w:id="796">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791">
        <w:r>
          <w:rPr>
            <w:rStyle w:val="Hyperlink"/>
          </w:rPr>
          <w:t xml:space="preserve">https://prices.azure.com/api/retail/prices?$filter=serviceName%20eq%20'Azure%20DNS'</w:t>
        </w:r>
      </w:hyperlink>
      <w:r>
        <w:t xml:space="preserve"> </w:t>
      </w:r>
      <w:r>
        <w:t xml:space="preserve">(retrieved Oct 20, 2026).</w:t>
      </w:r>
    </w:p>
  </w:footnote>
  <w:footnote w:id="797">
    <w:p>
      <w:pPr>
        <w:pStyle w:val="FootnoteText"/>
      </w:pPr>
      <w:r>
        <w:rPr>
          <w:rStyle w:val="FootnoteReference"/>
        </w:rPr>
        <w:footnoteRef/>
      </w:r>
      <w:r>
        <w:t xml:space="preserve"> </w:t>
      </w:r>
      <w:r>
        <w:t xml:space="preserve">Microsoft, Azure Retail Prices API, service</w:t>
      </w:r>
      <w:r>
        <w:t xml:space="preserve"> </w:t>
      </w:r>
      <w:r>
        <w:t xml:space="preserve">“Azure DNS,”</w:t>
      </w:r>
      <w:r>
        <w:t xml:space="preserve"> </w:t>
      </w:r>
      <w:r>
        <w:t xml:space="preserve">meters for Private Resolver, Private Zone, Private Queries and DNS Security Policy,</w:t>
      </w:r>
      <w:r>
        <w:t xml:space="preserve"> </w:t>
      </w:r>
      <w:hyperlink r:id="rId791">
        <w:r>
          <w:rPr>
            <w:rStyle w:val="Hyperlink"/>
          </w:rPr>
          <w:t xml:space="preserve">https://prices.azure.com/api/retail/prices?$filter=serviceName%20eq%20'Azure%20DNS'</w:t>
        </w:r>
      </w:hyperlink>
      <w:r>
        <w:t xml:space="preserve"> </w:t>
      </w:r>
      <w:r>
        <w:t xml:space="preserve">(retrieved Oct 20, 2026).</w:t>
      </w:r>
    </w:p>
  </w:footnote>
  <w:footnote w:id="798">
    <w:p>
      <w:pPr>
        <w:pStyle w:val="FootnoteText"/>
      </w:pPr>
      <w:r>
        <w:rPr>
          <w:rStyle w:val="FootnoteReference"/>
        </w:rPr>
        <w:footnoteRef/>
      </w:r>
      <w:r>
        <w:t xml:space="preserve"> </w:t>
      </w:r>
      <w:r>
        <w:t xml:space="preserve">Amazon Web Services,</w:t>
      </w:r>
      <w:r>
        <w:t xml:space="preserve"> </w:t>
      </w:r>
      <w:r>
        <w:t xml:space="preserve">“Integrate IPAM with accounts in an AWS Organization,”</w:t>
      </w:r>
      <w:r>
        <w:t xml:space="preserve"> </w:t>
      </w:r>
      <w:r>
        <w:t xml:space="preserve">Amazon VPC IPAM User Guide,</w:t>
      </w:r>
      <w:r>
        <w:t xml:space="preserve"> </w:t>
      </w:r>
      <w:hyperlink r:id="rId600">
        <w:r>
          <w:rPr>
            <w:rStyle w:val="Hyperlink"/>
          </w:rPr>
          <w:t xml:space="preserve">https://docs.aws.amazon.com/vpc/latest/ipam/enable-integ-ipam.html</w:t>
        </w:r>
      </w:hyperlink>
      <w:r>
        <w:t xml:space="preserve"> </w:t>
      </w:r>
      <w:r>
        <w:t xml:space="preserve">(accessed Oct 20, 2026).</w:t>
      </w:r>
    </w:p>
  </w:footnote>
  <w:footnote w:id="802">
    <w:p>
      <w:pPr>
        <w:pStyle w:val="FootnoteText"/>
      </w:pPr>
      <w:r>
        <w:rPr>
          <w:rStyle w:val="FootnoteReference"/>
        </w:rPr>
        <w:footnoteRef/>
      </w:r>
      <w:r>
        <w:t xml:space="preserve"> </w:t>
      </w:r>
      <w:r>
        <w:t xml:space="preserve">FedRAMP, Marketplace product data (entries FR2017257053 Infoblox Government Cloud; F1209051525 Azure Commercial Cloud; AGENCYAMAZONEW AWS US East/West; F1603047866 AWS GovCloud; FR2012534927 Cisco Catalyst SD-WAN for Government; no entries for BlueCat or EfficientIP),</w:t>
      </w:r>
      <w:r>
        <w:t xml:space="preserve"> </w:t>
      </w:r>
      <w:hyperlink r:id="rId156">
        <w:r>
          <w:rPr>
            <w:rStyle w:val="Hyperlink"/>
          </w:rPr>
          <w:t xml:space="preserve">https://www.fedramp.gov/marketplace/products.json</w:t>
        </w:r>
      </w:hyperlink>
      <w:r>
        <w:t xml:space="preserve"> </w:t>
      </w:r>
      <w:r>
        <w:t xml:space="preserve">(data last changed Oct 20, 2026; accessed Oct 20, 2026).</w:t>
      </w:r>
    </w:p>
  </w:footnote>
  <w:footnote w:id="803">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58">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804">
    <w:p>
      <w:pPr>
        <w:pStyle w:val="FootnoteText"/>
      </w:pPr>
      <w:r>
        <w:rPr>
          <w:rStyle w:val="FootnoteReference"/>
        </w:rPr>
        <w:footnoteRef/>
      </w:r>
      <w:r>
        <w:t xml:space="preserve"> </w:t>
      </w:r>
      <w:r>
        <w:rPr>
          <w:b/>
          <w:bCs/>
        </w:rPr>
        <w:t xml:space="preserve">Third-party source (vendor).</w:t>
      </w:r>
      <w:r>
        <w:t xml:space="preserve"> </w:t>
      </w:r>
      <w:r>
        <w:t xml:space="preserve">BlueCat,</w:t>
      </w:r>
      <w:r>
        <w:t xml:space="preserve"> </w:t>
      </w:r>
      <w:r>
        <w:t xml:space="preserve">“Introduction to BlueCat Azure Virtual Appliances,”</w:t>
      </w:r>
      <w:r>
        <w:t xml:space="preserve"> </w:t>
      </w:r>
      <w:r>
        <w:t xml:space="preserve">BlueCat Integrity 26.1.0,</w:t>
      </w:r>
      <w:r>
        <w:t xml:space="preserve"> </w:t>
      </w:r>
      <w:hyperlink r:id="rId805">
        <w:r>
          <w:rPr>
            <w:rStyle w:val="Hyperlink"/>
          </w:rPr>
          <w:t xml:space="preserve">https://docs.bluecatnetworks.com/r/BlueCat-Azure-Virtual-Appliances/Introduction-to-BlueCat-Azure-Virtual-Appliances/26.1.0</w:t>
        </w:r>
      </w:hyperlink>
      <w:r>
        <w:t xml:space="preserve"> </w:t>
      </w:r>
      <w:r>
        <w:t xml:space="preserve">(accessed Oct 20, 2026).</w:t>
      </w:r>
    </w:p>
  </w:footnote>
  <w:footnote w:id="806">
    <w:p>
      <w:pPr>
        <w:pStyle w:val="FootnoteText"/>
      </w:pPr>
      <w:r>
        <w:rPr>
          <w:rStyle w:val="FootnoteReference"/>
        </w:rPr>
        <w:footnoteRef/>
      </w:r>
      <w:r>
        <w:t xml:space="preserve"> </w:t>
      </w:r>
      <w:r>
        <w:t xml:space="preserve">Microsoft Learn,</w:t>
      </w:r>
      <w:r>
        <w:t xml:space="preserve"> </w:t>
      </w:r>
      <w:r>
        <w:t xml:space="preserve">“Azure, Dynamics 365, Microsoft 365, and Power Platform services compliance scope,”</w:t>
      </w:r>
      <w:r>
        <w:t xml:space="preserve"> </w:t>
      </w:r>
      <w:r>
        <w:t xml:space="preserve">section</w:t>
      </w:r>
      <w:r>
        <w:t xml:space="preserve"> </w:t>
      </w:r>
      <w:r>
        <w:t xml:space="preserve">“Azure public services by audit scope,”</w:t>
      </w:r>
      <w:r>
        <w:t xml:space="preserve"> </w:t>
      </w:r>
      <w:hyperlink r:id="rId807">
        <w:r>
          <w:rPr>
            <w:rStyle w:val="Hyperlink"/>
          </w:rPr>
          <w:t xml:space="preserve">https://learn.microsoft.com/azure/azure-government/compliance/azure-services-in-fedramp-auditscope</w:t>
        </w:r>
      </w:hyperlink>
      <w:r>
        <w:t xml:space="preserve"> </w:t>
      </w:r>
      <w:r>
        <w:t xml:space="preserve">(accessed Oct 20, 2026).</w:t>
      </w:r>
    </w:p>
  </w:footnote>
  <w:footnote w:id="808">
    <w:p>
      <w:pPr>
        <w:pStyle w:val="FootnoteText"/>
      </w:pPr>
      <w:r>
        <w:rPr>
          <w:rStyle w:val="FootnoteReference"/>
        </w:rPr>
        <w:footnoteRef/>
      </w:r>
      <w:r>
        <w:t xml:space="preserve"> </w:t>
      </w:r>
      <w:r>
        <w:t xml:space="preserve">Amazon Web Services,</w:t>
      </w:r>
      <w:r>
        <w:t xml:space="preserve"> </w:t>
      </w:r>
      <w:r>
        <w:t xml:space="preserve">“AWS Services in Scope by Compliance Program: FedRAMP,”</w:t>
      </w:r>
      <w:r>
        <w:t xml:space="preserve"> </w:t>
      </w:r>
      <w:hyperlink r:id="rId809">
        <w:r>
          <w:rPr>
            <w:rStyle w:val="Hyperlink"/>
          </w:rPr>
          <w:t xml:space="preserve">https://aws.amazon.com/compliance/services-in-scope/FedRAMP/</w:t>
        </w:r>
      </w:hyperlink>
      <w:r>
        <w:t xml:space="preserve"> </w:t>
      </w:r>
      <w:r>
        <w:t xml:space="preserve">(accessed Oct 20, 2026).</w:t>
      </w:r>
    </w:p>
  </w:footnote>
  <w:footnote w:id="812">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“November 2025 – January 2026 Innovations: What’s New in Infoblox DDI,”</w:t>
      </w:r>
      <w:r>
        <w:t xml:space="preserve"> </w:t>
      </w:r>
      <w:r>
        <w:t xml:space="preserve">February 19, 2026,</w:t>
      </w:r>
      <w:r>
        <w:t xml:space="preserve"> </w:t>
      </w:r>
      <w:hyperlink r:id="rId547">
        <w:r>
          <w:rPr>
            <w:rStyle w:val="Hyperlink"/>
          </w:rPr>
          <w:t xml:space="preserve">https://www.infoblox.com/blog/company/november-2025-january-2026-innovations-whats-new-in-infoblox-ddi/</w:t>
        </w:r>
      </w:hyperlink>
      <w:r>
        <w:t xml:space="preserve"> </w:t>
      </w:r>
      <w:r>
        <w:t xml:space="preserve">(accessed Oct 20, 2026).</w:t>
      </w:r>
    </w:p>
  </w:footnote>
  <w:footnote w:id="813">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“Limitations of Azure DNS Integration,”</w:t>
      </w:r>
      <w:r>
        <w:t xml:space="preserve"> </w:t>
      </w:r>
      <w:hyperlink r:id="rId470">
        <w:r>
          <w:rPr>
            <w:rStyle w:val="Hyperlink"/>
          </w:rPr>
          <w:t xml:space="preserve">https://docs.infoblox.com/space/BloxOneDDI/365461729/Limitations+of+Azure+DNS+Integration</w:t>
        </w:r>
      </w:hyperlink>
      <w:r>
        <w:t xml:space="preserve"> </w:t>
      </w:r>
      <w:r>
        <w:t xml:space="preserve">(accessed Oct 20, 2026).</w:t>
      </w:r>
    </w:p>
  </w:footnote>
  <w:footnote w:id="814">
    <w:p>
      <w:pPr>
        <w:pStyle w:val="FootnoteText"/>
      </w:pPr>
      <w:r>
        <w:rPr>
          <w:rStyle w:val="FootnoteReference"/>
        </w:rPr>
        <w:footnoteRef/>
      </w:r>
      <w:r>
        <w:t xml:space="preserve"> </w:t>
      </w:r>
      <w:r>
        <w:rPr>
          <w:b/>
          <w:bCs/>
        </w:rPr>
        <w:t xml:space="preserve">Third-party source (vendor).</w:t>
      </w:r>
      <w:r>
        <w:t xml:space="preserve"> </w:t>
      </w:r>
      <w:r>
        <w:t xml:space="preserve">BlueCat,</w:t>
      </w:r>
      <w:r>
        <w:t xml:space="preserve"> </w:t>
      </w:r>
      <w:r>
        <w:t xml:space="preserve">“Introduction to Cloud Discovery &amp; Visibility,”</w:t>
      </w:r>
      <w:r>
        <w:t xml:space="preserve"> </w:t>
      </w:r>
      <w:r>
        <w:t xml:space="preserve">Cloud Discovery &amp; Visibility Administration Guide 24.1,</w:t>
      </w:r>
      <w:r>
        <w:t xml:space="preserve"> </w:t>
      </w:r>
      <w:hyperlink r:id="rId815">
        <w:r>
          <w:rPr>
            <w:rStyle w:val="Hyperlink"/>
          </w:rPr>
          <w:t xml:space="preserve">https://docs.bluecatnetworks.com/r/Cloud-Discovery-Visibility-Administration-Guide/Introduction-to-Cloud-Discovery-Visibility/24.1</w:t>
        </w:r>
      </w:hyperlink>
      <w:r>
        <w:t xml:space="preserve"> </w:t>
      </w:r>
      <w:r>
        <w:t xml:space="preserve">(accessed Oct 20, 2026).</w:t>
      </w:r>
    </w:p>
  </w:footnote>
  <w:footnote w:id="816">
    <w:p>
      <w:pPr>
        <w:pStyle w:val="FootnoteText"/>
      </w:pPr>
      <w:r>
        <w:rPr>
          <w:rStyle w:val="FootnoteReference"/>
        </w:rPr>
        <w:footnoteRef/>
      </w:r>
      <w:r>
        <w:t xml:space="preserve"> </w:t>
      </w:r>
      <w:r>
        <w:rPr>
          <w:b/>
          <w:bCs/>
        </w:rPr>
        <w:t xml:space="preserve">Third-party source (vendor).</w:t>
      </w:r>
      <w:r>
        <w:t xml:space="preserve"> </w:t>
      </w:r>
      <w:r>
        <w:t xml:space="preserve">EfficientIP,</w:t>
      </w:r>
      <w:r>
        <w:t xml:space="preserve"> </w:t>
      </w:r>
      <w:r>
        <w:t xml:space="preserve">“DNS Cloud,”</w:t>
      </w:r>
      <w:r>
        <w:t xml:space="preserve"> </w:t>
      </w:r>
      <w:hyperlink r:id="rId817">
        <w:r>
          <w:rPr>
            <w:rStyle w:val="Hyperlink"/>
          </w:rPr>
          <w:t xml:space="preserve">https://efficientip.com/products/dns-cloud/</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“DNS security and private name resolution (cross-cloud),”</w:t>
      </w:r>
      <w:r>
        <w:t xml:space="preserve"> </w:t>
      </w:r>
      <w:r>
        <w:t xml:space="preserve">section</w:t>
      </w:r>
      <w:r>
        <w:t xml:space="preserve"> </w:t>
      </w:r>
      <w:r>
        <w:t xml:space="preserve">“Azure services and features,”</w:t>
      </w:r>
      <w:r>
        <w:t xml:space="preserve"> </w:t>
      </w:r>
      <w:hyperlink r:id="rId795">
        <w:r>
          <w:rPr>
            <w:rStyle w:val="Hyperlink"/>
          </w:rPr>
          <w:t xml:space="preserve">https://learn.microsoft.com/azure/networking/design-guide/dns-security</w:t>
        </w:r>
      </w:hyperlink>
      <w:r>
        <w:t xml:space="preserve"> </w:t>
      </w:r>
      <w:r>
        <w:t xml:space="preserve">(accessed Oct 20, 2026).</w:t>
      </w:r>
    </w:p>
  </w:footnote>
  <w:footnote w:id="819">
    <w:p>
      <w:pPr>
        <w:pStyle w:val="FootnoteText"/>
      </w:pPr>
      <w:r>
        <w:rPr>
          <w:rStyle w:val="FootnoteReference"/>
        </w:rPr>
        <w:footnoteRef/>
      </w:r>
      <w:r>
        <w:t xml:space="preserve"> </w:t>
      </w:r>
      <w:r>
        <w:t xml:space="preserve">Amazon Web Services,</w:t>
      </w:r>
      <w:r>
        <w:t xml:space="preserve"> </w:t>
      </w:r>
      <w:r>
        <w:t xml:space="preserve">“Managing forwarding rules,”</w:t>
      </w:r>
      <w:r>
        <w:t xml:space="preserve"> </w:t>
      </w:r>
      <w:r>
        <w:t xml:space="preserve">section</w:t>
      </w:r>
      <w:r>
        <w:t xml:space="preserve"> </w:t>
      </w:r>
      <w:r>
        <w:t xml:space="preserve">“Sharing Resolver rules with other AWS accounts and using shared rules,”</w:t>
      </w:r>
      <w:r>
        <w:t xml:space="preserve"> </w:t>
      </w:r>
      <w:r>
        <w:t xml:space="preserve">Amazon Route 53 Developer Guide,</w:t>
      </w:r>
      <w:r>
        <w:t xml:space="preserve"> </w:t>
      </w:r>
      <w:hyperlink r:id="rId598">
        <w:r>
          <w:rPr>
            <w:rStyle w:val="Hyperlink"/>
          </w:rPr>
          <w:t xml:space="preserve">https://docs.aws.amazon.com/Route53/latest/DeveloperGuide/resolver-rules-managing.html</w:t>
        </w:r>
      </w:hyperlink>
      <w:r>
        <w:t xml:space="preserve"> </w:t>
      </w:r>
      <w:r>
        <w:t xml:space="preserve">(accessed Oct 20, 2026).</w:t>
      </w:r>
    </w:p>
  </w:footnote>
  <w:footnote w:id="821">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“Managing Endpoint,”</w:t>
      </w:r>
      <w:r>
        <w:t xml:space="preserve"> </w:t>
      </w:r>
      <w:hyperlink r:id="rId249">
        <w:r>
          <w:rPr>
            <w:rStyle w:val="Hyperlink"/>
          </w:rPr>
          <w:t xml:space="preserve">https://docs.infoblox.com/space/BloxOneThreatDefense/35374260/Managing+Endpoint</w:t>
        </w:r>
      </w:hyperlink>
      <w:r>
        <w:t xml:space="preserve"> </w:t>
      </w:r>
      <w:r>
        <w:t xml:space="preserve">(accessed Oct 20, 2026).</w:t>
      </w:r>
    </w:p>
  </w:footnote>
  <w:footnote w:id="822">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558">
        <w:r>
          <w:rPr>
            <w:rStyle w:val="Hyperlink"/>
          </w:rPr>
          <w:t xml:space="preserve">https://learn.microsoft.com/microsoft-365/enterprise/office-365-network-mac-perf-cpe</w:t>
        </w:r>
      </w:hyperlink>
      <w:r>
        <w:t xml:space="preserve"> </w:t>
      </w:r>
      <w:r>
        <w:t xml:space="preserve">(accessed Oct 20, 2026).</w:t>
      </w:r>
    </w:p>
  </w:footnote>
  <w:footnote w:id="829">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“Limitations of Azure DNS Integration,”</w:t>
      </w:r>
      <w:r>
        <w:t xml:space="preserve"> </w:t>
      </w:r>
      <w:hyperlink r:id="rId470">
        <w:r>
          <w:rPr>
            <w:rStyle w:val="Hyperlink"/>
          </w:rPr>
          <w:t xml:space="preserve">https://docs.infoblox.com/space/BloxOneDDI/365461729/Limitations+of+Azure+DNS+Integration</w:t>
        </w:r>
      </w:hyperlink>
      <w:r>
        <w:t xml:space="preserve"> </w:t>
      </w:r>
      <w:r>
        <w:t xml:space="preserve">(accessed Oct 20, 2026).</w:t>
      </w:r>
    </w:p>
  </w:footnote>
  <w:footnote w:id="830">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hyperlink r:id="rId558">
        <w:r>
          <w:rPr>
            <w:rStyle w:val="Hyperlink"/>
          </w:rPr>
          <w:t xml:space="preserve">https://learn.microsoft.com/microsoft-365/enterprise/office-365-network-mac-perf-cpe</w:t>
        </w:r>
      </w:hyperlink>
      <w:r>
        <w:t xml:space="preserve"> </w:t>
      </w:r>
      <w:r>
        <w:t xml:space="preserve">(accessed Oct 20, 2026).</w:t>
      </w:r>
    </w:p>
  </w:footnote>
  <w:footnote w:id="836">
    <w:p>
      <w:pPr>
        <w:pStyle w:val="FootnoteText"/>
      </w:pPr>
      <w:r>
        <w:rPr>
          <w:rStyle w:val="FootnoteReference"/>
        </w:rPr>
        <w:footnoteRef/>
      </w:r>
      <w:r>
        <w:t xml:space="preserve"> </w:t>
      </w:r>
      <w:r>
        <w:t xml:space="preserve">Internet Assigned Numbers Authority,</w:t>
      </w:r>
      <w:r>
        <w:t xml:space="preserve"> </w:t>
      </w:r>
      <w:r>
        <w:t xml:space="preserve">“Domain Name System (DNS) Parameters,”</w:t>
      </w:r>
      <w:r>
        <w:t xml:space="preserve"> </w:t>
      </w:r>
      <w:r>
        <w:t xml:space="preserve">Resource Record (RR) TYPEs registry (last updated October 16, 2026),</w:t>
      </w:r>
      <w:r>
        <w:t xml:space="preserve"> </w:t>
      </w:r>
      <w:hyperlink r:id="rId837">
        <w:r>
          <w:rPr>
            <w:rStyle w:val="Hyperlink"/>
          </w:rPr>
          <w:t xml:space="preserve">https://www.iana.org/assignments/dns-parameters/dns-parameters.xhtml</w:t>
        </w:r>
      </w:hyperlink>
      <w:r>
        <w:t xml:space="preserve"> </w:t>
      </w:r>
      <w:r>
        <w:t xml:space="preserve">(accessed Oct 20, 2026).</w:t>
      </w:r>
    </w:p>
  </w:footnote>
  <w:footnote w:id="838">
    <w:p>
      <w:pPr>
        <w:pStyle w:val="FootnoteText"/>
      </w:pPr>
      <w:r>
        <w:rPr>
          <w:rStyle w:val="FootnoteReference"/>
        </w:rPr>
        <w:footnoteRef/>
      </w:r>
      <w:r>
        <w:t xml:space="preserve"> </w:t>
      </w:r>
      <w:r>
        <w:t xml:space="preserve">Internet Assigned Numbers Authority,</w:t>
      </w:r>
      <w:r>
        <w:t xml:space="preserve"> </w:t>
      </w:r>
      <w:r>
        <w:t xml:space="preserve">“Domain Name System (DNS) Parameters,”</w:t>
      </w:r>
      <w:r>
        <w:t xml:space="preserve"> </w:t>
      </w:r>
      <w:r>
        <w:t xml:space="preserve">Resource Record (RR) TYPEs registry (last updated October 16, 2026),</w:t>
      </w:r>
      <w:r>
        <w:t xml:space="preserve"> </w:t>
      </w:r>
      <w:hyperlink r:id="rId837">
        <w:r>
          <w:rPr>
            <w:rStyle w:val="Hyperlink"/>
          </w:rPr>
          <w:t xml:space="preserve">https://www.iana.org/assignments/dns-parameters/dns-parameters.xhtml</w:t>
        </w:r>
      </w:hyperlink>
      <w:r>
        <w:t xml:space="preserve"> </w:t>
      </w:r>
      <w:r>
        <w:t xml:space="preserve">(accessed Oct 20, 2026).</w:t>
      </w:r>
    </w:p>
  </w:footnote>
  <w:footnote w:id="840">
    <w:p>
      <w:pPr>
        <w:pStyle w:val="FootnoteText"/>
      </w:pPr>
      <w:r>
        <w:rPr>
          <w:rStyle w:val="FootnoteReference"/>
        </w:rPr>
        <w:footnoteRef/>
      </w:r>
      <w:r>
        <w:t xml:space="preserve"> </w:t>
      </w:r>
      <w:r>
        <w:t xml:space="preserve">IETF, RFC 1034,</w:t>
      </w:r>
      <w:r>
        <w:t xml:space="preserve"> </w:t>
      </w:r>
      <w:r>
        <w:rPr>
          <w:i/>
          <w:iCs/>
        </w:rPr>
        <w:t xml:space="preserve">Domain Names — Concepts and Facilities</w:t>
      </w:r>
      <w:r>
        <w:t xml:space="preserve">, November 1987, §3.6.2,</w:t>
      </w:r>
      <w:r>
        <w:t xml:space="preserve"> </w:t>
      </w:r>
      <w:hyperlink r:id="rId38">
        <w:r>
          <w:rPr>
            <w:rStyle w:val="Hyperlink"/>
          </w:rPr>
          <w:t xml:space="preserve">https://www.rfc-editor.org/rfc/rfc1034</w:t>
        </w:r>
      </w:hyperlink>
      <w:r>
        <w:t xml:space="preserve"> </w:t>
      </w:r>
      <w:r>
        <w:t xml:space="preserve">(accessed Oct 20, 2026).</w:t>
      </w:r>
    </w:p>
  </w:footnote>
  <w:footnote w:id="841">
    <w:p>
      <w:pPr>
        <w:pStyle w:val="FootnoteText"/>
      </w:pPr>
      <w:r>
        <w:rPr>
          <w:rStyle w:val="FootnoteReference"/>
        </w:rPr>
        <w:footnoteRef/>
      </w:r>
      <w:r>
        <w:t xml:space="preserve"> </w:t>
      </w:r>
      <w:r>
        <w:t xml:space="preserve">Microsoft Learn,</w:t>
      </w:r>
      <w:r>
        <w:t xml:space="preserve"> </w:t>
      </w:r>
      <w:r>
        <w:t xml:space="preserve">“Alias records overview — Azure DNS,”</w:t>
      </w:r>
      <w:r>
        <w:t xml:space="preserve"> </w:t>
      </w:r>
      <w:hyperlink r:id="rId842">
        <w:r>
          <w:rPr>
            <w:rStyle w:val="Hyperlink"/>
          </w:rPr>
          <w:t xml:space="preserve">https://learn.microsoft.com/en-us/azure/dns/dns-alias</w:t>
        </w:r>
      </w:hyperlink>
      <w:r>
        <w:t xml:space="preserve"> </w:t>
      </w:r>
      <w:r>
        <w:t xml:space="preserve">(accessed Oct 20, 2026).</w:t>
      </w:r>
    </w:p>
  </w:footnote>
  <w:footnote w:id="843">
    <w:p>
      <w:pPr>
        <w:pStyle w:val="FootnoteText"/>
      </w:pPr>
      <w:r>
        <w:rPr>
          <w:rStyle w:val="FootnoteReference"/>
        </w:rPr>
        <w:footnoteRef/>
      </w:r>
      <w:r>
        <w:t xml:space="preserve"> </w:t>
      </w:r>
      <w:r>
        <w:t xml:space="preserve">Amazon Web Services,</w:t>
      </w:r>
      <w:r>
        <w:t xml:space="preserve"> </w:t>
      </w:r>
      <w:r>
        <w:rPr>
          <w:i/>
          <w:iCs/>
        </w:rPr>
        <w:t xml:space="preserve">Amazon Route 53 Developer Guide</w:t>
      </w:r>
      <w:r>
        <w:t xml:space="preserve">,</w:t>
      </w:r>
      <w:r>
        <w:t xml:space="preserve"> </w:t>
      </w:r>
      <w:r>
        <w:t xml:space="preserve">“Choosing between alias and non-alias records,”</w:t>
      </w:r>
      <w:r>
        <w:t xml:space="preserve"> </w:t>
      </w:r>
      <w:hyperlink r:id="rId844">
        <w:r>
          <w:rPr>
            <w:rStyle w:val="Hyperlink"/>
          </w:rPr>
          <w:t xml:space="preserve">https://docs.aws.amazon.com/Route53/latest/DeveloperGuide/resource-record-sets-choosing-alias-non-alias.html</w:t>
        </w:r>
      </w:hyperlink>
      <w:r>
        <w:t xml:space="preserve"> </w:t>
      </w:r>
      <w:r>
        <w:t xml:space="preserve">(accessed Oct 20, 2026).</w:t>
      </w:r>
    </w:p>
  </w:footnote>
  <w:footnote w:id="845">
    <w:p>
      <w:pPr>
        <w:pStyle w:val="FootnoteText"/>
      </w:pPr>
      <w:r>
        <w:rPr>
          <w:rStyle w:val="FootnoteReference"/>
        </w:rPr>
        <w:footnoteRef/>
      </w:r>
      <w:r>
        <w:t xml:space="preserve"> </w:t>
      </w:r>
      <w:r>
        <w:t xml:space="preserve">Microsoft Learn,</w:t>
      </w:r>
      <w:r>
        <w:t xml:space="preserve"> </w:t>
      </w:r>
      <w:r>
        <w:t xml:space="preserve">“Alias records overview — Azure DNS,”</w:t>
      </w:r>
      <w:r>
        <w:t xml:space="preserve"> </w:t>
      </w:r>
      <w:hyperlink r:id="rId842">
        <w:r>
          <w:rPr>
            <w:rStyle w:val="Hyperlink"/>
          </w:rPr>
          <w:t xml:space="preserve">https://learn.microsoft.com/en-us/azure/dns/dns-alias</w:t>
        </w:r>
      </w:hyperlink>
      <w:r>
        <w:t xml:space="preserve"> </w:t>
      </w:r>
      <w:r>
        <w:t xml:space="preserve">(accessed Oct 20, 2026).</w:t>
      </w:r>
    </w:p>
  </w:footnote>
  <w:footnote w:id="846">
    <w:p>
      <w:pPr>
        <w:pStyle w:val="FootnoteText"/>
      </w:pPr>
      <w:r>
        <w:rPr>
          <w:rStyle w:val="FootnoteReference"/>
        </w:rPr>
        <w:footnoteRef/>
      </w:r>
      <w:r>
        <w:t xml:space="preserve"> </w:t>
      </w:r>
      <w:r>
        <w:t xml:space="preserve">Internet Assigned Numbers Authority,</w:t>
      </w:r>
      <w:r>
        <w:t xml:space="preserve"> </w:t>
      </w:r>
      <w:r>
        <w:t xml:space="preserve">“Domain Name System (DNS) Parameters,”</w:t>
      </w:r>
      <w:r>
        <w:t xml:space="preserve"> </w:t>
      </w:r>
      <w:r>
        <w:t xml:space="preserve">Resource Record (RR) TYPEs registry (last updated October 16, 2026),</w:t>
      </w:r>
      <w:r>
        <w:t xml:space="preserve"> </w:t>
      </w:r>
      <w:hyperlink r:id="rId837">
        <w:r>
          <w:rPr>
            <w:rStyle w:val="Hyperlink"/>
          </w:rPr>
          <w:t xml:space="preserve">https://www.iana.org/assignments/dns-parameters/dns-parameters.xhtml</w:t>
        </w:r>
      </w:hyperlink>
      <w:r>
        <w:t xml:space="preserve"> </w:t>
      </w:r>
      <w:r>
        <w:t xml:space="preserve">(accessed Oct 20, 2026).</w:t>
      </w:r>
    </w:p>
  </w:footnote>
  <w:footnote w:id="847">
    <w:p>
      <w:pPr>
        <w:pStyle w:val="FootnoteText"/>
      </w:pPr>
      <w:r>
        <w:rPr>
          <w:rStyle w:val="FootnoteReference"/>
        </w:rPr>
        <w:footnoteRef/>
      </w:r>
      <w:r>
        <w:t xml:space="preserve"> </w:t>
      </w:r>
      <w:r>
        <w:t xml:space="preserve">MIT Kerberos Documentation,</w:t>
      </w:r>
      <w:r>
        <w:t xml:space="preserve"> </w:t>
      </w:r>
      <w:r>
        <w:t xml:space="preserve">“krb5.conf,”</w:t>
      </w:r>
      <w:r>
        <w:t xml:space="preserve"> </w:t>
      </w:r>
      <w:r>
        <w:rPr>
          <w:rStyle w:val="VerbatimChar"/>
        </w:rPr>
        <w:t xml:space="preserve">[libdefaults]</w:t>
      </w:r>
      <w:r>
        <w:t xml:space="preserve"> </w:t>
      </w:r>
      <w:r>
        <w:t xml:space="preserve">relations</w:t>
      </w:r>
      <w:r>
        <w:t xml:space="preserve"> </w:t>
      </w:r>
      <w:r>
        <w:rPr>
          <w:rStyle w:val="VerbatimChar"/>
        </w:rPr>
        <w:t xml:space="preserve">dns_canonicalize_hostname</w:t>
      </w:r>
      <w:r>
        <w:t xml:space="preserve"> </w:t>
      </w:r>
      <w:r>
        <w:t xml:space="preserve">and</w:t>
      </w:r>
      <w:r>
        <w:t xml:space="preserve"> </w:t>
      </w:r>
      <w:r>
        <w:rPr>
          <w:rStyle w:val="VerbatimChar"/>
        </w:rPr>
        <w:t xml:space="preserve">rdns</w:t>
      </w:r>
      <w:r>
        <w:t xml:space="preserve">,</w:t>
      </w:r>
      <w:r>
        <w:t xml:space="preserve"> </w:t>
      </w:r>
      <w:hyperlink r:id="rId848">
        <w:r>
          <w:rPr>
            <w:rStyle w:val="Hyperlink"/>
          </w:rPr>
          <w:t xml:space="preserve">https://web.mit.edu/kerberos/krb5-latest/doc/admin/conf_files/krb5_conf.html</w:t>
        </w:r>
      </w:hyperlink>
      <w:r>
        <w:t xml:space="preserve"> </w:t>
      </w:r>
      <w:r>
        <w:t xml:space="preserve">(accessed Oct 20, 2026).</w:t>
      </w:r>
    </w:p>
  </w:footnote>
  <w:footnote w:id="850">
    <w:p>
      <w:pPr>
        <w:pStyle w:val="FootnoteText"/>
      </w:pPr>
      <w:r>
        <w:rPr>
          <w:rStyle w:val="FootnoteReference"/>
        </w:rPr>
        <w:footnoteRef/>
      </w:r>
      <w:r>
        <w:t xml:space="preserve"> </w:t>
      </w:r>
      <w:r>
        <w:t xml:space="preserve">Microsoft Learn,</w:t>
      </w:r>
      <w:r>
        <w:t xml:space="preserve"> </w:t>
      </w:r>
      <w:r>
        <w:t xml:space="preserve">“Problems occur with DCs in AD integrated DNS zones”</w:t>
      </w:r>
      <w:r>
        <w:t xml:space="preserve"> </w:t>
      </w:r>
      <w:r>
        <w:t xml:space="preserve">(KB 267855; DC locator record mnemonics and hourly Netlogon registration),</w:t>
      </w:r>
      <w:r>
        <w:t xml:space="preserve"> </w:t>
      </w:r>
      <w:hyperlink r:id="rId851">
        <w:r>
          <w:rPr>
            <w:rStyle w:val="Hyperlink"/>
          </w:rPr>
          <w:t xml:space="preserve">https://learn.microsoft.com/en-us/troubleshoot/windows-server/active-directory/problems-with-dc-ad-integrated-dns-zones</w:t>
        </w:r>
      </w:hyperlink>
      <w:r>
        <w:t xml:space="preserve"> </w:t>
      </w:r>
      <w:r>
        <w:t xml:space="preserve">(accessed Oct 20, 2026).</w:t>
      </w:r>
    </w:p>
  </w:footnote>
  <w:footnote w:id="852">
    <w:p>
      <w:pPr>
        <w:pStyle w:val="FootnoteText"/>
      </w:pPr>
      <w:r>
        <w:rPr>
          <w:rStyle w:val="FootnoteReference"/>
        </w:rPr>
        <w:footnoteRef/>
      </w:r>
      <w:r>
        <w:t xml:space="preserve"> </w:t>
      </w:r>
      <w:r>
        <w:t xml:space="preserve">Microsoft Learn,</w:t>
      </w:r>
      <w:r>
        <w:t xml:space="preserve"> </w:t>
      </w:r>
      <w:r>
        <w:t xml:space="preserve">“Problems occur with DCs in AD integrated DNS zones”</w:t>
      </w:r>
      <w:r>
        <w:t xml:space="preserve"> </w:t>
      </w:r>
      <w:r>
        <w:t xml:space="preserve">(KB 267855; DC locator record mnemonics and hourly Netlogon registration),</w:t>
      </w:r>
      <w:r>
        <w:t xml:space="preserve"> </w:t>
      </w:r>
      <w:hyperlink r:id="rId851">
        <w:r>
          <w:rPr>
            <w:rStyle w:val="Hyperlink"/>
          </w:rPr>
          <w:t xml:space="preserve">https://learn.microsoft.com/en-us/troubleshoot/windows-server/active-directory/problems-with-dc-ad-integrated-dns-zones</w:t>
        </w:r>
      </w:hyperlink>
      <w:r>
        <w:t xml:space="preserve"> </w:t>
      </w:r>
      <w:r>
        <w:t xml:space="preserve">(accessed Oct 20, 2026).</w:t>
      </w:r>
    </w:p>
  </w:footnote>
  <w:footnote w:id="853">
    <w:p>
      <w:pPr>
        <w:pStyle w:val="FootnoteText"/>
      </w:pPr>
      <w:r>
        <w:rPr>
          <w:rStyle w:val="FootnoteReference"/>
        </w:rPr>
        <w:footnoteRef/>
      </w:r>
      <w:r>
        <w:t xml:space="preserve"> </w:t>
      </w:r>
      <w:r>
        <w:t xml:space="preserve">Microsoft Learn,</w:t>
      </w:r>
      <w:r>
        <w:t xml:space="preserve"> </w:t>
      </w:r>
      <w:r>
        <w:t xml:space="preserve">“Locating domain controllers in Windows and Windows Server,”</w:t>
      </w:r>
      <w:r>
        <w:t xml:space="preserve"> </w:t>
      </w:r>
      <w:hyperlink r:id="rId190">
        <w:r>
          <w:rPr>
            <w:rStyle w:val="Hyperlink"/>
          </w:rPr>
          <w:t xml:space="preserve">https://learn.microsoft.com/en-us/windows-server/identity/ad-ds/manage/dc-locator</w:t>
        </w:r>
      </w:hyperlink>
      <w:r>
        <w:t xml:space="preserve"> </w:t>
      </w:r>
      <w:r>
        <w:t xml:space="preserve">(accessed Oct 20, 2026).</w:t>
      </w:r>
    </w:p>
  </w:footnote>
  <w:footnote w:id="854">
    <w:p>
      <w:pPr>
        <w:pStyle w:val="FootnoteText"/>
      </w:pPr>
      <w:r>
        <w:rPr>
          <w:rStyle w:val="FootnoteReference"/>
        </w:rPr>
        <w:footnoteRef/>
      </w:r>
      <w:r>
        <w:t xml:space="preserve"> </w:t>
      </w:r>
      <w:r>
        <w:t xml:space="preserve">IETF, RFC 3263,</w:t>
      </w:r>
      <w:r>
        <w:t xml:space="preserve"> </w:t>
      </w:r>
      <w:r>
        <w:rPr>
          <w:i/>
          <w:iCs/>
        </w:rPr>
        <w:t xml:space="preserve">Session Initiation Protocol (SIP): Locating SIP Servers</w:t>
      </w:r>
      <w:r>
        <w:t xml:space="preserve">, June 2002,</w:t>
      </w:r>
      <w:r>
        <w:t xml:space="preserve"> </w:t>
      </w:r>
      <w:hyperlink r:id="rId855">
        <w:r>
          <w:rPr>
            <w:rStyle w:val="Hyperlink"/>
          </w:rPr>
          <w:t xml:space="preserve">https://www.rfc-editor.org/rfc/rfc3263</w:t>
        </w:r>
      </w:hyperlink>
      <w:r>
        <w:t xml:space="preserve"> </w:t>
      </w:r>
      <w:r>
        <w:t xml:space="preserve">(accessed Oct 20, 2026).</w:t>
      </w:r>
    </w:p>
  </w:footnote>
  <w:footnote w:id="856">
    <w:p>
      <w:pPr>
        <w:pStyle w:val="FootnoteText"/>
      </w:pPr>
      <w:r>
        <w:rPr>
          <w:rStyle w:val="FootnoteReference"/>
        </w:rPr>
        <w:footnoteRef/>
      </w:r>
      <w:r>
        <w:t xml:space="preserve"> </w:t>
      </w:r>
      <w:r>
        <w:t xml:space="preserve">IETF, RFC 6120,</w:t>
      </w:r>
      <w:r>
        <w:t xml:space="preserve"> </w:t>
      </w:r>
      <w:r>
        <w:rPr>
          <w:i/>
          <w:iCs/>
        </w:rPr>
        <w:t xml:space="preserve">Extensible Messaging and Presence Protocol (XMPP): Core</w:t>
      </w:r>
      <w:r>
        <w:t xml:space="preserve">, March 2011, §3.2.1,</w:t>
      </w:r>
      <w:r>
        <w:t xml:space="preserve"> </w:t>
      </w:r>
      <w:hyperlink r:id="rId857">
        <w:r>
          <w:rPr>
            <w:rStyle w:val="Hyperlink"/>
          </w:rPr>
          <w:t xml:space="preserve">https://www.rfc-editor.org/rfc/rfc6120</w:t>
        </w:r>
      </w:hyperlink>
      <w:r>
        <w:t xml:space="preserve"> </w:t>
      </w:r>
      <w:r>
        <w:t xml:space="preserve">(accessed Oct 20, 2026).</w:t>
      </w:r>
    </w:p>
  </w:footnote>
  <w:footnote w:id="858">
    <w:p>
      <w:pPr>
        <w:pStyle w:val="FootnoteText"/>
      </w:pPr>
      <w:r>
        <w:rPr>
          <w:rStyle w:val="FootnoteReference"/>
        </w:rPr>
        <w:footnoteRef/>
      </w:r>
      <w:r>
        <w:t xml:space="preserve"> </w:t>
      </w:r>
      <w:r>
        <w:t xml:space="preserve">IETF, RFC 6186,</w:t>
      </w:r>
      <w:r>
        <w:t xml:space="preserve"> </w:t>
      </w:r>
      <w:r>
        <w:rPr>
          <w:i/>
          <w:iCs/>
        </w:rPr>
        <w:t xml:space="preserve">Use of SRV Records for Locating Email Submission/Access Services</w:t>
      </w:r>
      <w:r>
        <w:t xml:space="preserve">, March 2011,</w:t>
      </w:r>
      <w:r>
        <w:t xml:space="preserve"> </w:t>
      </w:r>
      <w:hyperlink r:id="rId859">
        <w:r>
          <w:rPr>
            <w:rStyle w:val="Hyperlink"/>
          </w:rPr>
          <w:t xml:space="preserve">https://www.rfc-editor.org/rfc/rfc6186</w:t>
        </w:r>
      </w:hyperlink>
      <w:r>
        <w:t xml:space="preserve"> </w:t>
      </w:r>
      <w:r>
        <w:t xml:space="preserve">(accessed Oct 20, 2026).</w:t>
      </w:r>
    </w:p>
  </w:footnote>
  <w:footnote w:id="860">
    <w:p>
      <w:pPr>
        <w:pStyle w:val="FootnoteText"/>
      </w:pPr>
      <w:r>
        <w:rPr>
          <w:rStyle w:val="FootnoteReference"/>
        </w:rPr>
        <w:footnoteRef/>
      </w:r>
      <w:r>
        <w:t xml:space="preserve"> </w:t>
      </w:r>
      <w:r>
        <w:t xml:space="preserve">HashiCorp,</w:t>
      </w:r>
      <w:r>
        <w:t xml:space="preserve"> </w:t>
      </w:r>
      <w:r>
        <w:t xml:space="preserve">“Consul DNS reference,”</w:t>
      </w:r>
      <w:r>
        <w:t xml:space="preserve"> </w:t>
      </w:r>
      <w:hyperlink r:id="rId861">
        <w:r>
          <w:rPr>
            <w:rStyle w:val="Hyperlink"/>
          </w:rPr>
          <w:t xml:space="preserve">https://developer.hashicorp.com/consul/docs/reference/dns</w:t>
        </w:r>
      </w:hyperlink>
      <w:r>
        <w:t xml:space="preserve"> </w:t>
      </w:r>
      <w:r>
        <w:t xml:space="preserve">(accessed Oct 20, 2026). Third-party source.</w:t>
      </w:r>
    </w:p>
  </w:footnote>
  <w:footnote w:id="862">
    <w:p>
      <w:pPr>
        <w:pStyle w:val="FootnoteText"/>
      </w:pPr>
      <w:r>
        <w:rPr>
          <w:rStyle w:val="FootnoteReference"/>
        </w:rPr>
        <w:footnoteRef/>
      </w:r>
      <w:r>
        <w:t xml:space="preserve"> </w:t>
      </w:r>
      <w:r>
        <w:t xml:space="preserve">IETF, RFC 6116,</w:t>
      </w:r>
      <w:r>
        <w:t xml:space="preserve"> </w:t>
      </w:r>
      <w:r>
        <w:rPr>
          <w:i/>
          <w:iCs/>
        </w:rPr>
        <w:t xml:space="preserve">The E.164 to Uniform Resource Identifiers (URI) Dynamic Delegation Discovery System (DDDS) Application (ENUM)</w:t>
      </w:r>
      <w:r>
        <w:t xml:space="preserve">, March 2011,</w:t>
      </w:r>
      <w:r>
        <w:t xml:space="preserve"> </w:t>
      </w:r>
      <w:hyperlink r:id="rId863">
        <w:r>
          <w:rPr>
            <w:rStyle w:val="Hyperlink"/>
          </w:rPr>
          <w:t xml:space="preserve">https://www.rfc-editor.org/info/rfc6116</w:t>
        </w:r>
      </w:hyperlink>
      <w:r>
        <w:t xml:space="preserve"> </w:t>
      </w:r>
      <w:r>
        <w:t xml:space="preserve">(accessed Oct 20, 2026).</w:t>
      </w:r>
    </w:p>
  </w:footnote>
  <w:footnote w:id="864">
    <w:p>
      <w:pPr>
        <w:pStyle w:val="FootnoteText"/>
      </w:pPr>
      <w:r>
        <w:rPr>
          <w:rStyle w:val="FootnoteReference"/>
        </w:rPr>
        <w:footnoteRef/>
      </w:r>
      <w:r>
        <w:t xml:space="preserve"> </w:t>
      </w:r>
      <w:r>
        <w:t xml:space="preserve">IETF, RFC 3263,</w:t>
      </w:r>
      <w:r>
        <w:t xml:space="preserve"> </w:t>
      </w:r>
      <w:r>
        <w:rPr>
          <w:i/>
          <w:iCs/>
        </w:rPr>
        <w:t xml:space="preserve">Session Initiation Protocol (SIP): Locating SIP Servers</w:t>
      </w:r>
      <w:r>
        <w:t xml:space="preserve">, June 2002,</w:t>
      </w:r>
      <w:r>
        <w:t xml:space="preserve"> </w:t>
      </w:r>
      <w:hyperlink r:id="rId855">
        <w:r>
          <w:rPr>
            <w:rStyle w:val="Hyperlink"/>
          </w:rPr>
          <w:t xml:space="preserve">https://www.rfc-editor.org/rfc/rfc3263</w:t>
        </w:r>
      </w:hyperlink>
      <w:r>
        <w:t xml:space="preserve"> </w:t>
      </w:r>
      <w:r>
        <w:t xml:space="preserve">(accessed Oct 20, 2026).</w:t>
      </w:r>
    </w:p>
  </w:footnote>
  <w:footnote w:id="866">
    <w:p>
      <w:pPr>
        <w:pStyle w:val="FootnoteText"/>
      </w:pPr>
      <w:r>
        <w:rPr>
          <w:rStyle w:val="FootnoteReference"/>
        </w:rPr>
        <w:footnoteRef/>
      </w:r>
      <w:r>
        <w:t xml:space="preserve"> </w:t>
      </w:r>
      <w:r>
        <w:t xml:space="preserve">IETF, RFC 8659,</w:t>
      </w:r>
      <w:r>
        <w:t xml:space="preserve"> </w:t>
      </w:r>
      <w:r>
        <w:rPr>
          <w:i/>
          <w:iCs/>
        </w:rPr>
        <w:t xml:space="preserve">DNS Certification Authority Authorization (CAA) Resource Record</w:t>
      </w:r>
      <w:r>
        <w:t xml:space="preserve">, November 2019, §3 and §4,</w:t>
      </w:r>
      <w:r>
        <w:t xml:space="preserve"> </w:t>
      </w:r>
      <w:hyperlink r:id="rId339">
        <w:r>
          <w:rPr>
            <w:rStyle w:val="Hyperlink"/>
          </w:rPr>
          <w:t xml:space="preserve">https://www.rfc-editor.org/rfc/rfc8659</w:t>
        </w:r>
      </w:hyperlink>
      <w:r>
        <w:t xml:space="preserve"> </w:t>
      </w:r>
      <w:r>
        <w:t xml:space="preserve">(accessed Oct 20, 2026).</w:t>
      </w:r>
    </w:p>
  </w:footnote>
  <w:footnote w:id="867">
    <w:p>
      <w:pPr>
        <w:pStyle w:val="FootnoteText"/>
      </w:pPr>
      <w:r>
        <w:rPr>
          <w:rStyle w:val="FootnoteReference"/>
        </w:rPr>
        <w:footnoteRef/>
      </w:r>
      <w:r>
        <w:t xml:space="preserve"> </w:t>
      </w:r>
      <w:r>
        <w:t xml:space="preserve">IETF, RFC 8659,</w:t>
      </w:r>
      <w:r>
        <w:t xml:space="preserve"> </w:t>
      </w:r>
      <w:r>
        <w:rPr>
          <w:i/>
          <w:iCs/>
        </w:rPr>
        <w:t xml:space="preserve">DNS Certification Authority Authorization (CAA) Resource Record</w:t>
      </w:r>
      <w:r>
        <w:t xml:space="preserve">, November 2019, §3 and §4,</w:t>
      </w:r>
      <w:r>
        <w:t xml:space="preserve"> </w:t>
      </w:r>
      <w:hyperlink r:id="rId339">
        <w:r>
          <w:rPr>
            <w:rStyle w:val="Hyperlink"/>
          </w:rPr>
          <w:t xml:space="preserve">https://www.rfc-editor.org/rfc/rfc8659</w:t>
        </w:r>
      </w:hyperlink>
      <w:r>
        <w:t xml:space="preserve"> </w:t>
      </w:r>
      <w:r>
        <w:t xml:space="preserve">(accessed Oct 20, 2026).</w:t>
      </w:r>
    </w:p>
  </w:footnote>
  <w:footnote w:id="868">
    <w:p>
      <w:pPr>
        <w:pStyle w:val="FootnoteText"/>
      </w:pPr>
      <w:r>
        <w:rPr>
          <w:rStyle w:val="FootnoteReference"/>
        </w:rPr>
        <w:footnoteRef/>
      </w:r>
      <w:r>
        <w:t xml:space="preserve"> </w:t>
      </w:r>
      <w:r>
        <w:t xml:space="preserve">CA/Browser Forum,</w:t>
      </w:r>
      <w:r>
        <w:t xml:space="preserve"> </w:t>
      </w:r>
      <w:r>
        <w:t xml:space="preserve">“Ballot 187 — Make CAA Checking Mandatory”</w:t>
      </w:r>
      <w:r>
        <w:t xml:space="preserve"> </w:t>
      </w:r>
      <w:r>
        <w:t xml:space="preserve">(adds Baseline Requirements §3.2.2.8, effective September 8, 2017),</w:t>
      </w:r>
      <w:r>
        <w:t xml:space="preserve"> </w:t>
      </w:r>
      <w:hyperlink r:id="rId869">
        <w:r>
          <w:rPr>
            <w:rStyle w:val="Hyperlink"/>
          </w:rPr>
          <w:t xml:space="preserve">https://cabforum.org/2017/03/08/ballot-187-make-caa-checking-mandatory/</w:t>
        </w:r>
      </w:hyperlink>
      <w:r>
        <w:t xml:space="preserve"> </w:t>
      </w:r>
      <w:r>
        <w:t xml:space="preserve">(accessed Oct 20, 2026).</w:t>
      </w:r>
    </w:p>
  </w:footnote>
  <w:footnote w:id="870">
    <w:p>
      <w:pPr>
        <w:pStyle w:val="FootnoteText"/>
      </w:pPr>
      <w:r>
        <w:rPr>
          <w:rStyle w:val="FootnoteReference"/>
        </w:rPr>
        <w:footnoteRef/>
      </w:r>
      <w:r>
        <w:t xml:space="preserve"> </w:t>
      </w:r>
      <w:r>
        <w:t xml:space="preserve">IETF, RFC 6698,</w:t>
      </w:r>
      <w:r>
        <w:t xml:space="preserve"> </w:t>
      </w:r>
      <w:r>
        <w:rPr>
          <w:i/>
          <w:iCs/>
        </w:rPr>
        <w:t xml:space="preserve">The DNS-Based Authentication of Named Entities (DANE) Transport Layer Security (TLS) Protocol: TLSA</w:t>
      </w:r>
      <w:r>
        <w:t xml:space="preserve">, August 2012, §1.3, §2.1 and §8,</w:t>
      </w:r>
      <w:r>
        <w:t xml:space="preserve"> </w:t>
      </w:r>
      <w:hyperlink r:id="rId341">
        <w:r>
          <w:rPr>
            <w:rStyle w:val="Hyperlink"/>
          </w:rPr>
          <w:t xml:space="preserve">https://www.rfc-editor.org/rfc/rfc6698</w:t>
        </w:r>
      </w:hyperlink>
      <w:r>
        <w:t xml:space="preserve"> </w:t>
      </w:r>
      <w:r>
        <w:t xml:space="preserve">(accessed Oct 20, 2026).</w:t>
      </w:r>
    </w:p>
  </w:footnote>
  <w:footnote w:id="871">
    <w:p>
      <w:pPr>
        <w:pStyle w:val="FootnoteText"/>
      </w:pPr>
      <w:r>
        <w:rPr>
          <w:rStyle w:val="FootnoteReference"/>
        </w:rPr>
        <w:footnoteRef/>
      </w:r>
      <w:r>
        <w:t xml:space="preserve"> </w:t>
      </w:r>
      <w:r>
        <w:t xml:space="preserve">IETF, RFC 6698,</w:t>
      </w:r>
      <w:r>
        <w:t xml:space="preserve"> </w:t>
      </w:r>
      <w:r>
        <w:rPr>
          <w:i/>
          <w:iCs/>
        </w:rPr>
        <w:t xml:space="preserve">The DNS-Based Authentication of Named Entities (DANE) Transport Layer Security (TLS) Protocol: TLSA</w:t>
      </w:r>
      <w:r>
        <w:t xml:space="preserve">, August 2012, §1.3, §2.1 and §8,</w:t>
      </w:r>
      <w:r>
        <w:t xml:space="preserve"> </w:t>
      </w:r>
      <w:hyperlink r:id="rId341">
        <w:r>
          <w:rPr>
            <w:rStyle w:val="Hyperlink"/>
          </w:rPr>
          <w:t xml:space="preserve">https://www.rfc-editor.org/rfc/rfc6698</w:t>
        </w:r>
      </w:hyperlink>
      <w:r>
        <w:t xml:space="preserve"> </w:t>
      </w:r>
      <w:r>
        <w:t xml:space="preserve">(accessed Oct 20, 2026).</w:t>
      </w:r>
    </w:p>
  </w:footnote>
  <w:footnote w:id="872">
    <w:p>
      <w:pPr>
        <w:pStyle w:val="FootnoteText"/>
      </w:pPr>
      <w:r>
        <w:rPr>
          <w:rStyle w:val="FootnoteReference"/>
        </w:rPr>
        <w:footnoteRef/>
      </w:r>
      <w:r>
        <w:t xml:space="preserve"> </w:t>
      </w:r>
      <w:r>
        <w:t xml:space="preserve">IETF, RFC 4255,</w:t>
      </w:r>
      <w:r>
        <w:t xml:space="preserve"> </w:t>
      </w:r>
      <w:r>
        <w:rPr>
          <w:i/>
          <w:iCs/>
        </w:rPr>
        <w:t xml:space="preserve">Using DNS to Securely Publish Secure Shell (SSH) Key Fingerprints</w:t>
      </w:r>
      <w:r>
        <w:t xml:space="preserve">, January 2006, §2.4,</w:t>
      </w:r>
      <w:r>
        <w:t xml:space="preserve"> </w:t>
      </w:r>
      <w:hyperlink r:id="rId873">
        <w:r>
          <w:rPr>
            <w:rStyle w:val="Hyperlink"/>
          </w:rPr>
          <w:t xml:space="preserve">https://www.rfc-editor.org/rfc/rfc4255</w:t>
        </w:r>
      </w:hyperlink>
      <w:r>
        <w:t xml:space="preserve"> </w:t>
      </w:r>
      <w:r>
        <w:t xml:space="preserve">(accessed Oct 20, 2026).</w:t>
      </w:r>
    </w:p>
  </w:footnote>
  <w:footnote w:id="874">
    <w:p>
      <w:pPr>
        <w:pStyle w:val="FootnoteText"/>
      </w:pPr>
      <w:r>
        <w:rPr>
          <w:rStyle w:val="FootnoteReference"/>
        </w:rPr>
        <w:footnoteRef/>
      </w:r>
      <w:r>
        <w:t xml:space="preserve"> </w:t>
      </w:r>
      <w:r>
        <w:t xml:space="preserve">IETF, RFC 8162,</w:t>
      </w:r>
      <w:r>
        <w:t xml:space="preserve"> </w:t>
      </w:r>
      <w:r>
        <w:rPr>
          <w:i/>
          <w:iCs/>
        </w:rPr>
        <w:t xml:space="preserve">Using Secure DNS to Associate Certificates with Domain Names for S/MIME</w:t>
      </w:r>
      <w:r>
        <w:t xml:space="preserve"> </w:t>
      </w:r>
      <w:r>
        <w:t xml:space="preserve">(Experimental), May 2017,</w:t>
      </w:r>
      <w:r>
        <w:t xml:space="preserve"> </w:t>
      </w:r>
      <w:hyperlink r:id="rId875">
        <w:r>
          <w:rPr>
            <w:rStyle w:val="Hyperlink"/>
          </w:rPr>
          <w:t xml:space="preserve">https://www.rfc-editor.org/rfc/rfc8162</w:t>
        </w:r>
      </w:hyperlink>
      <w:r>
        <w:t xml:space="preserve"> </w:t>
      </w:r>
      <w:r>
        <w:t xml:space="preserve">(accessed Oct 20, 2026).</w:t>
      </w:r>
    </w:p>
  </w:footnote>
  <w:footnote w:id="877">
    <w:p>
      <w:pPr>
        <w:pStyle w:val="FootnoteText"/>
      </w:pPr>
      <w:r>
        <w:rPr>
          <w:rStyle w:val="FootnoteReference"/>
        </w:rPr>
        <w:footnoteRef/>
      </w:r>
      <w:r>
        <w:t xml:space="preserve"> </w:t>
      </w:r>
      <w:r>
        <w:t xml:space="preserve">IETF, RFC 7208,</w:t>
      </w:r>
      <w:r>
        <w:t xml:space="preserve"> </w:t>
      </w:r>
      <w:r>
        <w:rPr>
          <w:i/>
          <w:iCs/>
        </w:rPr>
        <w:t xml:space="preserve">Sender Policy Framework (SPF) for Authorizing Use of Domains in Email, Version 1</w:t>
      </w:r>
      <w:r>
        <w:t xml:space="preserve">, April 2014, §3.1, §3.2, §4.5 and §4.6.4,</w:t>
      </w:r>
      <w:r>
        <w:t xml:space="preserve"> </w:t>
      </w:r>
      <w:hyperlink r:id="rId878">
        <w:r>
          <w:rPr>
            <w:rStyle w:val="Hyperlink"/>
          </w:rPr>
          <w:t xml:space="preserve">https://www.rfc-editor.org/rfc/rfc7208</w:t>
        </w:r>
      </w:hyperlink>
      <w:r>
        <w:t xml:space="preserve"> </w:t>
      </w:r>
      <w:r>
        <w:t xml:space="preserve">(accessed Oct 20, 2026).</w:t>
      </w:r>
    </w:p>
  </w:footnote>
  <w:footnote w:id="879">
    <w:p>
      <w:pPr>
        <w:pStyle w:val="FootnoteText"/>
      </w:pPr>
      <w:r>
        <w:rPr>
          <w:rStyle w:val="FootnoteReference"/>
        </w:rPr>
        <w:footnoteRef/>
      </w:r>
      <w:r>
        <w:t xml:space="preserve"> </w:t>
      </w:r>
      <w:r>
        <w:t xml:space="preserve">IETF, RFC 7208,</w:t>
      </w:r>
      <w:r>
        <w:t xml:space="preserve"> </w:t>
      </w:r>
      <w:r>
        <w:rPr>
          <w:i/>
          <w:iCs/>
        </w:rPr>
        <w:t xml:space="preserve">Sender Policy Framework (SPF) for Authorizing Use of Domains in Email, Version 1</w:t>
      </w:r>
      <w:r>
        <w:t xml:space="preserve">, April 2014, §3.1, §3.2, §4.5 and §4.6.4,</w:t>
      </w:r>
      <w:r>
        <w:t xml:space="preserve"> </w:t>
      </w:r>
      <w:hyperlink r:id="rId878">
        <w:r>
          <w:rPr>
            <w:rStyle w:val="Hyperlink"/>
          </w:rPr>
          <w:t xml:space="preserve">https://www.rfc-editor.org/rfc/rfc7208</w:t>
        </w:r>
      </w:hyperlink>
      <w:r>
        <w:t xml:space="preserve"> </w:t>
      </w:r>
      <w:r>
        <w:t xml:space="preserve">(accessed Oct 20, 2026).</w:t>
      </w:r>
    </w:p>
  </w:footnote>
  <w:footnote w:id="880">
    <w:p>
      <w:pPr>
        <w:pStyle w:val="FootnoteText"/>
      </w:pPr>
      <w:r>
        <w:rPr>
          <w:rStyle w:val="FootnoteReference"/>
        </w:rPr>
        <w:footnoteRef/>
      </w:r>
      <w:r>
        <w:t xml:space="preserve"> </w:t>
      </w:r>
      <w:r>
        <w:t xml:space="preserve">IETF, RFC 7208,</w:t>
      </w:r>
      <w:r>
        <w:t xml:space="preserve"> </w:t>
      </w:r>
      <w:r>
        <w:rPr>
          <w:i/>
          <w:iCs/>
        </w:rPr>
        <w:t xml:space="preserve">Sender Policy Framework (SPF) for Authorizing Use of Domains in Email, Version 1</w:t>
      </w:r>
      <w:r>
        <w:t xml:space="preserve">, April 2014, §3.1, §3.2, §4.5 and §4.6.4,</w:t>
      </w:r>
      <w:r>
        <w:t xml:space="preserve"> </w:t>
      </w:r>
      <w:hyperlink r:id="rId878">
        <w:r>
          <w:rPr>
            <w:rStyle w:val="Hyperlink"/>
          </w:rPr>
          <w:t xml:space="preserve">https://www.rfc-editor.org/rfc/rfc7208</w:t>
        </w:r>
      </w:hyperlink>
      <w:r>
        <w:t xml:space="preserve"> </w:t>
      </w:r>
      <w:r>
        <w:t xml:space="preserve">(accessed Oct 20, 2026).</w:t>
      </w:r>
    </w:p>
  </w:footnote>
  <w:footnote w:id="881">
    <w:p>
      <w:pPr>
        <w:pStyle w:val="FootnoteText"/>
      </w:pPr>
      <w:r>
        <w:rPr>
          <w:rStyle w:val="FootnoteReference"/>
        </w:rPr>
        <w:footnoteRef/>
      </w:r>
      <w:r>
        <w:t xml:space="preserve"> </w:t>
      </w:r>
      <w:r>
        <w:t xml:space="preserve">IETF, RFC 6376,</w:t>
      </w:r>
      <w:r>
        <w:t xml:space="preserve"> </w:t>
      </w:r>
      <w:r>
        <w:rPr>
          <w:i/>
          <w:iCs/>
        </w:rPr>
        <w:t xml:space="preserve">DomainKeys Identified Mail (DKIM) Signatures</w:t>
      </w:r>
      <w:r>
        <w:t xml:space="preserve">, September 2011,</w:t>
      </w:r>
      <w:r>
        <w:t xml:space="preserve"> </w:t>
      </w:r>
      <w:hyperlink r:id="rId882">
        <w:r>
          <w:rPr>
            <w:rStyle w:val="Hyperlink"/>
          </w:rPr>
          <w:t xml:space="preserve">https://www.rfc-editor.org/rfc/rfc6376</w:t>
        </w:r>
      </w:hyperlink>
      <w:r>
        <w:t xml:space="preserve"> </w:t>
      </w:r>
      <w:r>
        <w:t xml:space="preserve">(accessed Oct 20, 2026).</w:t>
      </w:r>
    </w:p>
  </w:footnote>
  <w:footnote w:id="883">
    <w:p>
      <w:pPr>
        <w:pStyle w:val="FootnoteText"/>
      </w:pPr>
      <w:r>
        <w:rPr>
          <w:rStyle w:val="FootnoteReference"/>
        </w:rPr>
        <w:footnoteRef/>
      </w:r>
      <w:r>
        <w:t xml:space="preserve"> </w:t>
      </w:r>
      <w:r>
        <w:t xml:space="preserve">IETF, RFC 6376,</w:t>
      </w:r>
      <w:r>
        <w:t xml:space="preserve"> </w:t>
      </w:r>
      <w:r>
        <w:rPr>
          <w:i/>
          <w:iCs/>
        </w:rPr>
        <w:t xml:space="preserve">DomainKeys Identified Mail (DKIM) Signatures</w:t>
      </w:r>
      <w:r>
        <w:t xml:space="preserve">, September 2011,</w:t>
      </w:r>
      <w:r>
        <w:t xml:space="preserve"> </w:t>
      </w:r>
      <w:hyperlink r:id="rId882">
        <w:r>
          <w:rPr>
            <w:rStyle w:val="Hyperlink"/>
          </w:rPr>
          <w:t xml:space="preserve">https://www.rfc-editor.org/rfc/rfc6376</w:t>
        </w:r>
      </w:hyperlink>
      <w:r>
        <w:t xml:space="preserve"> </w:t>
      </w:r>
      <w:r>
        <w:t xml:space="preserve">(accessed Oct 20, 2026).</w:t>
      </w:r>
    </w:p>
  </w:footnote>
  <w:footnote w:id="884">
    <w:p>
      <w:pPr>
        <w:pStyle w:val="FootnoteText"/>
      </w:pPr>
      <w:r>
        <w:rPr>
          <w:rStyle w:val="FootnoteReference"/>
        </w:rPr>
        <w:footnoteRef/>
      </w:r>
      <w:r>
        <w:t xml:space="preserve"> </w:t>
      </w:r>
      <w:r>
        <w:t xml:space="preserve">IETF, RFC 9989,</w:t>
      </w:r>
      <w:r>
        <w:t xml:space="preserve"> </w:t>
      </w:r>
      <w:r>
        <w:rPr>
          <w:i/>
          <w:iCs/>
        </w:rPr>
        <w:t xml:space="preserve">Domain-Based Message Authentication, Reporting, and Conformance (DMARC)</w:t>
      </w:r>
      <w:r>
        <w:t xml:space="preserve">, May 2026 (obsoletes RFC 7489 and RFC 9091),</w:t>
      </w:r>
      <w:r>
        <w:t xml:space="preserve"> </w:t>
      </w:r>
      <w:hyperlink r:id="rId885">
        <w:r>
          <w:rPr>
            <w:rStyle w:val="Hyperlink"/>
          </w:rPr>
          <w:t xml:space="preserve">https://www.rfc-editor.org/rfc/rfc9989</w:t>
        </w:r>
      </w:hyperlink>
      <w:r>
        <w:t xml:space="preserve">; publication date per</w:t>
      </w:r>
      <w:r>
        <w:t xml:space="preserve"> </w:t>
      </w:r>
      <w:hyperlink r:id="rId886">
        <w:r>
          <w:rPr>
            <w:rStyle w:val="Hyperlink"/>
          </w:rPr>
          <w:t xml:space="preserve">https://datatracker.ietf.org/doc/rfc9989/</w:t>
        </w:r>
      </w:hyperlink>
      <w:r>
        <w:t xml:space="preserve"> </w:t>
      </w:r>
      <w:r>
        <w:t xml:space="preserve">(both accessed Oct 20, 2026).</w:t>
      </w:r>
    </w:p>
  </w:footnote>
  <w:footnote w:id="887">
    <w:p>
      <w:pPr>
        <w:pStyle w:val="FootnoteText"/>
      </w:pPr>
      <w:r>
        <w:rPr>
          <w:rStyle w:val="FootnoteReference"/>
        </w:rPr>
        <w:footnoteRef/>
      </w:r>
      <w:r>
        <w:t xml:space="preserve"> </w:t>
      </w:r>
      <w:r>
        <w:t xml:space="preserve">Cybersecurity and Infrastructure Security Agency, Binding Operational Directive 18-01,</w:t>
      </w:r>
      <w:r>
        <w:t xml:space="preserve"> </w:t>
      </w:r>
      <w:r>
        <w:rPr>
          <w:i/>
          <w:iCs/>
        </w:rPr>
        <w:t xml:space="preserve">Enhance Email and Web Security</w:t>
      </w:r>
      <w:r>
        <w:t xml:space="preserve">, October 16, 2017,</w:t>
      </w:r>
      <w:r>
        <w:t xml:space="preserve"> </w:t>
      </w:r>
      <w:hyperlink r:id="rId888">
        <w:r>
          <w:rPr>
            <w:rStyle w:val="Hyperlink"/>
          </w:rPr>
          <w:t xml:space="preserve">https://www.cisa.gov/news-events/directives/bod-18-01-enhance-email-and-web-security</w:t>
        </w:r>
      </w:hyperlink>
      <w:r>
        <w:t xml:space="preserve"> </w:t>
      </w:r>
      <w:r>
        <w:t xml:space="preserve">(accessed Oct 20, 2026).</w:t>
      </w:r>
    </w:p>
  </w:footnote>
  <w:footnote w:id="889">
    <w:p>
      <w:pPr>
        <w:pStyle w:val="FootnoteText"/>
      </w:pPr>
      <w:r>
        <w:rPr>
          <w:rStyle w:val="FootnoteReference"/>
        </w:rPr>
        <w:footnoteRef/>
      </w:r>
      <w:r>
        <w:t xml:space="preserve"> </w:t>
      </w:r>
      <w:r>
        <w:t xml:space="preserve">IETF Datatracker, draft-brand-indicators-for-message-identification-14,</w:t>
      </w:r>
      <w:r>
        <w:t xml:space="preserve"> </w:t>
      </w:r>
      <w:r>
        <w:rPr>
          <w:i/>
          <w:iCs/>
        </w:rPr>
        <w:t xml:space="preserve">Brand Indicators for Message Identification (BIMI)</w:t>
      </w:r>
      <w:r>
        <w:t xml:space="preserve">, individual Internet-Draft, May 1, 2026,</w:t>
      </w:r>
      <w:r>
        <w:t xml:space="preserve"> </w:t>
      </w:r>
      <w:hyperlink r:id="rId890">
        <w:r>
          <w:rPr>
            <w:rStyle w:val="Hyperlink"/>
          </w:rPr>
          <w:t xml:space="preserve">https://datatracker.ietf.org/doc/draft-brand-indicators-for-message-identification/</w:t>
        </w:r>
      </w:hyperlink>
      <w:r>
        <w:t xml:space="preserve"> </w:t>
      </w:r>
      <w:r>
        <w:t xml:space="preserve">and</w:t>
      </w:r>
      <w:r>
        <w:t xml:space="preserve"> </w:t>
      </w:r>
      <w:hyperlink r:id="rId891">
        <w:r>
          <w:rPr>
            <w:rStyle w:val="Hyperlink"/>
          </w:rPr>
          <w:t xml:space="preserve">https://datatracker.ietf.org/doc/html/draft-brand-indicators-for-message-identification-14</w:t>
        </w:r>
      </w:hyperlink>
      <w:r>
        <w:t xml:space="preserve"> </w:t>
      </w:r>
      <w:r>
        <w:t xml:space="preserve">(both accessed Oct 20, 2026).</w:t>
      </w:r>
    </w:p>
  </w:footnote>
  <w:footnote w:id="892">
    <w:p>
      <w:pPr>
        <w:pStyle w:val="FootnoteText"/>
      </w:pPr>
      <w:r>
        <w:rPr>
          <w:rStyle w:val="FootnoteReference"/>
        </w:rPr>
        <w:footnoteRef/>
      </w:r>
      <w:r>
        <w:t xml:space="preserve"> </w:t>
      </w:r>
      <w:r>
        <w:t xml:space="preserve">IETF, RFC 8461,</w:t>
      </w:r>
      <w:r>
        <w:t xml:space="preserve"> </w:t>
      </w:r>
      <w:r>
        <w:rPr>
          <w:i/>
          <w:iCs/>
        </w:rPr>
        <w:t xml:space="preserve">SMTP MTA Strict Transport Security (MTA-STS)</w:t>
      </w:r>
      <w:r>
        <w:t xml:space="preserve">, September 2018,</w:t>
      </w:r>
      <w:r>
        <w:t xml:space="preserve"> </w:t>
      </w:r>
      <w:hyperlink r:id="rId893">
        <w:r>
          <w:rPr>
            <w:rStyle w:val="Hyperlink"/>
          </w:rPr>
          <w:t xml:space="preserve">https://www.rfc-editor.org/rfc/rfc8461</w:t>
        </w:r>
      </w:hyperlink>
      <w:r>
        <w:t xml:space="preserve"> </w:t>
      </w:r>
      <w:r>
        <w:t xml:space="preserve">(accessed Oct 20, 2026).</w:t>
      </w:r>
    </w:p>
  </w:footnote>
  <w:footnote w:id="895">
    <w:p>
      <w:pPr>
        <w:pStyle w:val="FootnoteText"/>
      </w:pPr>
      <w:r>
        <w:rPr>
          <w:rStyle w:val="FootnoteReference"/>
        </w:rPr>
        <w:footnoteRef/>
      </w:r>
      <w:r>
        <w:t xml:space="preserve"> </w:t>
      </w:r>
      <w:r>
        <w:t xml:space="preserve">IETF, RFC 9460,</w:t>
      </w:r>
      <w:r>
        <w:t xml:space="preserve"> </w:t>
      </w:r>
      <w:r>
        <w:rPr>
          <w:i/>
          <w:iCs/>
        </w:rPr>
        <w:t xml:space="preserve">Service Binding and Parameter Specification via the DNS (SVCB and HTTPS Resource Records)</w:t>
      </w:r>
      <w:r>
        <w:t xml:space="preserve">, November 2023, §7,</w:t>
      </w:r>
      <w:r>
        <w:t xml:space="preserve"> </w:t>
      </w:r>
      <w:hyperlink r:id="rId896">
        <w:r>
          <w:rPr>
            <w:rStyle w:val="Hyperlink"/>
          </w:rPr>
          <w:t xml:space="preserve">https://www.rfc-editor.org/rfc/rfc9460</w:t>
        </w:r>
      </w:hyperlink>
      <w:r>
        <w:t xml:space="preserve">; publication date per</w:t>
      </w:r>
      <w:r>
        <w:t xml:space="preserve"> </w:t>
      </w:r>
      <w:hyperlink r:id="rId897">
        <w:r>
          <w:rPr>
            <w:rStyle w:val="Hyperlink"/>
          </w:rPr>
          <w:t xml:space="preserve">https://datatracker.ietf.org/doc/rfc9460/</w:t>
        </w:r>
      </w:hyperlink>
      <w:r>
        <w:t xml:space="preserve"> </w:t>
      </w:r>
      <w:r>
        <w:t xml:space="preserve">(both accessed Oct 20, 2026).</w:t>
      </w:r>
    </w:p>
  </w:footnote>
  <w:footnote w:id="898">
    <w:p>
      <w:pPr>
        <w:pStyle w:val="FootnoteText"/>
      </w:pPr>
      <w:r>
        <w:rPr>
          <w:rStyle w:val="FootnoteReference"/>
        </w:rPr>
        <w:footnoteRef/>
      </w:r>
      <w:r>
        <w:t xml:space="preserve"> </w:t>
      </w:r>
      <w:r>
        <w:t xml:space="preserve">IETF, RFC 9460,</w:t>
      </w:r>
      <w:r>
        <w:t xml:space="preserve"> </w:t>
      </w:r>
      <w:r>
        <w:rPr>
          <w:i/>
          <w:iCs/>
        </w:rPr>
        <w:t xml:space="preserve">Service Binding and Parameter Specification via the DNS (SVCB and HTTPS Resource Records)</w:t>
      </w:r>
      <w:r>
        <w:t xml:space="preserve">, November 2023, §7,</w:t>
      </w:r>
      <w:r>
        <w:t xml:space="preserve"> </w:t>
      </w:r>
      <w:hyperlink r:id="rId896">
        <w:r>
          <w:rPr>
            <w:rStyle w:val="Hyperlink"/>
          </w:rPr>
          <w:t xml:space="preserve">https://www.rfc-editor.org/rfc/rfc9460</w:t>
        </w:r>
      </w:hyperlink>
      <w:r>
        <w:t xml:space="preserve">; publication date per</w:t>
      </w:r>
      <w:r>
        <w:t xml:space="preserve"> </w:t>
      </w:r>
      <w:hyperlink r:id="rId897">
        <w:r>
          <w:rPr>
            <w:rStyle w:val="Hyperlink"/>
          </w:rPr>
          <w:t xml:space="preserve">https://datatracker.ietf.org/doc/rfc9460/</w:t>
        </w:r>
      </w:hyperlink>
      <w:r>
        <w:t xml:space="preserve"> </w:t>
      </w:r>
      <w:r>
        <w:t xml:space="preserve">(both accessed Oct 20, 2026).</w:t>
      </w:r>
    </w:p>
  </w:footnote>
  <w:footnote w:id="899">
    <w:p>
      <w:pPr>
        <w:pStyle w:val="FootnoteText"/>
      </w:pPr>
      <w:r>
        <w:rPr>
          <w:rStyle w:val="FootnoteReference"/>
        </w:rPr>
        <w:footnoteRef/>
      </w:r>
      <w:r>
        <w:t xml:space="preserve"> </w:t>
      </w:r>
      <w:r>
        <w:t xml:space="preserve">IETF, RFC 9848,</w:t>
      </w:r>
      <w:r>
        <w:t xml:space="preserve"> </w:t>
      </w:r>
      <w:r>
        <w:rPr>
          <w:i/>
          <w:iCs/>
        </w:rPr>
        <w:t xml:space="preserve">Bootstrapping TLS Encrypted ClientHello with DNS Service Bindings</w:t>
      </w:r>
      <w:r>
        <w:t xml:space="preserve">, March 2026,</w:t>
      </w:r>
      <w:r>
        <w:t xml:space="preserve"> </w:t>
      </w:r>
      <w:hyperlink r:id="rId900">
        <w:r>
          <w:rPr>
            <w:rStyle w:val="Hyperlink"/>
          </w:rPr>
          <w:t xml:space="preserve">https://www.rfc-editor.org/info/rfc9848</w:t>
        </w:r>
      </w:hyperlink>
      <w:r>
        <w:t xml:space="preserve">, and RFC 9849,</w:t>
      </w:r>
      <w:r>
        <w:t xml:space="preserve"> </w:t>
      </w:r>
      <w:r>
        <w:rPr>
          <w:i/>
          <w:iCs/>
        </w:rPr>
        <w:t xml:space="preserve">TLS Encrypted Client Hello</w:t>
      </w:r>
      <w:r>
        <w:t xml:space="preserve">,</w:t>
      </w:r>
      <w:r>
        <w:t xml:space="preserve"> </w:t>
      </w:r>
      <w:hyperlink r:id="rId901">
        <w:r>
          <w:rPr>
            <w:rStyle w:val="Hyperlink"/>
          </w:rPr>
          <w:t xml:space="preserve">https://www.rfc-editor.org/info/rfc9849</w:t>
        </w:r>
      </w:hyperlink>
      <w:r>
        <w:t xml:space="preserve"> </w:t>
      </w:r>
      <w:r>
        <w:t xml:space="preserve">(both accessed Oct 20, 2026).</w:t>
      </w:r>
    </w:p>
  </w:footnote>
  <w:footnote w:id="903">
    <w:p>
      <w:pPr>
        <w:pStyle w:val="FootnoteText"/>
      </w:pPr>
      <w:r>
        <w:rPr>
          <w:rStyle w:val="FootnoteReference"/>
        </w:rPr>
        <w:footnoteRef/>
      </w:r>
      <w:r>
        <w:t xml:space="preserve"> </w:t>
      </w:r>
      <w:r>
        <w:t xml:space="preserve">IETF, RFC 9364,</w:t>
      </w:r>
      <w:r>
        <w:t xml:space="preserve"> </w:t>
      </w:r>
      <w:r>
        <w:rPr>
          <w:i/>
          <w:iCs/>
        </w:rPr>
        <w:t xml:space="preserve">DNS Security Extensions (DNSSEC)</w:t>
      </w:r>
      <w:r>
        <w:t xml:space="preserve">, BCP 237, February 2023,</w:t>
      </w:r>
      <w:r>
        <w:t xml:space="preserve"> </w:t>
      </w:r>
      <w:hyperlink r:id="rId368">
        <w:r>
          <w:rPr>
            <w:rStyle w:val="Hyperlink"/>
          </w:rPr>
          <w:t xml:space="preserve">https://www.rfc-editor.org/rfc/rfc9364</w:t>
        </w:r>
      </w:hyperlink>
      <w:r>
        <w:t xml:space="preserve"> </w:t>
      </w:r>
      <w:r>
        <w:t xml:space="preserve">(accessed Oct 20, 2026).</w:t>
      </w:r>
    </w:p>
  </w:footnote>
  <w:footnote w:id="904">
    <w:p>
      <w:pPr>
        <w:pStyle w:val="FootnoteText"/>
      </w:pPr>
      <w:r>
        <w:rPr>
          <w:rStyle w:val="FootnoteReference"/>
        </w:rPr>
        <w:footnoteRef/>
      </w:r>
      <w:r>
        <w:t xml:space="preserve"> </w:t>
      </w:r>
      <w:r>
        <w:t xml:space="preserve">IETF, RFC 4034,</w:t>
      </w:r>
      <w:r>
        <w:t xml:space="preserve"> </w:t>
      </w:r>
      <w:r>
        <w:rPr>
          <w:i/>
          <w:iCs/>
        </w:rPr>
        <w:t xml:space="preserve">Resource Records for the DNS Security Extensions</w:t>
      </w:r>
      <w:r>
        <w:t xml:space="preserve">, March 2005,</w:t>
      </w:r>
      <w:r>
        <w:t xml:space="preserve"> </w:t>
      </w:r>
      <w:hyperlink r:id="rId366">
        <w:r>
          <w:rPr>
            <w:rStyle w:val="Hyperlink"/>
          </w:rPr>
          <w:t xml:space="preserve">https://www.rfc-editor.org/rfc/rfc4034</w:t>
        </w:r>
      </w:hyperlink>
      <w:r>
        <w:t xml:space="preserve"> </w:t>
      </w:r>
      <w:r>
        <w:t xml:space="preserve">(accessed Oct 20, 2026).</w:t>
      </w:r>
    </w:p>
  </w:footnote>
  <w:footnote w:id="905">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Public DNS; chain of trust, key rollover, RFC 9824 denial of existence),</w:t>
      </w:r>
      <w:r>
        <w:t xml:space="preserve"> </w:t>
      </w:r>
      <w:hyperlink r:id="rId255">
        <w:r>
          <w:rPr>
            <w:rStyle w:val="Hyperlink"/>
          </w:rPr>
          <w:t xml:space="preserve">https://learn.microsoft.com/en-us/azure/dns/dnssec</w:t>
        </w:r>
      </w:hyperlink>
      <w:r>
        <w:t xml:space="preserve"> </w:t>
      </w:r>
      <w:r>
        <w:t xml:space="preserve">(accessed Oct 20, 2026).</w:t>
      </w:r>
    </w:p>
  </w:footnote>
  <w:footnote w:id="906">
    <w:p>
      <w:pPr>
        <w:pStyle w:val="FootnoteText"/>
      </w:pPr>
      <w:r>
        <w:rPr>
          <w:rStyle w:val="FootnoteReference"/>
        </w:rPr>
        <w:footnoteRef/>
      </w:r>
      <w:r>
        <w:t xml:space="preserve"> </w:t>
      </w:r>
      <w:r>
        <w:t xml:space="preserve">IETF, RFC 4034,</w:t>
      </w:r>
      <w:r>
        <w:t xml:space="preserve"> </w:t>
      </w:r>
      <w:r>
        <w:rPr>
          <w:i/>
          <w:iCs/>
        </w:rPr>
        <w:t xml:space="preserve">Resource Records for the DNS Security Extensions</w:t>
      </w:r>
      <w:r>
        <w:t xml:space="preserve">, March 2005,</w:t>
      </w:r>
      <w:r>
        <w:t xml:space="preserve"> </w:t>
      </w:r>
      <w:hyperlink r:id="rId366">
        <w:r>
          <w:rPr>
            <w:rStyle w:val="Hyperlink"/>
          </w:rPr>
          <w:t xml:space="preserve">https://www.rfc-editor.org/rfc/rfc4034</w:t>
        </w:r>
      </w:hyperlink>
      <w:r>
        <w:t xml:space="preserve"> </w:t>
      </w:r>
      <w:r>
        <w:t xml:space="preserve">(accessed Oct 20, 2026).</w:t>
      </w:r>
    </w:p>
  </w:footnote>
  <w:footnote w:id="907">
    <w:p>
      <w:pPr>
        <w:pStyle w:val="FootnoteText"/>
      </w:pPr>
      <w:r>
        <w:rPr>
          <w:rStyle w:val="FootnoteReference"/>
        </w:rPr>
        <w:footnoteRef/>
      </w:r>
      <w:r>
        <w:t xml:space="preserve"> </w:t>
      </w:r>
      <w:r>
        <w:t xml:space="preserve">IETF, RFC 9276,</w:t>
      </w:r>
      <w:r>
        <w:t xml:space="preserve"> </w:t>
      </w:r>
      <w:r>
        <w:rPr>
          <w:i/>
          <w:iCs/>
        </w:rPr>
        <w:t xml:space="preserve">Guidance for NSEC3 Parameter Settings</w:t>
      </w:r>
      <w:r>
        <w:t xml:space="preserve">, BCP 236, August 2022, §3.1,</w:t>
      </w:r>
      <w:r>
        <w:t xml:space="preserve"> </w:t>
      </w:r>
      <w:hyperlink r:id="rId908">
        <w:r>
          <w:rPr>
            <w:rStyle w:val="Hyperlink"/>
          </w:rPr>
          <w:t xml:space="preserve">https://www.rfc-editor.org/rfc/rfc9276</w:t>
        </w:r>
      </w:hyperlink>
      <w:r>
        <w:t xml:space="preserve">; date and BCP number per</w:t>
      </w:r>
      <w:r>
        <w:t xml:space="preserve"> </w:t>
      </w:r>
      <w:hyperlink r:id="rId909">
        <w:r>
          <w:rPr>
            <w:rStyle w:val="Hyperlink"/>
          </w:rPr>
          <w:t xml:space="preserve">https://datatracker.ietf.org/doc/rfc9276/</w:t>
        </w:r>
      </w:hyperlink>
      <w:r>
        <w:t xml:space="preserve"> </w:t>
      </w:r>
      <w:r>
        <w:t xml:space="preserve">(both accessed Oct 20, 2026).</w:t>
      </w:r>
    </w:p>
  </w:footnote>
  <w:footnote w:id="910">
    <w:p>
      <w:pPr>
        <w:pStyle w:val="FootnoteText"/>
      </w:pPr>
      <w:r>
        <w:rPr>
          <w:rStyle w:val="FootnoteReference"/>
        </w:rPr>
        <w:footnoteRef/>
      </w:r>
      <w:r>
        <w:t xml:space="preserve"> </w:t>
      </w:r>
      <w:r>
        <w:t xml:space="preserve">IETF, RFC 9824,</w:t>
      </w:r>
      <w:r>
        <w:t xml:space="preserve"> </w:t>
      </w:r>
      <w:r>
        <w:rPr>
          <w:i/>
          <w:iCs/>
        </w:rPr>
        <w:t xml:space="preserve">Compact Denial of Existence in DNSSEC</w:t>
      </w:r>
      <w:r>
        <w:t xml:space="preserve">,</w:t>
      </w:r>
      <w:r>
        <w:t xml:space="preserve"> </w:t>
      </w:r>
      <w:hyperlink r:id="rId911">
        <w:r>
          <w:rPr>
            <w:rStyle w:val="Hyperlink"/>
          </w:rPr>
          <w:t xml:space="preserve">https://www.rfc-editor.org/info/rfc9824</w:t>
        </w:r>
      </w:hyperlink>
      <w:r>
        <w:t xml:space="preserve"> </w:t>
      </w:r>
      <w:r>
        <w:t xml:space="preserve">(accessed Oct 20, 2026).</w:t>
      </w:r>
    </w:p>
  </w:footnote>
  <w:footnote w:id="912">
    <w:p>
      <w:pPr>
        <w:pStyle w:val="FootnoteText"/>
      </w:pPr>
      <w:r>
        <w:rPr>
          <w:rStyle w:val="FootnoteReference"/>
        </w:rPr>
        <w:footnoteRef/>
      </w:r>
      <w:r>
        <w:t xml:space="preserve"> </w:t>
      </w:r>
      <w:r>
        <w:t xml:space="preserve">Microsoft Learn,</w:t>
      </w:r>
      <w:r>
        <w:t xml:space="preserve"> </w:t>
      </w:r>
      <w:r>
        <w:t xml:space="preserve">“DNSSEC overview”</w:t>
      </w:r>
      <w:r>
        <w:t xml:space="preserve"> </w:t>
      </w:r>
      <w:r>
        <w:t xml:space="preserve">(Azure Public DNS; chain of trust, key rollover, RFC 9824 denial of existence),</w:t>
      </w:r>
      <w:r>
        <w:t xml:space="preserve"> </w:t>
      </w:r>
      <w:hyperlink r:id="rId255">
        <w:r>
          <w:rPr>
            <w:rStyle w:val="Hyperlink"/>
          </w:rPr>
          <w:t xml:space="preserve">https://learn.microsoft.com/en-us/azure/dns/dnssec</w:t>
        </w:r>
      </w:hyperlink>
      <w:r>
        <w:t xml:space="preserve"> </w:t>
      </w:r>
      <w:r>
        <w:t xml:space="preserve">(accessed Oct 20, 2026).</w:t>
      </w:r>
    </w:p>
  </w:footnote>
  <w:footnote w:id="913">
    <w:p>
      <w:pPr>
        <w:pStyle w:val="FootnoteText"/>
      </w:pPr>
      <w:r>
        <w:rPr>
          <w:rStyle w:val="FootnoteReference"/>
        </w:rPr>
        <w:footnoteRef/>
      </w:r>
      <w:r>
        <w:t xml:space="preserve"> </w:t>
      </w:r>
      <w:r>
        <w:t xml:space="preserve">IETF, RFC 7344,</w:t>
      </w:r>
      <w:r>
        <w:t xml:space="preserve"> </w:t>
      </w:r>
      <w:r>
        <w:rPr>
          <w:i/>
          <w:iCs/>
        </w:rPr>
        <w:t xml:space="preserve">Automating DNSSEC Delegation Trust Maintenance</w:t>
      </w:r>
      <w:r>
        <w:t xml:space="preserve">, September 2014,</w:t>
      </w:r>
      <w:r>
        <w:t xml:space="preserve"> </w:t>
      </w:r>
      <w:hyperlink r:id="rId914">
        <w:r>
          <w:rPr>
            <w:rStyle w:val="Hyperlink"/>
          </w:rPr>
          <w:t xml:space="preserve">https://www.rfc-editor.org/rfc/rfc7344</w:t>
        </w:r>
      </w:hyperlink>
      <w:r>
        <w:t xml:space="preserve"> </w:t>
      </w:r>
      <w:r>
        <w:t xml:space="preserve">(accessed Oct 20, 2026).</w:t>
      </w:r>
    </w:p>
  </w:footnote>
  <w:footnote w:id="917">
    <w:p>
      <w:pPr>
        <w:pStyle w:val="FootnoteText"/>
      </w:pPr>
      <w:r>
        <w:rPr>
          <w:rStyle w:val="FootnoteReference"/>
        </w:rPr>
        <w:footnoteRef/>
      </w:r>
      <w:r>
        <w:t xml:space="preserve"> </w:t>
      </w:r>
      <w:r>
        <w:t xml:space="preserve">HashiCorp Terraform Registry,</w:t>
      </w:r>
      <w:r>
        <w:t xml:space="preserve"> </w:t>
      </w:r>
      <w:r>
        <w:t xml:space="preserve">“infobloxopen/infoblox”</w:t>
      </w:r>
      <w:r>
        <w:t xml:space="preserve"> </w:t>
      </w:r>
      <w:r>
        <w:t xml:space="preserve">(Infoblox NIOS Terraform Provider, partner tier),</w:t>
      </w:r>
      <w:r>
        <w:t xml:space="preserve"> </w:t>
      </w:r>
      <w:hyperlink r:id="rId918">
        <w:r>
          <w:rPr>
            <w:rStyle w:val="Hyperlink"/>
          </w:rPr>
          <w:t xml:space="preserve">https://registry.terraform.io/providers/infobloxopen/infoblox</w:t>
        </w:r>
      </w:hyperlink>
      <w:r>
        <w:t xml:space="preserve"> </w:t>
      </w:r>
      <w:r>
        <w:t xml:space="preserve">(accessed Oct 20, 2026). Third-party source.</w:t>
      </w:r>
    </w:p>
  </w:footnote>
  <w:footnote w:id="919">
    <w:p>
      <w:pPr>
        <w:pStyle w:val="FootnoteText"/>
      </w:pPr>
      <w:r>
        <w:rPr>
          <w:rStyle w:val="FootnoteReference"/>
        </w:rPr>
        <w:footnoteRef/>
      </w:r>
      <w:r>
        <w:t xml:space="preserve"> </w:t>
      </w:r>
      <w:r>
        <w:t xml:space="preserve">HashiCorp Terraform Registry,</w:t>
      </w:r>
      <w:r>
        <w:t xml:space="preserve"> </w:t>
      </w:r>
      <w:r>
        <w:t xml:space="preserve">“infobloxopen/bloxone”</w:t>
      </w:r>
      <w:r>
        <w:t xml:space="preserve"> </w:t>
      </w:r>
      <w:r>
        <w:t xml:space="preserve">(Universal DDI provider, partner tier),</w:t>
      </w:r>
      <w:r>
        <w:t xml:space="preserve"> </w:t>
      </w:r>
      <w:hyperlink r:id="rId920">
        <w:r>
          <w:rPr>
            <w:rStyle w:val="Hyperlink"/>
          </w:rPr>
          <w:t xml:space="preserve">https://registry.terraform.io/providers/infobloxopen/bloxone</w:t>
        </w:r>
      </w:hyperlink>
      <w:r>
        <w:t xml:space="preserve"> </w:t>
      </w:r>
      <w:r>
        <w:t xml:space="preserve">(accessed Oct 20, 2026). Third-party source.</w:t>
      </w:r>
    </w:p>
  </w:footnote>
  <w:footnote w:id="921">
    <w:p>
      <w:pPr>
        <w:pStyle w:val="FootnoteText"/>
      </w:pPr>
      <w:r>
        <w:rPr>
          <w:rStyle w:val="FootnoteReference"/>
        </w:rPr>
        <w:footnoteRef/>
      </w:r>
      <w:r>
        <w:t xml:space="preserve"> </w:t>
      </w:r>
      <w:r>
        <w:t xml:space="preserve">Ansible Documentation,</w:t>
      </w:r>
      <w:r>
        <w:t xml:space="preserve"> </w:t>
      </w:r>
      <w:r>
        <w:t xml:space="preserve">“Infoblox.Nios_Modules,”</w:t>
      </w:r>
      <w:r>
        <w:t xml:space="preserve"> </w:t>
      </w:r>
      <w:hyperlink r:id="rId922">
        <w:r>
          <w:rPr>
            <w:rStyle w:val="Hyperlink"/>
          </w:rPr>
          <w:t xml:space="preserve">https://docs.ansible.com/ansible/latest/collections/infoblox/nios_modules/index.html</w:t>
        </w:r>
      </w:hyperlink>
      <w:r>
        <w:t xml:space="preserve"> </w:t>
      </w:r>
      <w:r>
        <w:t xml:space="preserve">(accessed Oct 20, 2026). Third-party source.</w:t>
      </w:r>
    </w:p>
  </w:footnote>
  <w:footnote w:id="923">
    <w:p>
      <w:pPr>
        <w:pStyle w:val="FootnoteText"/>
      </w:pPr>
      <w:r>
        <w:rPr>
          <w:rStyle w:val="FootnoteReference"/>
        </w:rPr>
        <w:footnoteRef/>
      </w:r>
      <w:r>
        <w:t xml:space="preserve"> </w:t>
      </w:r>
      <w:r>
        <w:t xml:space="preserve">Amazon Web Services,</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only),</w:t>
      </w:r>
      <w:r>
        <w:t xml:space="preserve"> </w:t>
      </w:r>
      <w:hyperlink r:id="rId511">
        <w:r>
          <w:rPr>
            <w:rStyle w:val="Hyperlink"/>
          </w:rPr>
          <w:t xml:space="preserve">https://docs.aws.amazon.com/vpc/latest/ipam/integrate-infoblox-ipam.html</w:t>
        </w:r>
      </w:hyperlink>
      <w:r>
        <w:t xml:space="preserve"> </w:t>
      </w:r>
      <w:r>
        <w:t xml:space="preserve">(accessed Oct 20, 2026).</w:t>
      </w:r>
    </w:p>
  </w:footnote>
  <w:footnote w:id="924">
    <w:p>
      <w:pPr>
        <w:pStyle w:val="FootnoteText"/>
      </w:pPr>
      <w:r>
        <w:rPr>
          <w:rStyle w:val="FootnoteReference"/>
        </w:rPr>
        <w:footnoteRef/>
      </w:r>
      <w:r>
        <w:t xml:space="preserve"> </w:t>
      </w:r>
      <w:r>
        <w:t xml:space="preserve">Infoblox Documentation, NetMRI rogue DHCP server detection with NIOS,</w:t>
      </w:r>
      <w:r>
        <w:t xml:space="preserve"> </w:t>
      </w:r>
      <w:hyperlink r:id="rId925">
        <w:r>
          <w:rPr>
            <w:rStyle w:val="Hyperlink"/>
          </w:rPr>
          <w:t xml:space="preserve">https://infoblox-docs.atlassian.net/wiki/x/9o3v</w:t>
        </w:r>
      </w:hyperlink>
      <w:r>
        <w:t xml:space="preserve"> </w:t>
      </w:r>
      <w:r>
        <w:t xml:space="preserve">(accessed Oct 20, 2026). Third-party source.</w:t>
      </w:r>
    </w:p>
  </w:footnote>
  <w:footnote w:id="926">
    <w:p>
      <w:pPr>
        <w:pStyle w:val="FootnoteText"/>
      </w:pPr>
      <w:r>
        <w:rPr>
          <w:rStyle w:val="FootnoteReference"/>
        </w:rPr>
        <w:footnoteRef/>
      </w:r>
      <w:r>
        <w:t xml:space="preserve"> </w:t>
      </w:r>
      <w:r>
        <w:t xml:space="preserve">Microsoft Learn,</w:t>
      </w:r>
      <w:r>
        <w:t xml:space="preserve"> </w:t>
      </w:r>
      <w:r>
        <w:t xml:space="preserve">“Find your Microsoft Sentinel data connector”</w:t>
      </w:r>
      <w:r>
        <w:t xml:space="preserve"> </w:t>
      </w:r>
      <w:r>
        <w:t xml:space="preserve">(Infoblox Cloud Data Connector and Infoblox data connectors),</w:t>
      </w:r>
      <w:r>
        <w:t xml:space="preserve"> </w:t>
      </w:r>
      <w:hyperlink r:id="rId927">
        <w:r>
          <w:rPr>
            <w:rStyle w:val="Hyperlink"/>
          </w:rPr>
          <w:t xml:space="preserve">https://learn.microsoft.com/en-us/azure/sentinel/data-connectors-reference</w:t>
        </w:r>
      </w:hyperlink>
      <w:r>
        <w:t xml:space="preserve">, and</w:t>
      </w:r>
      <w:r>
        <w:t xml:space="preserve"> </w:t>
      </w:r>
      <w:r>
        <w:t xml:space="preserve">“Syslog via AMA connector — configure appliances and devices,”</w:t>
      </w:r>
      <w:r>
        <w:t xml:space="preserve"> </w:t>
      </w:r>
      <w:r>
        <w:t xml:space="preserve">section</w:t>
      </w:r>
      <w:r>
        <w:t xml:space="preserve"> </w:t>
      </w:r>
      <w:r>
        <w:t xml:space="preserve">“Infoblox Network Identity Operating System (NIOS),”</w:t>
      </w:r>
      <w:r>
        <w:t xml:space="preserve"> </w:t>
      </w:r>
      <w:hyperlink r:id="rId928">
        <w:r>
          <w:rPr>
            <w:rStyle w:val="Hyperlink"/>
          </w:rPr>
          <w:t xml:space="preserve">https://learn.microsoft.com/en-us/azure/sentinel/unified-connector-syslog-device</w:t>
        </w:r>
      </w:hyperlink>
      <w:r>
        <w:t xml:space="preserve"> </w:t>
      </w:r>
      <w:r>
        <w:t xml:space="preserve">(both accessed Oct 20, 2026).</w:t>
      </w:r>
    </w:p>
  </w:footnote>
  <w:footnote w:id="929">
    <w:p>
      <w:pPr>
        <w:pStyle w:val="FootnoteText"/>
      </w:pPr>
      <w:r>
        <w:rPr>
          <w:rStyle w:val="FootnoteReference"/>
        </w:rPr>
        <w:footnoteRef/>
      </w:r>
      <w:r>
        <w:t xml:space="preserve"> </w:t>
      </w:r>
      <w:r>
        <w:t xml:space="preserve">Splunk Documentation,</w:t>
      </w:r>
      <w:r>
        <w:t xml:space="preserve"> </w:t>
      </w:r>
      <w:r>
        <w:t xml:space="preserve">“About the Splunk Add-on for Infoblox,”</w:t>
      </w:r>
      <w:r>
        <w:t xml:space="preserve"> </w:t>
      </w:r>
      <w:hyperlink r:id="rId930">
        <w:r>
          <w:rPr>
            <w:rStyle w:val="Hyperlink"/>
          </w:rPr>
          <w:t xml:space="preserve">https://docs.splunk.com/Documentation/AddOns/latest/Infoblox</w:t>
        </w:r>
      </w:hyperlink>
      <w:r>
        <w:t xml:space="preserve"> </w:t>
      </w:r>
      <w:r>
        <w:t xml:space="preserve">(accessed Oct 20, 2026). Third-party source.</w:t>
      </w:r>
    </w:p>
  </w:footnote>
  <w:footnote w:id="931">
    <w:p>
      <w:pPr>
        <w:pStyle w:val="FootnoteText"/>
      </w:pPr>
      <w:r>
        <w:rPr>
          <w:rStyle w:val="FootnoteReference"/>
        </w:rPr>
        <w:footnoteRef/>
      </w:r>
      <w:r>
        <w:t xml:space="preserve"> </w:t>
      </w:r>
      <w:r>
        <w:t xml:space="preserve">ServiceNow Store,</w:t>
      </w:r>
      <w:r>
        <w:t xml:space="preserve"> </w:t>
      </w:r>
      <w:r>
        <w:t xml:space="preserve">“Service Graph Connector for Infoblox,”</w:t>
      </w:r>
      <w:r>
        <w:t xml:space="preserve"> </w:t>
      </w:r>
      <w:hyperlink r:id="rId932">
        <w:r>
          <w:rPr>
            <w:rStyle w:val="Hyperlink"/>
          </w:rPr>
          <w:t xml:space="preserve">https://store.servicenow.com/store/app/eeb927621b246a50a85b16db234bcbf1</w:t>
        </w:r>
      </w:hyperlink>
      <w:r>
        <w:t xml:space="preserve"> </w:t>
      </w:r>
      <w:r>
        <w:t xml:space="preserve">(accessed Oct 20, 2026). Third-party source.</w:t>
      </w:r>
    </w:p>
  </w:footnote>
  <w:footnote w:id="933">
    <w:p>
      <w:pPr>
        <w:pStyle w:val="FootnoteText"/>
      </w:pPr>
      <w:r>
        <w:rPr>
          <w:rStyle w:val="FootnoteReference"/>
        </w:rPr>
        <w:footnoteRef/>
      </w:r>
      <w:r>
        <w:t xml:space="preserve"> </w:t>
      </w:r>
      <w:r>
        <w:t xml:space="preserve">Infoblox,</w:t>
      </w:r>
      <w:r>
        <w:t xml:space="preserve"> </w:t>
      </w:r>
      <w:r>
        <w:rPr>
          <w:i/>
          <w:iCs/>
        </w:rPr>
        <w:t xml:space="preserve">PAN Firewall &amp; Infoblox NIOS Outbound API Integration</w:t>
      </w:r>
      <w:r>
        <w:t xml:space="preserve">, deployment guide, December 2023,</w:t>
      </w:r>
      <w:r>
        <w:t xml:space="preserve"> </w:t>
      </w:r>
      <w:hyperlink r:id="rId934">
        <w:r>
          <w:rPr>
            <w:rStyle w:val="Hyperlink"/>
          </w:rPr>
          <w:t xml:space="preserve">https://infoblox.com/resources/deployment-guides/infoblox-nios-integration-with-palo-alto-networks-firewall</w:t>
        </w:r>
      </w:hyperlink>
      <w:r>
        <w:t xml:space="preserve"> </w:t>
      </w:r>
      <w:r>
        <w:t xml:space="preserve">(accessed Oct 20, 2026). Third-party source.</w:t>
      </w:r>
    </w:p>
  </w:footnote>
  <w:footnote w:id="935">
    <w:p>
      <w:pPr>
        <w:pStyle w:val="FootnoteText"/>
      </w:pPr>
      <w:r>
        <w:rPr>
          <w:rStyle w:val="FootnoteReference"/>
        </w:rPr>
        <w:footnoteRef/>
      </w:r>
      <w:r>
        <w:t xml:space="preserve"> </w:t>
      </w:r>
      <w:r>
        <w:t xml:space="preserve">Infoblox,</w:t>
      </w:r>
      <w:r>
        <w:t xml:space="preserve"> </w:t>
      </w:r>
      <w:r>
        <w:rPr>
          <w:i/>
          <w:iCs/>
        </w:rPr>
        <w:t xml:space="preserve">Tenable.io + Infoblox NIOS Outbound API Integration</w:t>
      </w:r>
      <w:r>
        <w:t xml:space="preserve">, deployment guide,</w:t>
      </w:r>
      <w:r>
        <w:t xml:space="preserve"> </w:t>
      </w:r>
      <w:hyperlink r:id="rId936">
        <w:r>
          <w:rPr>
            <w:rStyle w:val="Hyperlink"/>
          </w:rPr>
          <w:t xml:space="preserve">https://infoblox.com/resources/deployment-guides/integration-with-tenable-io</w:t>
        </w:r>
      </w:hyperlink>
      <w:r>
        <w:t xml:space="preserve"> </w:t>
      </w:r>
      <w:r>
        <w:t xml:space="preserve">(accessed Oct 20, 2026). Third-party source.</w:t>
      </w:r>
    </w:p>
  </w:footnote>
  <w:footnote w:id="93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CM-3, Configuration Change Control,</w:t>
      </w:r>
      <w:r>
        <w:t xml:space="preserve"> </w:t>
      </w:r>
      <w:hyperlink r:id="rId139">
        <w:r>
          <w:rPr>
            <w:rStyle w:val="Hyperlink"/>
          </w:rPr>
          <w:t xml:space="preserve">https://csrc.nist.gov/pubs/sp/800/53/r5/upd1/final</w:t>
        </w:r>
      </w:hyperlink>
      <w:r>
        <w:t xml:space="preserve">; control text checked against NIST’s OSCAL Rev. 5 catalog,</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4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§III.C (Networks), action 1, and</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94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§III.C (Networks), action 1, and</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948">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132">
        <w:r>
          <w:rPr>
            <w:rStyle w:val="Hyperlink"/>
          </w:rPr>
          <w:t xml:space="preserve">https://www.cisa.gov/resources-tools/services/protective-domain-name-system-dns-resolver</w:t>
        </w:r>
      </w:hyperlink>
      <w:r>
        <w:t xml:space="preserve"> </w:t>
      </w:r>
      <w:r>
        <w:t xml:space="preserve">(accessed Oct 20, 2026).</w:t>
      </w:r>
    </w:p>
  </w:footnote>
  <w:footnote w:id="949">
    <w:p>
      <w:pPr>
        <w:pStyle w:val="FootnoteText"/>
      </w:pPr>
      <w:r>
        <w:rPr>
          <w:rStyle w:val="FootnoteReference"/>
        </w:rPr>
        <w:footnoteRef/>
      </w:r>
      <w:r>
        <w:t xml:space="preserve"> </w:t>
      </w:r>
      <w:r>
        <w:t xml:space="preserve">Cybersecurity and Infrastructure Security Agency,</w:t>
      </w:r>
      <w:r>
        <w:t xml:space="preserve"> </w:t>
      </w:r>
      <w:r>
        <w:rPr>
          <w:i/>
          <w:iCs/>
        </w:rPr>
        <w:t xml:space="preserve">Encrypted DNS Implementation Guidance</w:t>
      </w:r>
      <w:r>
        <w:t xml:space="preserve">, May 16, 2024,</w:t>
      </w:r>
      <w:r>
        <w:t xml:space="preserve"> </w:t>
      </w:r>
      <w:hyperlink r:id="rId115">
        <w:r>
          <w:rPr>
            <w:rStyle w:val="Hyperlink"/>
          </w:rPr>
          <w:t xml:space="preserve">https://www.cisa.gov/resources-tools/resources/encrypted-dns-implementation-guidance</w:t>
        </w:r>
      </w:hyperlink>
      <w:r>
        <w:t xml:space="preserve"> </w:t>
      </w:r>
      <w:r>
        <w:t xml:space="preserve">(accessed Oct 20, 2026).</w:t>
      </w:r>
    </w:p>
  </w:footnote>
  <w:footnote w:id="950">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§II (reach EL1 within one year), Table 2 (EL1 Basic Requirements,</w:t>
      </w:r>
      <w:r>
        <w:t xml:space="preserve"> </w:t>
      </w:r>
      <w:r>
        <w:t xml:space="preserve">“Passive DNS”</w:t>
      </w:r>
      <w:r>
        <w:t xml:space="preserve">) and Appendix C (logging requirements),</w:t>
      </w:r>
      <w:r>
        <w:t xml:space="preserve"> </w:t>
      </w:r>
      <w:hyperlink r:id="rId136">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951">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2">
        <w:r>
          <w:rPr>
            <w:rStyle w:val="Hyperlink"/>
          </w:rPr>
          <w:t xml:space="preserve">https://georgewbush-whitehouse.archives.gov/omb/memoranda/fy2008/m08-23.pdf</w:t>
        </w:r>
      </w:hyperlink>
      <w:r>
        <w:t xml:space="preserve"> </w:t>
      </w:r>
      <w:r>
        <w:t xml:space="preserve">(accessed Oct 20, 2026).</w:t>
      </w:r>
    </w:p>
  </w:footnote>
  <w:footnote w:id="952">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53">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54">
    <w:p>
      <w:pPr>
        <w:pStyle w:val="FootnoteText"/>
      </w:pPr>
      <w:r>
        <w:rPr>
          <w:rStyle w:val="FootnoteReference"/>
        </w:rPr>
        <w:footnoteRef/>
      </w:r>
      <w:r>
        <w:t xml:space="preserve"> </w:t>
      </w:r>
      <w:r>
        <w:t xml:space="preserve">Cybersecurity and Infrastructure Security Agency,</w:t>
      </w:r>
      <w:r>
        <w:t xml:space="preserve"> </w:t>
      </w:r>
      <w:r>
        <w:rPr>
          <w:i/>
          <w:iCs/>
        </w:rPr>
        <w:t xml:space="preserve">Trusted Internet Connections 3.0, TIC Core Guidance Volume 3: Security Capabilities Catalog</w:t>
      </w:r>
      <w:r>
        <w:t xml:space="preserve">, Version 3.3, September 2026, Table 9 (Domain Name System PEP Security Capabilities, 3.PEP.DO.DNSIN, DNVAC, DNVAD, DNMON and PDSER) and Web PEP capability 3.PEP.WE.DRESF,</w:t>
      </w:r>
      <w:r>
        <w:t xml:space="preserve"> </w:t>
      </w:r>
      <w:hyperlink r:id="rId143">
        <w:r>
          <w:rPr>
            <w:rStyle w:val="Hyperlink"/>
          </w:rPr>
          <w:t xml:space="preserve">https://www.cisa.gov/sites/default/files/2026-09/TIC_3.0_Security_Capabilities_Catalogs_September_2026_17.pdf</w:t>
        </w:r>
      </w:hyperlink>
      <w:r>
        <w:t xml:space="preserve"> </w:t>
      </w:r>
      <w:r>
        <w:t xml:space="preserve">(accessed Oct 20, 2026).</w:t>
      </w:r>
    </w:p>
  </w:footnote>
  <w:footnote w:id="955">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141">
        <w:r>
          <w:rPr>
            <w:rStyle w:val="Hyperlink"/>
          </w:rPr>
          <w:t xml:space="preserve">https://www.whitehouse.gov/wp-content/uploads/2020/11/M-21-07.pdf</w:t>
        </w:r>
      </w:hyperlink>
      <w:r>
        <w:t xml:space="preserve"> </w:t>
      </w:r>
      <w:r>
        <w:t xml:space="preserve">(accessed Oct 20, 2026).</w:t>
      </w:r>
    </w:p>
  </w:footnote>
  <w:footnote w:id="956">
    <w:p>
      <w:pPr>
        <w:pStyle w:val="FootnoteText"/>
      </w:pPr>
      <w:r>
        <w:rPr>
          <w:rStyle w:val="FootnoteReference"/>
        </w:rPr>
        <w:footnoteRef/>
      </w:r>
      <w:r>
        <w:t xml:space="preserve"> </w:t>
      </w:r>
      <w:r>
        <w:t xml:space="preserve">Cybersecurity and Infrastructure Security Agency, Binding Operational Directive 18-01,</w:t>
      </w:r>
      <w:r>
        <w:t xml:space="preserve"> </w:t>
      </w:r>
      <w:r>
        <w:rPr>
          <w:i/>
          <w:iCs/>
        </w:rPr>
        <w:t xml:space="preserve">Enhance Email and Web Security</w:t>
      </w:r>
      <w:r>
        <w:t xml:space="preserve">, October 16, 2017,</w:t>
      </w:r>
      <w:r>
        <w:t xml:space="preserve"> </w:t>
      </w:r>
      <w:hyperlink r:id="rId888">
        <w:r>
          <w:rPr>
            <w:rStyle w:val="Hyperlink"/>
          </w:rPr>
          <w:t xml:space="preserve">https://www.cisa.gov/news-events/directives/bod-18-01-enhance-email-and-web-security</w:t>
        </w:r>
      </w:hyperlink>
      <w:r>
        <w:t xml:space="preserve"> </w:t>
      </w:r>
      <w:r>
        <w:t xml:space="preserve">(accessed Oct 20, 2026).</w:t>
      </w:r>
    </w:p>
  </w:footnote>
  <w:footnote w:id="95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58">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w:t>
      </w:r>
      <w:r>
        <w:t xml:space="preserve"> </w:t>
      </w:r>
      <w:hyperlink r:id="rId77">
        <w:r>
          <w:rPr>
            <w:rStyle w:val="Hyperlink"/>
          </w:rPr>
          <w:t xml:space="preserve">https://www.cisa.gov/zero-trust-maturity-model</w:t>
        </w:r>
      </w:hyperlink>
      <w:r>
        <w:t xml:space="preserve"> </w:t>
      </w:r>
      <w:r>
        <w:t xml:space="preserve">(accessed Oct 20, 2026).</w:t>
      </w:r>
    </w:p>
  </w:footnote>
  <w:footnote w:id="959">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60">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 Executive Summary and §1.2,</w:t>
      </w:r>
      <w:r>
        <w:t xml:space="preserve"> </w:t>
      </w:r>
      <w:hyperlink r:id="rId24">
        <w:r>
          <w:rPr>
            <w:rStyle w:val="Hyperlink"/>
          </w:rPr>
          <w:t xml:space="preserve">https://csrc.nist.gov/pubs/sp/800/81/r3/final</w:t>
        </w:r>
      </w:hyperlink>
      <w:r>
        <w:t xml:space="preserve"> </w:t>
      </w:r>
      <w:r>
        <w:t xml:space="preserve">(accessed Oct 20, 2026).</w:t>
      </w:r>
    </w:p>
  </w:footnote>
  <w:footnote w:id="961">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153">
        <w:r>
          <w:rPr>
            <w:rStyle w:val="Hyperlink"/>
          </w:rPr>
          <w:t xml:space="preserve">https://www.fedramp.gov/2026/agencies/use/</w:t>
        </w:r>
      </w:hyperlink>
      <w:r>
        <w:t xml:space="preserve"> </w:t>
      </w:r>
      <w:r>
        <w:t xml:space="preserve">(accessed Oct 20, 2026).</w:t>
      </w:r>
    </w:p>
  </w:footnote>
  <w:footnote w:id="963">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64">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65">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66">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67">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 membership checked against NIST’s OSCAL Rev. 5 Moderate baseline profile,</w:t>
      </w:r>
      <w:r>
        <w:t xml:space="preserve"> </w:t>
      </w:r>
      <w:hyperlink r:id="rId938">
        <w:r>
          <w:rPr>
            <w:rStyle w:val="Hyperlink"/>
          </w:rPr>
          <w:t xml:space="preserve">https://github.com/usnistgov/oscal-content/tree/main/nist.gov/SP800-53/rev5</w:t>
        </w:r>
      </w:hyperlink>
      <w:r>
        <w:t xml:space="preserve"> </w:t>
      </w:r>
      <w:r>
        <w:t xml:space="preserve">(accessed Oct 20, 2026).</w:t>
      </w:r>
    </w:p>
  </w:footnote>
  <w:footnote w:id="968">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139">
        <w:r>
          <w:rPr>
            <w:rStyle w:val="Hyperlink"/>
          </w:rPr>
          <w:t xml:space="preserve">https://csrc.nist.gov/pubs/sp/800/53/r5/upd1/final</w:t>
        </w:r>
      </w:hyperlink>
      <w:r>
        <w:t xml:space="preserve">; control text checked against NIST’s OSCAL Rev. 5 catalog (version 5.2.0),</w:t>
      </w:r>
      <w:r>
        <w:t xml:space="preserve"> </w:t>
      </w:r>
      <w:hyperlink r:id="rId938">
        <w:r>
          <w:rPr>
            <w:rStyle w:val="Hyperlink"/>
          </w:rPr>
          <w:t xml:space="preserve">https://github.com/usnistgov/oscal-content/tree/main/nist.gov/SP800-53/rev5</w:t>
        </w:r>
      </w:hyperlink>
      <w:r>
        <w:t xml:space="preserve"> </w:t>
      </w:r>
      <w:r>
        <w:t xml:space="preserve">(both accessed Oct 20, 2026).</w:t>
      </w:r>
    </w:p>
  </w:footnote>
  <w:footnote w:id="989">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349">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990">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(Microsoft 365 Worldwide, including GCC),</w:t>
      </w:r>
      <w:r>
        <w:t xml:space="preserve"> </w:t>
      </w:r>
      <w:hyperlink r:id="rId103">
        <w:r>
          <w:rPr>
            <w:rStyle w:val="Hyperlink"/>
          </w:rPr>
          <w:t xml:space="preserve">https://learn.microsoft.com/en-us/microsoft-365/enterprise/urls-and-ip-address-ranges?view=o365-worldwide</w:t>
        </w:r>
      </w:hyperlink>
      <w:r>
        <w:t xml:space="preserve"> </w:t>
      </w:r>
      <w:r>
        <w:t xml:space="preserve">(accessed Oct 20, 2026).</w:t>
      </w:r>
    </w:p>
  </w:footnote>
  <w:footnote w:id="991">
    <w:p>
      <w:pPr>
        <w:pStyle w:val="FootnoteText"/>
      </w:pPr>
      <w:r>
        <w:rPr>
          <w:rStyle w:val="FootnoteReference"/>
        </w:rPr>
        <w:footnoteRef/>
      </w:r>
      <w:r>
        <w:t xml:space="preserve"> </w:t>
      </w:r>
      <w:r>
        <w:t xml:space="preserve">FedRAMP Marketplace, Microsoft 365 Government Community Cloud &amp; Supporting Services (package MSO365MT): FedRAMP Certified, Class C (Moderate), Rev5, agency path,</w:t>
      </w:r>
      <w:r>
        <w:t xml:space="preserve"> </w:t>
      </w:r>
      <w:hyperlink r:id="rId970">
        <w:r>
          <w:rPr>
            <w:rStyle w:val="Hyperlink"/>
          </w:rPr>
          <w:t xml:space="preserve">https://www.fedramp.gov/marketplace/products/MSO365MT/</w:t>
        </w:r>
      </w:hyperlink>
      <w:r>
        <w:t xml:space="preserve"> </w:t>
      </w:r>
      <w:r>
        <w:t xml:space="preserve">(accessed Oct 20, 2026).</w:t>
      </w:r>
    </w:p>
  </w:footnote>
  <w:footnote w:id="992">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349">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993">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153">
        <w:r>
          <w:rPr>
            <w:rStyle w:val="Hyperlink"/>
          </w:rPr>
          <w:t xml:space="preserve">https://www.fedramp.gov/2026/agencies/use/</w:t>
        </w:r>
      </w:hyperlink>
      <w:r>
        <w:t xml:space="preserve"> </w:t>
      </w:r>
      <w:r>
        <w:t xml:space="preserve">(accessed Oct 20, 2026).</w:t>
      </w:r>
    </w:p>
  </w:footnote>
  <w:footnote w:id="994">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(supported SD-WAN: Cisco IOS XE SD-WAN 20.4/17.4 or later),</w:t>
      </w:r>
      <w:r>
        <w:t xml:space="preserve"> </w:t>
      </w:r>
      <w:hyperlink r:id="rId34">
        <w:r>
          <w:rPr>
            <w:rStyle w:val="Hyperlink"/>
          </w:rPr>
          <w:t xml:space="preserve">https://learn.microsoft.com/en-us/microsoft-365/enterprise/office-365-network-mac-perf-cpe?view=o365-worldwide</w:t>
        </w:r>
      </w:hyperlink>
      <w:r>
        <w:t xml:space="preserve"> </w:t>
      </w:r>
      <w:r>
        <w:t xml:space="preserve">(accessed Oct 20, 2026).</w:t>
      </w:r>
    </w:p>
  </w:footnote>
  <w:footnote w:id="995">
    <w:p>
      <w:pPr>
        <w:pStyle w:val="FootnoteText"/>
      </w:pPr>
      <w:r>
        <w:rPr>
          <w:rStyle w:val="FootnoteReference"/>
        </w:rPr>
        <w:footnoteRef/>
      </w:r>
      <w:r>
        <w:t xml:space="preserve"> </w:t>
      </w:r>
      <w:r>
        <w:t xml:space="preserve">Amazon Web Services,</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only; VPC IPAM Advanced Tier prerequisite),</w:t>
      </w:r>
      <w:r>
        <w:t xml:space="preserve"> </w:t>
      </w:r>
      <w:hyperlink r:id="rId511">
        <w:r>
          <w:rPr>
            <w:rStyle w:val="Hyperlink"/>
          </w:rPr>
          <w:t xml:space="preserve">https://docs.aws.amazon.com/vpc/latest/ipam/integrate-infoblox-ipam.html</w:t>
        </w:r>
      </w:hyperlink>
      <w:r>
        <w:t xml:space="preserve"> </w:t>
      </w:r>
      <w:r>
        <w:t xml:space="preserve">(accessed Oct 20, 2026).</w:t>
      </w:r>
    </w:p>
  </w:footnote>
  <w:footnote w:id="996">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(Microsoft 365 Worldwide, including GCC),</w:t>
      </w:r>
      <w:r>
        <w:t xml:space="preserve"> </w:t>
      </w:r>
      <w:hyperlink r:id="rId103">
        <w:r>
          <w:rPr>
            <w:rStyle w:val="Hyperlink"/>
          </w:rPr>
          <w:t xml:space="preserve">https://learn.microsoft.com/en-us/microsoft-365/enterprise/urls-and-ip-address-ranges?view=o365-worldwide</w:t>
        </w:r>
      </w:hyperlink>
      <w:r>
        <w:t xml:space="preserve"> </w:t>
      </w:r>
      <w:r>
        <w:t xml:space="preserve">(accessed Oct 20, 2026).</w:t>
      </w:r>
    </w:p>
  </w:footnote>
  <w:footnote w:id="998">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45">
        <w:r>
          <w:rPr>
            <w:rStyle w:val="Hyperlink"/>
          </w:rPr>
          <w:t xml:space="preserve">https://learn.microsoft.com/en-us/microsoft-365/enterprise/microsoft-365-u-s-government-gcc-high-endpoints?view=o365-worldwide</w:t>
        </w:r>
      </w:hyperlink>
      <w:r>
        <w:t xml:space="preserve"> </w:t>
      </w:r>
      <w:r>
        <w:t xml:space="preserve">(accessed Oct 20, 2026).</w:t>
      </w:r>
    </w:p>
  </w:footnote>
  <w:footnote w:id="999">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(supported SD-WAN: Cisco IOS XE SD-WAN 20.4/17.4 or later),</w:t>
      </w:r>
      <w:r>
        <w:t xml:space="preserve"> </w:t>
      </w:r>
      <w:hyperlink r:id="rId34">
        <w:r>
          <w:rPr>
            <w:rStyle w:val="Hyperlink"/>
          </w:rPr>
          <w:t xml:space="preserve">https://learn.microsoft.com/en-us/microsoft-365/enterprise/office-365-network-mac-perf-cpe?view=o365-worldwide</w:t>
        </w:r>
      </w:hyperlink>
      <w:r>
        <w:t xml:space="preserve"> </w:t>
      </w:r>
      <w:r>
        <w:t xml:space="preserve">(accessed Oct 20, 2026).</w:t>
      </w:r>
    </w:p>
  </w:footnote>
  <w:footnote w:id="1000">
    <w:p>
      <w:pPr>
        <w:pStyle w:val="FootnoteText"/>
      </w:pPr>
      <w:r>
        <w:rPr>
          <w:rStyle w:val="FootnoteReference"/>
        </w:rPr>
        <w:footnoteRef/>
      </w:r>
      <w:r>
        <w:t xml:space="preserve"> </w:t>
      </w:r>
      <w:r>
        <w:t xml:space="preserve">Amazon Web Services,</w:t>
      </w:r>
      <w:r>
        <w:t xml:space="preserve"> </w:t>
      </w:r>
      <w:r>
        <w:t xml:space="preserve">“Amazon VPC IPAM automates IP assignments from Infoblox IPAM,”</w:t>
      </w:r>
      <w:r>
        <w:t xml:space="preserve"> </w:t>
      </w:r>
      <w:r>
        <w:t xml:space="preserve">November 17, 2025 (available in all AWS Regions where VPC IPAM is supported, except the AWS China and AWS GovCloud (US) Regions),</w:t>
      </w:r>
      <w:r>
        <w:t xml:space="preserve"> </w:t>
      </w:r>
      <w:hyperlink r:id="rId510">
        <w:r>
          <w:rPr>
            <w:rStyle w:val="Hyperlink"/>
          </w:rPr>
          <w:t xml:space="preserve">https://aws.amazon.com/about-aws/whats-new/2025/11/amazon-vpc-ipam-automates-ip-from-infoblox/</w:t>
        </w:r>
      </w:hyperlink>
      <w:r>
        <w:t xml:space="preserve"> </w:t>
      </w:r>
      <w:r>
        <w:t xml:space="preserve">(accessed Oct 20, 2026).</w:t>
      </w:r>
    </w:p>
  </w:footnote>
  <w:footnote w:id="1001">
    <w:p>
      <w:pPr>
        <w:pStyle w:val="FootnoteText"/>
      </w:pPr>
      <w:r>
        <w:rPr>
          <w:rStyle w:val="FootnoteReference"/>
        </w:rPr>
        <w:footnoteRef/>
      </w:r>
      <w:r>
        <w:t xml:space="preserve"> </w:t>
      </w:r>
      <w:r>
        <w:t xml:space="preserve">Microsoft Learn,</w:t>
      </w:r>
      <w:r>
        <w:t xml:space="preserve"> </w:t>
      </w:r>
      <w:r>
        <w:t xml:space="preserve">“Compare Azure Government and global Azure,”</w:t>
      </w:r>
      <w:r>
        <w:t xml:space="preserve"> </w:t>
      </w:r>
      <w:hyperlink r:id="rId977">
        <w:r>
          <w:rPr>
            <w:rStyle w:val="Hyperlink"/>
          </w:rPr>
          <w:t xml:space="preserve">https://learn.microsoft.com/en-us/azure/azure-government/compare-azure-government-global-azure</w:t>
        </w:r>
      </w:hyperlink>
      <w:r>
        <w:t xml:space="preserve"> </w:t>
      </w:r>
      <w:r>
        <w:t xml:space="preserve">(accessed Oct 20, 2026).</w:t>
      </w:r>
    </w:p>
  </w:footnote>
  <w:footnote w:id="1002">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978">
        <w:r>
          <w:rPr>
            <w:rStyle w:val="Hyperlink"/>
          </w:rPr>
          <w:t xml:space="preserve">https://learn.microsoft.com/en-us/azure/azure-government/documentation-government-product-roadmap</w:t>
        </w:r>
      </w:hyperlink>
      <w:r>
        <w:t xml:space="preserve"> </w:t>
      </w:r>
      <w:r>
        <w:t xml:space="preserve">(accessed Oct 20, 2026).</w:t>
      </w:r>
    </w:p>
  </w:footnote>
  <w:footnote w:id="100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r>
        <w:t xml:space="preserve">section</w:t>
      </w:r>
      <w:r>
        <w:t xml:space="preserve"> </w:t>
      </w:r>
      <w:r>
        <w:t xml:space="preserve">“Government,”</w:t>
      </w:r>
      <w:r>
        <w:t xml:space="preserve"> </w:t>
      </w:r>
      <w:hyperlink r:id="rId94">
        <w:r>
          <w:rPr>
            <w:rStyle w:val="Hyperlink"/>
          </w:rPr>
          <w:t xml:space="preserve">https://learn.microsoft.com/en-us/azure/private-link/private-endpoint-dns</w:t>
        </w:r>
      </w:hyperlink>
      <w:r>
        <w:t xml:space="preserve"> </w:t>
      </w:r>
      <w:r>
        <w:t xml:space="preserve">(accessed Oct 20, 2026).</w:t>
      </w:r>
    </w:p>
  </w:footnote>
  <w:footnote w:id="1005">
    <w:p>
      <w:pPr>
        <w:pStyle w:val="FootnoteText"/>
      </w:pPr>
      <w:r>
        <w:rPr>
          <w:rStyle w:val="FootnoteReference"/>
        </w:rPr>
        <w:footnoteRef/>
      </w:r>
      <w:r>
        <w:t xml:space="preserve"> </w:t>
      </w:r>
      <w:r>
        <w:t xml:space="preserve">Microsoft Learn,</w:t>
      </w:r>
      <w:r>
        <w:t xml:space="preserve"> </w:t>
      </w:r>
      <w:r>
        <w:t xml:space="preserve">“Azure Government DoD Overview,”</w:t>
      </w:r>
      <w:r>
        <w:t xml:space="preserve"> </w:t>
      </w:r>
      <w:hyperlink r:id="rId979">
        <w:r>
          <w:rPr>
            <w:rStyle w:val="Hyperlink"/>
          </w:rPr>
          <w:t xml:space="preserve">https://learn.microsoft.com/en-us/azure/azure-government/documentation-government-overview-dod</w:t>
        </w:r>
      </w:hyperlink>
      <w:r>
        <w:t xml:space="preserve"> </w:t>
      </w:r>
      <w:r>
        <w:t xml:space="preserve">(accessed Oct 20, 2026).</w:t>
      </w:r>
    </w:p>
  </w:footnote>
  <w:footnote w:id="1006">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978">
        <w:r>
          <w:rPr>
            <w:rStyle w:val="Hyperlink"/>
          </w:rPr>
          <w:t xml:space="preserve">https://learn.microsoft.com/en-us/azure/azure-government/documentation-government-product-roadmap</w:t>
        </w:r>
      </w:hyperlink>
      <w:r>
        <w:t xml:space="preserve"> </w:t>
      </w:r>
      <w:r>
        <w:t xml:space="preserve">(accessed Oct 20, 2026).</w:t>
      </w:r>
    </w:p>
  </w:footnote>
  <w:footnote w:id="1008">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978">
        <w:r>
          <w:rPr>
            <w:rStyle w:val="Hyperlink"/>
          </w:rPr>
          <w:t xml:space="preserve">https://learn.microsoft.com/en-us/azure/azure-government/documentation-government-product-roadmap</w:t>
        </w:r>
      </w:hyperlink>
      <w:r>
        <w:t xml:space="preserve"> </w:t>
      </w:r>
      <w:r>
        <w:t xml:space="preserve">(accessed Oct 20, 2026).</w:t>
      </w:r>
    </w:p>
  </w:footnote>
  <w:footnote w:id="101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1011">
    <w:p>
      <w:pPr>
        <w:pStyle w:val="FootnoteText"/>
      </w:pPr>
      <w:r>
        <w:rPr>
          <w:rStyle w:val="FootnoteReference"/>
        </w:rPr>
        <w:footnoteRef/>
      </w:r>
      <w:r>
        <w:t xml:space="preserve"> </w:t>
      </w:r>
      <w:r>
        <w:t xml:space="preserve">Microsoft Learn,</w:t>
      </w:r>
      <w:r>
        <w:t xml:space="preserve"> </w:t>
      </w:r>
      <w:r>
        <w:t xml:space="preserve">“How to sign your Azure Public DNS zone with DNSSEC,”</w:t>
      </w:r>
      <w:r>
        <w:t xml:space="preserve"> </w:t>
      </w:r>
      <w:r>
        <w:t xml:space="preserve">Prerequisites,</w:t>
      </w:r>
      <w:r>
        <w:t xml:space="preserve"> </w:t>
      </w:r>
      <w:hyperlink r:id="rId975">
        <w:r>
          <w:rPr>
            <w:rStyle w:val="Hyperlink"/>
          </w:rPr>
          <w:t xml:space="preserve">https://learn.microsoft.com/en-us/azure/dns/dnssec-how-to</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8" Target="media/rId68.png" /><Relationship Type="http://schemas.openxmlformats.org/officeDocument/2006/relationships/image" Id="rId29" Target="media/rId29.png" /><Relationship Type="http://schemas.openxmlformats.org/officeDocument/2006/relationships/image" Id="rId88" Target="media/rId88.png" /><Relationship Type="http://schemas.openxmlformats.org/officeDocument/2006/relationships/image" Id="rId105" Target="media/rId105.png" /><Relationship Type="http://schemas.openxmlformats.org/officeDocument/2006/relationships/image" Id="rId83" Target="media/rId83.png" /><Relationship Type="http://schemas.openxmlformats.org/officeDocument/2006/relationships/image" Id="rId126" Target="media/rId126.png" /><Relationship Type="http://schemas.openxmlformats.org/officeDocument/2006/relationships/image" Id="rId170" Target="media/rId170.png" /><Relationship Type="http://schemas.openxmlformats.org/officeDocument/2006/relationships/image" Id="rId261" Target="media/rId261.png" /><Relationship Type="http://schemas.openxmlformats.org/officeDocument/2006/relationships/image" Id="rId243" Target="media/rId243.png" /><Relationship Type="http://schemas.openxmlformats.org/officeDocument/2006/relationships/image" Id="rId372" Target="media/rId372.png" /><Relationship Type="http://schemas.openxmlformats.org/officeDocument/2006/relationships/image" Id="rId332" Target="media/rId332.png" /><Relationship Type="http://schemas.openxmlformats.org/officeDocument/2006/relationships/image" Id="rId472" Target="media/rId472.png" /><Relationship Type="http://schemas.openxmlformats.org/officeDocument/2006/relationships/image" Id="rId445" Target="media/rId445.png" /><Relationship Type="http://schemas.openxmlformats.org/officeDocument/2006/relationships/image" Id="rId504" Target="media/rId504.png" /><Relationship Type="http://schemas.openxmlformats.org/officeDocument/2006/relationships/image" Id="rId532" Target="media/rId532.png" /><Relationship Type="http://schemas.openxmlformats.org/officeDocument/2006/relationships/image" Id="rId576" Target="media/rId576.png" /><Relationship Type="http://schemas.openxmlformats.org/officeDocument/2006/relationships/image" Id="rId607" Target="media/rId607.png" /><Relationship Type="http://schemas.openxmlformats.org/officeDocument/2006/relationships/image" Id="rId633" Target="media/rId633.png" /><Relationship Type="http://schemas.openxmlformats.org/officeDocument/2006/relationships/image" Id="rId627" Target="media/rId627.png" /><Relationship Type="http://schemas.openxmlformats.org/officeDocument/2006/relationships/image" Id="rId702" Target="media/rId702.png" /><Relationship Type="http://schemas.openxmlformats.org/officeDocument/2006/relationships/image" Id="rId741" Target="media/rId741.png" /><Relationship Type="http://schemas.openxmlformats.org/officeDocument/2006/relationships/image" Id="rId825" Target="media/rId825.png" /><Relationship Type="http://schemas.openxmlformats.org/officeDocument/2006/relationships/image" Id="rId12" Target="media/rId12.png" /><Relationship Type="http://schemas.openxmlformats.org/officeDocument/2006/relationships/hyperlink" Id="rId308" Target="https://attack.mitre.org/techniques/T1557/003/" TargetMode="External" /><Relationship Type="http://schemas.openxmlformats.org/officeDocument/2006/relationships/hyperlink" Id="rId510" Target="https://aws.amazon.com/about-aws/whats-new/2025/11/amazon-vpc-ipam-automates-ip-from-infoblox/" TargetMode="External" /><Relationship Type="http://schemas.openxmlformats.org/officeDocument/2006/relationships/hyperlink" Id="rId809" Target="https://aws.amazon.com/compliance/services-in-scope/FedRAMP/" TargetMode="External" /><Relationship Type="http://schemas.openxmlformats.org/officeDocument/2006/relationships/hyperlink" Id="rId793" Target="https://azure.microsoft.com/pricing/details/dns/" TargetMode="External" /><Relationship Type="http://schemas.openxmlformats.org/officeDocument/2006/relationships/hyperlink" Id="rId519" Target="https://blogs.vmware.com/cloud-foundation/2026/05/15/vcf-networking-9-1-seamless-ddi-integration-with-infoblox/" TargetMode="External" /><Relationship Type="http://schemas.openxmlformats.org/officeDocument/2006/relationships/hyperlink" Id="rId869" Target="https://cabforum.org/2017/03/08/ballot-187-make-caa-checking-mandatory/" TargetMode="External" /><Relationship Type="http://schemas.openxmlformats.org/officeDocument/2006/relationships/hyperlink" Id="rId723" Target="https://catalog.redhat.com/en/software/collection/infoblox/universal_ddi" TargetMode="External" /><Relationship Type="http://schemas.openxmlformats.org/officeDocument/2006/relationships/hyperlink" Id="rId297" Target="https://chromeenterprise.google/policies/dns-over-https-mode/" TargetMode="External" /><Relationship Type="http://schemas.openxmlformats.org/officeDocument/2006/relationships/hyperlink" Id="rId980" Target="https://cloud.google.com/dns/docs/zones/manage-response-policies" TargetMode="External" /><Relationship Type="http://schemas.openxmlformats.org/officeDocument/2006/relationships/hyperlink" Id="rId981" Target="https://cloud.google.com/vpc/docs/internal-ranges" TargetMode="External" /><Relationship Type="http://schemas.openxmlformats.org/officeDocument/2006/relationships/hyperlink" Id="rId149" Target="https://csrc.nist.gov/pubs/sp/800/207/final" TargetMode="External" /><Relationship Type="http://schemas.openxmlformats.org/officeDocument/2006/relationships/hyperlink" Id="rId582" Target="https://csrc.nist.gov/pubs/sp/800/37/r2/final" TargetMode="External" /><Relationship Type="http://schemas.openxmlformats.org/officeDocument/2006/relationships/hyperlink" Id="rId139" Target="https://csrc.nist.gov/pubs/sp/800/53/r5/upd1/final" TargetMode="External" /><Relationship Type="http://schemas.openxmlformats.org/officeDocument/2006/relationships/hyperlink" Id="rId24" Target="https://csrc.nist.gov/pubs/sp/800/81/r3/final" TargetMode="External" /><Relationship Type="http://schemas.openxmlformats.org/officeDocument/2006/relationships/hyperlink" Id="rId890" Target="https://datatracker.ietf.org/doc/draft-brand-indicators-for-message-identification/" TargetMode="External" /><Relationship Type="http://schemas.openxmlformats.org/officeDocument/2006/relationships/hyperlink" Id="rId891" Target="https://datatracker.ietf.org/doc/html/draft-brand-indicators-for-message-identification-14" TargetMode="External" /><Relationship Type="http://schemas.openxmlformats.org/officeDocument/2006/relationships/hyperlink" Id="rId909" Target="https://datatracker.ietf.org/doc/rfc9276/" TargetMode="External" /><Relationship Type="http://schemas.openxmlformats.org/officeDocument/2006/relationships/hyperlink" Id="rId897" Target="https://datatracker.ietf.org/doc/rfc9460/" TargetMode="External" /><Relationship Type="http://schemas.openxmlformats.org/officeDocument/2006/relationships/hyperlink" Id="rId886" Target="https://datatracker.ietf.org/doc/rfc9989/" TargetMode="External" /><Relationship Type="http://schemas.openxmlformats.org/officeDocument/2006/relationships/hyperlink" Id="rId861" Target="https://developer.hashicorp.com/consul/docs/reference/dns" TargetMode="External" /><Relationship Type="http://schemas.openxmlformats.org/officeDocument/2006/relationships/hyperlink" Id="rId922" Target="https://docs.ansible.com/ansible/latest/collections/infoblox/nios_modules/index.html" TargetMode="External" /><Relationship Type="http://schemas.openxmlformats.org/officeDocument/2006/relationships/hyperlink" Id="rId408" Target="https://docs.aws.amazon.com/Route53/latest/DeveloperGuide/dns-configuring-dnssec.html" TargetMode="External" /><Relationship Type="http://schemas.openxmlformats.org/officeDocument/2006/relationships/hyperlink" Id="rId53" Target="https://docs.aws.amazon.com/Route53/latest/DeveloperGuide/resolver-dns-firewall.html" TargetMode="External" /><Relationship Type="http://schemas.openxmlformats.org/officeDocument/2006/relationships/hyperlink" Id="rId410" Target="https://docs.aws.amazon.com/Route53/latest/DeveloperGuide/resolver-dnssec-validation.html" TargetMode="External" /><Relationship Type="http://schemas.openxmlformats.org/officeDocument/2006/relationships/hyperlink" Id="rId598" Target="https://docs.aws.amazon.com/Route53/latest/DeveloperGuide/resolver-rules-managing.html" TargetMode="External" /><Relationship Type="http://schemas.openxmlformats.org/officeDocument/2006/relationships/hyperlink" Id="rId50" Target="https://docs.aws.amazon.com/Route53/latest/DeveloperGuide/resolver.html" TargetMode="External" /><Relationship Type="http://schemas.openxmlformats.org/officeDocument/2006/relationships/hyperlink" Id="rId844" Target="https://docs.aws.amazon.com/Route53/latest/DeveloperGuide/resource-record-sets-choosing-alias-non-alias.html" TargetMode="External" /><Relationship Type="http://schemas.openxmlformats.org/officeDocument/2006/relationships/hyperlink" Id="rId600" Target="https://docs.aws.amazon.com/vpc/latest/ipam/enable-integ-ipam.html" TargetMode="External" /><Relationship Type="http://schemas.openxmlformats.org/officeDocument/2006/relationships/hyperlink" Id="rId511" Target="https://docs.aws.amazon.com/vpc/latest/ipam/integrate-infoblox-ipam.html" TargetMode="External" /><Relationship Type="http://schemas.openxmlformats.org/officeDocument/2006/relationships/hyperlink" Id="rId805" Target="https://docs.bluecatnetworks.com/r/BlueCat-Azure-Virtual-Appliances/Introduction-to-BlueCat-Azure-Virtual-Appliances/26.1.0" TargetMode="External" /><Relationship Type="http://schemas.openxmlformats.org/officeDocument/2006/relationships/hyperlink" Id="rId815" Target="https://docs.bluecatnetworks.com/r/Cloud-Discovery-Visibility-Administration-Guide/Introduction-to-Cloud-Discovery-Visibility/24.1" TargetMode="External" /><Relationship Type="http://schemas.openxmlformats.org/officeDocument/2006/relationships/hyperlink" Id="rId60" Target="https://docs.cloud.google.com/dns/docs/server-policies-overview" TargetMode="External" /><Relationship Type="http://schemas.openxmlformats.org/officeDocument/2006/relationships/hyperlink" Id="rId63" Target="https://docs.cloud.google.com/dns/docs/zones/manage-response-policies" TargetMode="External" /><Relationship Type="http://schemas.openxmlformats.org/officeDocument/2006/relationships/hyperlink" Id="rId437" Target="https://docs.cloud.google.com/dns/docs/zones/zones-overview" TargetMode="External" /><Relationship Type="http://schemas.openxmlformats.org/officeDocument/2006/relationships/hyperlink" Id="rId516" Target="https://docs.cloud.google.com/vpc/docs/internal-ranges" TargetMode="External" /><Relationship Type="http://schemas.openxmlformats.org/officeDocument/2006/relationships/hyperlink" Id="rId710" Target="https://docs.infoblox.com/space/BloxOneCloud/35431431" TargetMode="External" /><Relationship Type="http://schemas.openxmlformats.org/officeDocument/2006/relationships/hyperlink" Id="rId470" Target="https://docs.infoblox.com/space/BloxOneDDI/365461729/Limitations+of+Azure+DNS+Integration" TargetMode="External" /><Relationship Type="http://schemas.openxmlformats.org/officeDocument/2006/relationships/hyperlink" Id="rId249" Target="https://docs.infoblox.com/space/BloxOneThreatDefense/35374260/Managing+Endpoint" TargetMode="External" /><Relationship Type="http://schemas.openxmlformats.org/officeDocument/2006/relationships/hyperlink" Id="rId655" Target="https://docs.infoblox.com/space/nios85/35480435" TargetMode="External" /><Relationship Type="http://schemas.openxmlformats.org/officeDocument/2006/relationships/hyperlink" Id="rId726" Target="https://docs.servicenow.com/bundle/utah-integrate-applications/page/administer/integrationhub-store-spokes/concept/infoblox-spoke.html" TargetMode="External" /><Relationship Type="http://schemas.openxmlformats.org/officeDocument/2006/relationships/hyperlink" Id="rId728" Target="https://docs.servicenow.com/bundle/xanadu-servicenow-platform/page/product/configuration-management/concept/sgc-cmdb-integration-infoblox.html" TargetMode="External" /><Relationship Type="http://schemas.openxmlformats.org/officeDocument/2006/relationships/hyperlink" Id="rId930" Target="https://docs.splunk.com/Documentation/AddOns/latest/Infoblox" TargetMode="External" /><Relationship Type="http://schemas.openxmlformats.org/officeDocument/2006/relationships/hyperlink" Id="rId65" Target="https://docs.vmware.com/en/VMware-NSX/4.1/administration/GUID-A0172881-BB25-4992-A499-14F9BE3BE7F2.html" TargetMode="External" /><Relationship Type="http://schemas.openxmlformats.org/officeDocument/2006/relationships/hyperlink" Id="rId817" Target="https://efficientip.com/products/dns-cloud/" TargetMode="External" /><Relationship Type="http://schemas.openxmlformats.org/officeDocument/2006/relationships/hyperlink" Id="rId22" Target="https://georgewbush-whitehouse.archives.gov/omb/memoranda/fy2008/m08-23.pdf" TargetMode="External" /><Relationship Type="http://schemas.openxmlformats.org/officeDocument/2006/relationships/hyperlink" Id="rId603" Target="https://get.gov/help/domain-management/" TargetMode="External" /><Relationship Type="http://schemas.openxmlformats.org/officeDocument/2006/relationships/hyperlink" Id="rId9" Target="https://github.com/WhalerMike/modernization-workbook/tree/main/archive/b08-ddi" TargetMode="External" /><Relationship Type="http://schemas.openxmlformats.org/officeDocument/2006/relationships/hyperlink" Id="rId11" Target="https://github.com/WhalerMike/modernization-workbook/tree/main/presentations/b08-ddi" TargetMode="External" /><Relationship Type="http://schemas.openxmlformats.org/officeDocument/2006/relationships/hyperlink" Id="rId721" Target="https://github.com/infobloxopen/terraform-provider-bloxone" TargetMode="External" /><Relationship Type="http://schemas.openxmlformats.org/officeDocument/2006/relationships/hyperlink" Id="rId378" Target="https://github.com/usnistgov/oscal-content/blob/main/nist.gov/SP800-53/rev5/json/NIST_SP-800-53_rev5_catalog.json" TargetMode="External" /><Relationship Type="http://schemas.openxmlformats.org/officeDocument/2006/relationships/hyperlink" Id="rId938" Target="https://github.com/usnistgov/oscal-content/tree/main/nist.gov/SP800-53/rev5" TargetMode="External" /><Relationship Type="http://schemas.openxmlformats.org/officeDocument/2006/relationships/hyperlink" Id="rId733" Target="https://go-acme.github.io/lego/dns/infoblox/" TargetMode="External" /><Relationship Type="http://schemas.openxmlformats.org/officeDocument/2006/relationships/hyperlink" Id="rId925" Target="https://infoblox-docs.atlassian.net/wiki/x/9o3v" TargetMode="External" /><Relationship Type="http://schemas.openxmlformats.org/officeDocument/2006/relationships/hyperlink" Id="rId708" Target="https://infoblox-docs.atlassian.net/wiki/x/PgKSK" TargetMode="External" /><Relationship Type="http://schemas.openxmlformats.org/officeDocument/2006/relationships/hyperlink" Id="rId235" Target="https://infoblox.com/resources/deployment-guides/configuring-and-enabling-gss-tsig-nios" TargetMode="External" /><Relationship Type="http://schemas.openxmlformats.org/officeDocument/2006/relationships/hyperlink" Id="rId934" Target="https://infoblox.com/resources/deployment-guides/infoblox-nios-integration-with-palo-alto-networks-firewall" TargetMode="External" /><Relationship Type="http://schemas.openxmlformats.org/officeDocument/2006/relationships/hyperlink" Id="rId233" Target="https://infoblox.com/resources/deployment-guides/integrating-microsoft-server-2019-into-nios-8-6" TargetMode="External" /><Relationship Type="http://schemas.openxmlformats.org/officeDocument/2006/relationships/hyperlink" Id="rId936" Target="https://infoblox.com/resources/deployment-guides/integration-with-tenable-io" TargetMode="External" /><Relationship Type="http://schemas.openxmlformats.org/officeDocument/2006/relationships/hyperlink" Id="rId492" Target="https://learn.microsoft.com/azure/architecture/hybrid/hybrid-dns-infra" TargetMode="External" /><Relationship Type="http://schemas.openxmlformats.org/officeDocument/2006/relationships/hyperlink" Id="rId478" Target="https://learn.microsoft.com/azure/architecture/networking/architecture/azure-dns-private-resolver" TargetMode="External" /><Relationship Type="http://schemas.openxmlformats.org/officeDocument/2006/relationships/hyperlink" Id="rId807" Target="https://learn.microsoft.com/azure/azure-government/compliance/azure-services-in-fedramp-auditscope" TargetMode="External" /><Relationship Type="http://schemas.openxmlformats.org/officeDocument/2006/relationships/hyperlink" Id="rId441" Target="https://learn.microsoft.com/azure/azure-vmware/configure-dns-azure-vmware-solution" TargetMode="External" /><Relationship Type="http://schemas.openxmlformats.org/officeDocument/2006/relationships/hyperlink" Id="rId591" Target="https://learn.microsoft.com/azure/cloud-adoption-framework/ready/azure-best-practices/private-link-and-dns-integration-at-scale" TargetMode="External" /><Relationship Type="http://schemas.openxmlformats.org/officeDocument/2006/relationships/hyperlink" Id="rId675" Target="https://learn.microsoft.com/azure/dns/dns-faq" TargetMode="External" /><Relationship Type="http://schemas.openxmlformats.org/officeDocument/2006/relationships/hyperlink" Id="rId651" Target="https://learn.microsoft.com/azure/dns/dns-faq-private" TargetMode="External" /><Relationship Type="http://schemas.openxmlformats.org/officeDocument/2006/relationships/hyperlink" Id="rId497" Target="https://learn.microsoft.com/azure/dns/dns-private-resolver-get-started-powershell" TargetMode="External" /><Relationship Type="http://schemas.openxmlformats.org/officeDocument/2006/relationships/hyperlink" Id="rId430" Target="https://learn.microsoft.com/azure/dns/dns-private-resolver-overview" TargetMode="External" /><Relationship Type="http://schemas.openxmlformats.org/officeDocument/2006/relationships/hyperlink" Id="rId613" Target="https://learn.microsoft.com/azure/dns/dns-protect-private-zones-recordsets" TargetMode="External" /><Relationship Type="http://schemas.openxmlformats.org/officeDocument/2006/relationships/hyperlink" Id="rId594" Target="https://learn.microsoft.com/azure/dns/dns-protect-zones-recordsets" TargetMode="External" /><Relationship Type="http://schemas.openxmlformats.org/officeDocument/2006/relationships/hyperlink" Id="rId433" Target="https://learn.microsoft.com/azure/dns/dns-security-policy" TargetMode="External" /><Relationship Type="http://schemas.openxmlformats.org/officeDocument/2006/relationships/hyperlink" Id="rId751" Target="https://learn.microsoft.com/azure/dns/dns-traffic-log-how-to" TargetMode="External" /><Relationship Type="http://schemas.openxmlformats.org/officeDocument/2006/relationships/hyperlink" Id="rId757" Target="https://learn.microsoft.com/azure/dns/monitor-dns-reference" TargetMode="External" /><Relationship Type="http://schemas.openxmlformats.org/officeDocument/2006/relationships/hyperlink" Id="rId464" Target="https://learn.microsoft.com/azure/dns/private-dns-autoregistration" TargetMode="External" /><Relationship Type="http://schemas.openxmlformats.org/officeDocument/2006/relationships/hyperlink" Id="rId428" Target="https://learn.microsoft.com/azure/dns/private-dns-overview" TargetMode="External" /><Relationship Type="http://schemas.openxmlformats.org/officeDocument/2006/relationships/hyperlink" Id="rId468" Target="https://learn.microsoft.com/azure/dns/private-resolver-endpoints-rulesets" TargetMode="External" /><Relationship Type="http://schemas.openxmlformats.org/officeDocument/2006/relationships/hyperlink" Id="rId494" Target="https://learn.microsoft.com/azure/dns/public-dns-overview" TargetMode="External" /><Relationship Type="http://schemas.openxmlformats.org/officeDocument/2006/relationships/hyperlink" Id="rId719" Target="https://learn.microsoft.com/azure/dns/secure-dns" TargetMode="External" /><Relationship Type="http://schemas.openxmlformats.org/officeDocument/2006/relationships/hyperlink" Id="rId795" Target="https://learn.microsoft.com/azure/networking/design-guide/dns-security" TargetMode="External" /><Relationship Type="http://schemas.openxmlformats.org/officeDocument/2006/relationships/hyperlink" Id="rId452" Target="https://learn.microsoft.com/azure/private-link/private-endpoint-dns" TargetMode="External" /><Relationship Type="http://schemas.openxmlformats.org/officeDocument/2006/relationships/hyperlink" Id="rId450" Target="https://learn.microsoft.com/azure/private-link/private-endpoint-dns-integration" TargetMode="External" /><Relationship Type="http://schemas.openxmlformats.org/officeDocument/2006/relationships/hyperlink" Id="rId593" Target="https://learn.microsoft.com/azure/role-based-access-control/built-in-roles/networking" TargetMode="External" /><Relationship Type="http://schemas.openxmlformats.org/officeDocument/2006/relationships/hyperlink" Id="rId771" Target="https://learn.microsoft.com/azure/security/fundamentals/subdomain-takeover" TargetMode="External" /><Relationship Type="http://schemas.openxmlformats.org/officeDocument/2006/relationships/hyperlink" Id="rId748" Target="https://learn.microsoft.com/azure/sentinel/connect-dns-ama" TargetMode="External" /><Relationship Type="http://schemas.openxmlformats.org/officeDocument/2006/relationships/hyperlink" Id="rId514" Target="https://learn.microsoft.com/azure/virtual-network-manager/concept-ip-address-management" TargetMode="External" /><Relationship Type="http://schemas.openxmlformats.org/officeDocument/2006/relationships/hyperlink" Id="rId596" Target="https://learn.microsoft.com/azure/virtual-network-manager/how-to-manage-ip-addresses-network-manager" TargetMode="External" /><Relationship Type="http://schemas.openxmlformats.org/officeDocument/2006/relationships/hyperlink" Id="rId685" Target="https://learn.microsoft.com/azure/virtual-network/manage-virtual-network" TargetMode="External" /><Relationship Type="http://schemas.openxmlformats.org/officeDocument/2006/relationships/hyperlink" Id="rId688" Target="https://learn.microsoft.com/azure/virtual-network/virtual-networks-faq" TargetMode="External" /><Relationship Type="http://schemas.openxmlformats.org/officeDocument/2006/relationships/hyperlink" Id="rId488" Target="https://learn.microsoft.com/azure/virtual-network/virtual-networks-name-resolution-for-vms-and-role-instances" TargetMode="External" /><Relationship Type="http://schemas.openxmlformats.org/officeDocument/2006/relationships/hyperlink" Id="rId661" Target="https://learn.microsoft.com/cli/azure/dns-resolver/forwarding-rule?view=azure-cli-latest" TargetMode="External" /><Relationship Type="http://schemas.openxmlformats.org/officeDocument/2006/relationships/hyperlink" Id="rId768" Target="https://learn.microsoft.com/cli/azure/network/private-dns/record-set?view=azure-cli-latest" TargetMode="External" /><Relationship Type="http://schemas.openxmlformats.org/officeDocument/2006/relationships/hyperlink" Id="rId570" Target="https://learn.microsoft.com/defender-for-identity/unsafe-permissions-dns-admins-group" TargetMode="External" /><Relationship Type="http://schemas.openxmlformats.org/officeDocument/2006/relationships/hyperlink" Id="rId977" Target="https://learn.microsoft.com/en-us/azure/azure-government/compare-azure-government-global-azure" TargetMode="External" /><Relationship Type="http://schemas.openxmlformats.org/officeDocument/2006/relationships/hyperlink" Id="rId979" Target="https://learn.microsoft.com/en-us/azure/azure-government/documentation-government-overview-dod" TargetMode="External" /><Relationship Type="http://schemas.openxmlformats.org/officeDocument/2006/relationships/hyperlink" Id="rId978" Target="https://learn.microsoft.com/en-us/azure/azure-government/documentation-government-product-roadmap" TargetMode="External" /><Relationship Type="http://schemas.openxmlformats.org/officeDocument/2006/relationships/hyperlink" Id="rId842" Target="https://learn.microsoft.com/en-us/azure/dns/dns-alias" TargetMode="External" /><Relationship Type="http://schemas.openxmlformats.org/officeDocument/2006/relationships/hyperlink" Id="rId406" Target="https://learn.microsoft.com/en-us/azure/dns/dns-faq" TargetMode="External" /><Relationship Type="http://schemas.openxmlformats.org/officeDocument/2006/relationships/hyperlink" Id="rId55" Target="https://learn.microsoft.com/en-us/azure/dns/dns-private-resolver-overview" TargetMode="External" /><Relationship Type="http://schemas.openxmlformats.org/officeDocument/2006/relationships/hyperlink" Id="rId58" Target="https://learn.microsoft.com/en-us/azure/dns/dns-security-policy" TargetMode="External" /><Relationship Type="http://schemas.openxmlformats.org/officeDocument/2006/relationships/hyperlink" Id="rId255" Target="https://learn.microsoft.com/en-us/azure/dns/dnssec" TargetMode="External" /><Relationship Type="http://schemas.openxmlformats.org/officeDocument/2006/relationships/hyperlink" Id="rId975" Target="https://learn.microsoft.com/en-us/azure/dns/dnssec-how-to" TargetMode="External" /><Relationship Type="http://schemas.openxmlformats.org/officeDocument/2006/relationships/hyperlink" Id="rId415" Target="https://learn.microsoft.com/en-us/azure/dns/dnssec-unsign" TargetMode="External" /><Relationship Type="http://schemas.openxmlformats.org/officeDocument/2006/relationships/hyperlink" Id="rId974" Target="https://learn.microsoft.com/en-us/azure/dns/private-dns-overview" TargetMode="External" /><Relationship Type="http://schemas.openxmlformats.org/officeDocument/2006/relationships/hyperlink" Id="rId56" Target="https://learn.microsoft.com/en-us/azure/dns/private-resolver-endpoints-rulesets" TargetMode="External" /><Relationship Type="http://schemas.openxmlformats.org/officeDocument/2006/relationships/hyperlink" Id="rId94" Target="https://learn.microsoft.com/en-us/azure/private-link/private-endpoint-dns" TargetMode="External" /><Relationship Type="http://schemas.openxmlformats.org/officeDocument/2006/relationships/hyperlink" Id="rId973" Target="https://learn.microsoft.com/en-us/azure/private-link/private-endpoint-dns-integration" TargetMode="External" /><Relationship Type="http://schemas.openxmlformats.org/officeDocument/2006/relationships/hyperlink" Id="rId927" Target="https://learn.microsoft.com/en-us/azure/sentinel/data-connectors-reference" TargetMode="External" /><Relationship Type="http://schemas.openxmlformats.org/officeDocument/2006/relationships/hyperlink" Id="rId928" Target="https://learn.microsoft.com/en-us/azure/sentinel/unified-connector-syslog-device" TargetMode="External" /><Relationship Type="http://schemas.openxmlformats.org/officeDocument/2006/relationships/hyperlink" Id="rId42" Target="https://learn.microsoft.com/en-us/azure/storage/common/storage-private-endpoints" TargetMode="External" /><Relationship Type="http://schemas.openxmlformats.org/officeDocument/2006/relationships/hyperlink" Id="rId976" Target="https://learn.microsoft.com/en-us/azure/virtual-network-manager/concept-ip-address-management" TargetMode="External" /><Relationship Type="http://schemas.openxmlformats.org/officeDocument/2006/relationships/hyperlink" Id="rId418" Target="https://learn.microsoft.com/en-us/azure/virtual-network/virtual-network-encryption-overview" TargetMode="External" /><Relationship Type="http://schemas.openxmlformats.org/officeDocument/2006/relationships/hyperlink" Id="rId295" Target="https://learn.microsoft.com/en-us/deployedge/microsoft-edge-browser-policies/dnsoverhttpsmode" TargetMode="External" /><Relationship Type="http://schemas.openxmlformats.org/officeDocument/2006/relationships/hyperlink" Id="rId351" Target="https://learn.microsoft.com/en-us/entra/identity-platform/access-token-claims-reference" TargetMode="External" /><Relationship Type="http://schemas.openxmlformats.org/officeDocument/2006/relationships/hyperlink" Id="rId345" Target="https://learn.microsoft.com/en-us/entra/identity-platform/authentication-national-cloud" TargetMode="External" /><Relationship Type="http://schemas.openxmlformats.org/officeDocument/2006/relationships/hyperlink" Id="rId228" Target="https://learn.microsoft.com/en-us/entra/identity/domain-services/manage-dns" TargetMode="External" /><Relationship Type="http://schemas.openxmlformats.org/officeDocument/2006/relationships/hyperlink" Id="rId229" Target="https://learn.microsoft.com/en-us/entra/identity/domain-services/tutorial-create-instance" TargetMode="External" /><Relationship Type="http://schemas.openxmlformats.org/officeDocument/2006/relationships/hyperlink" Id="rId161" Target="https://learn.microsoft.com/en-us/entra/identity/hybrid/guidance-it-architects-source-of-authority" TargetMode="External" /><Relationship Type="http://schemas.openxmlformats.org/officeDocument/2006/relationships/hyperlink" Id="rId44" Target="https://learn.microsoft.com/en-us/microsoft-365/enterprise/microsoft-365-endpoints?view=o365-worldwide" TargetMode="External" /><Relationship Type="http://schemas.openxmlformats.org/officeDocument/2006/relationships/hyperlink" Id="rId45" Target="https://learn.microsoft.com/en-us/microsoft-365/enterprise/microsoft-365-u-s-government-gcc-high-endpoints?view=o365-worldwide" TargetMode="External" /><Relationship Type="http://schemas.openxmlformats.org/officeDocument/2006/relationships/hyperlink" Id="rId34" Target="https://learn.microsoft.com/en-us/microsoft-365/enterprise/office-365-network-mac-perf-cpe?view=o365-worldwide" TargetMode="External" /><Relationship Type="http://schemas.openxmlformats.org/officeDocument/2006/relationships/hyperlink" Id="rId103" Target="https://learn.microsoft.com/en-us/microsoft-365/enterprise/urls-and-ip-address-ranges?view=o365-worldwide" TargetMode="External" /><Relationship Type="http://schemas.openxmlformats.org/officeDocument/2006/relationships/hyperlink" Id="rId349" Target="https://learn.microsoft.com/en-us/office365/servicedescriptions/office-365-platform-service-description/office-365-us-government/gcc" TargetMode="External" /><Relationship Type="http://schemas.openxmlformats.org/officeDocument/2006/relationships/hyperlink" Id="rId317" Target="https://learn.microsoft.com/en-us/powershell/module/dhcpserver/add-dhcpserverv4optiondefinition?view=windowsserver2025-ps" TargetMode="External" /><Relationship Type="http://schemas.openxmlformats.org/officeDocument/2006/relationships/hyperlink" Id="rId214" Target="https://learn.microsoft.com/en-us/powershell/module/dhcpserver/set-dhcpserverv4dnssetting" TargetMode="External" /><Relationship Type="http://schemas.openxmlformats.org/officeDocument/2006/relationships/hyperlink" Id="rId181" Target="https://learn.microsoft.com/en-us/powershell/module/dnsserver/add-dnsserverconditionalforwarderzone?view=windowsserver2025-ps" TargetMode="External" /><Relationship Type="http://schemas.openxmlformats.org/officeDocument/2006/relationships/hyperlink" Id="rId177" Target="https://learn.microsoft.com/en-us/powershell/module/dnsserver/add-dnsserverprimaryzone?view=windowsserver2025-ps" TargetMode="External" /><Relationship Type="http://schemas.openxmlformats.org/officeDocument/2006/relationships/hyperlink" Id="rId183" Target="https://learn.microsoft.com/en-us/powershell/module/dnsserver/set-dnsserverglobalnamezone?view=windowsserver2025-ps" TargetMode="External" /><Relationship Type="http://schemas.openxmlformats.org/officeDocument/2006/relationships/hyperlink" Id="rId98" Target="https://learn.microsoft.com/en-us/troubleshoot/azure/private-link/troubleshoot-403-access-denied-private-endpoint" TargetMode="External" /><Relationship Type="http://schemas.openxmlformats.org/officeDocument/2006/relationships/hyperlink" Id="rId347" Target="https://learn.microsoft.com/en-us/troubleshoot/entra/entra-id/app-integration/error-aadsts900439-usgclientnotsupportedonpublicendpoint" TargetMode="External" /><Relationship Type="http://schemas.openxmlformats.org/officeDocument/2006/relationships/hyperlink" Id="rId851" Target="https://learn.microsoft.com/en-us/troubleshoot/windows-server/active-directory/problems-with-dc-ad-integrated-dns-zones" TargetMode="External" /><Relationship Type="http://schemas.openxmlformats.org/officeDocument/2006/relationships/hyperlink" Id="rId211" Target="https://learn.microsoft.com/en-us/troubleshoot/windows-server/networking/event-1056-install-dhcp-server-service" TargetMode="External" /><Relationship Type="http://schemas.openxmlformats.org/officeDocument/2006/relationships/hyperlink" Id="rId218" Target="https://learn.microsoft.com/en-us/troubleshoot/windows-server/networking/troubleshoot-multiple-records-being-registered-with-the-same-ip-address" TargetMode="External" /><Relationship Type="http://schemas.openxmlformats.org/officeDocument/2006/relationships/hyperlink" Id="rId320" Target="https://learn.microsoft.com/en-us/troubleshoot/windows-server/networking/troubleshooting-guide-dhcp-authorization-failures" TargetMode="External" /><Relationship Type="http://schemas.openxmlformats.org/officeDocument/2006/relationships/hyperlink" Id="rId196" Target="https://learn.microsoft.com/en-us/troubleshoot/windows-server/networking/verify-srv-dns-records-have-been-created" TargetMode="External" /><Relationship Type="http://schemas.openxmlformats.org/officeDocument/2006/relationships/hyperlink" Id="rId225" Target="https://learn.microsoft.com/en-us/windows-server/get-started/whats-new-windows-server-2025" TargetMode="External" /><Relationship Type="http://schemas.openxmlformats.org/officeDocument/2006/relationships/hyperlink" Id="rId190" Target="https://learn.microsoft.com/en-us/windows-server/identity/ad-ds/manage/dc-locator" TargetMode="External" /><Relationship Type="http://schemas.openxmlformats.org/officeDocument/2006/relationships/hyperlink" Id="rId169" Target="https://learn.microsoft.com/en-us/windows-server/identity/ad-ds/plan/dns-and-ad-ds" TargetMode="External" /><Relationship Type="http://schemas.openxmlformats.org/officeDocument/2006/relationships/hyperlink" Id="rId285" Target="https://learn.microsoft.com/en-us/windows-server/networking/dns/dns-encryption-dns-over-https" TargetMode="External" /><Relationship Type="http://schemas.openxmlformats.org/officeDocument/2006/relationships/hyperlink" Id="rId186" Target="https://learn.microsoft.com/en-us/windows-server/networking/dns/dnssec-key-master" TargetMode="External" /><Relationship Type="http://schemas.openxmlformats.org/officeDocument/2006/relationships/hyperlink" Id="rId400" Target="https://learn.microsoft.com/en-us/windows-server/networking/dns/dnssec-overview" TargetMode="External" /><Relationship Type="http://schemas.openxmlformats.org/officeDocument/2006/relationships/hyperlink" Id="rId280" Target="https://learn.microsoft.com/en-us/windows-server/networking/dns/doh-client-support" TargetMode="External" /><Relationship Type="http://schemas.openxmlformats.org/officeDocument/2006/relationships/hyperlink" Id="rId201" Target="https://learn.microsoft.com/en-us/windows-server/networking/dns/dynamic-update" TargetMode="External" /><Relationship Type="http://schemas.openxmlformats.org/officeDocument/2006/relationships/hyperlink" Id="rId286" Target="https://learn.microsoft.com/en-us/windows-server/networking/dns/enable-dns-over-https-server" TargetMode="External" /><Relationship Type="http://schemas.openxmlformats.org/officeDocument/2006/relationships/hyperlink" Id="rId385" Target="https://learn.microsoft.com/en-us/windows-server/networking/dns/sign-dnssec-zone" TargetMode="External" /><Relationship Type="http://schemas.openxmlformats.org/officeDocument/2006/relationships/hyperlink" Id="rId402" Target="https://learn.microsoft.com/en-us/windows-server/networking/dns/validate-dnssec-responses" TargetMode="External" /><Relationship Type="http://schemas.openxmlformats.org/officeDocument/2006/relationships/hyperlink" Id="rId175" Target="https://learn.microsoft.com/en-us/windows-server/networking/dns/zone-types" TargetMode="External" /><Relationship Type="http://schemas.openxmlformats.org/officeDocument/2006/relationships/hyperlink" Id="rId207" Target="https://learn.microsoft.com/en-us/windows-server/networking/technologies/dhcp/dhcp-failover" TargetMode="External" /><Relationship Type="http://schemas.openxmlformats.org/officeDocument/2006/relationships/hyperlink" Id="rId321" Target="https://learn.microsoft.com/en-us/windows-server/networking/technologies/dhcp/quickstart-install-configure-dhcp-server" TargetMode="External" /><Relationship Type="http://schemas.openxmlformats.org/officeDocument/2006/relationships/hyperlink" Id="rId194" Target="https://learn.microsoft.com/en-us/windows/client-management/mdm/policy-csp-admx-netlogon" TargetMode="External" /><Relationship Type="http://schemas.openxmlformats.org/officeDocument/2006/relationships/hyperlink" Id="rId282" Target="https://learn.microsoft.com/en-us/windows/security/book/operating-system-security-network-security" TargetMode="External" /><Relationship Type="http://schemas.openxmlformats.org/officeDocument/2006/relationships/hyperlink" Id="rId290" Target="https://learn.microsoft.com/en-us/windows/security/operating-system-security/network-security/zero-trust-dns/" TargetMode="External" /><Relationship Type="http://schemas.openxmlformats.org/officeDocument/2006/relationships/hyperlink" Id="rId192" Target="https://learn.microsoft.com/en-us/windows/win32/secauthn/kerberos-ssp-ap" TargetMode="External" /><Relationship Type="http://schemas.openxmlformats.org/officeDocument/2006/relationships/hyperlink" Id="rId318" Target="https://learn.microsoft.com/en-us/windows/win32/winhttp/winhttp-autoproxy-support" TargetMode="External" /><Relationship Type="http://schemas.openxmlformats.org/officeDocument/2006/relationships/hyperlink" Id="rId558" Target="https://learn.microsoft.com/microsoft-365/enterprise/office-365-network-mac-perf-cpe" TargetMode="External" /><Relationship Type="http://schemas.openxmlformats.org/officeDocument/2006/relationships/hyperlink" Id="rId647" Target="https://learn.microsoft.com/powershell/module/dhcpserver/export-dhcpserver?view=windowsserver2025-ps" TargetMode="External" /><Relationship Type="http://schemas.openxmlformats.org/officeDocument/2006/relationships/hyperlink" Id="rId753" Target="https://learn.microsoft.com/powershell/module/dhcpserver/get-dhcpserverauditlog?view=windowsserver2025-ps" TargetMode="External" /><Relationship Type="http://schemas.openxmlformats.org/officeDocument/2006/relationships/hyperlink" Id="rId680" Target="https://learn.microsoft.com/powershell/module/dhcpserver/import-dhcpserver?view=windowsserver2025-ps" TargetMode="External" /><Relationship Type="http://schemas.openxmlformats.org/officeDocument/2006/relationships/hyperlink" Id="rId693" Target="https://learn.microsoft.com/powershell/module/dhcpserver/remove-dhcpserverindc?view=windowsserver2025-ps" TargetMode="External" /><Relationship Type="http://schemas.openxmlformats.org/officeDocument/2006/relationships/hyperlink" Id="rId645" Target="https://learn.microsoft.com/powershell/module/dnsclient/resolve-dnsname?view=windowsserver2025-ps" TargetMode="External" /><Relationship Type="http://schemas.openxmlformats.org/officeDocument/2006/relationships/hyperlink" Id="rId641" Target="https://learn.microsoft.com/powershell/module/dnsserver/" TargetMode="External" /><Relationship Type="http://schemas.openxmlformats.org/officeDocument/2006/relationships/hyperlink" Id="rId659" Target="https://learn.microsoft.com/powershell/module/dnsserver/add-dnsserverconditionalforwarderzone?view=windowsserver2025-ps" TargetMode="External" /><Relationship Type="http://schemas.openxmlformats.org/officeDocument/2006/relationships/hyperlink" Id="rId649" Target="https://learn.microsoft.com/powershell/module/dnsserver/export-dnsserverzone?view=windowsserver2025-ps" TargetMode="External" /><Relationship Type="http://schemas.openxmlformats.org/officeDocument/2006/relationships/hyperlink" Id="rId643" Target="https://learn.microsoft.com/powershell/module/dnsserver/get-dnsserverresourcerecord?view=windowsserver2025-ps" TargetMode="External" /><Relationship Type="http://schemas.openxmlformats.org/officeDocument/2006/relationships/hyperlink" Id="rId669" Target="https://learn.microsoft.com/powershell/module/dnsserver/set-dnsserverresourcerecord?view=windowsserver2025-ps" TargetMode="External" /><Relationship Type="http://schemas.openxmlformats.org/officeDocument/2006/relationships/hyperlink" Id="rId486" Target="https://learn.microsoft.com/troubleshoot/azure/azure-kubernetes/connectivity/dns/troubleshoot-dns-failure-from-pod-but-not-from-worker-node" TargetMode="External" /><Relationship Type="http://schemas.openxmlformats.org/officeDocument/2006/relationships/hyperlink" Id="rId665" Target="https://learn.microsoft.com/troubleshoot/azure/dns/troubleshoot-azure-dns-private-resolver-hybrid-resolution-failure" TargetMode="External" /><Relationship Type="http://schemas.openxmlformats.org/officeDocument/2006/relationships/hyperlink" Id="rId575" Target="https://learn.microsoft.com/windows-server/identity/ad-ds/deploy/assigning-the-dns-for-ad-ds-owner-role" TargetMode="External" /><Relationship Type="http://schemas.openxmlformats.org/officeDocument/2006/relationships/hyperlink" Id="rId573" Target="https://learn.microsoft.com/windows-server/identity/ad-ds/manage/understand-security-groups" TargetMode="External" /><Relationship Type="http://schemas.openxmlformats.org/officeDocument/2006/relationships/hyperlink" Id="rId713" Target="https://learn.microsoft.com/windows-server/identity/ad-ds/plan/security-best-practices/appendix-b--privileged-accounts-and-groups-in-active-directory" TargetMode="External" /><Relationship Type="http://schemas.openxmlformats.org/officeDocument/2006/relationships/hyperlink" Id="rId746" Target="https://learn.microsoft.com/windows-server/networking/dns/dns-logging-and-diagnostics" TargetMode="External" /><Relationship Type="http://schemas.openxmlformats.org/officeDocument/2006/relationships/hyperlink" Id="rId588" Target="https://learn.microsoft.com/windows-server/networking/dns/dnssec-key-master" TargetMode="External" /><Relationship Type="http://schemas.openxmlformats.org/officeDocument/2006/relationships/hyperlink" Id="rId589" Target="https://learn.microsoft.com/windows-server/networking/dns/transfer-dnssec-key-master" TargetMode="External" /><Relationship Type="http://schemas.openxmlformats.org/officeDocument/2006/relationships/hyperlink" Id="rId568" Target="https://learn.microsoft.com/windows-server/networking/dns/zone-types" TargetMode="External" /><Relationship Type="http://schemas.openxmlformats.org/officeDocument/2006/relationships/hyperlink" Id="rId682" Target="https://learn.microsoft.com/windows-server/networking/technologies/dhcp/dhcp-failover" TargetMode="External" /><Relationship Type="http://schemas.openxmlformats.org/officeDocument/2006/relationships/hyperlink" Id="rId755" Target="https://learn.microsoft.com/windows-server/networking/technologies/dhcp/dhcp-failover-events" TargetMode="External" /><Relationship Type="http://schemas.openxmlformats.org/officeDocument/2006/relationships/hyperlink" Id="rId731" Target="https://poshac.me/docs/latest/Plugins/Infoblox/" TargetMode="External" /><Relationship Type="http://schemas.openxmlformats.org/officeDocument/2006/relationships/hyperlink" Id="rId791" Target="https://prices.azure.com/api/retail/prices?$filter=serviceName%20eq%20&#39;Azure%20DNS&#39;" TargetMode="External" /><Relationship Type="http://schemas.openxmlformats.org/officeDocument/2006/relationships/hyperlink" Id="rId920" Target="https://registry.terraform.io/providers/infobloxopen/bloxone" TargetMode="External" /><Relationship Type="http://schemas.openxmlformats.org/officeDocument/2006/relationships/hyperlink" Id="rId918" Target="https://registry.terraform.io/providers/infobloxopen/infoblox" TargetMode="External" /><Relationship Type="http://schemas.openxmlformats.org/officeDocument/2006/relationships/hyperlink" Id="rId932" Target="https://store.servicenow.com/store/app/eeb927621b246a50a85b16db234bcbf1" TargetMode="External" /><Relationship Type="http://schemas.openxmlformats.org/officeDocument/2006/relationships/hyperlink" Id="rId299" Target="https://support.mozilla.org/en-US/kb/configuring-networks-disable-dns-over-https" TargetMode="External" /><Relationship Type="http://schemas.openxmlformats.org/officeDocument/2006/relationships/hyperlink" Id="rId848" Target="https://web.mit.edu/kerberos/krb5-latest/doc/admin/conf_files/krb5_conf.html" TargetMode="External" /><Relationship Type="http://schemas.openxmlformats.org/officeDocument/2006/relationships/hyperlink" Id="rId301" Target="https://wiki.mozilla.org/Security/DNS_Over_HTTPS/Heuristics" TargetMode="External" /><Relationship Type="http://schemas.openxmlformats.org/officeDocument/2006/relationships/hyperlink" Id="rId888" Target="https://www.cisa.gov/news-events/directives/bod-18-01-enhance-email-and-web-security" TargetMode="External" /><Relationship Type="http://schemas.openxmlformats.org/officeDocument/2006/relationships/hyperlink" Id="rId144" Target="https://www.cisa.gov/resources-tools/programs/trusted-internet-connections-tic" TargetMode="External" /><Relationship Type="http://schemas.openxmlformats.org/officeDocument/2006/relationships/hyperlink" Id="rId115" Target="https://www.cisa.gov/resources-tools/resources/encrypted-dns-implementation-guidance" TargetMode="External" /><Relationship Type="http://schemas.openxmlformats.org/officeDocument/2006/relationships/hyperlink" Id="rId132" Target="https://www.cisa.gov/resources-tools/services/protective-domain-name-system-dns-resolver" TargetMode="External" /><Relationship Type="http://schemas.openxmlformats.org/officeDocument/2006/relationships/hyperlink" Id="rId267" Target="https://www.cisa.gov/sites/default/files/2024-05/Encrypted%20DNS%20Implementation%20Guidance_508c.pdf" TargetMode="External" /><Relationship Type="http://schemas.openxmlformats.org/officeDocument/2006/relationships/hyperlink" Id="rId143" Target="https://www.cisa.gov/sites/default/files/2026-09/TIC_3.0_Security_Capabilities_Catalogs_September_2026_17.pdf" TargetMode="External" /><Relationship Type="http://schemas.openxmlformats.org/officeDocument/2006/relationships/hyperlink" Id="rId77" Target="https://www.cisa.gov/zero-trust-maturity-model" TargetMode="External" /><Relationship Type="http://schemas.openxmlformats.org/officeDocument/2006/relationships/hyperlink" Id="rId252" Target="https://www.cisco.com/c/en/us/support/docs/routers/sd-wan/214155-configure-integration-with-cisco-umbrell.html" TargetMode="External" /><Relationship Type="http://schemas.openxmlformats.org/officeDocument/2006/relationships/hyperlink" Id="rId27" Target="https://www.cisco.com/c/en/us/td/docs/routers/sdwan/configuration/policies/ios-xe-17/policies-book-xe/redirect-dns.html" TargetMode="External" /><Relationship Type="http://schemas.openxmlformats.org/officeDocument/2006/relationships/hyperlink" Id="rId153" Target="https://www.fedramp.gov/2026/agencies/use/" TargetMode="External" /><Relationship Type="http://schemas.openxmlformats.org/officeDocument/2006/relationships/hyperlink" Id="rId156" Target="https://www.fedramp.gov/marketplace/products.json" TargetMode="External" /><Relationship Type="http://schemas.openxmlformats.org/officeDocument/2006/relationships/hyperlink" Id="rId155" Target="https://www.fedramp.gov/marketplace/products/FR2017257053/" TargetMode="External" /><Relationship Type="http://schemas.openxmlformats.org/officeDocument/2006/relationships/hyperlink" Id="rId970" Target="https://www.fedramp.gov/marketplace/products/MSO365MT/" TargetMode="External" /><Relationship Type="http://schemas.openxmlformats.org/officeDocument/2006/relationships/hyperlink" Id="rId315" Target="https://www.iana.org/assignments/bootp-dhcp-parameters/bootp-dhcp-parameters.xhtml" TargetMode="External" /><Relationship Type="http://schemas.openxmlformats.org/officeDocument/2006/relationships/hyperlink" Id="rId837" Target="https://www.iana.org/assignments/dns-parameters/dns-parameters.xhtml" TargetMode="External" /><Relationship Type="http://schemas.openxmlformats.org/officeDocument/2006/relationships/hyperlink" Id="rId547" Target="https://www.infoblox.com/blog/company/november-2025-january-2026-innovations-whats-new-in-infoblox-ddi/" TargetMode="External" /><Relationship Type="http://schemas.openxmlformats.org/officeDocument/2006/relationships/hyperlink" Id="rId120" Target="https://www.infoblox.com/blog/company/the-business-impact-of-enterprise-grade-ddi-new-research-findings/" TargetMode="External" /><Relationship Type="http://schemas.openxmlformats.org/officeDocument/2006/relationships/hyperlink" Id="rId158" Target="https://www.infoblox.com/news/news-events/press-releases/infoblox-government-cloud-achieves-fedramp-moderate-certification-bringing-modern-ddi-and-asset-visibility-to-federal-agencies/" TargetMode="External" /><Relationship Type="http://schemas.openxmlformats.org/officeDocument/2006/relationships/hyperlink" Id="rId863" Target="https://www.rfc-editor.org/info/rfc6116" TargetMode="External" /><Relationship Type="http://schemas.openxmlformats.org/officeDocument/2006/relationships/hyperlink" Id="rId911" Target="https://www.rfc-editor.org/info/rfc9824" TargetMode="External" /><Relationship Type="http://schemas.openxmlformats.org/officeDocument/2006/relationships/hyperlink" Id="rId900" Target="https://www.rfc-editor.org/info/rfc9848" TargetMode="External" /><Relationship Type="http://schemas.openxmlformats.org/officeDocument/2006/relationships/hyperlink" Id="rId901" Target="https://www.rfc-editor.org/info/rfc9849" TargetMode="External" /><Relationship Type="http://schemas.openxmlformats.org/officeDocument/2006/relationships/hyperlink" Id="rId38" Target="https://www.rfc-editor.org/rfc/rfc1034" TargetMode="External" /><Relationship Type="http://schemas.openxmlformats.org/officeDocument/2006/relationships/hyperlink" Id="rId39" Target="https://www.rfc-editor.org/rfc/rfc1035" TargetMode="External" /><Relationship Type="http://schemas.openxmlformats.org/officeDocument/2006/relationships/hyperlink" Id="rId199" Target="https://www.rfc-editor.org/rfc/rfc2136" TargetMode="External" /><Relationship Type="http://schemas.openxmlformats.org/officeDocument/2006/relationships/hyperlink" Id="rId855" Target="https://www.rfc-editor.org/rfc/rfc3263" TargetMode="External" /><Relationship Type="http://schemas.openxmlformats.org/officeDocument/2006/relationships/hyperlink" Id="rId204" Target="https://www.rfc-editor.org/rfc/rfc3645" TargetMode="External" /><Relationship Type="http://schemas.openxmlformats.org/officeDocument/2006/relationships/hyperlink" Id="rId365" Target="https://www.rfc-editor.org/rfc/rfc4033" TargetMode="External" /><Relationship Type="http://schemas.openxmlformats.org/officeDocument/2006/relationships/hyperlink" Id="rId366" Target="https://www.rfc-editor.org/rfc/rfc4034" TargetMode="External" /><Relationship Type="http://schemas.openxmlformats.org/officeDocument/2006/relationships/hyperlink" Id="rId367" Target="https://www.rfc-editor.org/rfc/rfc4035" TargetMode="External" /><Relationship Type="http://schemas.openxmlformats.org/officeDocument/2006/relationships/hyperlink" Id="rId873" Target="https://www.rfc-editor.org/rfc/rfc4255" TargetMode="External" /><Relationship Type="http://schemas.openxmlformats.org/officeDocument/2006/relationships/hyperlink" Id="rId362" Target="https://www.rfc-editor.org/rfc/rfc4592" TargetMode="External" /><Relationship Type="http://schemas.openxmlformats.org/officeDocument/2006/relationships/hyperlink" Id="rId216" Target="https://www.rfc-editor.org/rfc/rfc4701" TargetMode="External" /><Relationship Type="http://schemas.openxmlformats.org/officeDocument/2006/relationships/hyperlink" Id="rId357" Target="https://www.rfc-editor.org/rfc/rfc5280" TargetMode="External" /><Relationship Type="http://schemas.openxmlformats.org/officeDocument/2006/relationships/hyperlink" Id="rId325" Target="https://www.rfc-editor.org/rfc/rfc6105" TargetMode="External" /><Relationship Type="http://schemas.openxmlformats.org/officeDocument/2006/relationships/hyperlink" Id="rId857" Target="https://www.rfc-editor.org/rfc/rfc6120" TargetMode="External" /><Relationship Type="http://schemas.openxmlformats.org/officeDocument/2006/relationships/hyperlink" Id="rId859" Target="https://www.rfc-editor.org/rfc/rfc6186" TargetMode="External" /><Relationship Type="http://schemas.openxmlformats.org/officeDocument/2006/relationships/hyperlink" Id="rId882" Target="https://www.rfc-editor.org/rfc/rfc6376" TargetMode="External" /><Relationship Type="http://schemas.openxmlformats.org/officeDocument/2006/relationships/hyperlink" Id="rId341" Target="https://www.rfc-editor.org/rfc/rfc6698" TargetMode="External" /><Relationship Type="http://schemas.openxmlformats.org/officeDocument/2006/relationships/hyperlink" Id="rId392" Target="https://www.rfc-editor.org/rfc/rfc6891" TargetMode="External" /><Relationship Type="http://schemas.openxmlformats.org/officeDocument/2006/relationships/hyperlink" Id="rId878" Target="https://www.rfc-editor.org/rfc/rfc7208" TargetMode="External" /><Relationship Type="http://schemas.openxmlformats.org/officeDocument/2006/relationships/hyperlink" Id="rId914" Target="https://www.rfc-editor.org/rfc/rfc7344" TargetMode="External" /><Relationship Type="http://schemas.openxmlformats.org/officeDocument/2006/relationships/hyperlink" Id="rId269" Target="https://www.rfc-editor.org/rfc/rfc7858" TargetMode="External" /><Relationship Type="http://schemas.openxmlformats.org/officeDocument/2006/relationships/hyperlink" Id="rId310" Target="https://www.rfc-editor.org/rfc/rfc8106" TargetMode="External" /><Relationship Type="http://schemas.openxmlformats.org/officeDocument/2006/relationships/hyperlink" Id="rId875" Target="https://www.rfc-editor.org/rfc/rfc8162" TargetMode="External" /><Relationship Type="http://schemas.openxmlformats.org/officeDocument/2006/relationships/hyperlink" Id="rId893" Target="https://www.rfc-editor.org/rfc/rfc8461" TargetMode="External" /><Relationship Type="http://schemas.openxmlformats.org/officeDocument/2006/relationships/hyperlink" Id="rId270" Target="https://www.rfc-editor.org/rfc/rfc8484" TargetMode="External" /><Relationship Type="http://schemas.openxmlformats.org/officeDocument/2006/relationships/hyperlink" Id="rId337" Target="https://www.rfc-editor.org/rfc/rfc8555" TargetMode="External" /><Relationship Type="http://schemas.openxmlformats.org/officeDocument/2006/relationships/hyperlink" Id="rId339" Target="https://www.rfc-editor.org/rfc/rfc8659" TargetMode="External" /><Relationship Type="http://schemas.openxmlformats.org/officeDocument/2006/relationships/hyperlink" Id="rId37" Target="https://www.rfc-editor.org/rfc/rfc882" TargetMode="External" /><Relationship Type="http://schemas.openxmlformats.org/officeDocument/2006/relationships/hyperlink" Id="rId271" Target="https://www.rfc-editor.org/rfc/rfc9250" TargetMode="External" /><Relationship Type="http://schemas.openxmlformats.org/officeDocument/2006/relationships/hyperlink" Id="rId908" Target="https://www.rfc-editor.org/rfc/rfc9276" TargetMode="External" /><Relationship Type="http://schemas.openxmlformats.org/officeDocument/2006/relationships/hyperlink" Id="rId368" Target="https://www.rfc-editor.org/rfc/rfc9364" TargetMode="External" /><Relationship Type="http://schemas.openxmlformats.org/officeDocument/2006/relationships/hyperlink" Id="rId896" Target="https://www.rfc-editor.org/rfc/rfc9460" TargetMode="External" /><Relationship Type="http://schemas.openxmlformats.org/officeDocument/2006/relationships/hyperlink" Id="rId312" Target="https://www.rfc-editor.org/rfc/rfc9463" TargetMode="External" /><Relationship Type="http://schemas.openxmlformats.org/officeDocument/2006/relationships/hyperlink" Id="rId354" Target="https://www.rfc-editor.org/rfc/rfc9525" TargetMode="External" /><Relationship Type="http://schemas.openxmlformats.org/officeDocument/2006/relationships/hyperlink" Id="rId389" Target="https://www.rfc-editor.org/rfc/rfc9824" TargetMode="External" /><Relationship Type="http://schemas.openxmlformats.org/officeDocument/2006/relationships/hyperlink" Id="rId885" Target="https://www.rfc-editor.org/rfc/rfc9989" TargetMode="External" /><Relationship Type="http://schemas.openxmlformats.org/officeDocument/2006/relationships/hyperlink" Id="rId141" Target="https://www.whitehouse.gov/wp-content/uploads/2020/11/M-21-07.pdf" TargetMode="External" /><Relationship Type="http://schemas.openxmlformats.org/officeDocument/2006/relationships/hyperlink" Id="rId136" Target="https://www.whitehouse.gov/wp-content/uploads/2021/08/M-21-31-Improving-the-Federal-Governments-Investigative-and-Remediation-Capabilities-Related-to-Cybersecurity-Incidents.pdf" TargetMode="External" /><Relationship Type="http://schemas.openxmlformats.org/officeDocument/2006/relationships/hyperlink" Id="rId75"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308" Target="https://attack.mitre.org/techniques/T1557/003/" TargetMode="External" /><Relationship Type="http://schemas.openxmlformats.org/officeDocument/2006/relationships/hyperlink" Id="rId510" Target="https://aws.amazon.com/about-aws/whats-new/2025/11/amazon-vpc-ipam-automates-ip-from-infoblox/" TargetMode="External" /><Relationship Type="http://schemas.openxmlformats.org/officeDocument/2006/relationships/hyperlink" Id="rId809" Target="https://aws.amazon.com/compliance/services-in-scope/FedRAMP/" TargetMode="External" /><Relationship Type="http://schemas.openxmlformats.org/officeDocument/2006/relationships/hyperlink" Id="rId793" Target="https://azure.microsoft.com/pricing/details/dns/" TargetMode="External" /><Relationship Type="http://schemas.openxmlformats.org/officeDocument/2006/relationships/hyperlink" Id="rId519" Target="https://blogs.vmware.com/cloud-foundation/2026/05/15/vcf-networking-9-1-seamless-ddi-integration-with-infoblox/" TargetMode="External" /><Relationship Type="http://schemas.openxmlformats.org/officeDocument/2006/relationships/hyperlink" Id="rId869" Target="https://cabforum.org/2017/03/08/ballot-187-make-caa-checking-mandatory/" TargetMode="External" /><Relationship Type="http://schemas.openxmlformats.org/officeDocument/2006/relationships/hyperlink" Id="rId723" Target="https://catalog.redhat.com/en/software/collection/infoblox/universal_ddi" TargetMode="External" /><Relationship Type="http://schemas.openxmlformats.org/officeDocument/2006/relationships/hyperlink" Id="rId297" Target="https://chromeenterprise.google/policies/dns-over-https-mode/" TargetMode="External" /><Relationship Type="http://schemas.openxmlformats.org/officeDocument/2006/relationships/hyperlink" Id="rId980" Target="https://cloud.google.com/dns/docs/zones/manage-response-policies" TargetMode="External" /><Relationship Type="http://schemas.openxmlformats.org/officeDocument/2006/relationships/hyperlink" Id="rId981" Target="https://cloud.google.com/vpc/docs/internal-ranges" TargetMode="External" /><Relationship Type="http://schemas.openxmlformats.org/officeDocument/2006/relationships/hyperlink" Id="rId149" Target="https://csrc.nist.gov/pubs/sp/800/207/final" TargetMode="External" /><Relationship Type="http://schemas.openxmlformats.org/officeDocument/2006/relationships/hyperlink" Id="rId582" Target="https://csrc.nist.gov/pubs/sp/800/37/r2/final" TargetMode="External" /><Relationship Type="http://schemas.openxmlformats.org/officeDocument/2006/relationships/hyperlink" Id="rId139" Target="https://csrc.nist.gov/pubs/sp/800/53/r5/upd1/final" TargetMode="External" /><Relationship Type="http://schemas.openxmlformats.org/officeDocument/2006/relationships/hyperlink" Id="rId24" Target="https://csrc.nist.gov/pubs/sp/800/81/r3/final" TargetMode="External" /><Relationship Type="http://schemas.openxmlformats.org/officeDocument/2006/relationships/hyperlink" Id="rId890" Target="https://datatracker.ietf.org/doc/draft-brand-indicators-for-message-identification/" TargetMode="External" /><Relationship Type="http://schemas.openxmlformats.org/officeDocument/2006/relationships/hyperlink" Id="rId891" Target="https://datatracker.ietf.org/doc/html/draft-brand-indicators-for-message-identification-14" TargetMode="External" /><Relationship Type="http://schemas.openxmlformats.org/officeDocument/2006/relationships/hyperlink" Id="rId909" Target="https://datatracker.ietf.org/doc/rfc9276/" TargetMode="External" /><Relationship Type="http://schemas.openxmlformats.org/officeDocument/2006/relationships/hyperlink" Id="rId897" Target="https://datatracker.ietf.org/doc/rfc9460/" TargetMode="External" /><Relationship Type="http://schemas.openxmlformats.org/officeDocument/2006/relationships/hyperlink" Id="rId886" Target="https://datatracker.ietf.org/doc/rfc9989/" TargetMode="External" /><Relationship Type="http://schemas.openxmlformats.org/officeDocument/2006/relationships/hyperlink" Id="rId861" Target="https://developer.hashicorp.com/consul/docs/reference/dns" TargetMode="External" /><Relationship Type="http://schemas.openxmlformats.org/officeDocument/2006/relationships/hyperlink" Id="rId922" Target="https://docs.ansible.com/ansible/latest/collections/infoblox/nios_modules/index.html" TargetMode="External" /><Relationship Type="http://schemas.openxmlformats.org/officeDocument/2006/relationships/hyperlink" Id="rId408" Target="https://docs.aws.amazon.com/Route53/latest/DeveloperGuide/dns-configuring-dnssec.html" TargetMode="External" /><Relationship Type="http://schemas.openxmlformats.org/officeDocument/2006/relationships/hyperlink" Id="rId53" Target="https://docs.aws.amazon.com/Route53/latest/DeveloperGuide/resolver-dns-firewall.html" TargetMode="External" /><Relationship Type="http://schemas.openxmlformats.org/officeDocument/2006/relationships/hyperlink" Id="rId410" Target="https://docs.aws.amazon.com/Route53/latest/DeveloperGuide/resolver-dnssec-validation.html" TargetMode="External" /><Relationship Type="http://schemas.openxmlformats.org/officeDocument/2006/relationships/hyperlink" Id="rId598" Target="https://docs.aws.amazon.com/Route53/latest/DeveloperGuide/resolver-rules-managing.html" TargetMode="External" /><Relationship Type="http://schemas.openxmlformats.org/officeDocument/2006/relationships/hyperlink" Id="rId50" Target="https://docs.aws.amazon.com/Route53/latest/DeveloperGuide/resolver.html" TargetMode="External" /><Relationship Type="http://schemas.openxmlformats.org/officeDocument/2006/relationships/hyperlink" Id="rId844" Target="https://docs.aws.amazon.com/Route53/latest/DeveloperGuide/resource-record-sets-choosing-alias-non-alias.html" TargetMode="External" /><Relationship Type="http://schemas.openxmlformats.org/officeDocument/2006/relationships/hyperlink" Id="rId600" Target="https://docs.aws.amazon.com/vpc/latest/ipam/enable-integ-ipam.html" TargetMode="External" /><Relationship Type="http://schemas.openxmlformats.org/officeDocument/2006/relationships/hyperlink" Id="rId511" Target="https://docs.aws.amazon.com/vpc/latest/ipam/integrate-infoblox-ipam.html" TargetMode="External" /><Relationship Type="http://schemas.openxmlformats.org/officeDocument/2006/relationships/hyperlink" Id="rId805" Target="https://docs.bluecatnetworks.com/r/BlueCat-Azure-Virtual-Appliances/Introduction-to-BlueCat-Azure-Virtual-Appliances/26.1.0" TargetMode="External" /><Relationship Type="http://schemas.openxmlformats.org/officeDocument/2006/relationships/hyperlink" Id="rId815" Target="https://docs.bluecatnetworks.com/r/Cloud-Discovery-Visibility-Administration-Guide/Introduction-to-Cloud-Discovery-Visibility/24.1" TargetMode="External" /><Relationship Type="http://schemas.openxmlformats.org/officeDocument/2006/relationships/hyperlink" Id="rId60" Target="https://docs.cloud.google.com/dns/docs/server-policies-overview" TargetMode="External" /><Relationship Type="http://schemas.openxmlformats.org/officeDocument/2006/relationships/hyperlink" Id="rId63" Target="https://docs.cloud.google.com/dns/docs/zones/manage-response-policies" TargetMode="External" /><Relationship Type="http://schemas.openxmlformats.org/officeDocument/2006/relationships/hyperlink" Id="rId437" Target="https://docs.cloud.google.com/dns/docs/zones/zones-overview" TargetMode="External" /><Relationship Type="http://schemas.openxmlformats.org/officeDocument/2006/relationships/hyperlink" Id="rId516" Target="https://docs.cloud.google.com/vpc/docs/internal-ranges" TargetMode="External" /><Relationship Type="http://schemas.openxmlformats.org/officeDocument/2006/relationships/hyperlink" Id="rId710" Target="https://docs.infoblox.com/space/BloxOneCloud/35431431" TargetMode="External" /><Relationship Type="http://schemas.openxmlformats.org/officeDocument/2006/relationships/hyperlink" Id="rId470" Target="https://docs.infoblox.com/space/BloxOneDDI/365461729/Limitations+of+Azure+DNS+Integration" TargetMode="External" /><Relationship Type="http://schemas.openxmlformats.org/officeDocument/2006/relationships/hyperlink" Id="rId249" Target="https://docs.infoblox.com/space/BloxOneThreatDefense/35374260/Managing+Endpoint" TargetMode="External" /><Relationship Type="http://schemas.openxmlformats.org/officeDocument/2006/relationships/hyperlink" Id="rId655" Target="https://docs.infoblox.com/space/nios85/35480435" TargetMode="External" /><Relationship Type="http://schemas.openxmlformats.org/officeDocument/2006/relationships/hyperlink" Id="rId726" Target="https://docs.servicenow.com/bundle/utah-integrate-applications/page/administer/integrationhub-store-spokes/concept/infoblox-spoke.html" TargetMode="External" /><Relationship Type="http://schemas.openxmlformats.org/officeDocument/2006/relationships/hyperlink" Id="rId728" Target="https://docs.servicenow.com/bundle/xanadu-servicenow-platform/page/product/configuration-management/concept/sgc-cmdb-integration-infoblox.html" TargetMode="External" /><Relationship Type="http://schemas.openxmlformats.org/officeDocument/2006/relationships/hyperlink" Id="rId930" Target="https://docs.splunk.com/Documentation/AddOns/latest/Infoblox" TargetMode="External" /><Relationship Type="http://schemas.openxmlformats.org/officeDocument/2006/relationships/hyperlink" Id="rId65" Target="https://docs.vmware.com/en/VMware-NSX/4.1/administration/GUID-A0172881-BB25-4992-A499-14F9BE3BE7F2.html" TargetMode="External" /><Relationship Type="http://schemas.openxmlformats.org/officeDocument/2006/relationships/hyperlink" Id="rId817" Target="https://efficientip.com/products/dns-cloud/" TargetMode="External" /><Relationship Type="http://schemas.openxmlformats.org/officeDocument/2006/relationships/hyperlink" Id="rId22" Target="https://georgewbush-whitehouse.archives.gov/omb/memoranda/fy2008/m08-23.pdf" TargetMode="External" /><Relationship Type="http://schemas.openxmlformats.org/officeDocument/2006/relationships/hyperlink" Id="rId603" Target="https://get.gov/help/domain-management/" TargetMode="External" /><Relationship Type="http://schemas.openxmlformats.org/officeDocument/2006/relationships/hyperlink" Id="rId9" Target="https://github.com/WhalerMike/modernization-workbook/tree/main/archive/b08-ddi" TargetMode="External" /><Relationship Type="http://schemas.openxmlformats.org/officeDocument/2006/relationships/hyperlink" Id="rId11" Target="https://github.com/WhalerMike/modernization-workbook/tree/main/presentations/b08-ddi" TargetMode="External" /><Relationship Type="http://schemas.openxmlformats.org/officeDocument/2006/relationships/hyperlink" Id="rId721" Target="https://github.com/infobloxopen/terraform-provider-bloxone" TargetMode="External" /><Relationship Type="http://schemas.openxmlformats.org/officeDocument/2006/relationships/hyperlink" Id="rId378" Target="https://github.com/usnistgov/oscal-content/blob/main/nist.gov/SP800-53/rev5/json/NIST_SP-800-53_rev5_catalog.json" TargetMode="External" /><Relationship Type="http://schemas.openxmlformats.org/officeDocument/2006/relationships/hyperlink" Id="rId938" Target="https://github.com/usnistgov/oscal-content/tree/main/nist.gov/SP800-53/rev5" TargetMode="External" /><Relationship Type="http://schemas.openxmlformats.org/officeDocument/2006/relationships/hyperlink" Id="rId733" Target="https://go-acme.github.io/lego/dns/infoblox/" TargetMode="External" /><Relationship Type="http://schemas.openxmlformats.org/officeDocument/2006/relationships/hyperlink" Id="rId925" Target="https://infoblox-docs.atlassian.net/wiki/x/9o3v" TargetMode="External" /><Relationship Type="http://schemas.openxmlformats.org/officeDocument/2006/relationships/hyperlink" Id="rId708" Target="https://infoblox-docs.atlassian.net/wiki/x/PgKSK" TargetMode="External" /><Relationship Type="http://schemas.openxmlformats.org/officeDocument/2006/relationships/hyperlink" Id="rId235" Target="https://infoblox.com/resources/deployment-guides/configuring-and-enabling-gss-tsig-nios" TargetMode="External" /><Relationship Type="http://schemas.openxmlformats.org/officeDocument/2006/relationships/hyperlink" Id="rId934" Target="https://infoblox.com/resources/deployment-guides/infoblox-nios-integration-with-palo-alto-networks-firewall" TargetMode="External" /><Relationship Type="http://schemas.openxmlformats.org/officeDocument/2006/relationships/hyperlink" Id="rId233" Target="https://infoblox.com/resources/deployment-guides/integrating-microsoft-server-2019-into-nios-8-6" TargetMode="External" /><Relationship Type="http://schemas.openxmlformats.org/officeDocument/2006/relationships/hyperlink" Id="rId936" Target="https://infoblox.com/resources/deployment-guides/integration-with-tenable-io" TargetMode="External" /><Relationship Type="http://schemas.openxmlformats.org/officeDocument/2006/relationships/hyperlink" Id="rId492" Target="https://learn.microsoft.com/azure/architecture/hybrid/hybrid-dns-infra" TargetMode="External" /><Relationship Type="http://schemas.openxmlformats.org/officeDocument/2006/relationships/hyperlink" Id="rId478" Target="https://learn.microsoft.com/azure/architecture/networking/architecture/azure-dns-private-resolver" TargetMode="External" /><Relationship Type="http://schemas.openxmlformats.org/officeDocument/2006/relationships/hyperlink" Id="rId807" Target="https://learn.microsoft.com/azure/azure-government/compliance/azure-services-in-fedramp-auditscope" TargetMode="External" /><Relationship Type="http://schemas.openxmlformats.org/officeDocument/2006/relationships/hyperlink" Id="rId441" Target="https://learn.microsoft.com/azure/azure-vmware/configure-dns-azure-vmware-solution" TargetMode="External" /><Relationship Type="http://schemas.openxmlformats.org/officeDocument/2006/relationships/hyperlink" Id="rId591" Target="https://learn.microsoft.com/azure/cloud-adoption-framework/ready/azure-best-practices/private-link-and-dns-integration-at-scale" TargetMode="External" /><Relationship Type="http://schemas.openxmlformats.org/officeDocument/2006/relationships/hyperlink" Id="rId675" Target="https://learn.microsoft.com/azure/dns/dns-faq" TargetMode="External" /><Relationship Type="http://schemas.openxmlformats.org/officeDocument/2006/relationships/hyperlink" Id="rId651" Target="https://learn.microsoft.com/azure/dns/dns-faq-private" TargetMode="External" /><Relationship Type="http://schemas.openxmlformats.org/officeDocument/2006/relationships/hyperlink" Id="rId497" Target="https://learn.microsoft.com/azure/dns/dns-private-resolver-get-started-powershell" TargetMode="External" /><Relationship Type="http://schemas.openxmlformats.org/officeDocument/2006/relationships/hyperlink" Id="rId430" Target="https://learn.microsoft.com/azure/dns/dns-private-resolver-overview" TargetMode="External" /><Relationship Type="http://schemas.openxmlformats.org/officeDocument/2006/relationships/hyperlink" Id="rId613" Target="https://learn.microsoft.com/azure/dns/dns-protect-private-zones-recordsets" TargetMode="External" /><Relationship Type="http://schemas.openxmlformats.org/officeDocument/2006/relationships/hyperlink" Id="rId594" Target="https://learn.microsoft.com/azure/dns/dns-protect-zones-recordsets" TargetMode="External" /><Relationship Type="http://schemas.openxmlformats.org/officeDocument/2006/relationships/hyperlink" Id="rId433" Target="https://learn.microsoft.com/azure/dns/dns-security-policy" TargetMode="External" /><Relationship Type="http://schemas.openxmlformats.org/officeDocument/2006/relationships/hyperlink" Id="rId751" Target="https://learn.microsoft.com/azure/dns/dns-traffic-log-how-to" TargetMode="External" /><Relationship Type="http://schemas.openxmlformats.org/officeDocument/2006/relationships/hyperlink" Id="rId757" Target="https://learn.microsoft.com/azure/dns/monitor-dns-reference" TargetMode="External" /><Relationship Type="http://schemas.openxmlformats.org/officeDocument/2006/relationships/hyperlink" Id="rId464" Target="https://learn.microsoft.com/azure/dns/private-dns-autoregistration" TargetMode="External" /><Relationship Type="http://schemas.openxmlformats.org/officeDocument/2006/relationships/hyperlink" Id="rId428" Target="https://learn.microsoft.com/azure/dns/private-dns-overview" TargetMode="External" /><Relationship Type="http://schemas.openxmlformats.org/officeDocument/2006/relationships/hyperlink" Id="rId468" Target="https://learn.microsoft.com/azure/dns/private-resolver-endpoints-rulesets" TargetMode="External" /><Relationship Type="http://schemas.openxmlformats.org/officeDocument/2006/relationships/hyperlink" Id="rId494" Target="https://learn.microsoft.com/azure/dns/public-dns-overview" TargetMode="External" /><Relationship Type="http://schemas.openxmlformats.org/officeDocument/2006/relationships/hyperlink" Id="rId719" Target="https://learn.microsoft.com/azure/dns/secure-dns" TargetMode="External" /><Relationship Type="http://schemas.openxmlformats.org/officeDocument/2006/relationships/hyperlink" Id="rId795" Target="https://learn.microsoft.com/azure/networking/design-guide/dns-security" TargetMode="External" /><Relationship Type="http://schemas.openxmlformats.org/officeDocument/2006/relationships/hyperlink" Id="rId452" Target="https://learn.microsoft.com/azure/private-link/private-endpoint-dns" TargetMode="External" /><Relationship Type="http://schemas.openxmlformats.org/officeDocument/2006/relationships/hyperlink" Id="rId450" Target="https://learn.microsoft.com/azure/private-link/private-endpoint-dns-integration" TargetMode="External" /><Relationship Type="http://schemas.openxmlformats.org/officeDocument/2006/relationships/hyperlink" Id="rId593" Target="https://learn.microsoft.com/azure/role-based-access-control/built-in-roles/networking" TargetMode="External" /><Relationship Type="http://schemas.openxmlformats.org/officeDocument/2006/relationships/hyperlink" Id="rId771" Target="https://learn.microsoft.com/azure/security/fundamentals/subdomain-takeover" TargetMode="External" /><Relationship Type="http://schemas.openxmlformats.org/officeDocument/2006/relationships/hyperlink" Id="rId748" Target="https://learn.microsoft.com/azure/sentinel/connect-dns-ama" TargetMode="External" /><Relationship Type="http://schemas.openxmlformats.org/officeDocument/2006/relationships/hyperlink" Id="rId514" Target="https://learn.microsoft.com/azure/virtual-network-manager/concept-ip-address-management" TargetMode="External" /><Relationship Type="http://schemas.openxmlformats.org/officeDocument/2006/relationships/hyperlink" Id="rId596" Target="https://learn.microsoft.com/azure/virtual-network-manager/how-to-manage-ip-addresses-network-manager" TargetMode="External" /><Relationship Type="http://schemas.openxmlformats.org/officeDocument/2006/relationships/hyperlink" Id="rId685" Target="https://learn.microsoft.com/azure/virtual-network/manage-virtual-network" TargetMode="External" /><Relationship Type="http://schemas.openxmlformats.org/officeDocument/2006/relationships/hyperlink" Id="rId688" Target="https://learn.microsoft.com/azure/virtual-network/virtual-networks-faq" TargetMode="External" /><Relationship Type="http://schemas.openxmlformats.org/officeDocument/2006/relationships/hyperlink" Id="rId488" Target="https://learn.microsoft.com/azure/virtual-network/virtual-networks-name-resolution-for-vms-and-role-instances" TargetMode="External" /><Relationship Type="http://schemas.openxmlformats.org/officeDocument/2006/relationships/hyperlink" Id="rId661" Target="https://learn.microsoft.com/cli/azure/dns-resolver/forwarding-rule?view=azure-cli-latest" TargetMode="External" /><Relationship Type="http://schemas.openxmlformats.org/officeDocument/2006/relationships/hyperlink" Id="rId768" Target="https://learn.microsoft.com/cli/azure/network/private-dns/record-set?view=azure-cli-latest" TargetMode="External" /><Relationship Type="http://schemas.openxmlformats.org/officeDocument/2006/relationships/hyperlink" Id="rId570" Target="https://learn.microsoft.com/defender-for-identity/unsafe-permissions-dns-admins-group" TargetMode="External" /><Relationship Type="http://schemas.openxmlformats.org/officeDocument/2006/relationships/hyperlink" Id="rId977" Target="https://learn.microsoft.com/en-us/azure/azure-government/compare-azure-government-global-azure" TargetMode="External" /><Relationship Type="http://schemas.openxmlformats.org/officeDocument/2006/relationships/hyperlink" Id="rId979" Target="https://learn.microsoft.com/en-us/azure/azure-government/documentation-government-overview-dod" TargetMode="External" /><Relationship Type="http://schemas.openxmlformats.org/officeDocument/2006/relationships/hyperlink" Id="rId978" Target="https://learn.microsoft.com/en-us/azure/azure-government/documentation-government-product-roadmap" TargetMode="External" /><Relationship Type="http://schemas.openxmlformats.org/officeDocument/2006/relationships/hyperlink" Id="rId842" Target="https://learn.microsoft.com/en-us/azure/dns/dns-alias" TargetMode="External" /><Relationship Type="http://schemas.openxmlformats.org/officeDocument/2006/relationships/hyperlink" Id="rId406" Target="https://learn.microsoft.com/en-us/azure/dns/dns-faq" TargetMode="External" /><Relationship Type="http://schemas.openxmlformats.org/officeDocument/2006/relationships/hyperlink" Id="rId55" Target="https://learn.microsoft.com/en-us/azure/dns/dns-private-resolver-overview" TargetMode="External" /><Relationship Type="http://schemas.openxmlformats.org/officeDocument/2006/relationships/hyperlink" Id="rId58" Target="https://learn.microsoft.com/en-us/azure/dns/dns-security-policy" TargetMode="External" /><Relationship Type="http://schemas.openxmlformats.org/officeDocument/2006/relationships/hyperlink" Id="rId255" Target="https://learn.microsoft.com/en-us/azure/dns/dnssec" TargetMode="External" /><Relationship Type="http://schemas.openxmlformats.org/officeDocument/2006/relationships/hyperlink" Id="rId975" Target="https://learn.microsoft.com/en-us/azure/dns/dnssec-how-to" TargetMode="External" /><Relationship Type="http://schemas.openxmlformats.org/officeDocument/2006/relationships/hyperlink" Id="rId415" Target="https://learn.microsoft.com/en-us/azure/dns/dnssec-unsign" TargetMode="External" /><Relationship Type="http://schemas.openxmlformats.org/officeDocument/2006/relationships/hyperlink" Id="rId974" Target="https://learn.microsoft.com/en-us/azure/dns/private-dns-overview" TargetMode="External" /><Relationship Type="http://schemas.openxmlformats.org/officeDocument/2006/relationships/hyperlink" Id="rId56" Target="https://learn.microsoft.com/en-us/azure/dns/private-resolver-endpoints-rulesets" TargetMode="External" /><Relationship Type="http://schemas.openxmlformats.org/officeDocument/2006/relationships/hyperlink" Id="rId94" Target="https://learn.microsoft.com/en-us/azure/private-link/private-endpoint-dns" TargetMode="External" /><Relationship Type="http://schemas.openxmlformats.org/officeDocument/2006/relationships/hyperlink" Id="rId973" Target="https://learn.microsoft.com/en-us/azure/private-link/private-endpoint-dns-integration" TargetMode="External" /><Relationship Type="http://schemas.openxmlformats.org/officeDocument/2006/relationships/hyperlink" Id="rId927" Target="https://learn.microsoft.com/en-us/azure/sentinel/data-connectors-reference" TargetMode="External" /><Relationship Type="http://schemas.openxmlformats.org/officeDocument/2006/relationships/hyperlink" Id="rId928" Target="https://learn.microsoft.com/en-us/azure/sentinel/unified-connector-syslog-device" TargetMode="External" /><Relationship Type="http://schemas.openxmlformats.org/officeDocument/2006/relationships/hyperlink" Id="rId42" Target="https://learn.microsoft.com/en-us/azure/storage/common/storage-private-endpoints" TargetMode="External" /><Relationship Type="http://schemas.openxmlformats.org/officeDocument/2006/relationships/hyperlink" Id="rId976" Target="https://learn.microsoft.com/en-us/azure/virtual-network-manager/concept-ip-address-management" TargetMode="External" /><Relationship Type="http://schemas.openxmlformats.org/officeDocument/2006/relationships/hyperlink" Id="rId418" Target="https://learn.microsoft.com/en-us/azure/virtual-network/virtual-network-encryption-overview" TargetMode="External" /><Relationship Type="http://schemas.openxmlformats.org/officeDocument/2006/relationships/hyperlink" Id="rId295" Target="https://learn.microsoft.com/en-us/deployedge/microsoft-edge-browser-policies/dnsoverhttpsmode" TargetMode="External" /><Relationship Type="http://schemas.openxmlformats.org/officeDocument/2006/relationships/hyperlink" Id="rId351" Target="https://learn.microsoft.com/en-us/entra/identity-platform/access-token-claims-reference" TargetMode="External" /><Relationship Type="http://schemas.openxmlformats.org/officeDocument/2006/relationships/hyperlink" Id="rId345" Target="https://learn.microsoft.com/en-us/entra/identity-platform/authentication-national-cloud" TargetMode="External" /><Relationship Type="http://schemas.openxmlformats.org/officeDocument/2006/relationships/hyperlink" Id="rId228" Target="https://learn.microsoft.com/en-us/entra/identity/domain-services/manage-dns" TargetMode="External" /><Relationship Type="http://schemas.openxmlformats.org/officeDocument/2006/relationships/hyperlink" Id="rId229" Target="https://learn.microsoft.com/en-us/entra/identity/domain-services/tutorial-create-instance" TargetMode="External" /><Relationship Type="http://schemas.openxmlformats.org/officeDocument/2006/relationships/hyperlink" Id="rId161" Target="https://learn.microsoft.com/en-us/entra/identity/hybrid/guidance-it-architects-source-of-authority" TargetMode="External" /><Relationship Type="http://schemas.openxmlformats.org/officeDocument/2006/relationships/hyperlink" Id="rId44" Target="https://learn.microsoft.com/en-us/microsoft-365/enterprise/microsoft-365-endpoints?view=o365-worldwide" TargetMode="External" /><Relationship Type="http://schemas.openxmlformats.org/officeDocument/2006/relationships/hyperlink" Id="rId45" Target="https://learn.microsoft.com/en-us/microsoft-365/enterprise/microsoft-365-u-s-government-gcc-high-endpoints?view=o365-worldwide" TargetMode="External" /><Relationship Type="http://schemas.openxmlformats.org/officeDocument/2006/relationships/hyperlink" Id="rId34" Target="https://learn.microsoft.com/en-us/microsoft-365/enterprise/office-365-network-mac-perf-cpe?view=o365-worldwide" TargetMode="External" /><Relationship Type="http://schemas.openxmlformats.org/officeDocument/2006/relationships/hyperlink" Id="rId103" Target="https://learn.microsoft.com/en-us/microsoft-365/enterprise/urls-and-ip-address-ranges?view=o365-worldwide" TargetMode="External" /><Relationship Type="http://schemas.openxmlformats.org/officeDocument/2006/relationships/hyperlink" Id="rId349" Target="https://learn.microsoft.com/en-us/office365/servicedescriptions/office-365-platform-service-description/office-365-us-government/gcc" TargetMode="External" /><Relationship Type="http://schemas.openxmlformats.org/officeDocument/2006/relationships/hyperlink" Id="rId317" Target="https://learn.microsoft.com/en-us/powershell/module/dhcpserver/add-dhcpserverv4optiondefinition?view=windowsserver2025-ps" TargetMode="External" /><Relationship Type="http://schemas.openxmlformats.org/officeDocument/2006/relationships/hyperlink" Id="rId214" Target="https://learn.microsoft.com/en-us/powershell/module/dhcpserver/set-dhcpserverv4dnssetting" TargetMode="External" /><Relationship Type="http://schemas.openxmlformats.org/officeDocument/2006/relationships/hyperlink" Id="rId181" Target="https://learn.microsoft.com/en-us/powershell/module/dnsserver/add-dnsserverconditionalforwarderzone?view=windowsserver2025-ps" TargetMode="External" /><Relationship Type="http://schemas.openxmlformats.org/officeDocument/2006/relationships/hyperlink" Id="rId177" Target="https://learn.microsoft.com/en-us/powershell/module/dnsserver/add-dnsserverprimaryzone?view=windowsserver2025-ps" TargetMode="External" /><Relationship Type="http://schemas.openxmlformats.org/officeDocument/2006/relationships/hyperlink" Id="rId183" Target="https://learn.microsoft.com/en-us/powershell/module/dnsserver/set-dnsserverglobalnamezone?view=windowsserver2025-ps" TargetMode="External" /><Relationship Type="http://schemas.openxmlformats.org/officeDocument/2006/relationships/hyperlink" Id="rId98" Target="https://learn.microsoft.com/en-us/troubleshoot/azure/private-link/troubleshoot-403-access-denied-private-endpoint" TargetMode="External" /><Relationship Type="http://schemas.openxmlformats.org/officeDocument/2006/relationships/hyperlink" Id="rId347" Target="https://learn.microsoft.com/en-us/troubleshoot/entra/entra-id/app-integration/error-aadsts900439-usgclientnotsupportedonpublicendpoint" TargetMode="External" /><Relationship Type="http://schemas.openxmlformats.org/officeDocument/2006/relationships/hyperlink" Id="rId851" Target="https://learn.microsoft.com/en-us/troubleshoot/windows-server/active-directory/problems-with-dc-ad-integrated-dns-zones" TargetMode="External" /><Relationship Type="http://schemas.openxmlformats.org/officeDocument/2006/relationships/hyperlink" Id="rId211" Target="https://learn.microsoft.com/en-us/troubleshoot/windows-server/networking/event-1056-install-dhcp-server-service" TargetMode="External" /><Relationship Type="http://schemas.openxmlformats.org/officeDocument/2006/relationships/hyperlink" Id="rId218" Target="https://learn.microsoft.com/en-us/troubleshoot/windows-server/networking/troubleshoot-multiple-records-being-registered-with-the-same-ip-address" TargetMode="External" /><Relationship Type="http://schemas.openxmlformats.org/officeDocument/2006/relationships/hyperlink" Id="rId320" Target="https://learn.microsoft.com/en-us/troubleshoot/windows-server/networking/troubleshooting-guide-dhcp-authorization-failures" TargetMode="External" /><Relationship Type="http://schemas.openxmlformats.org/officeDocument/2006/relationships/hyperlink" Id="rId196" Target="https://learn.microsoft.com/en-us/troubleshoot/windows-server/networking/verify-srv-dns-records-have-been-created" TargetMode="External" /><Relationship Type="http://schemas.openxmlformats.org/officeDocument/2006/relationships/hyperlink" Id="rId225" Target="https://learn.microsoft.com/en-us/windows-server/get-started/whats-new-windows-server-2025" TargetMode="External" /><Relationship Type="http://schemas.openxmlformats.org/officeDocument/2006/relationships/hyperlink" Id="rId190" Target="https://learn.microsoft.com/en-us/windows-server/identity/ad-ds/manage/dc-locator" TargetMode="External" /><Relationship Type="http://schemas.openxmlformats.org/officeDocument/2006/relationships/hyperlink" Id="rId169" Target="https://learn.microsoft.com/en-us/windows-server/identity/ad-ds/plan/dns-and-ad-ds" TargetMode="External" /><Relationship Type="http://schemas.openxmlformats.org/officeDocument/2006/relationships/hyperlink" Id="rId285" Target="https://learn.microsoft.com/en-us/windows-server/networking/dns/dns-encryption-dns-over-https" TargetMode="External" /><Relationship Type="http://schemas.openxmlformats.org/officeDocument/2006/relationships/hyperlink" Id="rId186" Target="https://learn.microsoft.com/en-us/windows-server/networking/dns/dnssec-key-master" TargetMode="External" /><Relationship Type="http://schemas.openxmlformats.org/officeDocument/2006/relationships/hyperlink" Id="rId400" Target="https://learn.microsoft.com/en-us/windows-server/networking/dns/dnssec-overview" TargetMode="External" /><Relationship Type="http://schemas.openxmlformats.org/officeDocument/2006/relationships/hyperlink" Id="rId280" Target="https://learn.microsoft.com/en-us/windows-server/networking/dns/doh-client-support" TargetMode="External" /><Relationship Type="http://schemas.openxmlformats.org/officeDocument/2006/relationships/hyperlink" Id="rId201" Target="https://learn.microsoft.com/en-us/windows-server/networking/dns/dynamic-update" TargetMode="External" /><Relationship Type="http://schemas.openxmlformats.org/officeDocument/2006/relationships/hyperlink" Id="rId286" Target="https://learn.microsoft.com/en-us/windows-server/networking/dns/enable-dns-over-https-server" TargetMode="External" /><Relationship Type="http://schemas.openxmlformats.org/officeDocument/2006/relationships/hyperlink" Id="rId385" Target="https://learn.microsoft.com/en-us/windows-server/networking/dns/sign-dnssec-zone" TargetMode="External" /><Relationship Type="http://schemas.openxmlformats.org/officeDocument/2006/relationships/hyperlink" Id="rId402" Target="https://learn.microsoft.com/en-us/windows-server/networking/dns/validate-dnssec-responses" TargetMode="External" /><Relationship Type="http://schemas.openxmlformats.org/officeDocument/2006/relationships/hyperlink" Id="rId175" Target="https://learn.microsoft.com/en-us/windows-server/networking/dns/zone-types" TargetMode="External" /><Relationship Type="http://schemas.openxmlformats.org/officeDocument/2006/relationships/hyperlink" Id="rId207" Target="https://learn.microsoft.com/en-us/windows-server/networking/technologies/dhcp/dhcp-failover" TargetMode="External" /><Relationship Type="http://schemas.openxmlformats.org/officeDocument/2006/relationships/hyperlink" Id="rId321" Target="https://learn.microsoft.com/en-us/windows-server/networking/technologies/dhcp/quickstart-install-configure-dhcp-server" TargetMode="External" /><Relationship Type="http://schemas.openxmlformats.org/officeDocument/2006/relationships/hyperlink" Id="rId194" Target="https://learn.microsoft.com/en-us/windows/client-management/mdm/policy-csp-admx-netlogon" TargetMode="External" /><Relationship Type="http://schemas.openxmlformats.org/officeDocument/2006/relationships/hyperlink" Id="rId282" Target="https://learn.microsoft.com/en-us/windows/security/book/operating-system-security-network-security" TargetMode="External" /><Relationship Type="http://schemas.openxmlformats.org/officeDocument/2006/relationships/hyperlink" Id="rId290" Target="https://learn.microsoft.com/en-us/windows/security/operating-system-security/network-security/zero-trust-dns/" TargetMode="External" /><Relationship Type="http://schemas.openxmlformats.org/officeDocument/2006/relationships/hyperlink" Id="rId192" Target="https://learn.microsoft.com/en-us/windows/win32/secauthn/kerberos-ssp-ap" TargetMode="External" /><Relationship Type="http://schemas.openxmlformats.org/officeDocument/2006/relationships/hyperlink" Id="rId318" Target="https://learn.microsoft.com/en-us/windows/win32/winhttp/winhttp-autoproxy-support" TargetMode="External" /><Relationship Type="http://schemas.openxmlformats.org/officeDocument/2006/relationships/hyperlink" Id="rId558" Target="https://learn.microsoft.com/microsoft-365/enterprise/office-365-network-mac-perf-cpe" TargetMode="External" /><Relationship Type="http://schemas.openxmlformats.org/officeDocument/2006/relationships/hyperlink" Id="rId647" Target="https://learn.microsoft.com/powershell/module/dhcpserver/export-dhcpserver?view=windowsserver2025-ps" TargetMode="External" /><Relationship Type="http://schemas.openxmlformats.org/officeDocument/2006/relationships/hyperlink" Id="rId753" Target="https://learn.microsoft.com/powershell/module/dhcpserver/get-dhcpserverauditlog?view=windowsserver2025-ps" TargetMode="External" /><Relationship Type="http://schemas.openxmlformats.org/officeDocument/2006/relationships/hyperlink" Id="rId680" Target="https://learn.microsoft.com/powershell/module/dhcpserver/import-dhcpserver?view=windowsserver2025-ps" TargetMode="External" /><Relationship Type="http://schemas.openxmlformats.org/officeDocument/2006/relationships/hyperlink" Id="rId693" Target="https://learn.microsoft.com/powershell/module/dhcpserver/remove-dhcpserverindc?view=windowsserver2025-ps" TargetMode="External" /><Relationship Type="http://schemas.openxmlformats.org/officeDocument/2006/relationships/hyperlink" Id="rId645" Target="https://learn.microsoft.com/powershell/module/dnsclient/resolve-dnsname?view=windowsserver2025-ps" TargetMode="External" /><Relationship Type="http://schemas.openxmlformats.org/officeDocument/2006/relationships/hyperlink" Id="rId641" Target="https://learn.microsoft.com/powershell/module/dnsserver/" TargetMode="External" /><Relationship Type="http://schemas.openxmlformats.org/officeDocument/2006/relationships/hyperlink" Id="rId659" Target="https://learn.microsoft.com/powershell/module/dnsserver/add-dnsserverconditionalforwarderzone?view=windowsserver2025-ps" TargetMode="External" /><Relationship Type="http://schemas.openxmlformats.org/officeDocument/2006/relationships/hyperlink" Id="rId649" Target="https://learn.microsoft.com/powershell/module/dnsserver/export-dnsserverzone?view=windowsserver2025-ps" TargetMode="External" /><Relationship Type="http://schemas.openxmlformats.org/officeDocument/2006/relationships/hyperlink" Id="rId643" Target="https://learn.microsoft.com/powershell/module/dnsserver/get-dnsserverresourcerecord?view=windowsserver2025-ps" TargetMode="External" /><Relationship Type="http://schemas.openxmlformats.org/officeDocument/2006/relationships/hyperlink" Id="rId669" Target="https://learn.microsoft.com/powershell/module/dnsserver/set-dnsserverresourcerecord?view=windowsserver2025-ps" TargetMode="External" /><Relationship Type="http://schemas.openxmlformats.org/officeDocument/2006/relationships/hyperlink" Id="rId486" Target="https://learn.microsoft.com/troubleshoot/azure/azure-kubernetes/connectivity/dns/troubleshoot-dns-failure-from-pod-but-not-from-worker-node" TargetMode="External" /><Relationship Type="http://schemas.openxmlformats.org/officeDocument/2006/relationships/hyperlink" Id="rId665" Target="https://learn.microsoft.com/troubleshoot/azure/dns/troubleshoot-azure-dns-private-resolver-hybrid-resolution-failure" TargetMode="External" /><Relationship Type="http://schemas.openxmlformats.org/officeDocument/2006/relationships/hyperlink" Id="rId575" Target="https://learn.microsoft.com/windows-server/identity/ad-ds/deploy/assigning-the-dns-for-ad-ds-owner-role" TargetMode="External" /><Relationship Type="http://schemas.openxmlformats.org/officeDocument/2006/relationships/hyperlink" Id="rId573" Target="https://learn.microsoft.com/windows-server/identity/ad-ds/manage/understand-security-groups" TargetMode="External" /><Relationship Type="http://schemas.openxmlformats.org/officeDocument/2006/relationships/hyperlink" Id="rId713" Target="https://learn.microsoft.com/windows-server/identity/ad-ds/plan/security-best-practices/appendix-b--privileged-accounts-and-groups-in-active-directory" TargetMode="External" /><Relationship Type="http://schemas.openxmlformats.org/officeDocument/2006/relationships/hyperlink" Id="rId746" Target="https://learn.microsoft.com/windows-server/networking/dns/dns-logging-and-diagnostics" TargetMode="External" /><Relationship Type="http://schemas.openxmlformats.org/officeDocument/2006/relationships/hyperlink" Id="rId588" Target="https://learn.microsoft.com/windows-server/networking/dns/dnssec-key-master" TargetMode="External" /><Relationship Type="http://schemas.openxmlformats.org/officeDocument/2006/relationships/hyperlink" Id="rId589" Target="https://learn.microsoft.com/windows-server/networking/dns/transfer-dnssec-key-master" TargetMode="External" /><Relationship Type="http://schemas.openxmlformats.org/officeDocument/2006/relationships/hyperlink" Id="rId568" Target="https://learn.microsoft.com/windows-server/networking/dns/zone-types" TargetMode="External" /><Relationship Type="http://schemas.openxmlformats.org/officeDocument/2006/relationships/hyperlink" Id="rId682" Target="https://learn.microsoft.com/windows-server/networking/technologies/dhcp/dhcp-failover" TargetMode="External" /><Relationship Type="http://schemas.openxmlformats.org/officeDocument/2006/relationships/hyperlink" Id="rId755" Target="https://learn.microsoft.com/windows-server/networking/technologies/dhcp/dhcp-failover-events" TargetMode="External" /><Relationship Type="http://schemas.openxmlformats.org/officeDocument/2006/relationships/hyperlink" Id="rId731" Target="https://poshac.me/docs/latest/Plugins/Infoblox/" TargetMode="External" /><Relationship Type="http://schemas.openxmlformats.org/officeDocument/2006/relationships/hyperlink" Id="rId791" Target="https://prices.azure.com/api/retail/prices?$filter=serviceName%20eq%20&#39;Azure%20DNS&#39;" TargetMode="External" /><Relationship Type="http://schemas.openxmlformats.org/officeDocument/2006/relationships/hyperlink" Id="rId920" Target="https://registry.terraform.io/providers/infobloxopen/bloxone" TargetMode="External" /><Relationship Type="http://schemas.openxmlformats.org/officeDocument/2006/relationships/hyperlink" Id="rId918" Target="https://registry.terraform.io/providers/infobloxopen/infoblox" TargetMode="External" /><Relationship Type="http://schemas.openxmlformats.org/officeDocument/2006/relationships/hyperlink" Id="rId932" Target="https://store.servicenow.com/store/app/eeb927621b246a50a85b16db234bcbf1" TargetMode="External" /><Relationship Type="http://schemas.openxmlformats.org/officeDocument/2006/relationships/hyperlink" Id="rId299" Target="https://support.mozilla.org/en-US/kb/configuring-networks-disable-dns-over-https" TargetMode="External" /><Relationship Type="http://schemas.openxmlformats.org/officeDocument/2006/relationships/hyperlink" Id="rId848" Target="https://web.mit.edu/kerberos/krb5-latest/doc/admin/conf_files/krb5_conf.html" TargetMode="External" /><Relationship Type="http://schemas.openxmlformats.org/officeDocument/2006/relationships/hyperlink" Id="rId301" Target="https://wiki.mozilla.org/Security/DNS_Over_HTTPS/Heuristics" TargetMode="External" /><Relationship Type="http://schemas.openxmlformats.org/officeDocument/2006/relationships/hyperlink" Id="rId888" Target="https://www.cisa.gov/news-events/directives/bod-18-01-enhance-email-and-web-security" TargetMode="External" /><Relationship Type="http://schemas.openxmlformats.org/officeDocument/2006/relationships/hyperlink" Id="rId144" Target="https://www.cisa.gov/resources-tools/programs/trusted-internet-connections-tic" TargetMode="External" /><Relationship Type="http://schemas.openxmlformats.org/officeDocument/2006/relationships/hyperlink" Id="rId115" Target="https://www.cisa.gov/resources-tools/resources/encrypted-dns-implementation-guidance" TargetMode="External" /><Relationship Type="http://schemas.openxmlformats.org/officeDocument/2006/relationships/hyperlink" Id="rId132" Target="https://www.cisa.gov/resources-tools/services/protective-domain-name-system-dns-resolver" TargetMode="External" /><Relationship Type="http://schemas.openxmlformats.org/officeDocument/2006/relationships/hyperlink" Id="rId267" Target="https://www.cisa.gov/sites/default/files/2024-05/Encrypted%20DNS%20Implementation%20Guidance_508c.pdf" TargetMode="External" /><Relationship Type="http://schemas.openxmlformats.org/officeDocument/2006/relationships/hyperlink" Id="rId143" Target="https://www.cisa.gov/sites/default/files/2026-09/TIC_3.0_Security_Capabilities_Catalogs_September_2026_17.pdf" TargetMode="External" /><Relationship Type="http://schemas.openxmlformats.org/officeDocument/2006/relationships/hyperlink" Id="rId77" Target="https://www.cisa.gov/zero-trust-maturity-model" TargetMode="External" /><Relationship Type="http://schemas.openxmlformats.org/officeDocument/2006/relationships/hyperlink" Id="rId252" Target="https://www.cisco.com/c/en/us/support/docs/routers/sd-wan/214155-configure-integration-with-cisco-umbrell.html" TargetMode="External" /><Relationship Type="http://schemas.openxmlformats.org/officeDocument/2006/relationships/hyperlink" Id="rId27" Target="https://www.cisco.com/c/en/us/td/docs/routers/sdwan/configuration/policies/ios-xe-17/policies-book-xe/redirect-dns.html" TargetMode="External" /><Relationship Type="http://schemas.openxmlformats.org/officeDocument/2006/relationships/hyperlink" Id="rId153" Target="https://www.fedramp.gov/2026/agencies/use/" TargetMode="External" /><Relationship Type="http://schemas.openxmlformats.org/officeDocument/2006/relationships/hyperlink" Id="rId156" Target="https://www.fedramp.gov/marketplace/products.json" TargetMode="External" /><Relationship Type="http://schemas.openxmlformats.org/officeDocument/2006/relationships/hyperlink" Id="rId155" Target="https://www.fedramp.gov/marketplace/products/FR2017257053/" TargetMode="External" /><Relationship Type="http://schemas.openxmlformats.org/officeDocument/2006/relationships/hyperlink" Id="rId970" Target="https://www.fedramp.gov/marketplace/products/MSO365MT/" TargetMode="External" /><Relationship Type="http://schemas.openxmlformats.org/officeDocument/2006/relationships/hyperlink" Id="rId315" Target="https://www.iana.org/assignments/bootp-dhcp-parameters/bootp-dhcp-parameters.xhtml" TargetMode="External" /><Relationship Type="http://schemas.openxmlformats.org/officeDocument/2006/relationships/hyperlink" Id="rId837" Target="https://www.iana.org/assignments/dns-parameters/dns-parameters.xhtml" TargetMode="External" /><Relationship Type="http://schemas.openxmlformats.org/officeDocument/2006/relationships/hyperlink" Id="rId547" Target="https://www.infoblox.com/blog/company/november-2025-january-2026-innovations-whats-new-in-infoblox-ddi/" TargetMode="External" /><Relationship Type="http://schemas.openxmlformats.org/officeDocument/2006/relationships/hyperlink" Id="rId120" Target="https://www.infoblox.com/blog/company/the-business-impact-of-enterprise-grade-ddi-new-research-findings/" TargetMode="External" /><Relationship Type="http://schemas.openxmlformats.org/officeDocument/2006/relationships/hyperlink" Id="rId158" Target="https://www.infoblox.com/news/news-events/press-releases/infoblox-government-cloud-achieves-fedramp-moderate-certification-bringing-modern-ddi-and-asset-visibility-to-federal-agencies/" TargetMode="External" /><Relationship Type="http://schemas.openxmlformats.org/officeDocument/2006/relationships/hyperlink" Id="rId863" Target="https://www.rfc-editor.org/info/rfc6116" TargetMode="External" /><Relationship Type="http://schemas.openxmlformats.org/officeDocument/2006/relationships/hyperlink" Id="rId911" Target="https://www.rfc-editor.org/info/rfc9824" TargetMode="External" /><Relationship Type="http://schemas.openxmlformats.org/officeDocument/2006/relationships/hyperlink" Id="rId900" Target="https://www.rfc-editor.org/info/rfc9848" TargetMode="External" /><Relationship Type="http://schemas.openxmlformats.org/officeDocument/2006/relationships/hyperlink" Id="rId901" Target="https://www.rfc-editor.org/info/rfc9849" TargetMode="External" /><Relationship Type="http://schemas.openxmlformats.org/officeDocument/2006/relationships/hyperlink" Id="rId38" Target="https://www.rfc-editor.org/rfc/rfc1034" TargetMode="External" /><Relationship Type="http://schemas.openxmlformats.org/officeDocument/2006/relationships/hyperlink" Id="rId39" Target="https://www.rfc-editor.org/rfc/rfc1035" TargetMode="External" /><Relationship Type="http://schemas.openxmlformats.org/officeDocument/2006/relationships/hyperlink" Id="rId199" Target="https://www.rfc-editor.org/rfc/rfc2136" TargetMode="External" /><Relationship Type="http://schemas.openxmlformats.org/officeDocument/2006/relationships/hyperlink" Id="rId855" Target="https://www.rfc-editor.org/rfc/rfc3263" TargetMode="External" /><Relationship Type="http://schemas.openxmlformats.org/officeDocument/2006/relationships/hyperlink" Id="rId204" Target="https://www.rfc-editor.org/rfc/rfc3645" TargetMode="External" /><Relationship Type="http://schemas.openxmlformats.org/officeDocument/2006/relationships/hyperlink" Id="rId365" Target="https://www.rfc-editor.org/rfc/rfc4033" TargetMode="External" /><Relationship Type="http://schemas.openxmlformats.org/officeDocument/2006/relationships/hyperlink" Id="rId366" Target="https://www.rfc-editor.org/rfc/rfc4034" TargetMode="External" /><Relationship Type="http://schemas.openxmlformats.org/officeDocument/2006/relationships/hyperlink" Id="rId367" Target="https://www.rfc-editor.org/rfc/rfc4035" TargetMode="External" /><Relationship Type="http://schemas.openxmlformats.org/officeDocument/2006/relationships/hyperlink" Id="rId873" Target="https://www.rfc-editor.org/rfc/rfc4255" TargetMode="External" /><Relationship Type="http://schemas.openxmlformats.org/officeDocument/2006/relationships/hyperlink" Id="rId362" Target="https://www.rfc-editor.org/rfc/rfc4592" TargetMode="External" /><Relationship Type="http://schemas.openxmlformats.org/officeDocument/2006/relationships/hyperlink" Id="rId216" Target="https://www.rfc-editor.org/rfc/rfc4701" TargetMode="External" /><Relationship Type="http://schemas.openxmlformats.org/officeDocument/2006/relationships/hyperlink" Id="rId357" Target="https://www.rfc-editor.org/rfc/rfc5280" TargetMode="External" /><Relationship Type="http://schemas.openxmlformats.org/officeDocument/2006/relationships/hyperlink" Id="rId325" Target="https://www.rfc-editor.org/rfc/rfc6105" TargetMode="External" /><Relationship Type="http://schemas.openxmlformats.org/officeDocument/2006/relationships/hyperlink" Id="rId857" Target="https://www.rfc-editor.org/rfc/rfc6120" TargetMode="External" /><Relationship Type="http://schemas.openxmlformats.org/officeDocument/2006/relationships/hyperlink" Id="rId859" Target="https://www.rfc-editor.org/rfc/rfc6186" TargetMode="External" /><Relationship Type="http://schemas.openxmlformats.org/officeDocument/2006/relationships/hyperlink" Id="rId882" Target="https://www.rfc-editor.org/rfc/rfc6376" TargetMode="External" /><Relationship Type="http://schemas.openxmlformats.org/officeDocument/2006/relationships/hyperlink" Id="rId341" Target="https://www.rfc-editor.org/rfc/rfc6698" TargetMode="External" /><Relationship Type="http://schemas.openxmlformats.org/officeDocument/2006/relationships/hyperlink" Id="rId392" Target="https://www.rfc-editor.org/rfc/rfc6891" TargetMode="External" /><Relationship Type="http://schemas.openxmlformats.org/officeDocument/2006/relationships/hyperlink" Id="rId878" Target="https://www.rfc-editor.org/rfc/rfc7208" TargetMode="External" /><Relationship Type="http://schemas.openxmlformats.org/officeDocument/2006/relationships/hyperlink" Id="rId914" Target="https://www.rfc-editor.org/rfc/rfc7344" TargetMode="External" /><Relationship Type="http://schemas.openxmlformats.org/officeDocument/2006/relationships/hyperlink" Id="rId269" Target="https://www.rfc-editor.org/rfc/rfc7858" TargetMode="External" /><Relationship Type="http://schemas.openxmlformats.org/officeDocument/2006/relationships/hyperlink" Id="rId310" Target="https://www.rfc-editor.org/rfc/rfc8106" TargetMode="External" /><Relationship Type="http://schemas.openxmlformats.org/officeDocument/2006/relationships/hyperlink" Id="rId875" Target="https://www.rfc-editor.org/rfc/rfc8162" TargetMode="External" /><Relationship Type="http://schemas.openxmlformats.org/officeDocument/2006/relationships/hyperlink" Id="rId893" Target="https://www.rfc-editor.org/rfc/rfc8461" TargetMode="External" /><Relationship Type="http://schemas.openxmlformats.org/officeDocument/2006/relationships/hyperlink" Id="rId270" Target="https://www.rfc-editor.org/rfc/rfc8484" TargetMode="External" /><Relationship Type="http://schemas.openxmlformats.org/officeDocument/2006/relationships/hyperlink" Id="rId337" Target="https://www.rfc-editor.org/rfc/rfc8555" TargetMode="External" /><Relationship Type="http://schemas.openxmlformats.org/officeDocument/2006/relationships/hyperlink" Id="rId339" Target="https://www.rfc-editor.org/rfc/rfc8659" TargetMode="External" /><Relationship Type="http://schemas.openxmlformats.org/officeDocument/2006/relationships/hyperlink" Id="rId37" Target="https://www.rfc-editor.org/rfc/rfc882" TargetMode="External" /><Relationship Type="http://schemas.openxmlformats.org/officeDocument/2006/relationships/hyperlink" Id="rId271" Target="https://www.rfc-editor.org/rfc/rfc9250" TargetMode="External" /><Relationship Type="http://schemas.openxmlformats.org/officeDocument/2006/relationships/hyperlink" Id="rId908" Target="https://www.rfc-editor.org/rfc/rfc9276" TargetMode="External" /><Relationship Type="http://schemas.openxmlformats.org/officeDocument/2006/relationships/hyperlink" Id="rId368" Target="https://www.rfc-editor.org/rfc/rfc9364" TargetMode="External" /><Relationship Type="http://schemas.openxmlformats.org/officeDocument/2006/relationships/hyperlink" Id="rId896" Target="https://www.rfc-editor.org/rfc/rfc9460" TargetMode="External" /><Relationship Type="http://schemas.openxmlformats.org/officeDocument/2006/relationships/hyperlink" Id="rId312" Target="https://www.rfc-editor.org/rfc/rfc9463" TargetMode="External" /><Relationship Type="http://schemas.openxmlformats.org/officeDocument/2006/relationships/hyperlink" Id="rId354" Target="https://www.rfc-editor.org/rfc/rfc9525" TargetMode="External" /><Relationship Type="http://schemas.openxmlformats.org/officeDocument/2006/relationships/hyperlink" Id="rId389" Target="https://www.rfc-editor.org/rfc/rfc9824" TargetMode="External" /><Relationship Type="http://schemas.openxmlformats.org/officeDocument/2006/relationships/hyperlink" Id="rId885" Target="https://www.rfc-editor.org/rfc/rfc9989" TargetMode="External" /><Relationship Type="http://schemas.openxmlformats.org/officeDocument/2006/relationships/hyperlink" Id="rId141" Target="https://www.whitehouse.gov/wp-content/uploads/2020/11/M-21-07.pdf" TargetMode="External" /><Relationship Type="http://schemas.openxmlformats.org/officeDocument/2006/relationships/hyperlink" Id="rId136" Target="https://www.whitehouse.gov/wp-content/uploads/2021/08/M-21-31-Improving-the-Federal-Governments-Investigative-and-Remediation-Capabilities-Related-to-Cybersecurity-Incidents.pdf" TargetMode="External" /><Relationship Type="http://schemas.openxmlformats.org/officeDocument/2006/relationships/hyperlink" Id="rId75"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08 — DNS, DHCP &amp; IPAM</dc:title>
  <dc:creator/>
  <cp:keywords/>
  <dcterms:created xsi:type="dcterms:W3CDTF">2026-10-20T23:38:16Z</dcterms:created>
  <dcterms:modified xsi:type="dcterms:W3CDTF">2026-10-20T23:38:16Z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Governing DNS, DHCP and IPAM as the hybrid multi-cloud control plane — Modernization Workbook, combined edition</vt:lpwstr>
  </property>
</Properties>
</file>