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Executive Briefs</w:t>
      </w:r>
    </w:p>
    <w:p>
      <w:pPr>
        <w:pStyle w:val="Subtitle"/>
      </w:pPr>
      <w:r>
        <w:t xml:space="preserve">Modernization Workbook — Word edition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0" w:name="executive-briefs"/>
    <w:p>
      <w:pPr>
        <w:pStyle w:val="Heading1"/>
      </w:pPr>
      <w:r>
        <w:t xml:space="preserve">Executive Briefs</w:t>
      </w:r>
    </w:p>
    <w:p>
      <w:pPr>
        <w:pStyle w:val="FirstParagraph"/>
      </w:pPr>
      <w:r>
        <w:t xml:space="preserve">Single-page summaries for agency leadership. Each brief answers four</w:t>
      </w:r>
      <w:r>
        <w:t xml:space="preserve"> </w:t>
      </w:r>
      <w:r>
        <w:t xml:space="preserve">questions about one capability area: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it is</w:t>
      </w:r>
      <w:r>
        <w:t xml:space="preserve"> </w:t>
      </w:r>
      <w:r>
        <w:t xml:space="preserve">— the capability in one paragraph.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it matters</w:t>
      </w:r>
      <w:r>
        <w:t xml:space="preserve"> </w:t>
      </w:r>
      <w:r>
        <w:t xml:space="preserve">— the governance or mission problem it solves.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the Federal Modernization Program delivers</w:t>
      </w:r>
      <w:r>
        <w:t xml:space="preserve"> </w:t>
      </w:r>
      <w:r>
        <w:t xml:space="preserve">— shipped and target behavior.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still target vs. shipped</w:t>
      </w:r>
      <w:r>
        <w:t xml:space="preserve"> </w:t>
      </w:r>
      <w:r>
        <w:t xml:space="preserve">— honest adoption posture.</w:t>
      </w:r>
    </w:p>
    <w:bookmarkStart w:id="9" w:name="pages-in-this-section"/>
    <w:p>
      <w:pPr>
        <w:pStyle w:val="Heading2"/>
      </w:pPr>
      <w:r>
        <w:t xml:space="preserve">Pages in this section</w:t>
      </w:r>
    </w:p>
    <w:p>
      <w:pPr>
        <w:pStyle w:val="FirstParagraph"/>
      </w:pPr>
      <w:r>
        <w:t xml:space="preserve">Status badges follow the Whitepapers status conventions.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Slug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Canon anchor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fmp-executive-brief</w:t>
            </w:r>
          </w:p>
        </w:tc>
        <w:tc>
          <w:tcPr/>
          <w:p>
            <w:pPr>
              <w:pStyle w:val="Compact"/>
            </w:pPr>
            <w:r>
              <w:t xml:space="preserve">The flagship the Federal Modernization Program brief — full federal scenario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docs/publications/01-executive-brief/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universal-enterprise-positioning-overview</w:t>
            </w:r>
          </w:p>
        </w:tc>
        <w:tc>
          <w:tcPr/>
          <w:p>
            <w:pPr>
              <w:pStyle w:val="Compact"/>
            </w:pPr>
            <w:r>
              <w:t xml:space="preserve">Vertical-agnostic engine; federal as one adapter pack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src/fmp/canon/adr/adr-085-universal-enterprise-positioning.md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adapter-ecosystem-overview</w:t>
            </w:r>
          </w:p>
        </w:tc>
        <w:tc>
          <w:tcPr/>
          <w:p>
            <w:pPr>
              <w:pStyle w:val="Compact"/>
            </w:pPr>
            <w:r>
              <w:t xml:space="preserve">The dual-axis adapter taxonomy and registries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src/fmp/canon/FMP_003_Adapter_Segmentation_Overview_v1.0.md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drift-engine-overview</w:t>
            </w:r>
          </w:p>
        </w:tc>
        <w:tc>
          <w:tcPr/>
          <w:p>
            <w:pPr>
              <w:pStyle w:val="Compact"/>
            </w:pPr>
            <w:r>
              <w:t xml:space="preserve">Drift-detection capability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docs/docs/16_DriftDetectionStandard.qmd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evidence-fabric-overview</w:t>
            </w:r>
          </w:p>
        </w:tc>
        <w:tc>
          <w:tcPr/>
          <w:p>
            <w:pPr>
              <w:pStyle w:val="Compact"/>
            </w:pPr>
            <w:r>
              <w:t xml:space="preserve">Provenance and evidence pipeline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docs/docs/15_ProvenanceProfile.qmd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ksi-conformance-overview</w:t>
            </w:r>
          </w:p>
        </w:tc>
        <w:tc>
          <w:tcPr/>
          <w:p>
            <w:pPr>
              <w:pStyle w:val="Compact"/>
            </w:pPr>
            <w:r>
              <w:t xml:space="preserve">Machine-checkable Key Security Indicators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src/fmp/rules/ksi/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reciprocity-single-ato-overview</w:t>
            </w:r>
          </w:p>
        </w:tc>
        <w:tc>
          <w:tcPr/>
          <w:p>
            <w:pPr>
              <w:pStyle w:val="Compact"/>
            </w:pPr>
            <w:r>
              <w:t xml:space="preserve">One ATO, many agencies, signed per-agency evidence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src/fmp/canon/adr/adr-054-single-ato-reciprocity.md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zero-trust-overview</w:t>
            </w:r>
          </w:p>
        </w:tc>
        <w:tc>
          <w:tcPr/>
          <w:p>
            <w:pPr>
              <w:pStyle w:val="Compact"/>
            </w:pPr>
            <w:r>
              <w:t xml:space="preserve">Zero-trust identity model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src/fmp/canon/adr/adr-008-zero-trust-identity.md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modernization-overview</w:t>
            </w:r>
          </w:p>
        </w:tc>
        <w:tc>
          <w:tcPr/>
          <w:p>
            <w:pPr>
              <w:pStyle w:val="Compact"/>
            </w:pPr>
            <w:r>
              <w:t xml:space="preserve">End-to-end modernization program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docs/docs/06_ProgramVision.qmd</w:t>
            </w:r>
          </w:p>
        </w:tc>
      </w:tr>
    </w:tbl>
    <w:bookmarkEnd w:id="9"/>
    <w:bookmarkEnd w:id="10"/>
    <w:bookmarkStart w:id="12" w:name="executive-briefs-1"/>
    <w:p>
      <w:pPr>
        <w:pStyle w:val="Heading1"/>
      </w:pPr>
      <w:r>
        <w:t xml:space="preserve">Executive Briefs</w:t>
      </w:r>
    </w:p>
    <w:p>
      <w:pPr>
        <w:pStyle w:val="FirstParagraph"/>
      </w:pPr>
      <w:r>
        <w:rPr>
          <w:b/>
          <w:bCs/>
        </w:rPr>
        <w:t xml:space="preserve">Single-page leadership summaries of modernization capability areas</w:t>
      </w:r>
    </w:p>
    <w:p>
      <w:pPr>
        <w:pStyle w:val="BodyText"/>
      </w:pPr>
      <w:r>
        <w:t xml:space="preserve">Each brief answers four questions about one capability area:</w:t>
      </w:r>
      <w:r>
        <w:t xml:space="preserve"> </w:t>
      </w:r>
      <w:r>
        <w:t xml:space="preserve">1. What it is</w:t>
      </w:r>
      <w:r>
        <w:t xml:space="preserve"> </w:t>
      </w:r>
      <w:r>
        <w:t xml:space="preserve">2. Why it matters</w:t>
      </w:r>
      <w:r>
        <w:t xml:space="preserve"> </w:t>
      </w:r>
      <w:r>
        <w:t xml:space="preserve">3. What the program delivers</w:t>
      </w:r>
      <w:r>
        <w:t xml:space="preserve"> </w:t>
      </w:r>
      <w:r>
        <w:t xml:space="preserve">4. What is still target versus shipped</w:t>
      </w:r>
    </w:p>
    <w:bookmarkStart w:id="11" w:name="contents"/>
    <w:p>
      <w:pPr>
        <w:pStyle w:val="Heading2"/>
      </w:pPr>
      <w:r>
        <w:t xml:space="preserve">Contents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Modernization Overview</w:t>
            </w:r>
          </w:p>
        </w:tc>
        <w:tc>
          <w:tcPr/>
          <w:p>
            <w:pPr>
              <w:pStyle w:val="Compact"/>
            </w:pPr>
            <w:r>
              <w:t xml:space="preserve">End-to-end modernization program 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Zero Trust Overview</w:t>
            </w:r>
          </w:p>
        </w:tc>
        <w:tc>
          <w:tcPr/>
          <w:p>
            <w:pPr>
              <w:pStyle w:val="Compact"/>
            </w:pPr>
            <w:r>
              <w:t xml:space="preserve">Identity-anchored zero-trust execution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Engine Overview</w:t>
            </w:r>
          </w:p>
        </w:tc>
        <w:tc>
          <w:tcPr/>
          <w:p>
            <w:pPr>
              <w:pStyle w:val="Compact"/>
            </w:pPr>
            <w:r>
              <w:t xml:space="preserve">Continuous drift detection and remediation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1"/>
    <w:bookmarkEnd w:id="12"/>
    <w:bookmarkStart w:id="20" w:name="Xac5e84e841fabfa9c990bf60916eba2c348258d"/>
    <w:p>
      <w:pPr>
        <w:pStyle w:val="Heading1"/>
      </w:pPr>
      <w:r>
        <w:t xml:space="preserve">Adapter Ecosystem Overview — Executive Brief</w:t>
      </w:r>
    </w:p>
    <w:p>
      <w:pPr>
        <w:pStyle w:val="FirstParagraph"/>
      </w:pPr>
      <w:r>
        <w:t xml:space="preserve">The Federal Modernization Program is an</w:t>
      </w:r>
      <w:r>
        <w:t xml:space="preserve"> </w:t>
      </w:r>
      <w:r>
        <w:rPr>
          <w:b/>
          <w:bCs/>
        </w:rPr>
        <w:t xml:space="preserve">overlay</w:t>
      </w:r>
      <w:r>
        <w:t xml:space="preserve">: it does not replace the platforms an agency already</w:t>
      </w:r>
      <w:r>
        <w:t xml:space="preserve"> </w:t>
      </w:r>
      <w:r>
        <w:t xml:space="preserve">runs. Adapters are how the governance substrate reaches those platforms —</w:t>
      </w:r>
      <w:r>
        <w:t xml:space="preserve"> </w:t>
      </w:r>
      <w:r>
        <w:t xml:space="preserve">reading their state, normalizing it into canon-keyed claims, and (where</w:t>
      </w:r>
      <w:r>
        <w:t xml:space="preserve"> </w:t>
      </w:r>
      <w:r>
        <w:t xml:space="preserve">authorized) pushing approved change back into them. The adapter set is governed</w:t>
      </w:r>
      <w:r>
        <w:t xml:space="preserve"> </w:t>
      </w:r>
      <w:r>
        <w:t xml:space="preserve">as canon, not as code that drifts on its own: every adapter is a registered</w:t>
      </w:r>
      <w:r>
        <w:t xml:space="preserve"> </w:t>
      </w:r>
      <w:r>
        <w:t xml:space="preserve">entry in one of two schema-validated registries, and no adapter merges without</w:t>
      </w:r>
      <w:r>
        <w:t xml:space="preserve"> </w:t>
      </w:r>
      <w:r>
        <w:t xml:space="preserve">passing the conformance gate.</w:t>
      </w:r>
    </w:p>
    <w:bookmarkStart w:id="13" w:name="the-dual-axis-taxonomy-fmp_003"/>
    <w:p>
      <w:pPr>
        <w:pStyle w:val="Heading2"/>
      </w:pPr>
      <w:r>
        <w:t xml:space="preserve">The dual-axis taxonomy (FMP_003)</w:t>
      </w:r>
    </w:p>
    <w:p>
      <w:pPr>
        <w:pStyle w:val="FirstParagraph"/>
      </w:pPr>
      <w:r>
        <w:t xml:space="preserve">Every adapter declares two coordinates, defined in</w:t>
      </w:r>
      <w:r>
        <w:t xml:space="preserve"> </w:t>
      </w:r>
      <w:r>
        <w:rPr>
          <w:rStyle w:val="VerbatimChar"/>
        </w:rPr>
        <w:t xml:space="preserve">FMP_003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class</w:t>
      </w:r>
      <w:r>
        <w:t xml:space="preserve"> </w:t>
      </w:r>
      <w:r>
        <w:t xml:space="preserve">— the</w:t>
      </w:r>
      <w:r>
        <w:t xml:space="preserve"> </w:t>
      </w:r>
      <w:r>
        <w:rPr>
          <w:i/>
          <w:iCs/>
        </w:rPr>
        <w:t xml:space="preserve">operational</w:t>
      </w:r>
      <w:r>
        <w:t xml:space="preserve"> </w:t>
      </w:r>
      <w:r>
        <w:t xml:space="preserve">axis:</w:t>
      </w:r>
      <w:r>
        <w:t xml:space="preserve"> </w:t>
      </w:r>
      <w:r>
        <w:rPr>
          <w:rStyle w:val="VerbatimChar"/>
        </w:rPr>
        <w:t xml:space="preserve">modernization</w:t>
      </w:r>
      <w:r>
        <w:t xml:space="preserve"> </w:t>
      </w:r>
      <w:r>
        <w:t xml:space="preserve">(change-making) or</w:t>
      </w:r>
      <w:r>
        <w:t xml:space="preserve"> </w:t>
      </w:r>
      <w:r>
        <w:rPr>
          <w:rStyle w:val="VerbatimChar"/>
        </w:rPr>
        <w:t xml:space="preserve">conformance</w:t>
      </w:r>
      <w:r>
        <w:t xml:space="preserve"> </w:t>
      </w:r>
      <w:r>
        <w:t xml:space="preserve">(read-only).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mission-class</w:t>
      </w:r>
      <w:r>
        <w:t xml:space="preserve"> </w:t>
      </w:r>
      <w:r>
        <w:t xml:space="preserve">— the</w:t>
      </w:r>
      <w:r>
        <w:t xml:space="preserve"> </w:t>
      </w:r>
      <w:r>
        <w:rPr>
          <w:i/>
          <w:iCs/>
        </w:rPr>
        <w:t xml:space="preserve">doctrinal</w:t>
      </w:r>
      <w:r>
        <w:t xml:space="preserve"> </w:t>
      </w:r>
      <w:r>
        <w:t xml:space="preserve">axis:</w:t>
      </w:r>
      <w:r>
        <w:t xml:space="preserve"> </w:t>
      </w:r>
      <w:r>
        <w:rPr>
          <w:rStyle w:val="VerbatimChar"/>
        </w:rPr>
        <w:t xml:space="preserve">identity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telemetry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enforcement</w:t>
      </w:r>
      <w:r>
        <w:t xml:space="preserve">, or</w:t>
      </w:r>
      <w:r>
        <w:t xml:space="preserve"> </w:t>
      </w:r>
      <w:r>
        <w:rPr>
          <w:rStyle w:val="VerbatimChar"/>
        </w:rPr>
        <w:t xml:space="preserve">integration</w:t>
      </w:r>
      <w:r>
        <w:t xml:space="preserve">.</w:t>
      </w:r>
    </w:p>
    <w:p>
      <w:pPr>
        <w:pStyle w:val="BlockText"/>
      </w:pPr>
      <w:r>
        <w:rPr>
          <w:i/>
          <w:iCs/>
        </w:rPr>
        <w:t xml:space="preserve">Adapters are plural in class but singular in mission: each class exists to</w:t>
      </w:r>
      <w:r>
        <w:rPr>
          <w:i/>
          <w:iCs/>
        </w:rPr>
        <w:t xml:space="preserve"> </w:t>
      </w:r>
      <w:r>
        <w:rPr>
          <w:i/>
          <w:iCs/>
        </w:rPr>
        <w:t xml:space="preserve">serve SSOT + Identity + Security.</w:t>
      </w:r>
      <w:r>
        <w:t xml:space="preserve"> </w:t>
      </w:r>
      <w:r>
        <w:t xml:space="preserve">— FMP_003</w:t>
      </w:r>
    </w:p>
    <w:p>
      <w:pPr>
        <w:pStyle w:val="FirstParagraph"/>
      </w:pPr>
      <w:r>
        <w:t xml:space="preserve">This is what keeps the ecosystem coherent as it grows. A new vendor integration</w:t>
      </w:r>
      <w:r>
        <w:t xml:space="preserve"> </w:t>
      </w:r>
      <w:r>
        <w:t xml:space="preserve">is never</w:t>
      </w:r>
      <w:r>
        <w:t xml:space="preserve"> </w:t>
      </w:r>
      <w:r>
        <w:t xml:space="preserve">“just another connector”</w:t>
      </w:r>
      <w:r>
        <w:t xml:space="preserve"> </w:t>
      </w:r>
      <w:r>
        <w:t xml:space="preserve">— it must declare what it changes (or that it</w:t>
      </w:r>
      <w:r>
        <w:t xml:space="preserve"> </w:t>
      </w:r>
      <w:r>
        <w:t xml:space="preserve">changes nothing) and which mission it serves, and those declarations are</w:t>
      </w:r>
      <w:r>
        <w:t xml:space="preserve"> </w:t>
      </w:r>
      <w:r>
        <w:t xml:space="preserve">enforced by schema and CI.</w:t>
      </w:r>
    </w:p>
    <w:bookmarkEnd w:id="13"/>
    <w:bookmarkStart w:id="14" w:name="two-registries-one-schema"/>
    <w:p>
      <w:pPr>
        <w:pStyle w:val="Heading2"/>
      </w:pPr>
      <w:r>
        <w:t xml:space="preserve">Two registries, one schema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Registry</w:t>
            </w:r>
          </w:p>
        </w:tc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Entries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adapter-registry.yaml</w:t>
            </w:r>
          </w:p>
        </w:tc>
        <w:tc>
          <w:tcPr/>
          <w:p>
            <w:pPr>
              <w:pStyle w:val="Compact"/>
            </w:pPr>
            <w:r>
              <w:t xml:space="preserve">conformance</w:t>
            </w:r>
          </w:p>
        </w:tc>
        <w:tc>
          <w:tcPr/>
          <w:p>
            <w:pPr>
              <w:pStyle w:val="Compact"/>
            </w:pPr>
            <w:r>
              <w:t xml:space="preserve">Read-only assessors and telemetry observers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modernization-registry.yaml</w:t>
            </w:r>
          </w:p>
        </w:tc>
        <w:tc>
          <w:tcPr/>
          <w:p>
            <w:pPr>
              <w:pStyle w:val="Compact"/>
            </w:pPr>
            <w:r>
              <w:t xml:space="preserve">modernization</w:t>
            </w:r>
          </w:p>
        </w:tc>
        <w:tc>
          <w:tcPr/>
          <w:p>
            <w:pPr>
              <w:pStyle w:val="Compact"/>
            </w:pPr>
            <w:r>
              <w:t xml:space="preserve">Change-making integrations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</w:t>
            </w:r>
          </w:p>
        </w:tc>
      </w:tr>
    </w:tbl>
    <w:p>
      <w:pPr>
        <w:pStyle w:val="BodyText"/>
      </w:pPr>
      <w:r>
        <w:t xml:space="preserve">Both registries are constrained by a single JSON Schema</w:t>
      </w:r>
      <w:r>
        <w:t xml:space="preserve"> </w:t>
      </w:r>
      <w:r>
        <w:t xml:space="preserve">(</w:t>
      </w:r>
      <w:r>
        <w:rPr>
          <w:rStyle w:val="VerbatimChar"/>
        </w:rPr>
        <w:t xml:space="preserve">adapter-registry.schema.json</w:t>
      </w:r>
      <w:r>
        <w:t xml:space="preserve">),</w:t>
      </w:r>
      <w:r>
        <w:t xml:space="preserve"> </w:t>
      </w:r>
      <w:r>
        <w:t xml:space="preserve">which requires every entry to declare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 and</w:t>
      </w:r>
      <w:r>
        <w:t xml:space="preserve"> </w:t>
      </w:r>
      <w:r>
        <w:t xml:space="preserve">the four canon invariants every adapter must honor: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gcc-boundary: gcc-moderate</w:t>
      </w:r>
      <w:r>
        <w:t xml:space="preserve"> </w:t>
      </w:r>
      <w:r>
        <w:t xml:space="preserve">— operates inside the authorized boundary</w:t>
      </w:r>
      <w:r>
        <w:t xml:space="preserve"> </w:t>
      </w:r>
      <w:r>
        <w:t xml:space="preserve">(named Commercial exceptions are encoded explicitly per adapter).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ssot-mutation: never</w:t>
      </w:r>
      <w:r>
        <w:t xml:space="preserve"> </w:t>
      </w:r>
      <w:r>
        <w:t xml:space="preserve">— an adapter never edits the canon itself.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certificate-anchored: true</w:t>
      </w:r>
      <w:r>
        <w:t xml:space="preserve"> </w:t>
      </w:r>
      <w:r>
        <w:t xml:space="preserve">— its records carry provenance back to a</w:t>
      </w:r>
      <w:r>
        <w:t xml:space="preserve"> </w:t>
      </w:r>
      <w:r>
        <w:t xml:space="preserve">verified identity.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object-identity-only: true</w:t>
      </w:r>
      <w:r>
        <w:t xml:space="preserve"> </w:t>
      </w:r>
      <w:r>
        <w:t xml:space="preserve">— it acts on identified objects, not free-form</w:t>
      </w:r>
      <w:r>
        <w:t xml:space="preserve"> </w:t>
      </w:r>
      <w:r>
        <w:t xml:space="preserve">blobs.</w:t>
      </w:r>
    </w:p>
    <w:bookmarkEnd w:id="14"/>
    <w:bookmarkStart w:id="15" w:name="what-ships-today"/>
    <w:p>
      <w:pPr>
        <w:pStyle w:val="Heading2"/>
      </w:pPr>
      <w:r>
        <w:t xml:space="preserve">What ships today</w:t>
      </w:r>
    </w:p>
    <w:p>
      <w:pPr>
        <w:pStyle w:val="FirstParagraph"/>
      </w:pPr>
      <w:r>
        <w:t xml:space="preserve">Of</w:t>
      </w:r>
      <w:r>
        <w:t xml:space="preserve"> </w:t>
      </w:r>
      <w:r>
        <w:rPr>
          <w:b/>
          <w:bCs/>
        </w:rPr>
        <w:t xml:space="preserve">48 registered adapters, 12 are active (shipped)</w:t>
      </w:r>
      <w:r>
        <w:t xml:space="preserve">; the remaining entries</w:t>
      </w:r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reserved</w:t>
      </w:r>
      <w:r>
        <w:t xml:space="preserve"> </w:t>
      </w:r>
      <w:r>
        <w:t xml:space="preserve">canonical names (design pending, activation gated on a</w:t>
      </w:r>
      <w:r>
        <w:t xml:space="preserve"> </w:t>
      </w:r>
      <w:r>
        <w:t xml:space="preserve">per-adapter ADR) or</w:t>
      </w:r>
      <w:r>
        <w:t xml:space="preserve"> </w:t>
      </w:r>
      <w:r>
        <w:rPr>
          <w:i/>
          <w:iCs/>
        </w:rPr>
        <w:t xml:space="preserve">proposed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Conformance (read-only) — shipped: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scubagear</w:t>
      </w:r>
      <w:r>
        <w:t xml:space="preserve"> </w:t>
      </w:r>
      <w:r>
        <w:t xml:space="preserve">— CISA ScubaGear M365 SCuBA assessor across seven workloads</w:t>
      </w:r>
      <w:r>
        <w:t xml:space="preserve"> </w:t>
      </w:r>
      <w:r>
        <w:t xml:space="preserve">(Entra ID, Defender, Exchange Online, Power BI, Power Platform, SharePoint,</w:t>
      </w:r>
      <w:r>
        <w:t xml:space="preserve"> </w:t>
      </w:r>
      <w:r>
        <w:t xml:space="preserve">Teams). See the ScubaGear integration whitepaper.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fmp-git-server</w:t>
      </w:r>
      <w:r>
        <w:t xml:space="preserve"> </w:t>
      </w:r>
      <w:r>
        <w:t xml:space="preserve">— health and evidence telemetry for the self-hosted</w:t>
      </w:r>
      <w:r>
        <w:t xml:space="preserve"> </w:t>
      </w:r>
      <w:r>
        <w:t xml:space="preserve">Windows Server 2025 / IIS Git service.</w:t>
      </w:r>
    </w:p>
    <w:p>
      <w:pPr>
        <w:pStyle w:val="FirstParagraph"/>
      </w:pPr>
      <w:r>
        <w:rPr>
          <w:b/>
          <w:bCs/>
        </w:rPr>
        <w:t xml:space="preserve">Modernization (change-making) — shipped:</w:t>
      </w:r>
      <w:r>
        <w:t xml:space="preserve"> </w:t>
      </w:r>
      <w:r>
        <w:rPr>
          <w:rStyle w:val="VerbatimChar"/>
        </w:rPr>
        <w:t xml:space="preserve">entra-id</w:t>
      </w:r>
      <w:r>
        <w:t xml:space="preserve">,</w:t>
      </w:r>
      <w:r>
        <w:t xml:space="preserve"> </w:t>
      </w:r>
      <w:r>
        <w:rPr>
          <w:rStyle w:val="VerbatimChar"/>
        </w:rPr>
        <w:t xml:space="preserve">m365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service-now</w:t>
      </w:r>
      <w:r>
        <w:t xml:space="preserve">,</w:t>
      </w:r>
      <w:r>
        <w:t xml:space="preserve"> </w:t>
      </w:r>
      <w:r>
        <w:rPr>
          <w:rStyle w:val="VerbatimChar"/>
        </w:rPr>
        <w:t xml:space="preserve">palo-alto</w:t>
      </w:r>
      <w:r>
        <w:t xml:space="preserve">,</w:t>
      </w:r>
      <w:r>
        <w:t xml:space="preserve"> </w:t>
      </w:r>
      <w:r>
        <w:rPr>
          <w:rStyle w:val="VerbatimChar"/>
        </w:rPr>
        <w:t xml:space="preserve">scuba</w:t>
      </w:r>
      <w:r>
        <w:t xml:space="preserve">,</w:t>
      </w:r>
      <w:r>
        <w:t xml:space="preserve"> </w:t>
      </w:r>
      <w:r>
        <w:rPr>
          <w:rStyle w:val="VerbatimChar"/>
        </w:rPr>
        <w:t xml:space="preserve">terraform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cyberark</w:t>
      </w:r>
      <w:r>
        <w:t xml:space="preserve">,</w:t>
      </w:r>
      <w:r>
        <w:t xml:space="preserve"> </w:t>
      </w:r>
      <w:r>
        <w:rPr>
          <w:rStyle w:val="VerbatimChar"/>
        </w:rPr>
        <w:t xml:space="preserve">infoblox</w:t>
      </w:r>
      <w:r>
        <w:t xml:space="preserve">,</w:t>
      </w:r>
      <w:r>
        <w:t xml:space="preserve"> </w:t>
      </w:r>
      <w:r>
        <w:rPr>
          <w:rStyle w:val="VerbatimChar"/>
        </w:rPr>
        <w:t xml:space="preserve">bluecat-address-manager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active-directory</w:t>
      </w:r>
      <w:r>
        <w:t xml:space="preserve"> </w:t>
      </w:r>
      <w:r>
        <w:t xml:space="preserve">(read-only discovery</w:t>
      </w:r>
      <w:r>
        <w:t xml:space="preserve"> </w:t>
      </w:r>
      <w:r>
        <w:t xml:space="preserve">today).</w:t>
      </w:r>
    </w:p>
    <w:p>
      <w:pPr>
        <w:pStyle w:val="BodyText"/>
      </w:pPr>
      <w:r>
        <w:t xml:space="preserve">Two adapters are reachable directly from the CLI today —</w:t>
      </w:r>
      <w:r>
        <w:t xml:space="preserve"> </w:t>
      </w:r>
      <w:r>
        <w:rPr>
          <w:rStyle w:val="VerbatimChar"/>
        </w:rPr>
        <w:t xml:space="preserve">fmp adapter run servicenow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fmp adapter run entra</w:t>
      </w:r>
      <w:r>
        <w:t xml:space="preserve"> </w:t>
      </w:r>
      <w:r>
        <w:t xml:space="preserve">— and ScubaGear</w:t>
      </w:r>
      <w:r>
        <w:t xml:space="preserve"> </w:t>
      </w:r>
      <w:r>
        <w:t xml:space="preserve">output is ingested with</w:t>
      </w:r>
      <w:r>
        <w:t xml:space="preserve"> </w:t>
      </w:r>
      <w:r>
        <w:rPr>
          <w:rStyle w:val="VerbatimChar"/>
        </w:rPr>
        <w:t xml:space="preserve">fmp adapter run-scuba &lt;report&gt;</w:t>
      </w:r>
      <w:r>
        <w:t xml:space="preserve">. The remaining</w:t>
      </w:r>
      <w:r>
        <w:t xml:space="preserve"> </w:t>
      </w:r>
      <w:r>
        <w:t xml:space="preserve">shipped adapters are exercised through the IR and evidence pipelines.</w:t>
      </w:r>
    </w:p>
    <w:bookmarkEnd w:id="15"/>
    <w:bookmarkStart w:id="16" w:name="how-an-adapter-earns-active"/>
    <w:p>
      <w:pPr>
        <w:pStyle w:val="Heading2"/>
      </w:pPr>
      <w:r>
        <w:t xml:space="preserve">How an adapter earns</w:t>
      </w:r>
      <w:r>
        <w:t xml:space="preserve"> </w:t>
      </w:r>
      <w:r>
        <w:t xml:space="preserve">“active”</w:t>
      </w:r>
    </w:p>
    <w:p>
      <w:pPr>
        <w:pStyle w:val="FirstParagraph"/>
      </w:pPr>
      <w:r>
        <w:t xml:space="preserve">Status is not self-asserted. Per the adapter test strategy</w:t>
      </w:r>
      <w:r>
        <w:t xml:space="preserve"> </w:t>
      </w:r>
      <w:r>
        <w:t xml:space="preserve">(FMP_131), an adapter</w:t>
      </w:r>
      <w:r>
        <w:t xml:space="preserve"> </w:t>
      </w:r>
      <w:r>
        <w:t xml:space="preserve">advances through three test tiers before its registry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may move toward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Test tier</w:t>
            </w:r>
          </w:p>
        </w:tc>
        <w:tc>
          <w:tcPr/>
          <w:p>
            <w:pPr>
              <w:pStyle w:val="Compact"/>
            </w:pPr>
            <w:r>
              <w:t xml:space="preserve">Proves</w:t>
            </w:r>
          </w:p>
        </w:tc>
        <w:tc>
          <w:tcPr/>
          <w:p>
            <w:pPr>
              <w:pStyle w:val="Compact"/>
            </w:pPr>
            <w:r>
              <w:t xml:space="preserve">Runs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1</w:t>
            </w:r>
          </w:p>
        </w:tc>
        <w:tc>
          <w:tcPr/>
          <w:p>
            <w:pPr>
              <w:pStyle w:val="Compact"/>
            </w:pPr>
            <w:r>
              <w:t xml:space="preserve">Common-plane logic (API shape, auth, parsing) against a live commercial tenant</w:t>
            </w:r>
          </w:p>
        </w:tc>
        <w:tc>
          <w:tcPr/>
          <w:p>
            <w:pPr>
              <w:pStyle w:val="Compact"/>
            </w:pPr>
            <w:r>
              <w:t xml:space="preserve">Nightly CI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2</w:t>
            </w:r>
          </w:p>
        </w:tc>
        <w:tc>
          <w:tcPr/>
          <w:p>
            <w:pPr>
              <w:pStyle w:val="Compact"/>
            </w:pPr>
            <w:r>
              <w:t xml:space="preserve">GCC-Moderate-specific behavior against recorded contract fixtures</w:t>
            </w:r>
          </w:p>
        </w:tc>
        <w:tc>
          <w:tcPr/>
          <w:p>
            <w:pPr>
              <w:pStyle w:val="Compact"/>
            </w:pPr>
            <w:r>
              <w:t xml:space="preserve">Every PR (</w:t>
            </w:r>
            <w:r>
              <w:rPr>
                <w:rStyle w:val="VerbatimChar"/>
              </w:rPr>
              <w:t xml:space="preserve">pytest</w:t>
            </w:r>
            <w:r>
              <w:t xml:space="preserve">, zero network)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3</w:t>
            </w:r>
          </w:p>
        </w:tc>
        <w:tc>
          <w:tcPr/>
          <w:p>
            <w:pPr>
              <w:pStyle w:val="Compact"/>
            </w:pPr>
            <w:r>
              <w:t xml:space="preserve">Behavior against a real reference GCC-Moderate tenant</w:t>
            </w:r>
          </w:p>
        </w:tc>
        <w:tc>
          <w:tcPr/>
          <w:p>
            <w:pPr>
              <w:pStyle w:val="Compact"/>
            </w:pPr>
            <w:r>
              <w:t xml:space="preserve">Quarterly, exported as signed OSCAL evidence</w:t>
            </w:r>
          </w:p>
        </w:tc>
      </w:tr>
    </w:tbl>
    <w:p>
      <w:pPr>
        <w:pStyle w:val="BodyText"/>
      </w:pPr>
      <w:r>
        <w:t xml:space="preserve">The Adapter Conformance CI gate</w:t>
      </w:r>
      <w:r>
        <w:t xml:space="preserve"> </w:t>
      </w:r>
      <w:r>
        <w:t xml:space="preserve">validates both registries against the schema and runs the full conformance</w:t>
      </w:r>
      <w:r>
        <w:t xml:space="preserve"> </w:t>
      </w:r>
      <w:r>
        <w:t xml:space="preserve">criteria on every PR that touches an adapter; a single failure blocks merge.</w:t>
      </w:r>
      <w:r>
        <w:t xml:space="preserve"> </w:t>
      </w:r>
      <w:r>
        <w:t xml:space="preserve">Adapter capability is declared per the five-tier conformance model in</w:t>
      </w:r>
      <w:r>
        <w:t xml:space="preserve"> </w:t>
      </w:r>
      <w:r>
        <w:t xml:space="preserve">[the program decision].</w:t>
      </w:r>
    </w:p>
    <w:bookmarkEnd w:id="16"/>
    <w:bookmarkStart w:id="17" w:name="maturity-snapshot"/>
    <w:p>
      <w:pPr>
        <w:pStyle w:val="Heading2"/>
      </w:pPr>
      <w:r>
        <w:t xml:space="preserve">Maturity snapshot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Dual-axis taxonomy + schema enforcement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Conformance adapters (</w:t>
            </w:r>
            <w:r>
              <w:rPr>
                <w:rStyle w:val="VerbatimChar"/>
              </w:rPr>
              <w:t xml:space="preserve">scubagear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fmp-git-server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Modernization adapters (10 active integrations)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Adapter conformance CI gate (Tier 1/2 tests)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 3 reference-deployment validation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(per-adapter, agency-dependent)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Reserved adapter family (federal attribute services, Defender suite, etc.)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RESERVED / DESIGN-ONLY</w:t>
            </w:r>
          </w:p>
        </w:tc>
      </w:tr>
    </w:tbl>
    <w:bookmarkEnd w:id="17"/>
    <w:bookmarkStart w:id="18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Adapter specs</w:t>
      </w:r>
      <w:r>
        <w:t xml:space="preserve"> </w:t>
      </w:r>
      <w:r>
        <w:t xml:space="preserve">— one technical spec per</w:t>
      </w:r>
      <w:r>
        <w:t xml:space="preserve"> </w:t>
      </w:r>
      <w:r>
        <w:t xml:space="preserve">adapter, frontmatter regenerated from canon on every sync.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Validation suites</w:t>
      </w:r>
      <w:r>
        <w:t xml:space="preserve"> </w:t>
      </w:r>
      <w:r>
        <w:t xml:space="preserve">— adapter tests,</w:t>
      </w:r>
      <w:r>
        <w:t xml:space="preserve"> </w:t>
      </w:r>
      <w:r>
        <w:t xml:space="preserve">evidence expectations, and drift procedures, paired 1:1 with each adapter.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Reference architecture — Adapters</w:t>
      </w:r>
      <w:r>
        <w:t xml:space="preserve"> </w:t>
      </w:r>
      <w:r>
        <w:t xml:space="preserve">—</w:t>
      </w:r>
      <w:r>
        <w:t xml:space="preserve"> </w:t>
      </w:r>
      <w:r>
        <w:t xml:space="preserve">how adapters sit in the six-plane architecture.</w:t>
      </w:r>
    </w:p>
    <w:bookmarkEnd w:id="18"/>
    <w:bookmarkStart w:id="19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The Federal Modernization Program’s adapter ecosystem is governed, not improvised: a fixed taxonomy, two</w:t>
      </w:r>
      <w:r>
        <w:t xml:space="preserve"> </w:t>
      </w:r>
      <w:r>
        <w:t xml:space="preserve">schema-validated registries, and a CI gate that blocks any adapter from</w:t>
      </w:r>
      <w:r>
        <w:t xml:space="preserve"> </w:t>
      </w:r>
      <w:r>
        <w:t xml:space="preserve">claiming a status it has not earned through tiered testing. Twelve adapters ship</w:t>
      </w:r>
      <w:r>
        <w:t xml:space="preserve"> </w:t>
      </w:r>
      <w:r>
        <w:t xml:space="preserve">today across read-only assessment and change-making integration; the larger</w:t>
      </w:r>
      <w:r>
        <w:t xml:space="preserve"> </w:t>
      </w:r>
      <w:r>
        <w:t xml:space="preserve">reserved set is a published roadmap of named, canon-anchored slots — not a claim</w:t>
      </w:r>
      <w:r>
        <w:t xml:space="preserve"> </w:t>
      </w:r>
      <w:r>
        <w:t xml:space="preserve">of present capability — each activated only when its ADR and conformance tests</w:t>
      </w:r>
      <w:r>
        <w:t xml:space="preserve"> </w:t>
      </w:r>
      <w:r>
        <w:t xml:space="preserve">land.</w:t>
      </w:r>
    </w:p>
    <w:bookmarkEnd w:id="19"/>
    <w:bookmarkEnd w:id="20"/>
    <w:bookmarkStart w:id="27" w:name="drift-engine-overview-executive-brief"/>
    <w:p>
      <w:pPr>
        <w:pStyle w:val="Heading1"/>
      </w:pPr>
      <w:r>
        <w:t xml:space="preserve">Drift Engine Overview — Executive Brief</w:t>
      </w:r>
    </w:p>
    <w:p>
      <w:pPr>
        <w:pStyle w:val="FirstParagraph"/>
      </w:pPr>
      <w:r>
        <w:t xml:space="preserve">For federal CIO/CISO leadership, the Federal Modernization Program’s drift engine is the control that continuously answers:</w:t>
      </w:r>
      <w:r>
        <w:t xml:space="preserve"> </w:t>
      </w:r>
      <w:r>
        <w:rPr>
          <w:i/>
          <w:iCs/>
        </w:rPr>
        <w:t xml:space="preserve">“Are we still operating exactly as canonized policy, identity, and evidence rules require?”</w:t>
      </w:r>
      <w:r>
        <w:t xml:space="preserve"> </w:t>
      </w:r>
      <w:r>
        <w:t xml:space="preserve">It classifies drift using one taxonomy, assigns operational urgency, and drives a bounded remediation path.</w:t>
      </w:r>
    </w:p>
    <w:bookmarkStart w:id="21" w:name="canonical-drift-classes"/>
    <w:p>
      <w:pPr>
        <w:pStyle w:val="Heading2"/>
      </w:pPr>
      <w:r>
        <w:t xml:space="preserve">Canonical drift classes</w:t>
      </w:r>
    </w:p>
    <w:p>
      <w:pPr>
        <w:pStyle w:val="FirstParagraph"/>
      </w:pPr>
      <w:r>
        <w:t xml:space="preserve">The Federal Modernization Program uses five classes (verbatim from the Drift Detection Standard):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DRIFT-SCHEMA</w:t>
      </w:r>
      <w:r>
        <w:t xml:space="preserve"> </w:t>
      </w:r>
      <w:r>
        <w:t xml:space="preserve">— structure no longer matches canonical schema.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DRIFT-SEMANTIC</w:t>
      </w:r>
      <w:r>
        <w:t xml:space="preserve"> </w:t>
      </w:r>
      <w:r>
        <w:t xml:space="preserve">— structure is valid, but meaning is stale or inconsistent.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DRIFT-PROVENANCE</w:t>
      </w:r>
      <w:r>
        <w:t xml:space="preserve"> </w:t>
      </w:r>
      <w:r>
        <w:t xml:space="preserve">— evidence chain is incomplete, invalid, or broken.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DRIFT-AUTHZ</w:t>
      </w:r>
      <w:r>
        <w:t xml:space="preserve"> </w:t>
      </w:r>
      <w:r>
        <w:t xml:space="preserve">— data moved outside its authorized consent envelope.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DRIFT-IDENTITY</w:t>
      </w:r>
      <w:r>
        <w:t xml:space="preserve"> </w:t>
      </w:r>
      <w:r>
        <w:t xml:space="preserve">— issuer cannot be resolved to a verified identity object.</w:t>
      </w:r>
    </w:p>
    <w:bookmarkEnd w:id="21"/>
    <w:bookmarkStart w:id="22" w:name="X259ebd7de29d516477a53278930fff8bb8214ac"/>
    <w:p>
      <w:pPr>
        <w:pStyle w:val="Heading2"/>
      </w:pPr>
      <w:r>
        <w:t xml:space="preserve">Severity model and operational obligation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Operational obligation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Active-use claim with provenance/identity risk</w:t>
            </w:r>
          </w:p>
        </w:tc>
        <w:tc>
          <w:tcPr/>
          <w:p>
            <w:pPr>
              <w:pStyle w:val="Compact"/>
            </w:pPr>
            <w:r>
              <w:t xml:space="preserve">Halt affected flow, alert immediately, escalate to governance leadership (Canon Steward / Architecture Lead / CISO path)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Live schema/semantic drift</w:t>
            </w:r>
          </w:p>
        </w:tc>
        <w:tc>
          <w:tcPr/>
          <w:p>
            <w:pPr>
              <w:pStyle w:val="Compact"/>
            </w:pPr>
            <w:r>
              <w:t xml:space="preserve">Auto-remediate when deterministic; otherwise escalate within 1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Dormant/historical drift</w:t>
            </w:r>
          </w:p>
        </w:tc>
        <w:tc>
          <w:tcPr/>
          <w:p>
            <w:pPr>
              <w:pStyle w:val="Compact"/>
            </w:pPr>
            <w:r>
              <w:t xml:space="preserve">Queue remediation and close within 24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Style/metadata drift with no semantic impact</w:t>
            </w:r>
          </w:p>
        </w:tc>
        <w:tc>
          <w:tcPr/>
          <w:p>
            <w:pPr>
              <w:pStyle w:val="Compact"/>
            </w:pPr>
            <w:r>
              <w:t xml:space="preserve">Log and auto-remediate within 72 hours</w:t>
            </w:r>
          </w:p>
        </w:tc>
      </w:tr>
    </w:tbl>
    <w:bookmarkEnd w:id="22"/>
    <w:bookmarkStart w:id="23" w:name="where-drift-is-detected"/>
    <w:p>
      <w:pPr>
        <w:pStyle w:val="Heading2"/>
      </w:pPr>
      <w:r>
        <w:t xml:space="preserve">Where drift is detected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CI substrate walker</w:t>
      </w:r>
      <w:r>
        <w:t xml:space="preserve"> </w:t>
      </w:r>
      <w:r>
        <w:t xml:space="preserve">(</w:t>
      </w:r>
      <w:r>
        <w:rPr>
          <w:rStyle w:val="VerbatimChar"/>
        </w:rPr>
        <w:t xml:space="preserve">fmp substrate walk</w:t>
      </w:r>
      <w:r>
        <w:t xml:space="preserve">,</w:t>
      </w:r>
      <w:r>
        <w:t xml:space="preserve"> </w:t>
      </w:r>
      <w:r>
        <w:rPr>
          <w:rStyle w:val="VerbatimChar"/>
        </w:rPr>
        <w:t xml:space="preserve">substrate-drift.yml</w:t>
      </w:r>
      <w:r>
        <w:t xml:space="preserve">) detects shipped classes now:</w:t>
      </w:r>
      <w:r>
        <w:t xml:space="preserve"> </w:t>
      </w:r>
      <w:r>
        <w:rPr>
          <w:rStyle w:val="VerbatimChar"/>
        </w:rPr>
        <w:t xml:space="preserve">DRIFT-SCHEMA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Runtime conformance runner</w:t>
      </w:r>
      <w:r>
        <w:t xml:space="preserve"> </w:t>
      </w:r>
      <w:r>
        <w:t xml:space="preserve">detects runtime drift during adapter execution and emits remediation-contract records (</w:t>
      </w:r>
      <w:r>
        <w:rPr>
          <w:rStyle w:val="VerbatimChar"/>
        </w:rPr>
        <w:t xml:space="preserve">drift_class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severity</w:t>
      </w:r>
      <w:r>
        <w:t xml:space="preserve">, timestamps, remediation action, evidence, escalation path).</w:t>
      </w:r>
    </w:p>
    <w:bookmarkEnd w:id="23"/>
    <w:bookmarkStart w:id="24" w:name="how-leaders-should-consume-drift-output"/>
    <w:p>
      <w:pPr>
        <w:pStyle w:val="Heading2"/>
      </w:pPr>
      <w:r>
        <w:t xml:space="preserve">How leaders should consume drift output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Governance tickets:</w:t>
      </w:r>
      <w:r>
        <w:t xml:space="preserve"> </w:t>
      </w:r>
      <w:r>
        <w:t xml:space="preserve">every material event becomes a tracked governance action with explicit owner and SLA.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OSCAL evidence regeneration:</w:t>
      </w:r>
      <w:r>
        <w:t xml:space="preserve"> </w:t>
      </w:r>
      <w:r>
        <w:t xml:space="preserve">drift outcomes trigger regeneration of affected evidence artifacts so SSP/POA&amp;M narratives stay canon-accurate.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Enforcement adapter feedback:</w:t>
      </w:r>
      <w:r>
        <w:t xml:space="preserve"> </w:t>
      </w:r>
      <w:r>
        <w:t xml:space="preserve">remediation outcomes (</w:t>
      </w:r>
      <w:r>
        <w:rPr>
          <w:rStyle w:val="VerbatimChar"/>
        </w:rPr>
        <w:t xml:space="preserve">halt | fix | flag | log</w:t>
      </w:r>
      <w:r>
        <w:t xml:space="preserve">) feed enforcement behavior to reduce repeat drift.</w:t>
      </w:r>
    </w:p>
    <w:bookmarkEnd w:id="24"/>
    <w:bookmarkStart w:id="25" w:name="maturity-snapshot-current"/>
    <w:p>
      <w:pPr>
        <w:pStyle w:val="Heading2"/>
      </w:pPr>
      <w:r>
        <w:t xml:space="preserve">Maturity snapshot (current)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(partial runtime design)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  <w:r>
              <w:t xml:space="preserve"> </w:t>
            </w:r>
            <w:r>
              <w:t xml:space="preserve">(pending runtime implementation)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  <w:r>
              <w:t xml:space="preserve"> </w:t>
            </w:r>
            <w:r>
              <w:t xml:space="preserve">(pending runtime implementation)</w:t>
            </w:r>
          </w:p>
        </w:tc>
      </w:tr>
    </w:tbl>
    <w:bookmarkEnd w:id="25"/>
    <w:bookmarkStart w:id="26" w:name="where-to-go-deeper-1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Architecture Series — Drift Engine</w:t>
      </w:r>
      <w:r>
        <w:t xml:space="preserve"> </w:t>
      </w:r>
      <w:r>
        <w:t xml:space="preserve">—</w:t>
      </w:r>
      <w:r>
        <w:t xml:space="preserve"> </w:t>
      </w:r>
      <w:r>
        <w:t xml:space="preserve">the design-level treatment of the six-phase loop and taxonomy.</w:t>
      </w:r>
    </w:p>
    <w:p>
      <w:pPr>
        <w:pStyle w:val="FirstParagraph"/>
      </w:pPr>
      <w:r>
        <w:rPr>
          <w:b/>
          <w:bCs/>
        </w:rPr>
        <w:t xml:space="preserve">Leadership takeaway:</w:t>
      </w:r>
      <w:r>
        <w:t xml:space="preserve"> </w:t>
      </w:r>
      <w:r>
        <w:t xml:space="preserve">the Federal Modernization Program already ships structural/provenance drift enforcement in CI, with the same taxonomy and severity contract extending to runtime semantic, authorization, and identity drift as those controls are completed.</w:t>
      </w:r>
    </w:p>
    <w:bookmarkEnd w:id="26"/>
    <w:bookmarkEnd w:id="27"/>
    <w:bookmarkStart w:id="34" w:name="evidence-fabric-overview"/>
    <w:p>
      <w:pPr>
        <w:pStyle w:val="Heading1"/>
      </w:pPr>
      <w:r>
        <w:t xml:space="preserve">Evidence Fabric Overview</w:t>
      </w:r>
    </w:p>
    <w:p>
      <w:pPr>
        <w:pStyle w:val="FirstParagraph"/>
      </w:pPr>
      <w:r>
        <w:t xml:space="preserve">The Federal Modernization Program’s Evidence Fabric is designed to turn runtime telemetry into assessor-ready</w:t>
      </w:r>
      <w:r>
        <w:t xml:space="preserve"> </w:t>
      </w:r>
      <w:r>
        <w:t xml:space="preserve">compliance artifacts with traceable provenance at every step. Instead of a</w:t>
      </w:r>
      <w:r>
        <w:t xml:space="preserve"> </w:t>
      </w:r>
      <w:r>
        <w:t xml:space="preserve">single point-in-time screenshot, it produces a deterministic evidence bundle</w:t>
      </w:r>
      <w:r>
        <w:t xml:space="preserve"> </w:t>
      </w:r>
      <w:r>
        <w:t xml:space="preserve">that can be re-run and independently verified.</w:t>
      </w:r>
    </w:p>
    <w:bookmarkStart w:id="28" w:name="X58089353ece44fe59acaa0a666178021bf5ea9e"/>
    <w:p>
      <w:pPr>
        <w:pStyle w:val="Heading2"/>
      </w:pPr>
      <w:r>
        <w:t xml:space="preserve">Provenance chain (event → claim → OSCAL artifact)</w:t>
      </w:r>
    </w:p>
    <w:p>
      <w:pPr>
        <w:pStyle w:val="FirstParagraph"/>
      </w:pPr>
      <w:r>
        <w:t xml:space="preserve">The intended chain is: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Telemetry event capture</w:t>
      </w:r>
      <w:r>
        <w:t xml:space="preserve"> </w:t>
      </w:r>
      <w:r>
        <w:t xml:space="preserve">from adapters and governance controls.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Canonical claim normalization</w:t>
      </w:r>
      <w:r>
        <w:t xml:space="preserve"> </w:t>
      </w:r>
      <w:r>
        <w:t xml:space="preserve">under the provenance envelope defined in</w:t>
      </w:r>
      <w:r>
        <w:t xml:space="preserve"> </w:t>
      </w:r>
      <w:r>
        <w:t xml:space="preserve">15_ProvenanceProfile.qmd.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Evidence bundling and mapping</w:t>
      </w:r>
      <w:r>
        <w:t xml:space="preserve"> </w:t>
      </w:r>
      <w:r>
        <w:t xml:space="preserve">into OSCAL-native outputs for assessors.</w:t>
      </w:r>
    </w:p>
    <w:p>
      <w:pPr>
        <w:pStyle w:val="FirstParagraph"/>
      </w:pPr>
      <w:r>
        <w:t xml:space="preserve">This creates a lineage from source signal to compliance statement, so a 3PAO</w:t>
      </w:r>
      <w:r>
        <w:t xml:space="preserve"> </w:t>
      </w:r>
      <w:r>
        <w:t xml:space="preserve">can trace any finding back to a concrete, hashed source record.</w:t>
      </w:r>
    </w:p>
    <w:bookmarkEnd w:id="28"/>
    <w:bookmarkStart w:id="29" w:name="determinism-and-reproducibility"/>
    <w:p>
      <w:pPr>
        <w:pStyle w:val="Heading2"/>
      </w:pPr>
      <w:r>
        <w:t xml:space="preserve">Determinism and reproducibility</w:t>
      </w:r>
    </w:p>
    <w:p>
      <w:pPr>
        <w:pStyle w:val="FirstParagraph"/>
      </w:pPr>
      <w:r>
        <w:t xml:space="preserve">Per</w:t>
      </w:r>
      <w:r>
        <w:t xml:space="preserve"> </w:t>
      </w:r>
      <w:r>
        <w:t xml:space="preserve">the program decision,</w:t>
      </w:r>
      <w:r>
        <w:t xml:space="preserve"> </w:t>
      </w:r>
      <w:r>
        <w:t xml:space="preserve">the fabric is designed for deterministic behavior: no silent drops, append-only</w:t>
      </w:r>
      <w:r>
        <w:t xml:space="preserve"> </w:t>
      </w:r>
      <w:r>
        <w:t xml:space="preserve">writes, ordered records, integrity hashing, and idempotent ingestion. In</w:t>
      </w:r>
      <w:r>
        <w:t xml:space="preserve"> </w:t>
      </w:r>
      <w:r>
        <w:t xml:space="preserve">practice this means</w:t>
      </w:r>
      <w:r>
        <w:t xml:space="preserve"> </w:t>
      </w:r>
      <w:r>
        <w:rPr>
          <w:b/>
          <w:bCs/>
        </w:rPr>
        <w:t xml:space="preserve">same inputs produce the same evidence bundle</w:t>
      </w:r>
      <w:r>
        <w:t xml:space="preserve">, enabling</w:t>
      </w:r>
      <w:r>
        <w:t xml:space="preserve"> </w:t>
      </w:r>
      <w:r>
        <w:t xml:space="preserve">byte-reproducible regeneration for reassessment, forensics, and dispute</w:t>
      </w:r>
      <w:r>
        <w:t xml:space="preserve"> </w:t>
      </w:r>
      <w:r>
        <w:t xml:space="preserve">resolution.</w:t>
      </w:r>
    </w:p>
    <w:bookmarkEnd w:id="29"/>
    <w:bookmarkStart w:id="30" w:name="X718c4e6e5789e0b73beb6bb345d82080898d8ad"/>
    <w:p>
      <w:pPr>
        <w:pStyle w:val="Heading2"/>
      </w:pPr>
      <w:r>
        <w:t xml:space="preserve">Cryptographic anchoring and signing posture</w:t>
      </w:r>
    </w:p>
    <w:p>
      <w:pPr>
        <w:pStyle w:val="FirstParagraph"/>
      </w:pPr>
      <w:r>
        <w:t xml:space="preserve">Evidence integrity is anchored with cryptographic hashes in the provenance</w:t>
      </w:r>
      <w:r>
        <w:t xml:space="preserve"> </w:t>
      </w:r>
      <w:r>
        <w:t xml:space="preserve">envelope and bundle-level provenance fields defined by</w:t>
      </w:r>
      <w:r>
        <w:t xml:space="preserve"> </w:t>
      </w:r>
      <w:r>
        <w:rPr>
          <w:rStyle w:val="VerbatimChar"/>
        </w:rPr>
        <w:t xml:space="preserve">evidence-bundle.schema.json</w:t>
      </w:r>
      <w:r>
        <w:t xml:space="preserve">.</w:t>
      </w:r>
      <w:r>
        <w:t xml:space="preserve"> </w:t>
      </w:r>
      <w:r>
        <w:t xml:space="preserve">The schema enforces hash-bearing provenance structures at item and bundle scope,</w:t>
      </w:r>
      <w:r>
        <w:t xml:space="preserve"> </w:t>
      </w:r>
      <w:r>
        <w:t xml:space="preserve">providing the verification substrate for signed, tamper-evident evidence</w:t>
      </w:r>
      <w:r>
        <w:t xml:space="preserve"> </w:t>
      </w:r>
      <w:r>
        <w:t xml:space="preserve">packages.</w:t>
      </w:r>
    </w:p>
    <w:bookmarkEnd w:id="30"/>
    <w:bookmarkStart w:id="31" w:name="evidence-outputs-available-today"/>
    <w:p>
      <w:pPr>
        <w:pStyle w:val="Heading2"/>
      </w:pPr>
      <w:r>
        <w:t xml:space="preserve">Evidence outputs available today</w:t>
      </w:r>
    </w:p>
    <w:p>
      <w:pPr>
        <w:pStyle w:val="FirstParagraph"/>
      </w:pPr>
      <w:r>
        <w:t xml:space="preserve">The Federal Modernization Program currently emits or assembles the following evidence surfaces: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System Security Plan (SSP)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POA&amp;M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KSI dashboard artifacts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Component Definitions</w:t>
      </w:r>
    </w:p>
    <w:p>
      <w:pPr>
        <w:pStyle w:val="FirstParagraph"/>
      </w:pPr>
      <w:r>
        <w:t xml:space="preserve">Bundle lifecycle controls (assemble → seal → submit → close) are defined in</w:t>
      </w:r>
      <w:r>
        <w:t xml:space="preserve"> </w:t>
      </w:r>
      <w:r>
        <w:t xml:space="preserve">the program decision</w:t>
      </w:r>
      <w:r>
        <w:t xml:space="preserve"> </w:t>
      </w:r>
      <w:r>
        <w:t xml:space="preserve">to support governed handoff to federal assessors.</w:t>
      </w:r>
    </w:p>
    <w:bookmarkEnd w:id="31"/>
    <w:bookmarkStart w:id="32" w:name="maturity-and-current-state-honesty"/>
    <w:p>
      <w:pPr>
        <w:pStyle w:val="Heading2"/>
      </w:pPr>
      <w:r>
        <w:t xml:space="preserve">Maturity and current-state honesty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event-time capture chain is design-defined but not fully wired in current</w:t>
      </w:r>
      <w:r>
        <w:rPr>
          <w:b/>
          <w:bCs/>
        </w:rPr>
        <w:t xml:space="preserve"> </w:t>
      </w:r>
      <w:r>
        <w:rPr>
          <w:b/>
          <w:bCs/>
        </w:rPr>
        <w:t xml:space="preserve">production flow</w:t>
      </w:r>
      <w:r>
        <w:t xml:space="preserve">. The Federal Modernization Program already defines deterministic structure, provenance</w:t>
      </w:r>
      <w:r>
        <w:t xml:space="preserve"> </w:t>
      </w:r>
      <w:r>
        <w:t xml:space="preserve">fields, and bundle lifecycle controls; end-to-end continuous event-time capture</w:t>
      </w:r>
      <w:r>
        <w:t xml:space="preserve"> </w:t>
      </w:r>
      <w:r>
        <w:t xml:space="preserve">remains a target-state capability and is represented here as aspirational.</w:t>
      </w:r>
    </w:p>
    <w:bookmarkEnd w:id="32"/>
    <w:bookmarkStart w:id="33" w:name="where-to-go-deeper-2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Architecture Series — Evidence Chain</w:t>
      </w:r>
      <w:r>
        <w:t xml:space="preserve"> </w:t>
      </w:r>
      <w:r>
        <w:t xml:space="preserve">—</w:t>
      </w:r>
      <w:r>
        <w:t xml:space="preserve"> </w:t>
      </w:r>
      <w:r>
        <w:t xml:space="preserve">the event → claim → OSCAL lineage in design detail.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KSI Conformance Overview</w:t>
      </w:r>
      <w:r>
        <w:t xml:space="preserve"> </w:t>
      </w:r>
      <w:r>
        <w:t xml:space="preserve">— the</w:t>
      </w:r>
      <w:r>
        <w:t xml:space="preserve"> </w:t>
      </w:r>
      <w:r>
        <w:t xml:space="preserve">machine-checkable indicators that populate the bundle.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Reciprocity &amp; Single-ATO Overview</w:t>
      </w:r>
      <w:r>
        <w:t xml:space="preserve"> </w:t>
      </w:r>
      <w:r>
        <w:t xml:space="preserve">—</w:t>
      </w:r>
      <w:r>
        <w:t xml:space="preserve"> </w:t>
      </w:r>
      <w:r>
        <w:t xml:space="preserve">self-verifying per-agency evidence bundles in practice.</w:t>
      </w:r>
    </w:p>
    <w:bookmarkEnd w:id="33"/>
    <w:bookmarkEnd w:id="34"/>
    <w:bookmarkStart w:id="41" w:name="ksi-conformance-overview-executive-brief"/>
    <w:p>
      <w:pPr>
        <w:pStyle w:val="Heading1"/>
      </w:pPr>
      <w:r>
        <w:t xml:space="preserve">KSI Conformance Overview — Executive Brief</w:t>
      </w:r>
    </w:p>
    <w:p>
      <w:pPr>
        <w:pStyle w:val="FirstParagraph"/>
      </w:pPr>
      <w:r>
        <w:t xml:space="preserve">Key Security Indicators (KSIs) are how the Federal Modernization Program turns a control catalog into</w:t>
      </w:r>
      <w:r>
        <w:t xml:space="preserve"> </w:t>
      </w:r>
      <w:r>
        <w:t xml:space="preserve">something a machine can check continuously. Where a traditional SSP narrates</w:t>
      </w:r>
      <w:r>
        <w:t xml:space="preserve"> </w:t>
      </w:r>
      <w:r>
        <w:rPr>
          <w:i/>
          <w:iCs/>
        </w:rPr>
        <w:t xml:space="preserve">“control AC-2 is satisfied,”</w:t>
      </w:r>
      <w:r>
        <w:t xml:space="preserve"> </w:t>
      </w:r>
      <w:r>
        <w:t xml:space="preserve">a KSI is a</w:t>
      </w:r>
      <w:r>
        <w:t xml:space="preserve"> </w:t>
      </w:r>
      <w:r>
        <w:rPr>
          <w:b/>
          <w:bCs/>
        </w:rPr>
        <w:t xml:space="preserve">machine-readable, continuously</w:t>
      </w:r>
      <w:r>
        <w:rPr>
          <w:b/>
          <w:bCs/>
        </w:rPr>
        <w:t xml:space="preserve"> </w:t>
      </w:r>
      <w:r>
        <w:rPr>
          <w:b/>
          <w:bCs/>
        </w:rPr>
        <w:t xml:space="preserve">evaluated assertion</w:t>
      </w:r>
      <w:r>
        <w:t xml:space="preserve"> </w:t>
      </w:r>
      <w:r>
        <w:t xml:space="preserve">— pass, fail, error, or stale — backed by hashed evidence.</w:t>
      </w:r>
      <w:r>
        <w:t xml:space="preserve"> </w:t>
      </w:r>
      <w:r>
        <w:t xml:space="preserve">KSIs sit</w:t>
      </w:r>
      <w:r>
        <w:t xml:space="preserve"> </w:t>
      </w:r>
      <w:r>
        <w:rPr>
          <w:i/>
          <w:iCs/>
        </w:rPr>
        <w:t xml:space="preserve">above</w:t>
      </w:r>
      <w:r>
        <w:t xml:space="preserve"> </w:t>
      </w:r>
      <w:r>
        <w:t xml:space="preserve">the NIST SP 800-53 Rev 5 controls and map down to them, which</w:t>
      </w:r>
      <w:r>
        <w:t xml:space="preserve"> </w:t>
      </w:r>
      <w:r>
        <w:t xml:space="preserve">is the model FedRAMP 20x is moving the program toward.</w:t>
      </w:r>
    </w:p>
    <w:bookmarkStart w:id="35" w:name="X81fb4d3e8a5cf5de08ecd8bb473dc42ac892668"/>
    <w:p>
      <w:pPr>
        <w:pStyle w:val="Heading2"/>
      </w:pPr>
      <w:r>
        <w:t xml:space="preserve">What the Federal Modernization Program ships: a governed KSI corpus</w:t>
      </w:r>
    </w:p>
    <w:p>
      <w:pPr>
        <w:pStyle w:val="FirstParagraph"/>
      </w:pPr>
      <w:r>
        <w:t xml:space="preserve">The substrate carries</w:t>
      </w:r>
      <w:r>
        <w:t xml:space="preserve"> </w:t>
      </w:r>
      <w:r>
        <w:rPr>
          <w:b/>
          <w:bCs/>
        </w:rPr>
        <w:t xml:space="preserve">more than 190 KSI rules across eleven families</w:t>
      </w:r>
      <w:r>
        <w:t xml:space="preserve">, each a</w:t>
      </w:r>
      <w:r>
        <w:t xml:space="preserve"> </w:t>
      </w:r>
      <w:r>
        <w:t xml:space="preserve">versioned file under</w:t>
      </w:r>
      <w:r>
        <w:t xml:space="preserve"> </w:t>
      </w:r>
      <w:r>
        <w:rPr>
          <w:rStyle w:val="VerbatimChar"/>
        </w:rPr>
        <w:t xml:space="preserve">src/fmp/rules/ksi/</w:t>
      </w:r>
      <w:r>
        <w:t xml:space="preserve"> </w:t>
      </w:r>
      <w:r>
        <w:t xml:space="preserve">and</w:t>
      </w:r>
      <w:r>
        <w:t xml:space="preserve"> </w:t>
      </w:r>
      <w:r>
        <w:t xml:space="preserve">schema-validated like any other canon artifact: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Covers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iam</w:t>
            </w:r>
          </w:p>
        </w:tc>
        <w:tc>
          <w:tcPr/>
          <w:p>
            <w:pPr>
              <w:pStyle w:val="Compact"/>
            </w:pPr>
            <w:r>
              <w:t xml:space="preserve">Access control &amp; identity (AC, IA) — 28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planning-personnel</w:t>
            </w:r>
          </w:p>
        </w:tc>
        <w:tc>
          <w:tcPr/>
          <w:p>
            <w:pPr>
              <w:pStyle w:val="Compact"/>
            </w:pPr>
            <w:r>
              <w:t xml:space="preserve">Org readiness, vetting, planning — 42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monitoring-logging</w:t>
            </w:r>
          </w:p>
        </w:tc>
        <w:tc>
          <w:tcPr/>
          <w:p>
            <w:pPr>
              <w:pStyle w:val="Compact"/>
            </w:pPr>
            <w:r>
              <w:t xml:space="preserve">Audit &amp; system integrity (AU, SI) — 22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boundary-protection</w:t>
            </w:r>
          </w:p>
        </w:tc>
        <w:tc>
          <w:tcPr/>
          <w:p>
            <w:pPr>
              <w:pStyle w:val="Compact"/>
            </w:pPr>
            <w:r>
              <w:t xml:space="preserve">System &amp; comms protection (SC) — 14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configuration-management</w:t>
            </w:r>
          </w:p>
        </w:tc>
        <w:tc>
          <w:tcPr/>
          <w:p>
            <w:pPr>
              <w:pStyle w:val="Compact"/>
            </w:pPr>
            <w:r>
              <w:t xml:space="preserve">Configuration management (CM) — 11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incident-response</w:t>
            </w:r>
          </w:p>
        </w:tc>
        <w:tc>
          <w:tcPr/>
          <w:p>
            <w:pPr>
              <w:pStyle w:val="Compact"/>
            </w:pPr>
            <w:r>
              <w:t xml:space="preserve">Incident response (IR) — 8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hrit-reciprocity</w:t>
            </w:r>
          </w:p>
        </w:tc>
        <w:tc>
          <w:tcPr/>
          <w:p>
            <w:pPr>
              <w:pStyle w:val="Compact"/>
            </w:pPr>
            <w:r>
              <w:t xml:space="preserve">Single-ATO reciprocity (KSI-RECIP-001..008)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readiness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cyberark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servicenow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other</w:t>
            </w:r>
          </w:p>
        </w:tc>
        <w:tc>
          <w:tcPr/>
          <w:p>
            <w:pPr>
              <w:pStyle w:val="Compact"/>
            </w:pPr>
            <w:r>
              <w:t xml:space="preserve">Readiness, adapter-specific, and cross-cutting indicators</w:t>
            </w:r>
          </w:p>
        </w:tc>
      </w:tr>
    </w:tbl>
    <w:p>
      <w:pPr>
        <w:pStyle w:val="BodyText"/>
      </w:pPr>
      <w:r>
        <w:t xml:space="preserve">Each rule declares a security objective, explicit pass criteria, and the NIST</w:t>
      </w:r>
      <w:r>
        <w:t xml:space="preserve"> </w:t>
      </w:r>
      <w:r>
        <w:t xml:space="preserve">controls it relates to — so a finding traces from indicator to control to</w:t>
      </w:r>
      <w:r>
        <w:t xml:space="preserve"> </w:t>
      </w:r>
      <w:r>
        <w:t xml:space="preserve">evidence deterministically.</w:t>
      </w:r>
    </w:p>
    <w:bookmarkEnd w:id="35"/>
    <w:bookmarkStart w:id="36" w:name="what-ships-today-the-evaluation-engine"/>
    <w:p>
      <w:pPr>
        <w:pStyle w:val="Heading2"/>
      </w:pPr>
      <w:r>
        <w:t xml:space="preserve">What ships today: the evaluation engine</w:t>
      </w:r>
    </w:p>
    <w:p>
      <w:pPr>
        <w:pStyle w:val="FirstParagraph"/>
      </w:pPr>
      <w:r>
        <w:rPr>
          <w:rStyle w:val="VerbatimChar"/>
        </w:rPr>
        <w:t xml:space="preserve">fmp ksi evaluate</w:t>
      </w:r>
      <w:r>
        <w:t xml:space="preserve"> </w:t>
      </w:r>
      <w:r>
        <w:t xml:space="preserve">is the shipped CLI surface. It is the Plane 2 step of the</w:t>
      </w:r>
      <w:r>
        <w:t xml:space="preserve"> </w:t>
      </w:r>
      <w:r>
        <w:t xml:space="preserve">The Federal Modernization Program pipeline: it takes an IR envelope (produced by Plane 1 adapter transforms),</w:t>
      </w:r>
      <w:r>
        <w:t xml:space="preserve"> </w:t>
      </w:r>
      <w:r>
        <w:t xml:space="preserve">evaluates it against the KSI corpus, and emits a canonical KSI result JSON:</w:t>
      </w:r>
    </w:p>
    <w:p>
      <w:pPr>
        <w:pStyle w:val="SourceCode"/>
      </w:pPr>
      <w:r>
        <w:rPr>
          <w:rStyle w:val="ExtensionTok"/>
        </w:rPr>
        <w:t xml:space="preserve">fmp</w:t>
      </w:r>
      <w:r>
        <w:rPr>
          <w:rStyle w:val="NormalTok"/>
        </w:rPr>
        <w:t xml:space="preserve"> ksi evaluate </w:t>
      </w:r>
      <w:r>
        <w:rPr>
          <w:rStyle w:val="AttributeTok"/>
        </w:rPr>
        <w:t xml:space="preserve">--ir</w:t>
      </w:r>
      <w:r>
        <w:rPr>
          <w:rStyle w:val="NormalTok"/>
        </w:rPr>
        <w:t xml:space="preserve"> ./output/ir/tenant-a.ir.json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      </w:t>
      </w:r>
      <w:r>
        <w:rPr>
          <w:rStyle w:val="AttributeTok"/>
        </w:rPr>
        <w:t xml:space="preserve">--out</w:t>
      </w:r>
      <w:r>
        <w:rPr>
          <w:rStyle w:val="NormalTok"/>
        </w:rPr>
        <w:t xml:space="preserve"> ./output/ksi/tenant-a.ksi.json</w:t>
      </w:r>
    </w:p>
    <w:p>
      <w:pPr>
        <w:pStyle w:val="FirstParagraph"/>
      </w:pPr>
      <w:r>
        <w:t xml:space="preserve">The result carries a summary (</w:t>
      </w:r>
      <w:r>
        <w:rPr>
          <w:rStyle w:val="VerbatimChar"/>
        </w:rPr>
        <w:t xml:space="preserve">total_ksis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stale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coverage_percentage</w:t>
      </w:r>
      <w:r>
        <w:t xml:space="preserve">) and a per-KSI breakdown with evidence and drift</w:t>
      </w:r>
      <w:r>
        <w:t xml:space="preserve"> </w:t>
      </w:r>
      <w:r>
        <w:t xml:space="preserve">indicators. The engine is deliberately</w:t>
      </w:r>
      <w:r>
        <w:t xml:space="preserve"> </w:t>
      </w:r>
      <w:r>
        <w:rPr>
          <w:b/>
          <w:bCs/>
        </w:rPr>
        <w:t xml:space="preserve">pure and deterministic</w:t>
      </w:r>
      <w:r>
        <w:t xml:space="preserve"> </w:t>
      </w:r>
      <w:r>
        <w:t xml:space="preserve">— same inputs,</w:t>
      </w:r>
      <w:r>
        <w:t xml:space="preserve"> </w:t>
      </w:r>
      <w:r>
        <w:t xml:space="preserve">same result — and is covered by 40+ hermetic tests. KSI results feed the</w:t>
      </w:r>
      <w:r>
        <w:t xml:space="preserve"> </w:t>
      </w:r>
      <w:r>
        <w:t xml:space="preserve">evidence bundle (</w:t>
      </w:r>
      <w:r>
        <w:rPr>
          <w:rStyle w:val="VerbatimChar"/>
        </w:rPr>
        <w:t xml:space="preserve">evidence-bundle.schema.json</w:t>
      </w:r>
      <w:r>
        <w:t xml:space="preserve">),</w:t>
      </w:r>
      <w:r>
        <w:t xml:space="preserve"> </w:t>
      </w:r>
      <w:r>
        <w:t xml:space="preserve">which emits OSCAL observation objects for assessor consumption.</w:t>
      </w:r>
    </w:p>
    <w:p>
      <w:pPr>
        <w:pStyle w:val="BlockText"/>
      </w:pPr>
      <w:r>
        <w:rPr>
          <w:b/>
          <w:bCs/>
        </w:rPr>
        <w:t xml:space="preserve">Honest scope note.</w:t>
      </w:r>
      <w:r>
        <w:t xml:space="preserve"> </w:t>
      </w:r>
      <w:r>
        <w:t xml:space="preserve">Reporting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a standalone</w:t>
      </w:r>
      <w:r>
        <w:t xml:space="preserve"> </w:t>
      </w:r>
      <w:r>
        <w:rPr>
          <w:rStyle w:val="VerbatimChar"/>
        </w:rPr>
        <w:t xml:space="preserve">ksi report</w:t>
      </w:r>
      <w:r>
        <w:t xml:space="preserve"> </w:t>
      </w:r>
      <w:r>
        <w:t xml:space="preserve">command</w:t>
      </w:r>
      <w:r>
        <w:t xml:space="preserve"> </w:t>
      </w:r>
      <w:r>
        <w:t xml:space="preserve">today — KSI results surface through the IR / ConMon pipeline (</w:t>
      </w:r>
      <w:r>
        <w:rPr>
          <w:rStyle w:val="VerbatimChar"/>
        </w:rPr>
        <w:t xml:space="preserve">conmon 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ir</w:t>
      </w:r>
      <w:r>
        <w:t xml:space="preserve"> </w:t>
      </w:r>
      <w:r>
        <w:t xml:space="preserve">governance reports), which render the evaluated results.</w:t>
      </w:r>
    </w:p>
    <w:bookmarkEnd w:id="36"/>
    <w:bookmarkStart w:id="37" w:name="Xd9b7c5a872e3335bca7915681c3a9e16a9198f1"/>
    <w:p>
      <w:pPr>
        <w:pStyle w:val="Heading2"/>
      </w:pPr>
      <w:r>
        <w:t xml:space="preserve">FedRAMP 20x alignment: a tagging discipline, not a rewrite</w:t>
      </w:r>
    </w:p>
    <w:p>
      <w:pPr>
        <w:pStyle w:val="FirstParagraph"/>
      </w:pPr>
      <w:r>
        <w:t xml:space="preserve">Per [the program decision]</w:t>
      </w:r>
      <w:r>
        <w:t xml:space="preserve"> </w:t>
      </w:r>
      <w:r>
        <w:t xml:space="preserve">and FMP_133, KSI</w:t>
      </w:r>
      <w:r>
        <w:t xml:space="preserve"> </w:t>
      </w:r>
      <w:r>
        <w:t xml:space="preserve">emission is designed as a</w:t>
      </w:r>
      <w:r>
        <w:t xml:space="preserve"> </w:t>
      </w:r>
      <w:r>
        <w:rPr>
          <w:b/>
          <w:bCs/>
        </w:rPr>
        <w:t xml:space="preserve">tag on the existing OSCAL pipeline</w:t>
      </w:r>
      <w:r>
        <w:t xml:space="preserve">, not a second</w:t>
      </w:r>
      <w:r>
        <w:t xml:space="preserve"> </w:t>
      </w:r>
      <w:r>
        <w:t xml:space="preserve">evidence path: generated artifacts carry</w:t>
      </w:r>
      <w:r>
        <w:t xml:space="preserve"> </w:t>
      </w:r>
      <w:r>
        <w:rPr>
          <w:rStyle w:val="VerbatimChar"/>
        </w:rPr>
        <w:t xml:space="preserve">fedramp:ksi-themes</w:t>
      </w:r>
      <w:r>
        <w:t xml:space="preserve">,</w:t>
      </w:r>
      <w:r>
        <w:t xml:space="preserve"> </w:t>
      </w:r>
      <w:r>
        <w:rPr>
          <w:rStyle w:val="VerbatimChar"/>
        </w:rPr>
        <w:t xml:space="preserve">ksi-mapping-source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ksi-freshness-cadence</w:t>
      </w:r>
      <w:r>
        <w:t xml:space="preserve"> </w:t>
      </w:r>
      <w:r>
        <w:t xml:space="preserve">metadata. This keeps a single</w:t>
      </w:r>
      <w:r>
        <w:t xml:space="preserve"> </w:t>
      </w:r>
      <w:r>
        <w:t xml:space="preserve">source of evidence while making it consumable in the KSI-themed form FedRAMP 20x</w:t>
      </w:r>
      <w:r>
        <w:t xml:space="preserve"> </w:t>
      </w:r>
      <w:r>
        <w:t xml:space="preserve">expects.</w:t>
      </w:r>
    </w:p>
    <w:bookmarkEnd w:id="37"/>
    <w:bookmarkStart w:id="38" w:name="maturity-snapshot-1"/>
    <w:p>
      <w:pPr>
        <w:pStyle w:val="Heading2"/>
      </w:pPr>
      <w:r>
        <w:t xml:space="preserve">Maturity snapshot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 rule corpus (190+ rules, 11 families)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ksi evaluate</w:t>
            </w:r>
            <w:r>
              <w:t xml:space="preserve"> </w:t>
            </w:r>
            <w:r>
              <w:t xml:space="preserve">engine + result schema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bundle → OSCAL observation emission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KSI-RECIP reciprocity family (8 rules)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FedRAMP 20x KSI-theme tagging (the program decision)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 / DESIGN</w:t>
            </w:r>
            <w:r>
              <w:t xml:space="preserve"> </w:t>
            </w:r>
            <w:r>
              <w:t xml:space="preserve">(the program decision proposed)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CR26 KSI-control coverage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  <w:r>
              <w:t xml:space="preserve"> </w:t>
            </w:r>
            <w:r>
              <w:t xml:space="preserve">(corpus authored against the SCuBA M365 surface first)</w:t>
            </w:r>
          </w:p>
        </w:tc>
      </w:tr>
    </w:tbl>
    <w:bookmarkEnd w:id="38"/>
    <w:bookmarkStart w:id="39" w:name="where-to-go-deeper-3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Evidence Fabric Overview</w:t>
      </w:r>
      <w:r>
        <w:t xml:space="preserve"> </w:t>
      </w:r>
      <w:r>
        <w:t xml:space="preserve">— how KSI results</w:t>
      </w:r>
      <w:r>
        <w:t xml:space="preserve"> </w:t>
      </w:r>
      <w:r>
        <w:t xml:space="preserve">become signed, reproducible evidence.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Architecture Series — Evidence Chain</w:t>
      </w:r>
      <w:r>
        <w:t xml:space="preserve"> </w:t>
      </w:r>
      <w:r>
        <w:t xml:space="preserve">—</w:t>
      </w:r>
      <w:r>
        <w:t xml:space="preserve"> </w:t>
      </w:r>
      <w:r>
        <w:t xml:space="preserve">the event → claim → OSCAL lineage KSIs ride on.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Reciprocity &amp; Single-ATO Overview</w:t>
      </w:r>
      <w:r>
        <w:t xml:space="preserve"> </w:t>
      </w:r>
      <w:r>
        <w:t xml:space="preserve">—</w:t>
      </w:r>
      <w:r>
        <w:t xml:space="preserve"> </w:t>
      </w:r>
      <w:r>
        <w:t xml:space="preserve">where the KSI-RECIP family does its work.</w:t>
      </w:r>
    </w:p>
    <w:bookmarkEnd w:id="39"/>
    <w:bookmarkStart w:id="40" w:name="leadership-takeaway-1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The Federal Modernization Program already ships the part of FedRAMP 20x that is hardest to fake: a governed</w:t>
      </w:r>
      <w:r>
        <w:t xml:space="preserve"> </w:t>
      </w:r>
      <w:r>
        <w:t xml:space="preserve">corpus of machine-checkable indicators and a deterministic engine that evaluates</w:t>
      </w:r>
      <w:r>
        <w:t xml:space="preserve"> </w:t>
      </w:r>
      <w:r>
        <w:t xml:space="preserve">a tenant against them and emits OSCAL-mapped evidence. The remaining work is</w:t>
      </w:r>
      <w:r>
        <w:t xml:space="preserve"> </w:t>
      </w:r>
      <w:r>
        <w:t xml:space="preserve">breadth (full CR26 coverage) and the FedRAMP-20x KSI-theme tagging layer — both</w:t>
      </w:r>
      <w:r>
        <w:t xml:space="preserve"> </w:t>
      </w:r>
      <w:r>
        <w:t xml:space="preserve">roadmap items, not blockers to using KSI evaluation for continuous assurance</w:t>
      </w:r>
      <w:r>
        <w:t xml:space="preserve"> </w:t>
      </w:r>
      <w:r>
        <w:t xml:space="preserve">today.</w:t>
      </w:r>
    </w:p>
    <w:bookmarkEnd w:id="40"/>
    <w:bookmarkEnd w:id="41"/>
    <w:bookmarkStart w:id="56" w:name="executive-brief-modernization-overview"/>
    <w:p>
      <w:pPr>
        <w:pStyle w:val="Heading1"/>
      </w:pPr>
      <w:r>
        <w:t xml:space="preserve">Executive Brief — Modernization Overview</w:t>
      </w:r>
    </w:p>
    <w:bookmarkStart w:id="45" w:name="fig-modernization-overview-image-01"/>
    <w:p>
      <w:pPr>
        <w:pStyle w:val="CaptionedFigure"/>
      </w:pPr>
      <w:r>
        <w:drawing>
          <wp:inline>
            <wp:extent cx="5334000" cy="5334000"/>
            <wp:effectExtent b="0" l="0" r="0" t="0"/>
            <wp:docPr descr="Six-step modernization arc (identity to governance)" title="" id="43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executive-briefs/zero-trust-overview-image-01-mission-class-placement-for-zero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Six-step modernization arc (identity to governance)</w:t>
      </w:r>
    </w:p>
    <w:bookmarkEnd w:id="45"/>
    <w:p>
      <w:pPr>
        <w:pStyle w:val="BodyText"/>
      </w:pPr>
      <w:r>
        <w:t xml:space="preserve">This executive brief summarizes what a</w:t>
      </w:r>
      <w:r>
        <w:t xml:space="preserve"> </w:t>
      </w:r>
      <w:r>
        <w:rPr>
          <w:b/>
          <w:bCs/>
        </w:rPr>
        <w:t xml:space="preserve">FMP-anchored modernization program</w:t>
      </w:r>
      <w:r>
        <w:t xml:space="preserve"> </w:t>
      </w:r>
      <w:r>
        <w:t xml:space="preserve">looks like end to end for a federal CIO/CISO audience, and the expected</w:t>
      </w:r>
      <w:r>
        <w:t xml:space="preserve"> </w:t>
      </w:r>
      <w:r>
        <w:t xml:space="preserve">delivery arc from foundation to governance.</w:t>
      </w:r>
    </w:p>
    <w:bookmarkStart w:id="46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Federal Modernization Program modernization is an incremental, dependency-aware transformation that</w:t>
      </w:r>
      <w:r>
        <w:t xml:space="preserve"> </w:t>
      </w:r>
      <w:r>
        <w:t xml:space="preserve">starts with identity trust, extends into deterministic addressing and overlay</w:t>
      </w:r>
      <w:r>
        <w:t xml:space="preserve"> </w:t>
      </w:r>
      <w:r>
        <w:t xml:space="preserve">controls, and matures into telemetry-driven management and governance. The</w:t>
      </w:r>
      <w:r>
        <w:t xml:space="preserve"> </w:t>
      </w:r>
      <w:r>
        <w:t xml:space="preserve">program is structured to deliver mission value early while reducing long-tail</w:t>
      </w:r>
      <w:r>
        <w:t xml:space="preserve"> </w:t>
      </w:r>
      <w:r>
        <w:t xml:space="preserve">authorization and drift risk.</w:t>
      </w:r>
    </w:p>
    <w:p>
      <w:pPr>
        <w:pStyle w:val="BodyText"/>
      </w:pPr>
      <w:r>
        <w:t xml:space="preserve">The canonical modernization adapter inventory is governed in</w:t>
      </w:r>
      <w:r>
        <w:t xml:space="preserve"> </w:t>
      </w:r>
      <w:r>
        <w:rPr>
          <w:rStyle w:val="VerbatimChar"/>
        </w:rPr>
        <w:t xml:space="preserve">src/fmp/canon/modernization-registry.yaml</w:t>
      </w:r>
      <w:r>
        <w:t xml:space="preserve">. Treat that registry as the</w:t>
      </w:r>
      <w:r>
        <w:t xml:space="preserve"> </w:t>
      </w:r>
      <w:r>
        <w:t xml:space="preserve">authoritative source for the active modernization adapter set (with one</w:t>
      </w:r>
      <w:r>
        <w:t xml:space="preserve"> </w:t>
      </w:r>
      <w:r>
        <w:t xml:space="preserve">reserved planning entry) rather than maintaining per-brief adapter lists.</w:t>
      </w:r>
    </w:p>
    <w:bookmarkEnd w:id="46"/>
    <w:bookmarkStart w:id="47" w:name="Xc517984c895ce85353504e99126cc2ec05263ee"/>
    <w:p>
      <w:pPr>
        <w:pStyle w:val="Heading2"/>
      </w:pPr>
      <w:r>
        <w:t xml:space="preserve">The modernization arc (what changes first, and why)</w:t>
      </w:r>
    </w:p>
    <w:p>
      <w:pPr>
        <w:pStyle w:val="FirstParagraph"/>
      </w:pPr>
      <w:r>
        <w:t xml:space="preserve">The Federal Modernization Program sequencing is intentional: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Identity-first</w:t>
      </w:r>
      <w:r>
        <w:t xml:space="preserve"> </w:t>
      </w:r>
      <w:r>
        <w:t xml:space="preserve">— establish authoritative identity context and policy</w:t>
      </w:r>
      <w:r>
        <w:t xml:space="preserve"> </w:t>
      </w:r>
      <w:r>
        <w:t xml:space="preserve">enforcement anchors.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Addressing modernization</w:t>
      </w:r>
      <w:r>
        <w:t xml:space="preserve"> </w:t>
      </w:r>
      <w:r>
        <w:t xml:space="preserve">— bind identity to deterministic network</w:t>
      </w:r>
      <w:r>
        <w:t xml:space="preserve"> </w:t>
      </w:r>
      <w:r>
        <w:t xml:space="preserve">addressing and service location.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Overlay activation</w:t>
      </w:r>
      <w:r>
        <w:t xml:space="preserve"> </w:t>
      </w:r>
      <w:r>
        <w:t xml:space="preserve">— enforce certificate-anchored, policy-aware paths</w:t>
      </w:r>
      <w:r>
        <w:t xml:space="preserve"> </w:t>
      </w:r>
      <w:r>
        <w:t xml:space="preserve">without requiring rip-and-replace of incumbent platforms.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Telemetry integration</w:t>
      </w:r>
      <w:r>
        <w:t xml:space="preserve"> </w:t>
      </w:r>
      <w:r>
        <w:t xml:space="preserve">— convert telemetry from passive reporting into a</w:t>
      </w:r>
      <w:r>
        <w:t xml:space="preserve"> </w:t>
      </w:r>
      <w:r>
        <w:t xml:space="preserve">live control input for routing, security, and compliance decisions.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Management automation</w:t>
      </w:r>
      <w:r>
        <w:t xml:space="preserve"> </w:t>
      </w:r>
      <w:r>
        <w:t xml:space="preserve">— operationalize drift detection, CMDB</w:t>
      </w:r>
      <w:r>
        <w:t xml:space="preserve"> </w:t>
      </w:r>
      <w:r>
        <w:t xml:space="preserve">reconciliation, and policy execution through repeatable workflows.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Governance at runtime</w:t>
      </w:r>
      <w:r>
        <w:t xml:space="preserve"> </w:t>
      </w:r>
      <w:r>
        <w:t xml:space="preserve">— continuously generate evidence and maintain</w:t>
      </w:r>
      <w:r>
        <w:t xml:space="preserve"> </w:t>
      </w:r>
      <w:r>
        <w:t xml:space="preserve">authorization posture as an ongoing operating function.</w:t>
      </w:r>
    </w:p>
    <w:p>
      <w:pPr>
        <w:pStyle w:val="FirstParagraph"/>
      </w:pPr>
      <w:r>
        <w:t xml:space="preserve">This arc aligns with the program vision of a drop-in overlay that restores</w:t>
      </w:r>
      <w:r>
        <w:t xml:space="preserve"> </w:t>
      </w:r>
      <w:r>
        <w:t xml:space="preserve">cross-service telemetry and deterministic identity correlation in FedRAMP</w:t>
      </w:r>
      <w:r>
        <w:t xml:space="preserve"> </w:t>
      </w:r>
      <w:r>
        <w:t xml:space="preserve">Moderate environments.</w:t>
      </w:r>
    </w:p>
    <w:bookmarkEnd w:id="47"/>
    <w:bookmarkStart w:id="51" w:name="X64f0e492b8989696343423080c72cdc89fb8687"/>
    <w:p>
      <w:pPr>
        <w:pStyle w:val="Heading2"/>
      </w:pPr>
      <w:r>
        <w:t xml:space="preserve">Program model: from discovery to enterprise operation</w:t>
      </w:r>
    </w:p>
    <w:p>
      <w:pPr>
        <w:pStyle w:val="FirstParagraph"/>
      </w:pPr>
      <w:r>
        <w:t xml:space="preserve">The program executes in three leadership-facing phases:</w:t>
      </w:r>
    </w:p>
    <w:bookmarkStart w:id="48" w:name="phase-a-pre-overlay-discovery-and-design"/>
    <w:p>
      <w:pPr>
        <w:pStyle w:val="Heading3"/>
      </w:pPr>
      <w:r>
        <w:t xml:space="preserve">Phase A — Pre-overlay discovery and design</w:t>
      </w:r>
    </w:p>
    <w:p>
      <w:pPr>
        <w:pStyle w:val="Compact"/>
        <w:numPr>
          <w:ilvl w:val="0"/>
          <w:numId w:val="1015"/>
        </w:numPr>
      </w:pPr>
      <w:r>
        <w:t xml:space="preserve">Baseline identity, network, addressing, and telemetry posture.</w:t>
      </w:r>
    </w:p>
    <w:p>
      <w:pPr>
        <w:pStyle w:val="Compact"/>
        <w:numPr>
          <w:ilvl w:val="0"/>
          <w:numId w:val="1015"/>
        </w:numPr>
      </w:pPr>
      <w:r>
        <w:t xml:space="preserve">Confirm control-plane dependencies and authoritative data sources.</w:t>
      </w:r>
    </w:p>
    <w:p>
      <w:pPr>
        <w:pStyle w:val="Compact"/>
        <w:numPr>
          <w:ilvl w:val="0"/>
          <w:numId w:val="1015"/>
        </w:numPr>
      </w:pPr>
      <w:r>
        <w:t xml:space="preserve">Approve high-level and low-level designs for identity, addressing, overlay,</w:t>
      </w:r>
      <w:r>
        <w:t xml:space="preserve"> </w:t>
      </w:r>
      <w:r>
        <w:t xml:space="preserve">telemetry, and governance workstreams.</w:t>
      </w:r>
    </w:p>
    <w:p>
      <w:pPr>
        <w:pStyle w:val="Compact"/>
        <w:numPr>
          <w:ilvl w:val="0"/>
          <w:numId w:val="1015"/>
        </w:numPr>
      </w:pPr>
      <w:r>
        <w:t xml:space="preserve">Define objective readiness gates for pilot entry.</w:t>
      </w:r>
    </w:p>
    <w:bookmarkEnd w:id="48"/>
    <w:bookmarkStart w:id="49" w:name="phase-b-pilot-implementation"/>
    <w:p>
      <w:pPr>
        <w:pStyle w:val="Heading3"/>
      </w:pPr>
      <w:r>
        <w:t xml:space="preserve">Phase B — Pilot implementation</w:t>
      </w:r>
    </w:p>
    <w:p>
      <w:pPr>
        <w:pStyle w:val="Compact"/>
        <w:numPr>
          <w:ilvl w:val="0"/>
          <w:numId w:val="1016"/>
        </w:numPr>
      </w:pPr>
      <w:r>
        <w:t xml:space="preserve">Stand up identity and network pilots first, then attach deterministic</w:t>
      </w:r>
      <w:r>
        <w:t xml:space="preserve"> </w:t>
      </w:r>
      <w:r>
        <w:t xml:space="preserve">addressing and telemetry ingestion.</w:t>
      </w:r>
    </w:p>
    <w:p>
      <w:pPr>
        <w:pStyle w:val="Compact"/>
        <w:numPr>
          <w:ilvl w:val="0"/>
          <w:numId w:val="1016"/>
        </w:numPr>
      </w:pPr>
      <w:r>
        <w:t xml:space="preserve">Validate conversation-level correlation and policy determinism with limited</w:t>
      </w:r>
      <w:r>
        <w:t xml:space="preserve"> </w:t>
      </w:r>
      <w:r>
        <w:t xml:space="preserve">blast radius.</w:t>
      </w:r>
    </w:p>
    <w:p>
      <w:pPr>
        <w:pStyle w:val="Compact"/>
        <w:numPr>
          <w:ilvl w:val="0"/>
          <w:numId w:val="1016"/>
        </w:numPr>
      </w:pPr>
      <w:r>
        <w:t xml:space="preserve">Exercise change and rollback paths through governance workflows before broad</w:t>
      </w:r>
      <w:r>
        <w:t xml:space="preserve"> </w:t>
      </w:r>
      <w:r>
        <w:t xml:space="preserve">rollout.</w:t>
      </w:r>
    </w:p>
    <w:p>
      <w:pPr>
        <w:pStyle w:val="Compact"/>
        <w:numPr>
          <w:ilvl w:val="0"/>
          <w:numId w:val="1016"/>
        </w:numPr>
      </w:pPr>
      <w:r>
        <w:t xml:space="preserve">Produce early evidence artifacts to validate control intent and operational</w:t>
      </w:r>
      <w:r>
        <w:t xml:space="preserve"> </w:t>
      </w:r>
      <w:r>
        <w:t xml:space="preserve">feasibility.</w:t>
      </w:r>
    </w:p>
    <w:bookmarkEnd w:id="49"/>
    <w:bookmarkStart w:id="50" w:name="X0e427c4714929cdf853d7e751cce61b2d87767e"/>
    <w:p>
      <w:pPr>
        <w:pStyle w:val="Heading3"/>
      </w:pPr>
      <w:r>
        <w:t xml:space="preserve">Phase C — Enterprise rollout and continuous operations</w:t>
      </w:r>
    </w:p>
    <w:p>
      <w:pPr>
        <w:pStyle w:val="Compact"/>
        <w:numPr>
          <w:ilvl w:val="0"/>
          <w:numId w:val="1017"/>
        </w:numPr>
      </w:pPr>
      <w:r>
        <w:t xml:space="preserve">Expand proven patterns across domains and mission systems.</w:t>
      </w:r>
    </w:p>
    <w:p>
      <w:pPr>
        <w:pStyle w:val="Compact"/>
        <w:numPr>
          <w:ilvl w:val="0"/>
          <w:numId w:val="1017"/>
        </w:numPr>
      </w:pPr>
      <w:r>
        <w:t xml:space="preserve">Shift from milestone-only reviews to continuous telemetry/evidence cycles.</w:t>
      </w:r>
    </w:p>
    <w:p>
      <w:pPr>
        <w:pStyle w:val="Compact"/>
        <w:numPr>
          <w:ilvl w:val="0"/>
          <w:numId w:val="1017"/>
        </w:numPr>
      </w:pPr>
      <w:r>
        <w:t xml:space="preserve">Institutionalize drift detection and remediation as normal operations.</w:t>
      </w:r>
    </w:p>
    <w:p>
      <w:pPr>
        <w:pStyle w:val="Compact"/>
        <w:numPr>
          <w:ilvl w:val="0"/>
          <w:numId w:val="1017"/>
        </w:numPr>
      </w:pPr>
      <w:r>
        <w:t xml:space="preserve">Maintain modernization momentum without disruptive “big-bang” cutovers.</w:t>
      </w:r>
    </w:p>
    <w:bookmarkEnd w:id="50"/>
    <w:bookmarkEnd w:id="51"/>
    <w:bookmarkStart w:id="52" w:name="X1431b1456d8a68473b725a718d5359525aa5a9d"/>
    <w:p>
      <w:pPr>
        <w:pStyle w:val="Heading2"/>
      </w:pPr>
      <w:r>
        <w:t xml:space="preserve">FedRAMP 20x continuous authorization relationship</w:t>
      </w:r>
    </w:p>
    <w:p>
      <w:pPr>
        <w:pStyle w:val="FirstParagraph"/>
      </w:pPr>
      <w:r>
        <w:t xml:space="preserve">The Federal Modernization Program modernization directly supports FedRAMP 20x direction by shifting from</w:t>
      </w:r>
      <w:r>
        <w:t xml:space="preserve"> </w:t>
      </w:r>
      <w:r>
        <w:t xml:space="preserve">periodic, document-heavy authorization behavior to machine-assisted continuous</w:t>
      </w:r>
      <w:r>
        <w:t xml:space="preserve"> </w:t>
      </w:r>
      <w:r>
        <w:t xml:space="preserve">assurance: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Telemetry-backed validation</w:t>
      </w:r>
      <w:r>
        <w:t xml:space="preserve"> </w:t>
      </w:r>
      <w:r>
        <w:t xml:space="preserve">replaces point-in-time posture assumptions.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Automated evidence generation</w:t>
      </w:r>
      <w:r>
        <w:t xml:space="preserve"> </w:t>
      </w:r>
      <w:r>
        <w:t xml:space="preserve">supports recurring control verification.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Deterministic identity and policy outcomes</w:t>
      </w:r>
      <w:r>
        <w:t xml:space="preserve"> </w:t>
      </w:r>
      <w:r>
        <w:t xml:space="preserve">reduce ambiguity during</w:t>
      </w:r>
      <w:r>
        <w:t xml:space="preserve"> </w:t>
      </w:r>
      <w:r>
        <w:t xml:space="preserve">assessor and authorizing-official review.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OSCAL-ready evidence flows</w:t>
      </w:r>
      <w:r>
        <w:t xml:space="preserve"> </w:t>
      </w:r>
      <w:r>
        <w:t xml:space="preserve">improve repeatability and auditability.</w:t>
      </w:r>
    </w:p>
    <w:p>
      <w:pPr>
        <w:pStyle w:val="FirstParagraph"/>
      </w:pPr>
      <w:r>
        <w:t xml:space="preserve">In practice, this means modernization is not separate from authorization:</w:t>
      </w:r>
      <w:r>
        <w:t xml:space="preserve"> </w:t>
      </w:r>
      <w:r>
        <w:t xml:space="preserve">modernization produces the operational conditions required for continuous</w:t>
      </w:r>
      <w:r>
        <w:t xml:space="preserve"> </w:t>
      </w:r>
      <w:r>
        <w:t xml:space="preserve">authorization to be credible.</w:t>
      </w:r>
    </w:p>
    <w:bookmarkEnd w:id="52"/>
    <w:bookmarkStart w:id="53" w:name="maturity-and-delivery-expectation"/>
    <w:p>
      <w:pPr>
        <w:pStyle w:val="Heading2"/>
      </w:pPr>
      <w:r>
        <w:t xml:space="preserve">Maturity and delivery expectation</w:t>
      </w:r>
    </w:p>
    <w:p>
      <w:pPr>
        <w:pStyle w:val="FirstParagraph"/>
      </w:pPr>
      <w:r>
        <w:t xml:space="preserve">Most modernization components in this program are currently</w:t>
      </w:r>
      <w:r>
        <w:t xml:space="preserve"> </w:t>
      </w:r>
      <w:r>
        <w:rPr>
          <w:b/>
          <w:bCs/>
        </w:rPr>
        <w:t xml:space="preserve">TARGET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DESIGN-ONLY</w:t>
      </w:r>
      <w:r>
        <w:t xml:space="preserve"> </w:t>
      </w:r>
      <w:r>
        <w:t xml:space="preserve">maturity. Leadership should treat the roadmap as a governed</w:t>
      </w:r>
      <w:r>
        <w:t xml:space="preserve"> </w:t>
      </w:r>
      <w:r>
        <w:t xml:space="preserve">delivery arc with active build-out, not as a claim of full operational</w:t>
      </w:r>
      <w:r>
        <w:t xml:space="preserve"> </w:t>
      </w:r>
      <w:r>
        <w:t xml:space="preserve">completion across every workstream today.</w:t>
      </w:r>
    </w:p>
    <w:p>
      <w:pPr>
        <w:pStyle w:val="BodyText"/>
      </w:pPr>
      <w:r>
        <w:t xml:space="preserve">Accordingly, this brief is marked</w:t>
      </w:r>
      <w:r>
        <w:t xml:space="preserve"> </w:t>
      </w:r>
      <w:r>
        <w:rPr>
          <w:rStyle w:val="VerbatimChar"/>
        </w:rPr>
        <w:t xml:space="preserve">aspirational: true</w:t>
      </w:r>
      <w:r>
        <w:t xml:space="preserve"> </w:t>
      </w:r>
      <w:r>
        <w:t xml:space="preserve">to reflect current</w:t>
      </w:r>
      <w:r>
        <w:t xml:space="preserve"> </w:t>
      </w:r>
      <w:r>
        <w:t xml:space="preserve">program maturity and avoid overstating implementation status.</w:t>
      </w:r>
    </w:p>
    <w:bookmarkEnd w:id="53"/>
    <w:bookmarkStart w:id="54" w:name="leadership-implications"/>
    <w:p>
      <w:pPr>
        <w:pStyle w:val="Heading2"/>
      </w:pPr>
      <w:r>
        <w:t xml:space="preserve">Leadership implications</w:t>
      </w:r>
    </w:p>
    <w:p>
      <w:pPr>
        <w:pStyle w:val="Compact"/>
        <w:numPr>
          <w:ilvl w:val="0"/>
          <w:numId w:val="1019"/>
        </w:numPr>
      </w:pPr>
      <w:r>
        <w:t xml:space="preserve">Fund and govern the program as a sequence, not as independent projects.</w:t>
      </w:r>
    </w:p>
    <w:p>
      <w:pPr>
        <w:pStyle w:val="Compact"/>
        <w:numPr>
          <w:ilvl w:val="0"/>
          <w:numId w:val="1019"/>
        </w:numPr>
      </w:pPr>
      <w:r>
        <w:t xml:space="preserve">Hold phase gates on evidence quality and operational determinism, not only</w:t>
      </w:r>
      <w:r>
        <w:t xml:space="preserve"> </w:t>
      </w:r>
      <w:r>
        <w:t xml:space="preserve">on schedule milestones.</w:t>
      </w:r>
    </w:p>
    <w:p>
      <w:pPr>
        <w:pStyle w:val="Compact"/>
        <w:numPr>
          <w:ilvl w:val="0"/>
          <w:numId w:val="1019"/>
        </w:numPr>
      </w:pPr>
      <w:r>
        <w:t xml:space="preserve">Use the modernization registry and canon documents as the single source of</w:t>
      </w:r>
      <w:r>
        <w:t xml:space="preserve"> </w:t>
      </w:r>
      <w:r>
        <w:t xml:space="preserve">truth for scope and maturity decisions.</w:t>
      </w:r>
    </w:p>
    <w:p>
      <w:pPr>
        <w:pStyle w:val="Compact"/>
        <w:numPr>
          <w:ilvl w:val="0"/>
          <w:numId w:val="1019"/>
        </w:numPr>
      </w:pPr>
      <w:r>
        <w:t xml:space="preserve">Start Phase 2 architecture-series deep dives immediately after this Phase 1</w:t>
      </w:r>
      <w:r>
        <w:t xml:space="preserve"> </w:t>
      </w:r>
      <w:r>
        <w:t xml:space="preserve">executive-brief set is complete.</w:t>
      </w:r>
    </w:p>
    <w:bookmarkEnd w:id="54"/>
    <w:bookmarkStart w:id="55" w:name="where-to-go-deeper-4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Governance through Modernization whitepaper</w:t>
      </w:r>
      <w:r>
        <w:t xml:space="preserve"> </w:t>
      </w:r>
      <w:r>
        <w:t xml:space="preserve">—</w:t>
      </w:r>
      <w:r>
        <w:t xml:space="preserve"> </w:t>
      </w:r>
      <w:r>
        <w:t xml:space="preserve">the long-form program treatment.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Operational Guide — the Federal Modernization Program Modernization Program</w:t>
      </w:r>
      <w:r>
        <w:t xml:space="preserve"> </w:t>
      </w:r>
      <w:r>
        <w:t xml:space="preserve">—</w:t>
      </w:r>
      <w:r>
        <w:t xml:space="preserve"> </w:t>
      </w:r>
      <w:r>
        <w:t xml:space="preserve">the chapter-by-chapter delivery playbook.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Adapter Ecosystem Overview</w:t>
      </w:r>
      <w:r>
        <w:t xml:space="preserve"> </w:t>
      </w:r>
      <w:r>
        <w:t xml:space="preserve">— the</w:t>
      </w:r>
      <w:r>
        <w:t xml:space="preserve"> </w:t>
      </w:r>
      <w:r>
        <w:t xml:space="preserve">modernization adapter set that executes the arc.</w:t>
      </w:r>
    </w:p>
    <w:bookmarkEnd w:id="55"/>
    <w:bookmarkEnd w:id="56"/>
    <w:bookmarkStart w:id="64" w:name="X362cdbfc52371a8876cd1c5b39f401dfbf3764a"/>
    <w:p>
      <w:pPr>
        <w:pStyle w:val="Heading1"/>
      </w:pPr>
      <w:r>
        <w:t xml:space="preserve">Reciprocity &amp; Single-ATO Overview — Executive Brief</w:t>
      </w:r>
    </w:p>
    <w:p>
      <w:pPr>
        <w:pStyle w:val="FirstParagraph"/>
      </w:pPr>
      <w:r>
        <w:t xml:space="preserve">The Single-ATO Reciprocity Model answers a specific federal problem: when one</w:t>
      </w:r>
      <w:r>
        <w:t xml:space="preserve"> </w:t>
      </w:r>
      <w:r>
        <w:t xml:space="preserve">platform (for example, an OPM-operated HRIT service) is consumed by many</w:t>
      </w:r>
      <w:r>
        <w:t xml:space="preserve"> </w:t>
      </w:r>
      <w:r>
        <w:t xml:space="preserve">agencies, do you re-authorize it N times, or once? The Federal Modernization Program’s canon</w:t>
      </w:r>
      <w:r>
        <w:t xml:space="preserve"> </w:t>
      </w:r>
      <w:r>
        <w:t xml:space="preserve">([the program decision])</w:t>
      </w:r>
      <w:r>
        <w:t xml:space="preserve"> </w:t>
      </w:r>
      <w:r>
        <w:t xml:space="preserve">is unambiguous:</w:t>
      </w:r>
      <w:r>
        <w:t xml:space="preserve"> </w:t>
      </w:r>
      <w:r>
        <w:rPr>
          <w:b/>
          <w:bCs/>
        </w:rPr>
        <w:t xml:space="preserve">one System Security Plan, one controlling Authority to Operate,</w:t>
      </w:r>
      <w:r>
        <w:rPr>
          <w:b/>
          <w:bCs/>
        </w:rPr>
        <w:t xml:space="preserve"> </w:t>
      </w:r>
      <w:r>
        <w:rPr>
          <w:b/>
          <w:bCs/>
        </w:rPr>
        <w:t xml:space="preserve">covering all consuming agencies</w:t>
      </w:r>
      <w:r>
        <w:t xml:space="preserve">, with per-agency differences expressed as</w:t>
      </w:r>
      <w:r>
        <w:t xml:space="preserve"> </w:t>
      </w:r>
      <w:r>
        <w:rPr>
          <w:i/>
          <w:iCs/>
        </w:rPr>
        <w:t xml:space="preserve">configuration latitude</w:t>
      </w:r>
      <w:r>
        <w:t xml:space="preserve"> </w:t>
      </w:r>
      <w:r>
        <w:t xml:space="preserve">rather than separate SSPs or POA&amp;Ms.</w:t>
      </w:r>
    </w:p>
    <w:p>
      <w:pPr>
        <w:pStyle w:val="BlockText"/>
      </w:pPr>
      <w:r>
        <w:rPr>
          <w:i/>
          <w:iCs/>
        </w:rPr>
        <w:t xml:space="preserve">This solution will have a single authoritative ATO covering all customers</w:t>
      </w:r>
      <w:r>
        <w:t xml:space="preserve"> </w:t>
      </w:r>
      <w:r>
        <w:t xml:space="preserve">—</w:t>
      </w:r>
      <w:r>
        <w:t xml:space="preserve"> </w:t>
      </w:r>
      <w:r>
        <w:t xml:space="preserve">agency differences are handled via configuration, not per-agency forks.</w:t>
      </w:r>
    </w:p>
    <w:bookmarkStart w:id="57" w:name="how-reciprocity-is-recorded"/>
    <w:p>
      <w:pPr>
        <w:pStyle w:val="Heading2"/>
      </w:pPr>
      <w:r>
        <w:t xml:space="preserve">How reciprocity is recorded</w:t>
      </w:r>
    </w:p>
    <w:p>
      <w:pPr>
        <w:pStyle w:val="FirstParagraph"/>
      </w:pPr>
      <w:r>
        <w:t xml:space="preserve">Per FMP_140,</w:t>
      </w:r>
      <w:r>
        <w:t xml:space="preserve"> </w:t>
      </w:r>
      <w:r>
        <w:t xml:space="preserve">each consuming agency receives a</w:t>
      </w:r>
      <w:r>
        <w:t xml:space="preserve"> </w:t>
      </w:r>
      <w:r>
        <w:rPr>
          <w:b/>
          <w:bCs/>
        </w:rPr>
        <w:t xml:space="preserve">signed reciprocity record</w:t>
      </w:r>
      <w:r>
        <w:t xml:space="preserve"> </w:t>
      </w:r>
      <w:r>
        <w:t xml:space="preserve">— not a new</w:t>
      </w:r>
      <w:r>
        <w:t xml:space="preserve"> </w:t>
      </w:r>
      <w:r>
        <w:t xml:space="preserve">authorization, but a cryptographic acknowledgement that it operates under the</w:t>
      </w:r>
      <w:r>
        <w:t xml:space="preserve"> </w:t>
      </w:r>
      <w:r>
        <w:t xml:space="preserve">controlling ATO. The Federal Modernization Program ships the full operational surface today: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reciprocity onboard-agency</w:t>
            </w:r>
          </w:p>
        </w:tc>
        <w:tc>
          <w:tcPr/>
          <w:p>
            <w:pPr>
              <w:pStyle w:val="Compact"/>
            </w:pPr>
            <w:r>
              <w:t xml:space="preserve">Emits a signed (HMAC-SHA256) reciprocity record for a consuming agency, citing the controlling ATO and its legal basis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reciprocity list-records</w:t>
            </w:r>
          </w:p>
        </w:tc>
        <w:tc>
          <w:tcPr/>
          <w:p>
            <w:pPr>
              <w:pStyle w:val="Compact"/>
            </w:pPr>
            <w:r>
              <w:t xml:space="preserve">Enumerates records and computes Active/Expired status against current 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reciprocity verify</w:t>
            </w:r>
          </w:p>
        </w:tc>
        <w:tc>
          <w:tcPr/>
          <w:p>
            <w:pPr>
              <w:pStyle w:val="Compact"/>
            </w:pPr>
            <w:r>
              <w:t xml:space="preserve">Verifies a record’s HMAC signature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conmon ato-cadence-check</w:t>
            </w:r>
          </w:p>
        </w:tc>
        <w:tc>
          <w:tcPr/>
          <w:p>
            <w:pPr>
              <w:pStyle w:val="Compact"/>
            </w:pPr>
            <w:r>
              <w:t xml:space="preserve">Enforces the SSP/reauthorization SLAs (draft ≤30d, final ≤45d, reauth ≥30d before expiry)</w:t>
            </w:r>
          </w:p>
        </w:tc>
      </w:tr>
    </w:tbl>
    <w:p>
      <w:pPr>
        <w:pStyle w:val="BodyText"/>
      </w:pPr>
      <w:r>
        <w:t xml:space="preserve">Each record names the controlling ATO, the consuming agency, the legal basis</w:t>
      </w:r>
      <w:r>
        <w:t xml:space="preserve"> </w:t>
      </w:r>
      <w:r>
        <w:t xml:space="preserve">(e.g. FedRAMP Rev 5, OMB M-24-15, FISMA §3554), and the agency’s configuration</w:t>
      </w:r>
      <w:r>
        <w:t xml:space="preserve"> </w:t>
      </w:r>
      <w:r>
        <w:t xml:space="preserve">elections — and is anchored as an</w:t>
      </w:r>
      <w:r>
        <w:t xml:space="preserve"> </w:t>
      </w:r>
      <w:r>
        <w:rPr>
          <w:rStyle w:val="VerbatimChar"/>
        </w:rPr>
        <w:t xml:space="preserve">ato-decision → reciprocity-record</w:t>
      </w:r>
      <w:r>
        <w:t xml:space="preserve"> </w:t>
      </w:r>
      <w:r>
        <w:t xml:space="preserve">edge in the</w:t>
      </w:r>
      <w:r>
        <w:t xml:space="preserve"> </w:t>
      </w:r>
      <w:r>
        <w:t xml:space="preserve">evidence graph (FMP_113 v1.2).</w:t>
      </w:r>
    </w:p>
    <w:bookmarkEnd w:id="57"/>
    <w:bookmarkStart w:id="58" w:name="self-verifying-per-agency-bundles"/>
    <w:p>
      <w:pPr>
        <w:pStyle w:val="Heading2"/>
      </w:pPr>
      <w:r>
        <w:t xml:space="preserve">Self-verifying per-agency bundles</w:t>
      </w:r>
    </w:p>
    <w:p>
      <w:pPr>
        <w:pStyle w:val="FirstParagraph"/>
      </w:pPr>
      <w:r>
        <w:t xml:space="preserve">A consuming agency’s authorizing official should not need the Federal Modernization Program access — or even</w:t>
      </w:r>
      <w:r>
        <w:t xml:space="preserve"> </w:t>
      </w:r>
      <w:r>
        <w:t xml:space="preserve">a network connection — to trust their evidence. The per-agency reciprocity</w:t>
      </w:r>
      <w:r>
        <w:t xml:space="preserve"> </w:t>
      </w:r>
      <w:r>
        <w:t xml:space="preserve">bundle (FMP_140 §7) packages the reciprocity record, scoped component</w:t>
      </w:r>
      <w:r>
        <w:t xml:space="preserve"> </w:t>
      </w:r>
      <w:r>
        <w:t xml:space="preserve">definition, assessment results, and a hashed manifest so the bundle</w:t>
      </w:r>
      <w:r>
        <w:t xml:space="preserve"> </w:t>
      </w:r>
      <w:r>
        <w:rPr>
          <w:b/>
          <w:bCs/>
        </w:rPr>
        <w:t xml:space="preserve">self-verifies with nothing but the Python standard library</w:t>
      </w:r>
      <w:r>
        <w:t xml:space="preserve">. Tampering with</w:t>
      </w:r>
      <w:r>
        <w:t xml:space="preserve"> </w:t>
      </w:r>
      <w:r>
        <w:t xml:space="preserve">any file breaks the manifest hash.</w:t>
      </w:r>
    </w:p>
    <w:bookmarkEnd w:id="58"/>
    <w:bookmarkStart w:id="59" w:name="configuration-latitude-is-drift-governed"/>
    <w:p>
      <w:pPr>
        <w:pStyle w:val="Heading2"/>
      </w:pPr>
      <w:r>
        <w:t xml:space="preserve">Configuration latitude is drift-governed</w:t>
      </w:r>
    </w:p>
    <w:p>
      <w:pPr>
        <w:pStyle w:val="FirstParagraph"/>
      </w:pPr>
      <w:r>
        <w:t xml:space="preserve">“Configuration-only differentiation”</w:t>
      </w:r>
      <w:r>
        <w:t xml:space="preserve"> </w:t>
      </w:r>
      <w:r>
        <w:t xml:space="preserve">is not a loophole. Each agency’s elections</w:t>
      </w:r>
      <w:r>
        <w:t xml:space="preserve"> </w:t>
      </w:r>
      <w:r>
        <w:t xml:space="preserve">are bounded by the SSP’s latitude table, and deviations surface as first-class</w:t>
      </w:r>
      <w:r>
        <w:t xml:space="preserve"> </w:t>
      </w:r>
      <w:r>
        <w:t xml:space="preserve">drift findings: a configuration the SSP forbids is a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P1; an unrecognized tenant principal is a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 </w:t>
      </w:r>
      <w:r>
        <w:t xml:space="preserve">P1.</w:t>
      </w:r>
      <w:r>
        <w:t xml:space="preserve"> </w:t>
      </w:r>
      <w:r>
        <w:t xml:space="preserve">Eight KSIs (</w:t>
      </w:r>
      <w:r>
        <w:rPr>
          <w:b/>
          <w:bCs/>
        </w:rPr>
        <w:t xml:space="preserve">KSI-RECIP-001..008</w:t>
      </w:r>
      <w:r>
        <w:t xml:space="preserve">) continuously check the program’s health —</w:t>
      </w:r>
      <w:r>
        <w:t xml:space="preserve"> </w:t>
      </w:r>
      <w:r>
        <w:t xml:space="preserve">legal-basis citation, controlling-ATO linkage, no silent expirations, SSP cadence</w:t>
      </w:r>
      <w:r>
        <w:t xml:space="preserve"> </w:t>
      </w:r>
      <w:r>
        <w:t xml:space="preserve">(KSI-RECIP-005), the 30-day reauthorization window (KSI-RECIP-006), and bundle</w:t>
      </w:r>
      <w:r>
        <w:t xml:space="preserve"> </w:t>
      </w:r>
      <w:r>
        <w:t xml:space="preserve">signature integrity.</w:t>
      </w:r>
    </w:p>
    <w:bookmarkEnd w:id="59"/>
    <w:bookmarkStart w:id="60" w:name="the-honest-trade-off"/>
    <w:p>
      <w:pPr>
        <w:pStyle w:val="Heading2"/>
      </w:pPr>
      <w:r>
        <w:t xml:space="preserve">The honest trade-off</w:t>
      </w:r>
    </w:p>
    <w:p>
      <w:pPr>
        <w:pStyle w:val="FirstParagraph"/>
      </w:pPr>
      <w:r>
        <w:t xml:space="preserve">Single-ATO reciprocity concentrates risk by design: a single authoritative ATO</w:t>
      </w:r>
      <w:r>
        <w:t xml:space="preserve"> </w:t>
      </w:r>
      <w:r>
        <w:t xml:space="preserve">is the point of leverage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the single point of failure.</w:t>
      </w:r>
      <w:r>
        <w:t xml:space="preserve"> </w:t>
      </w:r>
      <w:r>
        <w:rPr>
          <w:b/>
          <w:bCs/>
        </w:rPr>
        <w:t xml:space="preserve">If the controlling</w:t>
      </w:r>
      <w:r>
        <w:rPr>
          <w:b/>
          <w:bCs/>
        </w:rPr>
        <w:t xml:space="preserve"> </w:t>
      </w:r>
      <w:r>
        <w:rPr>
          <w:b/>
          <w:bCs/>
        </w:rPr>
        <w:t xml:space="preserve">ATO lapses, every consuming agency is affected simultaneously.</w:t>
      </w:r>
      <w:r>
        <w:t xml:space="preserve"> </w:t>
      </w:r>
      <w:r>
        <w:t xml:space="preserve">That is exactly</w:t>
      </w:r>
      <w:r>
        <w:t xml:space="preserve"> </w:t>
      </w:r>
      <w:r>
        <w:t xml:space="preserve">why the cadence SLAs and the KSI-RECIP reauthorization indicators exist — the</w:t>
      </w:r>
      <w:r>
        <w:t xml:space="preserve"> </w:t>
      </w:r>
      <w:r>
        <w:t xml:space="preserve">model trades distributed redundancy for centralized rigor, and the rigor has to</w:t>
      </w:r>
      <w:r>
        <w:t xml:space="preserve"> </w:t>
      </w:r>
      <w:r>
        <w:t xml:space="preserve">be continuously proven.</w:t>
      </w:r>
    </w:p>
    <w:bookmarkEnd w:id="60"/>
    <w:bookmarkStart w:id="61" w:name="maturity-snapshot-2"/>
    <w:p>
      <w:pPr>
        <w:pStyle w:val="Heading2"/>
      </w:pPr>
      <w:r>
        <w:t xml:space="preserve">Maturity snapshot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Reciprocity doctrine (the program decision) + model spec (FMP_140)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  <w:r>
              <w:t xml:space="preserve"> </w:t>
            </w:r>
            <w:r>
              <w:t xml:space="preserve">(canon)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reciprocity</w:t>
            </w:r>
            <w:r>
              <w:t xml:space="preserve"> </w:t>
            </w:r>
            <w:r>
              <w:t xml:space="preserve">CLI (onboard-agency / list-records / verify)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Signed record emitter + self-verifying bundle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conmon ato-cadence-check</w:t>
            </w:r>
            <w:r>
              <w:t xml:space="preserve"> </w:t>
            </w:r>
            <w:r>
              <w:t xml:space="preserve">SLA validator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KSI-RECIP-001..008 indicators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graph ATO-decision / reciprocity-record nodes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End-to-end OSCAL SSP/POA&amp;M reciprocity output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(canon-defined; emission deferred per the program decision)</w:t>
            </w:r>
          </w:p>
        </w:tc>
      </w:tr>
    </w:tbl>
    <w:bookmarkEnd w:id="61"/>
    <w:bookmarkStart w:id="62" w:name="where-to-go-deeper-5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HR-Driven Identity series</w:t>
      </w:r>
      <w:r>
        <w:t xml:space="preserve"> </w:t>
      </w:r>
      <w:r>
        <w:t xml:space="preserve">—</w:t>
      </w:r>
      <w:r>
        <w:t xml:space="preserve"> </w:t>
      </w:r>
      <w:r>
        <w:t xml:space="preserve">the primary narrative: how authoritative HR events flow into Entra ID under a</w:t>
      </w:r>
      <w:r>
        <w:t xml:space="preserve"> </w:t>
      </w:r>
      <w:r>
        <w:t xml:space="preserve">single ATO, with reciprocity as a byproduct of normal operations.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KSI Conformance Overview</w:t>
      </w:r>
      <w:r>
        <w:t xml:space="preserve"> </w:t>
      </w:r>
      <w:r>
        <w:t xml:space="preserve">— the KSI-RECIP</w:t>
      </w:r>
      <w:r>
        <w:t xml:space="preserve"> </w:t>
      </w:r>
      <w:r>
        <w:t xml:space="preserve">family in context.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Evidence Fabric Overview</w:t>
      </w:r>
      <w:r>
        <w:t xml:space="preserve"> </w:t>
      </w:r>
      <w:r>
        <w:t xml:space="preserve">— the signing and</w:t>
      </w:r>
      <w:r>
        <w:t xml:space="preserve"> </w:t>
      </w:r>
      <w:r>
        <w:t xml:space="preserve">provenance substrate the bundles rely on.</w:t>
      </w:r>
    </w:p>
    <w:bookmarkEnd w:id="62"/>
    <w:bookmarkStart w:id="63" w:name="leadership-takeaway-2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The Federal Modernization Program turns reciprocity from a paperwork promise into a cryptographic, continuously</w:t>
      </w:r>
      <w:r>
        <w:t xml:space="preserve"> </w:t>
      </w:r>
      <w:r>
        <w:t xml:space="preserve">monitored fact: one ATO, signed per-agency records that auditors can verify</w:t>
      </w:r>
      <w:r>
        <w:t xml:space="preserve"> </w:t>
      </w:r>
      <w:r>
        <w:t xml:space="preserve">offline, configuration latitude bounded by drift detection, and eight standing</w:t>
      </w:r>
      <w:r>
        <w:t xml:space="preserve"> </w:t>
      </w:r>
      <w:r>
        <w:t xml:space="preserve">indicators on program health. The remaining gap is the full OSCAL SSP/POA&amp;M</w:t>
      </w:r>
      <w:r>
        <w:t xml:space="preserve"> </w:t>
      </w:r>
      <w:r>
        <w:t xml:space="preserve">reciprocity output profile — defined in canon, deferred in emission — so treat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evidence and verification</w:t>
      </w:r>
      <w:r>
        <w:t xml:space="preserve"> </w:t>
      </w:r>
      <w:r>
        <w:t xml:space="preserve">path as shipped and the</w:t>
      </w:r>
      <w:r>
        <w:t xml:space="preserve"> </w:t>
      </w:r>
      <w:r>
        <w:rPr>
          <w:i/>
          <w:iCs/>
        </w:rPr>
        <w:t xml:space="preserve">generated authorization</w:t>
      </w:r>
      <w:r>
        <w:rPr>
          <w:i/>
          <w:iCs/>
        </w:rPr>
        <w:t xml:space="preserve"> </w:t>
      </w:r>
      <w:r>
        <w:rPr>
          <w:i/>
          <w:iCs/>
        </w:rPr>
        <w:t xml:space="preserve">package</w:t>
      </w:r>
      <w:r>
        <w:t xml:space="preserve"> </w:t>
      </w:r>
      <w:r>
        <w:t xml:space="preserve">as roadmap.</w:t>
      </w:r>
    </w:p>
    <w:bookmarkEnd w:id="63"/>
    <w:bookmarkEnd w:id="64"/>
    <w:bookmarkStart w:id="73" w:name="Xfcae5cfa31b3751ad89ad1e99fce2b0517a0263"/>
    <w:p>
      <w:pPr>
        <w:pStyle w:val="Heading1"/>
      </w:pPr>
      <w:r>
        <w:t xml:space="preserve">Executive Brief — Zero-Trust Identity Anchoring</w:t>
      </w:r>
    </w:p>
    <w:bookmarkStart w:id="67" w:name="fig-zero-trust-overview-image-01"/>
    <w:p>
      <w:pPr>
        <w:pStyle w:val="CaptionedFigure"/>
      </w:pPr>
      <w:r>
        <w:drawing>
          <wp:inline>
            <wp:extent cx="5334000" cy="5334000"/>
            <wp:effectExtent b="0" l="0" r="0" t="0"/>
            <wp:docPr descr="Mission-class placement for zero-trust policy (5-class lane diagram)" title="" id="65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executive-briefs/zero-trust-overview-image-01-mission-class-placement-for-zero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Mission-class placement for zero-trust policy (5-class lane diagram)</w:t>
      </w:r>
    </w:p>
    <w:bookmarkEnd w:id="67"/>
    <w:p>
      <w:pPr>
        <w:pStyle w:val="BodyText"/>
      </w:pPr>
      <w:r>
        <w:t xml:space="preserve">The Federal Modernization Program applies zero trust by anchoring every claim, certificate event, and</w:t>
      </w:r>
      <w:r>
        <w:t xml:space="preserve"> </w:t>
      </w:r>
      <w:r>
        <w:t xml:space="preserve">governance decision to an identity that is verified, not assumed. Per the program decision,</w:t>
      </w:r>
      <w:r>
        <w:t xml:space="preserve"> </w:t>
      </w:r>
      <w:r>
        <w:t xml:space="preserve">anchor bindings are untrusted by default and must be backed by cryptographic</w:t>
      </w:r>
      <w:r>
        <w:t xml:space="preserve"> </w:t>
      </w:r>
      <w:r>
        <w:t xml:space="preserve">proof, independent corroboration, or explicit governance authorization.</w:t>
      </w:r>
    </w:p>
    <w:bookmarkStart w:id="68" w:name="what-this-means-for-your-existing-stack"/>
    <w:p>
      <w:pPr>
        <w:pStyle w:val="Heading2"/>
      </w:pPr>
      <w:r>
        <w:t xml:space="preserve">What this means for your existing stack</w:t>
      </w:r>
    </w:p>
    <w:p>
      <w:pPr>
        <w:pStyle w:val="FirstParagraph"/>
      </w:pPr>
      <w:r>
        <w:t xml:space="preserve">The Federal Modernization Program is an overlay, not a replacement identity platform. It is designed to sit</w:t>
      </w:r>
      <w:r>
        <w:t xml:space="preserve"> </w:t>
      </w:r>
      <w:r>
        <w:t xml:space="preserve">above systems you already run (for example Entra ID, Cisco ISE, and Palo Alto),</w:t>
      </w:r>
      <w:r>
        <w:t xml:space="preserve"> </w:t>
      </w:r>
      <w:r>
        <w:t xml:space="preserve">normalize their identity-linked signals, and enforce traceable policy outcomes</w:t>
      </w:r>
      <w:r>
        <w:t xml:space="preserve"> </w:t>
      </w:r>
      <w:r>
        <w:t xml:space="preserve">across them.</w:t>
      </w:r>
    </w:p>
    <w:bookmarkEnd w:id="68"/>
    <w:bookmarkStart w:id="69" w:name="Xa7a96c02e18c23df122e4b1958bdb306d205165"/>
    <w:p>
      <w:pPr>
        <w:pStyle w:val="Heading2"/>
      </w:pPr>
      <w:r>
        <w:t xml:space="preserve">Mission-class placement for zero-trust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Mission class</w:t>
            </w:r>
          </w:p>
        </w:tc>
        <w:tc>
          <w:tcPr/>
          <w:p>
            <w:pPr>
              <w:pStyle w:val="Compact"/>
            </w:pPr>
            <w:r>
              <w:t xml:space="preserve">How zero-trust policy lands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Establishes identity truth and binding confidence before trust decisions are made.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Continuously ingests identity-linked events and detects drift or anomalous behavior.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Encodes conditional-access, separation, and compliance rules as auditable decisions.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Enforcement</w:t>
            </w:r>
          </w:p>
        </w:tc>
        <w:tc>
          <w:tcPr/>
          <w:p>
            <w:pPr>
              <w:pStyle w:val="Compact"/>
            </w:pPr>
            <w:r>
              <w:t xml:space="preserve">Pushes approved decisions into control points (session revocation, network/device controls).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Integration</w:t>
            </w:r>
          </w:p>
        </w:tc>
        <w:tc>
          <w:tcPr/>
          <w:p>
            <w:pPr>
              <w:pStyle w:val="Compact"/>
            </w:pPr>
            <w:r>
              <w:t xml:space="preserve">Coordinates execution across incumbent tools so controls are applied consistently end-to-end.</w:t>
            </w:r>
          </w:p>
        </w:tc>
      </w:tr>
    </w:tbl>
    <w:bookmarkEnd w:id="69"/>
    <w:bookmarkStart w:id="70" w:name="leaver-killswitch-maturity-honest-status"/>
    <w:p>
      <w:pPr>
        <w:pStyle w:val="Heading2"/>
      </w:pPr>
      <w:r>
        <w:t xml:space="preserve">Leaver killswitch maturity (honest status)</w:t>
      </w:r>
    </w:p>
    <w:p>
      <w:pPr>
        <w:pStyle w:val="FirstParagraph"/>
      </w:pPr>
      <w:r>
        <w:t xml:space="preserve">The Federal Modernization Program canon sets a</w:t>
      </w:r>
      <w:r>
        <w:t xml:space="preserve"> </w:t>
      </w:r>
      <w:r>
        <w:rPr>
          <w:b/>
          <w:bCs/>
        </w:rPr>
        <w:t xml:space="preserve">target</w:t>
      </w:r>
      <w:r>
        <w:t xml:space="preserve"> </w:t>
      </w:r>
      <w:r>
        <w:t xml:space="preserve">of under</w:t>
      </w:r>
      <w:r>
        <w:t xml:space="preserve"> </w:t>
      </w:r>
      <w:r>
        <w:rPr>
          <w:b/>
          <w:bCs/>
        </w:rPr>
        <w:t xml:space="preserve">120 seconds</w:t>
      </w:r>
      <w:r>
        <w:t xml:space="preserve"> </w:t>
      </w:r>
      <w:r>
        <w:t xml:space="preserve">for leaver revocation</w:t>
      </w:r>
      <w:r>
        <w:t xml:space="preserve"> </w:t>
      </w:r>
      <w:r>
        <w:t xml:space="preserve">latency across identity and dependent access surfaces. This is a TARGET-state</w:t>
      </w:r>
      <w:r>
        <w:t xml:space="preserve"> </w:t>
      </w:r>
      <w:r>
        <w:t xml:space="preserve">objective and should not be read as shipped production performance.</w:t>
      </w:r>
    </w:p>
    <w:bookmarkEnd w:id="70"/>
    <w:bookmarkStart w:id="71" w:name="executive-takeaway"/>
    <w:p>
      <w:pPr>
        <w:pStyle w:val="Heading2"/>
      </w:pPr>
      <w:r>
        <w:t xml:space="preserve">Executive takeaway</w:t>
      </w:r>
    </w:p>
    <w:p>
      <w:pPr>
        <w:pStyle w:val="FirstParagraph"/>
      </w:pPr>
      <w:r>
        <w:t xml:space="preserve">If your agency already has identity, network, and endpoint controls in place,</w:t>
      </w:r>
      <w:r>
        <w:t xml:space="preserve"> </w:t>
      </w:r>
      <w:r>
        <w:t xml:space="preserve">The Federal Modernization Program provides the missing correlation and governance layer: identity-anchored,</w:t>
      </w:r>
      <w:r>
        <w:t xml:space="preserve"> </w:t>
      </w:r>
      <w:r>
        <w:t xml:space="preserve">cross-system, and evidence-ready zero-trust execution without forcing a rip-and-</w:t>
      </w:r>
      <w:r>
        <w:t xml:space="preserve"> </w:t>
      </w:r>
      <w:r>
        <w:t xml:space="preserve">replace of your existing stack.</w:t>
      </w:r>
    </w:p>
    <w:bookmarkEnd w:id="71"/>
    <w:bookmarkStart w:id="72" w:name="where-to-go-deeper-6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Zero-Trust Governance whitepaper</w:t>
      </w:r>
      <w:r>
        <w:t xml:space="preserve"> </w:t>
      </w:r>
      <w:r>
        <w:t xml:space="preserve">—</w:t>
      </w:r>
      <w:r>
        <w:t xml:space="preserve"> </w:t>
      </w:r>
      <w:r>
        <w:t xml:space="preserve">the long-form pattern, anchored to the program decision.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Adapter Ecosystem Overview</w:t>
      </w:r>
      <w:r>
        <w:t xml:space="preserve"> </w:t>
      </w:r>
      <w:r>
        <w:t xml:space="preserve">— the</w:t>
      </w:r>
      <w:r>
        <w:t xml:space="preserve"> </w:t>
      </w:r>
      <w:r>
        <w:t xml:space="preserve">identity, telemetry, policy, enforcement, and integration adapters that land</w:t>
      </w:r>
      <w:r>
        <w:t xml:space="preserve"> </w:t>
      </w:r>
      <w:r>
        <w:t xml:space="preserve">these decisions in incumbent tools.</w:t>
      </w:r>
    </w:p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Briefs</dc:title>
  <dc:creator/>
  <cp:keywords/>
  <dcterms:created xsi:type="dcterms:W3CDTF">2026-10-19T10:17:35Z</dcterms:created>
  <dcterms:modified xsi:type="dcterms:W3CDTF">2026-10-19T10:17:35Z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Modernization Workbook — Word edition</vt:lpwstr>
  </property>
</Properties>
</file>