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Executive Governance Series</w:t>
      </w:r>
    </w:p>
    <w:p>
      <w:pPr>
        <w:pStyle w:val="Subtitle"/>
      </w:pPr>
      <w:r>
        <w:t xml:space="preserve">Modernization Workbook — Word edition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1" w:name="executive-governance-series"/>
    <w:p>
      <w:pPr>
        <w:pStyle w:val="Heading1"/>
      </w:pPr>
      <w:r>
        <w:t xml:space="preserve">Executive Governance Series</w:t>
      </w:r>
    </w:p>
    <w:p>
      <w:pPr>
        <w:pStyle w:val="FirstParagraph"/>
      </w:pPr>
      <w:r>
        <w:t xml:space="preserve">Book-length governance narrative written for authorizing officials and</w:t>
      </w:r>
      <w:r>
        <w:t xml:space="preserve"> </w:t>
      </w:r>
      <w:r>
        <w:t xml:space="preserve">program leadership. Each chapter is a standalone document with its own</w:t>
      </w:r>
      <w:r>
        <w:t xml:space="preserve"> </w:t>
      </w:r>
      <w:r>
        <w:t xml:space="preserve">directory; they can be read in sequence as a program primer or drawn on</w:t>
      </w:r>
      <w:r>
        <w:t xml:space="preserve"> </w:t>
      </w:r>
      <w:r>
        <w:t xml:space="preserve">individually as reference material.</w:t>
      </w:r>
    </w:p>
    <w:bookmarkStart w:id="9" w:name="chapters"/>
    <w:p>
      <w:pPr>
        <w:pStyle w:val="Heading2"/>
      </w:pPr>
      <w:r>
        <w:t xml:space="preserve">Chapters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Slug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ch01-why-governance-fails/</w:t>
            </w:r>
          </w:p>
        </w:tc>
        <w:tc>
          <w:tcPr/>
          <w:p>
            <w:pPr>
              <w:pStyle w:val="Compact"/>
            </w:pPr>
            <w:r>
              <w:t xml:space="preserve">The four structural failure modes of federal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ch02-compliance-paradox/</w:t>
            </w:r>
          </w:p>
        </w:tc>
        <w:tc>
          <w:tcPr/>
          <w:p>
            <w:pPr>
              <w:pStyle w:val="Compact"/>
            </w:pPr>
            <w:r>
              <w:t xml:space="preserve">Why compliance accumulates risk between audit cycles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ch03-drift-as-primary-threat/</w:t>
            </w:r>
          </w:p>
        </w:tc>
        <w:tc>
          <w:tcPr/>
          <w:p>
            <w:pPr>
              <w:pStyle w:val="Compact"/>
            </w:pPr>
            <w:r>
              <w:t xml:space="preserve">Drift as the substrate-level threat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ch04-deterministic-governance/</w:t>
            </w:r>
          </w:p>
        </w:tc>
        <w:tc>
          <w:tcPr/>
          <w:p>
            <w:pPr>
              <w:pStyle w:val="Compact"/>
            </w:pPr>
            <w:r>
              <w:t xml:space="preserve">Reproducible, hash-verifiable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ch05-adapter-model/</w:t>
            </w:r>
          </w:p>
        </w:tc>
        <w:tc>
          <w:tcPr/>
          <w:p>
            <w:pPr>
              <w:pStyle w:val="Compact"/>
            </w:pPr>
            <w:r>
              <w:t xml:space="preserve">Tool integration via the dual-axis taxonomy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ch06-evidence-over-attestation/</w:t>
            </w:r>
          </w:p>
        </w:tc>
        <w:tc>
          <w:tcPr/>
          <w:p>
            <w:pPr>
              <w:pStyle w:val="Compact"/>
            </w:pPr>
            <w:r>
              <w:t xml:space="preserve">Inverting which artifact is primary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ch07-operational-tempo/</w:t>
            </w:r>
          </w:p>
        </w:tc>
        <w:tc>
          <w:tcPr/>
          <w:p>
            <w:pPr>
              <w:pStyle w:val="Compact"/>
            </w:pPr>
            <w:r>
              <w:t xml:space="preserve">Cadence of detection, remediation, escalation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ch08-governance-at-scale/</w:t>
            </w:r>
          </w:p>
        </w:tc>
        <w:tc>
          <w:tcPr/>
          <w:p>
            <w:pPr>
              <w:pStyle w:val="Compact"/>
            </w:pPr>
            <w:r>
              <w:t xml:space="preserve">Scaling across adapters, programs, boundaries</w:t>
            </w:r>
          </w:p>
        </w:tc>
      </w:tr>
    </w:tbl>
    <w:bookmarkEnd w:id="9"/>
    <w:bookmarkStart w:id="10" w:name="reading-paths"/>
    <w:p>
      <w:pPr>
        <w:pStyle w:val="Heading2"/>
      </w:pPr>
      <w:r>
        <w:t xml:space="preserve">Reading paths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Program primer (full read):</w:t>
      </w:r>
      <w:r>
        <w:t xml:space="preserve"> </w:t>
      </w:r>
      <w:r>
        <w:t xml:space="preserve">chapters 1 → 8 in sequence.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Authorizing official:</w:t>
      </w:r>
      <w:r>
        <w:t xml:space="preserve"> </w:t>
      </w:r>
      <w:r>
        <w:t xml:space="preserve">chapters 4, 6 and 7, then 8.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Operations leadership:</w:t>
      </w:r>
      <w:r>
        <w:t xml:space="preserve"> </w:t>
      </w:r>
      <w:r>
        <w:t xml:space="preserve">chapter 7, then 3, 4, 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Architect:</w:t>
      </w:r>
      <w:r>
        <w:t xml:space="preserve"> </w:t>
      </w:r>
      <w:r>
        <w:t xml:space="preserve">the architecture-series first, then chapter 5 and 8.</w:t>
      </w:r>
    </w:p>
    <w:bookmarkEnd w:id="10"/>
    <w:bookmarkEnd w:id="11"/>
    <w:bookmarkStart w:id="23" w:name="why-governance-fails"/>
    <w:p>
      <w:pPr>
        <w:pStyle w:val="Heading1"/>
      </w:pPr>
      <w:r>
        <w:t xml:space="preserve">Why Governance Fails</w:t>
      </w:r>
    </w:p>
    <w:bookmarkStart w:id="12" w:name="in-this-chapter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Federal IT governance fails for structural reasons, not for lack of effort.</w:t>
      </w:r>
      <w:r>
        <w:t xml:space="preserve"> </w:t>
      </w:r>
      <w:r>
        <w:t xml:space="preserve">This chapter names the failure modes — fragmented identity context,</w:t>
      </w:r>
      <w:r>
        <w:t xml:space="preserve"> </w:t>
      </w:r>
      <w:r>
        <w:t xml:space="preserve">uncorrelated telemetry, point-in-time evidence, and tool-shaped policy —</w:t>
      </w:r>
      <w:r>
        <w:t xml:space="preserve"> </w:t>
      </w:r>
      <w:r>
        <w:t xml:space="preserve">and explains why each is a</w:t>
      </w:r>
      <w:r>
        <w:t xml:space="preserve"> </w:t>
      </w:r>
      <w:r>
        <w:rPr>
          <w:i/>
          <w:iCs/>
        </w:rPr>
        <w:t xml:space="preserve">substrate</w:t>
      </w:r>
      <w:r>
        <w:t xml:space="preserve"> </w:t>
      </w:r>
      <w:r>
        <w:t xml:space="preserve">problem rather than a tool problem.</w:t>
      </w:r>
      <w:r>
        <w:t xml:space="preserve"> </w:t>
      </w:r>
      <w:r>
        <w:t xml:space="preserve">The chapters that follow build the substrate-level response.</w:t>
      </w:r>
    </w:p>
    <w:bookmarkEnd w:id="12"/>
    <w:bookmarkStart w:id="17" w:name="the-four-structural-failure-modes"/>
    <w:p>
      <w:pPr>
        <w:pStyle w:val="Heading2"/>
      </w:pPr>
      <w:r>
        <w:t xml:space="preserve">The four structural failure modes</w:t>
      </w:r>
    </w:p>
    <w:bookmarkStart w:id="13" w:name="fragmented-identity-context"/>
    <w:p>
      <w:pPr>
        <w:pStyle w:val="Heading3"/>
      </w:pPr>
      <w:r>
        <w:t xml:space="preserve">Fragmented identity context</w:t>
      </w:r>
    </w:p>
    <w:p>
      <w:pPr>
        <w:pStyle w:val="FirstParagraph"/>
      </w:pPr>
      <w:r>
        <w:t xml:space="preserve">Identity claims live in a primary directory but are</w:t>
      </w:r>
      <w:r>
        <w:t xml:space="preserve"> </w:t>
      </w:r>
      <w:r>
        <w:rPr>
          <w:i/>
          <w:iCs/>
        </w:rPr>
        <w:t xml:space="preserve">consumed</w:t>
      </w:r>
      <w:r>
        <w:t xml:space="preserve"> </w:t>
      </w:r>
      <w:r>
        <w:t xml:space="preserve">by every</w:t>
      </w:r>
      <w:r>
        <w:t xml:space="preserve"> </w:t>
      </w:r>
      <w:r>
        <w:t xml:space="preserve">other plane — addressing, network, telemetry, security, compliance — and</w:t>
      </w:r>
      <w:r>
        <w:t xml:space="preserve"> </w:t>
      </w:r>
      <w:r>
        <w:t xml:space="preserve">each consumer holds its own freshness assumption. The same identity may</w:t>
      </w:r>
      <w:r>
        <w:t xml:space="preserve"> </w:t>
      </w:r>
      <w:r>
        <w:t xml:space="preserve">be</w:t>
      </w:r>
      <w:r>
        <w:t xml:space="preserve"> </w:t>
      </w:r>
      <w:r>
        <w:t xml:space="preserve">“current”</w:t>
      </w:r>
      <w:r>
        <w:t xml:space="preserve"> </w:t>
      </w:r>
      <w:r>
        <w:t xml:space="preserve">in pillar A and</w:t>
      </w:r>
      <w:r>
        <w:t xml:space="preserve"> </w:t>
      </w:r>
      <w:r>
        <w:t xml:space="preserve">“stale”</w:t>
      </w:r>
      <w:r>
        <w:t xml:space="preserve"> </w:t>
      </w:r>
      <w:r>
        <w:t xml:space="preserve">in pillar B at the same instant.</w:t>
      </w:r>
      <w:r>
        <w:t xml:space="preserve"> </w:t>
      </w:r>
      <w:r>
        <w:t xml:space="preserve">Cross-pillar decisions degrade to lowest-common-denominator attestation</w:t>
      </w:r>
      <w:r>
        <w:t xml:space="preserve"> </w:t>
      </w:r>
      <w:r>
        <w:t xml:space="preserve">because there is no canonical resolution moment.</w:t>
      </w:r>
    </w:p>
    <w:bookmarkEnd w:id="13"/>
    <w:bookmarkStart w:id="14" w:name="uncorrelated-telemetry"/>
    <w:p>
      <w:pPr>
        <w:pStyle w:val="Heading3"/>
      </w:pPr>
      <w:r>
        <w:t xml:space="preserve">Uncorrelated telemetry</w:t>
      </w:r>
    </w:p>
    <w:p>
      <w:pPr>
        <w:pStyle w:val="FirstParagraph"/>
      </w:pPr>
      <w:r>
        <w:t xml:space="preserve">Each tool emits telemetry in its own shape. Combining the streams into a</w:t>
      </w:r>
      <w:r>
        <w:t xml:space="preserve"> </w:t>
      </w:r>
      <w:r>
        <w:t xml:space="preserve">single control narrative is a</w:t>
      </w:r>
      <w:r>
        <w:t xml:space="preserve"> </w:t>
      </w:r>
      <w:r>
        <w:rPr>
          <w:i/>
          <w:iCs/>
        </w:rPr>
        <w:t xml:space="preserve">manual</w:t>
      </w:r>
      <w:r>
        <w:t xml:space="preserve"> </w:t>
      </w:r>
      <w:r>
        <w:t xml:space="preserve">exercise repeated at every audit</w:t>
      </w:r>
      <w:r>
        <w:t xml:space="preserve"> </w:t>
      </w:r>
      <w:r>
        <w:t xml:space="preserve">cycle. The combination is not reproducible from raw telemetry plus canon</w:t>
      </w:r>
      <w:r>
        <w:t xml:space="preserve"> </w:t>
      </w:r>
      <w:r>
        <w:t xml:space="preserve">— it is reproducible only from the combination itself, which is never</w:t>
      </w:r>
      <w:r>
        <w:t xml:space="preserve"> </w:t>
      </w:r>
      <w:r>
        <w:t xml:space="preserve">shipped as a primary artifact.</w:t>
      </w:r>
    </w:p>
    <w:bookmarkEnd w:id="14"/>
    <w:bookmarkStart w:id="15" w:name="point-in-time-evidence"/>
    <w:p>
      <w:pPr>
        <w:pStyle w:val="Heading3"/>
      </w:pPr>
      <w:r>
        <w:t xml:space="preserve">Point-in-time evidence</w:t>
      </w:r>
    </w:p>
    <w:p>
      <w:pPr>
        <w:pStyle w:val="FirstParagraph"/>
      </w:pPr>
      <w:r>
        <w:t xml:space="preserve">SSPs, POA&amp;Ms, and 3PAO evidence packages capture a snapshot at the</w:t>
      </w:r>
      <w:r>
        <w:t xml:space="preserve"> </w:t>
      </w:r>
      <w:r>
        <w:t xml:space="preserve">moment of assembly. Between assemblies, drift is invisible to the</w:t>
      </w:r>
      <w:r>
        <w:t xml:space="preserve"> </w:t>
      </w:r>
      <w:r>
        <w:t xml:space="preserve">package. Re-assembly is a re-engineered exercise rather than a</w:t>
      </w:r>
      <w:r>
        <w:t xml:space="preserve"> </w:t>
      </w:r>
      <w:r>
        <w:t xml:space="preserve">deterministic regeneration.</w:t>
      </w:r>
    </w:p>
    <w:bookmarkEnd w:id="15"/>
    <w:bookmarkStart w:id="16" w:name="tool-shaped-policy"/>
    <w:p>
      <w:pPr>
        <w:pStyle w:val="Heading3"/>
      </w:pPr>
      <w:r>
        <w:t xml:space="preserve">Tool-shaped policy</w:t>
      </w:r>
    </w:p>
    <w:p>
      <w:pPr>
        <w:pStyle w:val="FirstParagraph"/>
      </w:pPr>
      <w:r>
        <w:t xml:space="preserve">Policy intent gets recorded</w:t>
      </w:r>
      <w:r>
        <w:t xml:space="preserve"> </w:t>
      </w:r>
      <w:r>
        <w:rPr>
          <w:i/>
          <w:iCs/>
        </w:rPr>
        <w:t xml:space="preserve">in</w:t>
      </w:r>
      <w:r>
        <w:t xml:space="preserve"> </w:t>
      </w:r>
      <w:r>
        <w:t xml:space="preserve">the tool that enforces it. Move the</w:t>
      </w:r>
      <w:r>
        <w:t xml:space="preserve"> </w:t>
      </w:r>
      <w:r>
        <w:t xml:space="preserve">tool, lose the policy. Replace the vendor, re-author the policy.</w:t>
      </w:r>
      <w:r>
        <w:t xml:space="preserve"> </w:t>
      </w:r>
      <w:r>
        <w:t xml:space="preserve">Migrate to a new platform, re-discover the policy from a thousand</w:t>
      </w:r>
      <w:r>
        <w:t xml:space="preserve"> </w:t>
      </w:r>
      <w:r>
        <w:t xml:space="preserve">configuration files. The intent never had a canonical home, so it</w:t>
      </w:r>
      <w:r>
        <w:t xml:space="preserve"> </w:t>
      </w:r>
      <w:r>
        <w:t xml:space="preserve">cannot survive a substrate transition.</w:t>
      </w:r>
    </w:p>
    <w:p>
      <w:pPr>
        <w:pStyle w:val="BodyText"/>
      </w:pPr>
      <w:r>
        <w:rPr>
          <w:b/>
          <w:bCs/>
        </w:rPr>
        <w:t xml:space="preserve">At a glance — the four failure modes and where the fix actually lives: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Failure mode</w:t>
            </w:r>
          </w:p>
        </w:tc>
        <w:tc>
          <w:tcPr/>
          <w:p>
            <w:pPr>
              <w:pStyle w:val="Compact"/>
            </w:pPr>
            <w:r>
              <w:t xml:space="preserve">Looks like a…</w:t>
            </w:r>
          </w:p>
        </w:tc>
        <w:tc>
          <w:tcPr/>
          <w:p>
            <w:pPr>
              <w:pStyle w:val="Compact"/>
            </w:pPr>
            <w:r>
              <w:t xml:space="preserve">Actually requires (substrate-level)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Fragmented identity context</w:t>
            </w:r>
          </w:p>
        </w:tc>
        <w:tc>
          <w:tcPr/>
          <w:p>
            <w:pPr>
              <w:pStyle w:val="Compact"/>
            </w:pPr>
            <w:r>
              <w:t xml:space="preserve">directory problem</w:t>
            </w:r>
          </w:p>
        </w:tc>
        <w:tc>
          <w:tcPr/>
          <w:p>
            <w:pPr>
              <w:pStyle w:val="Compact"/>
            </w:pPr>
            <w:r>
              <w:t xml:space="preserve">Canonical resolution rules that cross all pillars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Uncorrelated telemetry</w:t>
            </w:r>
          </w:p>
        </w:tc>
        <w:tc>
          <w:tcPr/>
          <w:p>
            <w:pPr>
              <w:pStyle w:val="Compact"/>
            </w:pPr>
            <w:r>
              <w:t xml:space="preserve">SIEM problem</w:t>
            </w:r>
          </w:p>
        </w:tc>
        <w:tc>
          <w:tcPr/>
          <w:p>
            <w:pPr>
              <w:pStyle w:val="Compact"/>
            </w:pPr>
            <w:r>
              <w:t xml:space="preserve">A canonical claim shape every adapter emits before the SIEM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evidence</w:t>
            </w:r>
          </w:p>
        </w:tc>
        <w:tc>
          <w:tcPr/>
          <w:p>
            <w:pPr>
              <w:pStyle w:val="Compact"/>
            </w:pPr>
            <w:r>
              <w:t xml:space="preserve">GRC-tool problem</w:t>
            </w:r>
          </w:p>
        </w:tc>
        <w:tc>
          <w:tcPr/>
          <w:p>
            <w:pPr>
              <w:pStyle w:val="Compact"/>
            </w:pPr>
            <w:r>
              <w:t xml:space="preserve">Deterministic regeneration from canon plus telemetry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Tool-shaped policy</w:t>
            </w:r>
          </w:p>
        </w:tc>
        <w:tc>
          <w:tcPr/>
          <w:p>
            <w:pPr>
              <w:pStyle w:val="Compact"/>
            </w:pPr>
            <w:r>
              <w:t xml:space="preserve">policy-engine problem</w:t>
            </w:r>
          </w:p>
        </w:tc>
        <w:tc>
          <w:tcPr/>
          <w:p>
            <w:pPr>
              <w:pStyle w:val="Compact"/>
            </w:pPr>
            <w:r>
              <w:t xml:space="preserve">Separating policy intent (canon), mapping (registry), and enforcement (runtime)</w:t>
            </w:r>
          </w:p>
        </w:tc>
      </w:tr>
    </w:tbl>
    <w:bookmarkEnd w:id="16"/>
    <w:bookmarkEnd w:id="17"/>
    <w:bookmarkStart w:id="18" w:name="why-more-tooling-cannot-fix-it"/>
    <w:p>
      <w:pPr>
        <w:pStyle w:val="Heading2"/>
      </w:pPr>
      <w:r>
        <w:t xml:space="preserve">Why</w:t>
      </w:r>
      <w:r>
        <w:t xml:space="preserve"> </w:t>
      </w:r>
      <w:r>
        <w:t xml:space="preserve">“more tooling”</w:t>
      </w:r>
      <w:r>
        <w:t xml:space="preserve"> </w:t>
      </w:r>
      <w:r>
        <w:t xml:space="preserve">cannot fix it</w:t>
      </w:r>
    </w:p>
    <w:p>
      <w:pPr>
        <w:pStyle w:val="FirstParagraph"/>
      </w:pPr>
      <w:r>
        <w:t xml:space="preserve">Each failure mode looks like a tooling gap. None of them is. The</w:t>
      </w:r>
      <w:r>
        <w:t xml:space="preserve"> </w:t>
      </w:r>
      <w:r>
        <w:t xml:space="preserve">identity-context problem is not solved by a better directory; it is</w:t>
      </w:r>
      <w:r>
        <w:t xml:space="preserve"> </w:t>
      </w:r>
      <w:r>
        <w:t xml:space="preserve">solved by canonical resolution rules that cross all pillars. The</w:t>
      </w:r>
      <w:r>
        <w:t xml:space="preserve"> </w:t>
      </w:r>
      <w:r>
        <w:t xml:space="preserve">telemetry-correlation problem is not solved by a better SIEM; it is</w:t>
      </w:r>
      <w:r>
        <w:t xml:space="preserve"> </w:t>
      </w:r>
      <w:r>
        <w:t xml:space="preserve">solved by a canonical claim shape that every adapter emits before it</w:t>
      </w:r>
      <w:r>
        <w:t xml:space="preserve"> </w:t>
      </w:r>
      <w:r>
        <w:t xml:space="preserve">hits a SIEM. The evidence problem is not solved by a better GRC tool;</w:t>
      </w:r>
      <w:r>
        <w:t xml:space="preserve"> </w:t>
      </w:r>
      <w:r>
        <w:t xml:space="preserve">it is solved by deterministic regeneration from canon plus telemetry.</w:t>
      </w:r>
      <w:r>
        <w:t xml:space="preserve"> </w:t>
      </w:r>
      <w:r>
        <w:t xml:space="preserve">The policy-shape problem is not solved by a better policy engine; it</w:t>
      </w:r>
      <w:r>
        <w:t xml:space="preserve"> </w:t>
      </w:r>
      <w:r>
        <w:t xml:space="preserve">is solved by separating policy intent (canon) from policy mapping</w:t>
      </w:r>
      <w:r>
        <w:t xml:space="preserve"> </w:t>
      </w:r>
      <w:r>
        <w:t xml:space="preserve">(registry) from policy enforcement (runtime).</w:t>
      </w:r>
    </w:p>
    <w:p>
      <w:pPr>
        <w:pStyle w:val="BlockText"/>
      </w:pPr>
      <w:r>
        <w:rPr>
          <w:b/>
          <w:bCs/>
        </w:rPr>
        <w:t xml:space="preserve">The common factor: every fix lives below the tooling layer.</w:t>
      </w:r>
      <w:r>
        <w:t xml:space="preserve"> </w:t>
      </w:r>
      <w:r>
        <w:t xml:space="preserve">Without a</w:t>
      </w:r>
      <w:r>
        <w:t xml:space="preserve"> </w:t>
      </w:r>
      <w:r>
        <w:t xml:space="preserve">substrate, the program rebuilds the same fixes per tool, per migration,</w:t>
      </w:r>
      <w:r>
        <w:t xml:space="preserve"> </w:t>
      </w:r>
      <w:r>
        <w:t xml:space="preserve">per audit cycle.</w:t>
      </w:r>
    </w:p>
    <w:bookmarkEnd w:id="18"/>
    <w:bookmarkStart w:id="19" w:name="what-this-chapter-does-not-claim"/>
    <w:p>
      <w:pPr>
        <w:pStyle w:val="Heading2"/>
      </w:pPr>
      <w:r>
        <w:t xml:space="preserve">What this chapter does not claim</w:t>
      </w:r>
    </w:p>
    <w:p>
      <w:pPr>
        <w:pStyle w:val="FirstParagraph"/>
      </w:pPr>
      <w:r>
        <w:t xml:space="preserve">It does not claim agencies are unsophisticated. The teams running</w:t>
      </w:r>
      <w:r>
        <w:t xml:space="preserve"> </w:t>
      </w:r>
      <w:r>
        <w:t xml:space="preserve">federal modernization programs are typically capable and well-resourced.</w:t>
      </w:r>
      <w:r>
        <w:t xml:space="preserve"> </w:t>
      </w:r>
      <w:r>
        <w:t xml:space="preserve">The failure modes here are not personnel failures — they are structural</w:t>
      </w:r>
      <w:r>
        <w:t xml:space="preserve"> </w:t>
      </w:r>
      <w:r>
        <w:t xml:space="preserve">properties of an environment that has tooling but lacks a substrate.</w:t>
      </w:r>
    </w:p>
    <w:p>
      <w:pPr>
        <w:pStyle w:val="BodyText"/>
      </w:pPr>
      <w:r>
        <w:t xml:space="preserve">It also does not claim the Federal Modernization Program is the only possible substrate. It claims</w:t>
      </w:r>
      <w:r>
        <w:t xml:space="preserve"> </w:t>
      </w:r>
      <w:r>
        <w:t xml:space="preserve">that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substrate is required, and that the four failure modes</w:t>
      </w:r>
      <w:r>
        <w:t xml:space="preserve"> </w:t>
      </w:r>
      <w:r>
        <w:t xml:space="preserve">above are the diagnostic list a program can use to assess whether its</w:t>
      </w:r>
      <w:r>
        <w:t xml:space="preserve"> </w:t>
      </w:r>
      <w:r>
        <w:t xml:space="preserve">current substrate is sufficient.</w:t>
      </w:r>
    </w:p>
    <w:bookmarkEnd w:id="19"/>
    <w:bookmarkStart w:id="20" w:name="where-this-leads"/>
    <w:p>
      <w:pPr>
        <w:pStyle w:val="Heading2"/>
      </w:pPr>
      <w:r>
        <w:t xml:space="preserve">Where this leads</w:t>
      </w:r>
    </w:p>
    <w:p>
      <w:pPr>
        <w:pStyle w:val="FirstParagraph"/>
      </w:pPr>
      <w:r>
        <w:t xml:space="preserve">The remaining chapters address the failure modes in turn: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2</w:t>
      </w:r>
      <w:r>
        <w:t xml:space="preserve"> </w:t>
      </w:r>
      <w:r>
        <w:t xml:space="preserve">— the compliance paradox that follows from point-in-time</w:t>
      </w:r>
      <w:r>
        <w:t xml:space="preserve"> </w:t>
      </w:r>
      <w:r>
        <w:t xml:space="preserve">evidence.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3</w:t>
      </w:r>
      <w:r>
        <w:t xml:space="preserve"> </w:t>
      </w:r>
      <w:r>
        <w:t xml:space="preserve">— drift as the primary operational threat once the</w:t>
      </w:r>
      <w:r>
        <w:t xml:space="preserve"> </w:t>
      </w:r>
      <w:r>
        <w:t xml:space="preserve">failure modes accumulate.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4</w:t>
      </w:r>
      <w:r>
        <w:t xml:space="preserve"> </w:t>
      </w:r>
      <w:r>
        <w:t xml:space="preserve">— what deterministic governance looks like as a response.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5</w:t>
      </w:r>
      <w:r>
        <w:t xml:space="preserve"> </w:t>
      </w:r>
      <w:r>
        <w:t xml:space="preserve">— the adapter model that ties tools into a substrate.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6</w:t>
      </w:r>
      <w:r>
        <w:t xml:space="preserve"> </w:t>
      </w:r>
      <w:r>
        <w:t xml:space="preserve">— evidence over attestation.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7</w:t>
      </w:r>
      <w:r>
        <w:t xml:space="preserve"> </w:t>
      </w:r>
      <w:r>
        <w:t xml:space="preserve">— operational tempo at substrate-level governance.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Chapter 8</w:t>
      </w:r>
      <w:r>
        <w:t xml:space="preserve"> </w:t>
      </w:r>
      <w:r>
        <w:t xml:space="preserve">— scaling the model across programs.</w:t>
      </w:r>
    </w:p>
    <w:bookmarkEnd w:id="20"/>
    <w:bookmarkStart w:id="21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3"/>
        </w:numPr>
      </w:pPr>
      <w:r>
        <w:t xml:space="preserve">Federal governance failure is structural, not procedural.</w:t>
      </w:r>
    </w:p>
    <w:p>
      <w:pPr>
        <w:pStyle w:val="Compact"/>
        <w:numPr>
          <w:ilvl w:val="0"/>
          <w:numId w:val="1003"/>
        </w:numPr>
      </w:pPr>
      <w:r>
        <w:t xml:space="preserve">Four failure modes recur: fragmented identity, uncorrelated telemetry,</w:t>
      </w:r>
      <w:r>
        <w:t xml:space="preserve"> </w:t>
      </w:r>
      <w:r>
        <w:t xml:space="preserve">point-in-time evidence, tool-shaped policy.</w:t>
      </w:r>
    </w:p>
    <w:p>
      <w:pPr>
        <w:pStyle w:val="Compact"/>
        <w:numPr>
          <w:ilvl w:val="0"/>
          <w:numId w:val="1003"/>
        </w:numPr>
      </w:pPr>
      <w:r>
        <w:t xml:space="preserve">Each failure mode lives below the tooling layer; tooling cannot fix</w:t>
      </w:r>
      <w:r>
        <w:t xml:space="preserve"> </w:t>
      </w:r>
      <w:r>
        <w:t xml:space="preserve">any of them.</w:t>
      </w:r>
    </w:p>
    <w:p>
      <w:pPr>
        <w:pStyle w:val="Compact"/>
        <w:numPr>
          <w:ilvl w:val="0"/>
          <w:numId w:val="1003"/>
        </w:numPr>
      </w:pPr>
      <w:r>
        <w:t xml:space="preserve">A substrate is required; the Federal Modernization Program is one realization of such a substrate,</w:t>
      </w:r>
      <w:r>
        <w:t xml:space="preserve"> </w:t>
      </w:r>
      <w:r>
        <w:t xml:space="preserve">and the rest of this series describes its shape.</w:t>
      </w:r>
    </w:p>
    <w:bookmarkEnd w:id="21"/>
    <w:bookmarkStart w:id="22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4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04"/>
        </w:numPr>
      </w:pPr>
      <w:r>
        <w:t xml:space="preserve">Document Index</w:t>
      </w:r>
    </w:p>
    <w:bookmarkEnd w:id="22"/>
    <w:bookmarkEnd w:id="23"/>
    <w:bookmarkStart w:id="32" w:name="the-compliance-paradox"/>
    <w:p>
      <w:pPr>
        <w:pStyle w:val="Heading1"/>
      </w:pPr>
      <w:r>
        <w:t xml:space="preserve">The Compliance Paradox</w:t>
      </w:r>
    </w:p>
    <w:bookmarkStart w:id="24" w:name="in-this-chapter-1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Compliance-driven organizations frequently accumulate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operational</w:t>
      </w:r>
      <w:r>
        <w:t xml:space="preserve"> </w:t>
      </w:r>
      <w:r>
        <w:t xml:space="preserve">risk over time, not less. This chapter explains why: when compliance is</w:t>
      </w:r>
      <w:r>
        <w:t xml:space="preserve"> </w:t>
      </w:r>
      <w:r>
        <w:t xml:space="preserve">optimized as a reporting exercise, the substrate it documents drifts</w:t>
      </w:r>
      <w:r>
        <w:t xml:space="preserve"> </w:t>
      </w:r>
      <w:r>
        <w:t xml:space="preserve">faster than the reporting can keep up, and the evidence package becomes</w:t>
      </w:r>
      <w:r>
        <w:t xml:space="preserve"> </w:t>
      </w:r>
      <w:r>
        <w:t xml:space="preserve">less true with each cycle. The paradox is structural, and the response</w:t>
      </w:r>
      <w:r>
        <w:t xml:space="preserve"> </w:t>
      </w:r>
      <w:r>
        <w:t xml:space="preserve">is not</w:t>
      </w:r>
      <w:r>
        <w:t xml:space="preserve"> </w:t>
      </w:r>
      <w:r>
        <w:t xml:space="preserve">“more compliance”</w:t>
      </w:r>
      <w:r>
        <w:t xml:space="preserve"> </w:t>
      </w:r>
      <w:r>
        <w:t xml:space="preserve">— it is</w:t>
      </w:r>
      <w:r>
        <w:t xml:space="preserve"> </w:t>
      </w:r>
      <w:r>
        <w:rPr>
          <w:i/>
          <w:iCs/>
        </w:rPr>
        <w:t xml:space="preserve">deterministic, reproducible</w:t>
      </w:r>
      <w:r>
        <w:t xml:space="preserve"> </w:t>
      </w:r>
      <w:r>
        <w:t xml:space="preserve">compliance</w:t>
      </w:r>
      <w:r>
        <w:t xml:space="preserve"> </w:t>
      </w:r>
      <w:r>
        <w:t xml:space="preserve">anchored on canon.</w:t>
      </w:r>
    </w:p>
    <w:bookmarkEnd w:id="24"/>
    <w:bookmarkStart w:id="25" w:name="the-paradox-stated"/>
    <w:p>
      <w:pPr>
        <w:pStyle w:val="Heading2"/>
      </w:pPr>
      <w:r>
        <w:t xml:space="preserve">The paradox stated</w:t>
      </w:r>
    </w:p>
    <w:p>
      <w:pPr>
        <w:pStyle w:val="FirstParagraph"/>
      </w:pPr>
      <w:r>
        <w:t xml:space="preserve">Three observations, each true individually, combine to produce the</w:t>
      </w:r>
      <w:r>
        <w:t xml:space="preserve"> </w:t>
      </w:r>
      <w:r>
        <w:t xml:space="preserve">paradox: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Compliance reporting is point-in-time</w:t>
      </w:r>
      <w:r>
        <w:t xml:space="preserve"> </w:t>
      </w:r>
      <w:r>
        <w:t xml:space="preserve">— the package reflects the</w:t>
      </w:r>
      <w:r>
        <w:t xml:space="preserve"> </w:t>
      </w:r>
      <w:r>
        <w:t xml:space="preserve">substrate at the moment of assembly.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The substrate drifts continuously</w:t>
      </w:r>
      <w:r>
        <w:t xml:space="preserve"> </w:t>
      </w:r>
      <w:r>
        <w:t xml:space="preserve">— configurations, identities,</w:t>
      </w:r>
      <w:r>
        <w:t xml:space="preserve"> </w:t>
      </w:r>
      <w:r>
        <w:t xml:space="preserve">telemetry shapes, and tool versions change every day.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Audit cycles are slow</w:t>
      </w:r>
      <w:r>
        <w:t xml:space="preserve"> </w:t>
      </w:r>
      <w:r>
        <w:t xml:space="preserve">— quarterly, annual, or 3-year for ATO.</w:t>
      </w:r>
    </w:p>
    <w:p>
      <w:pPr>
        <w:pStyle w:val="FirstParagraph"/>
      </w:pPr>
      <w:r>
        <w:t xml:space="preserve">The combination: between cycles, the</w:t>
      </w:r>
      <w:r>
        <w:t xml:space="preserve"> </w:t>
      </w:r>
      <w:r>
        <w:rPr>
          <w:i/>
          <w:iCs/>
        </w:rPr>
        <w:t xml:space="preserve">truth</w:t>
      </w:r>
      <w:r>
        <w:t xml:space="preserve"> </w:t>
      </w:r>
      <w:r>
        <w:t xml:space="preserve">the package describes</w:t>
      </w:r>
      <w:r>
        <w:t xml:space="preserve"> </w:t>
      </w:r>
      <w:r>
        <w:t xml:space="preserve">diverges from the</w:t>
      </w:r>
      <w:r>
        <w:t xml:space="preserve"> </w:t>
      </w:r>
      <w:r>
        <w:rPr>
          <w:i/>
          <w:iCs/>
        </w:rPr>
        <w:t xml:space="preserve">truth</w:t>
      </w:r>
      <w:r>
        <w:t xml:space="preserve"> </w:t>
      </w:r>
      <w:r>
        <w:t xml:space="preserve">the substrate exhibits. Risk accumulates in</w:t>
      </w:r>
      <w:r>
        <w:t xml:space="preserve"> </w:t>
      </w:r>
      <w:r>
        <w:t xml:space="preserve">that divergence. Each subsequent audit re-discovers the divergence as</w:t>
      </w:r>
      <w:r>
        <w:t xml:space="preserve"> </w:t>
      </w:r>
      <w:r>
        <w:t xml:space="preserve">findings, treats them as fresh issues, and produces a new point-in-time</w:t>
      </w:r>
      <w:r>
        <w:t xml:space="preserve"> </w:t>
      </w:r>
      <w:r>
        <w:t xml:space="preserve">package — which begins drifting from substrate truth the moment it is</w:t>
      </w:r>
      <w:r>
        <w:t xml:space="preserve"> </w:t>
      </w:r>
      <w:r>
        <w:t xml:space="preserve">signed.</w:t>
      </w:r>
    </w:p>
    <w:bookmarkEnd w:id="25"/>
    <w:bookmarkStart w:id="26" w:name="why-checkbox-governance-makes-it-worse"/>
    <w:p>
      <w:pPr>
        <w:pStyle w:val="Heading2"/>
      </w:pPr>
      <w:r>
        <w:t xml:space="preserve">Why</w:t>
      </w:r>
      <w:r>
        <w:t xml:space="preserve"> </w:t>
      </w:r>
      <w:r>
        <w:t xml:space="preserve">“checkbox governance”</w:t>
      </w:r>
      <w:r>
        <w:t xml:space="preserve"> </w:t>
      </w:r>
      <w:r>
        <w:t xml:space="preserve">makes it worse</w:t>
      </w:r>
    </w:p>
    <w:p>
      <w:pPr>
        <w:pStyle w:val="FirstParagraph"/>
      </w:pPr>
      <w:r>
        <w:t xml:space="preserve">The natural response to discovered findings is to add controls,</w:t>
      </w:r>
      <w:r>
        <w:t xml:space="preserve"> </w:t>
      </w:r>
      <w:r>
        <w:t xml:space="preserve">checkpoints, and reviewer approvals. Each addition is well-intended.</w:t>
      </w:r>
      <w:r>
        <w:t xml:space="preserve"> </w:t>
      </w:r>
      <w:r>
        <w:t xml:space="preserve">The collective effect is to make the compliance reporting heavier</w:t>
      </w:r>
      <w:r>
        <w:t xml:space="preserve"> </w:t>
      </w:r>
      <w:r>
        <w:rPr>
          <w:i/>
          <w:iCs/>
        </w:rPr>
        <w:t xml:space="preserve">while leaving the underlying drift untouched</w:t>
      </w:r>
      <w:r>
        <w:t xml:space="preserve">. Three failure patterns</w:t>
      </w:r>
      <w:r>
        <w:t xml:space="preserve"> </w:t>
      </w:r>
      <w:r>
        <w:t xml:space="preserve">emerge: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Reviewer fatigue.</w:t>
      </w:r>
      <w:r>
        <w:t xml:space="preserve"> </w:t>
      </w:r>
      <w:r>
        <w:t xml:space="preserve">As checklists lengthen, reviewers approve by</w:t>
      </w:r>
      <w:r>
        <w:t xml:space="preserve"> </w:t>
      </w:r>
      <w:r>
        <w:t xml:space="preserve">pattern rather than evaluation. Approvals stop adding signal.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Documentation as the artifact.</w:t>
      </w:r>
      <w:r>
        <w:t xml:space="preserve"> </w:t>
      </w:r>
      <w:r>
        <w:t xml:space="preserve">Teams produce documents that</w:t>
      </w:r>
      <w:r>
        <w:t xml:space="preserve"> </w:t>
      </w:r>
      <w:r>
        <w:t xml:space="preserve">describe what</w:t>
      </w:r>
      <w:r>
        <w:t xml:space="preserve"> </w:t>
      </w:r>
      <w:r>
        <w:rPr>
          <w:i/>
          <w:iCs/>
        </w:rPr>
        <w:t xml:space="preserve">should</w:t>
      </w:r>
      <w:r>
        <w:t xml:space="preserve"> </w:t>
      </w:r>
      <w:r>
        <w:t xml:space="preserve">be true, decoupled from any verification that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true.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Findings backlog as a feature.</w:t>
      </w:r>
      <w:r>
        <w:t xml:space="preserve"> </w:t>
      </w:r>
      <w:r>
        <w:t xml:space="preserve">Long-running POA&amp;M items become</w:t>
      </w:r>
      <w:r>
        <w:t xml:space="preserve"> </w:t>
      </w:r>
      <w:r>
        <w:t xml:space="preserve">load-bearing — operationally tolerated, never closed, and treated as</w:t>
      </w:r>
      <w:r>
        <w:t xml:space="preserve"> </w:t>
      </w:r>
      <w:r>
        <w:t xml:space="preserve">cost-of-business.</w:t>
      </w:r>
    </w:p>
    <w:p>
      <w:pPr>
        <w:pStyle w:val="BlockText"/>
      </w:pPr>
      <w:r>
        <w:rPr>
          <w:b/>
          <w:bCs/>
        </w:rPr>
        <w:t xml:space="preserve">Every additional checkbox increases reporting overhead and decreases the</w:t>
      </w:r>
      <w:r>
        <w:rPr>
          <w:b/>
          <w:bCs/>
        </w:rPr>
        <w:t xml:space="preserve"> </w:t>
      </w:r>
      <w:r>
        <w:rPr>
          <w:b/>
          <w:bCs/>
        </w:rPr>
        <w:t xml:space="preserve">proportion of evidence that reflects substrate reality.</w:t>
      </w:r>
      <w:r>
        <w:t xml:space="preserve"> </w:t>
      </w:r>
      <w:r>
        <w:t xml:space="preserve">That is the</w:t>
      </w:r>
      <w:r>
        <w:t xml:space="preserve"> </w:t>
      </w:r>
      <w:r>
        <w:t xml:space="preserve">paradox stated in one line.</w:t>
      </w:r>
    </w:p>
    <w:bookmarkEnd w:id="26"/>
    <w:bookmarkStart w:id="27" w:name="the-deterministic-response"/>
    <w:p>
      <w:pPr>
        <w:pStyle w:val="Heading2"/>
      </w:pPr>
      <w:r>
        <w:t xml:space="preserve">The deterministic response</w:t>
      </w:r>
    </w:p>
    <w:p>
      <w:pPr>
        <w:pStyle w:val="FirstParagraph"/>
      </w:pPr>
      <w:r>
        <w:t xml:space="preserve">The substrate-level fix is not</w:t>
      </w:r>
      <w:r>
        <w:t xml:space="preserve"> </w:t>
      </w:r>
      <w:r>
        <w:t xml:space="preserve">“tighten the reporting.”</w:t>
      </w:r>
      <w:r>
        <w:t xml:space="preserve"> </w:t>
      </w:r>
      <w:r>
        <w:t xml:space="preserve">It is to make</w:t>
      </w:r>
      <w:r>
        <w:t xml:space="preserve"> </w:t>
      </w:r>
      <w:r>
        <w:t xml:space="preserve">evidence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: the same canon plus the same inputs always</w:t>
      </w:r>
      <w:r>
        <w:t xml:space="preserve"> </w:t>
      </w:r>
      <w:r>
        <w:t xml:space="preserve">produces the same evidence bundle, and the bundle is regeneratable on</w:t>
      </w:r>
      <w:r>
        <w:t xml:space="preserve"> </w:t>
      </w:r>
      <w:r>
        <w:t xml:space="preserve">demand without operator coordination.</w:t>
      </w:r>
    </w:p>
    <w:p>
      <w:pPr>
        <w:pStyle w:val="BodyText"/>
      </w:pPr>
      <w:r>
        <w:t xml:space="preserve">Four properties define deterministic compliance, drawn from</w:t>
      </w:r>
      <w:r>
        <w:t xml:space="preserve"> </w:t>
      </w:r>
      <w:r>
        <w:t xml:space="preserve">the program decision: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No silent drops</w:t>
      </w:r>
      <w:r>
        <w:t xml:space="preserve"> </w:t>
      </w:r>
      <w:r>
        <w:t xml:space="preserve">— every input is accepted, rejected with reason,</w:t>
      </w:r>
      <w:r>
        <w:t xml:space="preserve"> </w:t>
      </w:r>
      <w:r>
        <w:t xml:space="preserve">or queued.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Append-only writes</w:t>
      </w:r>
      <w:r>
        <w:t xml:space="preserve"> </w:t>
      </w:r>
      <w:r>
        <w:t xml:space="preserve">— evidence storage is immutable; updates are</w:t>
      </w:r>
      <w:r>
        <w:t xml:space="preserve"> </w:t>
      </w:r>
      <w:r>
        <w:t xml:space="preserve">superseding records, not in-place edits.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Ordered records</w:t>
      </w:r>
      <w:r>
        <w:t xml:space="preserve"> </w:t>
      </w:r>
      <w:r>
        <w:t xml:space="preserve">— re-runs produce identical ordering.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Idempotent ingestion</w:t>
      </w:r>
      <w:r>
        <w:t xml:space="preserve"> </w:t>
      </w:r>
      <w:r>
        <w:t xml:space="preserve">— re-ingesting the same source twice yields</w:t>
      </w:r>
      <w:r>
        <w:t xml:space="preserve"> </w:t>
      </w:r>
      <w:r>
        <w:t xml:space="preserve">the same canonical claim.</w:t>
      </w:r>
    </w:p>
    <w:p>
      <w:pPr>
        <w:pStyle w:val="FirstParagraph"/>
      </w:pPr>
      <w:r>
        <w:t xml:space="preserve">These four together collapse the audit-cycle problem: if a 3PAO can</w:t>
      </w:r>
      <w:r>
        <w:t xml:space="preserve"> </w:t>
      </w:r>
      <w:r>
        <w:t xml:space="preserve">re-run the assembly months after the original audit and get a</w:t>
      </w:r>
      <w:r>
        <w:t xml:space="preserve"> </w:t>
      </w:r>
      <w:r>
        <w:t xml:space="preserve">byte-identical bundle, the gap between cycles is no longer load-bearing.</w:t>
      </w:r>
    </w:p>
    <w:p>
      <w:pPr>
        <w:pStyle w:val="BodyText"/>
      </w:pPr>
      <w:r>
        <w:rPr>
          <w:b/>
          <w:bCs/>
        </w:rPr>
        <w:t xml:space="preserve">At a glance — two responses to the same findings: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Checkbox governance</w:t>
            </w:r>
          </w:p>
        </w:tc>
        <w:tc>
          <w:tcPr/>
          <w:p>
            <w:pPr>
              <w:pStyle w:val="Compact"/>
            </w:pPr>
            <w:r>
              <w:t xml:space="preserve">Deterministic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to findings</w:t>
            </w:r>
          </w:p>
        </w:tc>
        <w:tc>
          <w:tcPr/>
          <w:p>
            <w:pPr>
              <w:pStyle w:val="Compact"/>
            </w:pPr>
            <w:r>
              <w:t xml:space="preserve">Add controls, checkpoints, reviewers</w:t>
            </w:r>
          </w:p>
        </w:tc>
        <w:tc>
          <w:tcPr/>
          <w:p>
            <w:pPr>
              <w:pStyle w:val="Compact"/>
            </w:pPr>
            <w:r>
              <w:t xml:space="preserve">Make evidence regeneratable from canon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 on reporting</w:t>
            </w:r>
          </w:p>
        </w:tc>
        <w:tc>
          <w:tcPr/>
          <w:p>
            <w:pPr>
              <w:pStyle w:val="Compact"/>
            </w:pPr>
            <w:r>
              <w:t xml:space="preserve">Heavier each cycle</w:t>
            </w:r>
          </w:p>
        </w:tc>
        <w:tc>
          <w:tcPr/>
          <w:p>
            <w:pPr>
              <w:pStyle w:val="Compact"/>
            </w:pPr>
            <w:r>
              <w:t xml:space="preserve">Constant; assembled on demand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 on drift</w:t>
            </w:r>
          </w:p>
        </w:tc>
        <w:tc>
          <w:tcPr/>
          <w:p>
            <w:pPr>
              <w:pStyle w:val="Compact"/>
            </w:pPr>
            <w:r>
              <w:t xml:space="preserve">Untouched</w:t>
            </w:r>
          </w:p>
        </w:tc>
        <w:tc>
          <w:tcPr/>
          <w:p>
            <w:pPr>
              <w:pStyle w:val="Compact"/>
            </w:pPr>
            <w:r>
              <w:t xml:space="preserve">Surfaced continuously as 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Re-read the document</w:t>
            </w:r>
          </w:p>
        </w:tc>
        <w:tc>
          <w:tcPr/>
          <w:p>
            <w:pPr>
              <w:pStyle w:val="Compact"/>
            </w:pPr>
            <w:r>
              <w:t xml:space="preserve">Re-run the assembly, compare hashes</w:t>
            </w:r>
          </w:p>
        </w:tc>
      </w:tr>
    </w:tbl>
    <w:bookmarkEnd w:id="27"/>
    <w:bookmarkStart w:id="28" w:name="what-changes-for-an-authorizing-official"/>
    <w:p>
      <w:pPr>
        <w:pStyle w:val="Heading2"/>
      </w:pPr>
      <w:r>
        <w:t xml:space="preserve">What changes for an authorizing official</w:t>
      </w:r>
    </w:p>
    <w:p>
      <w:pPr>
        <w:pStyle w:val="FirstParagraph"/>
      </w:pPr>
      <w:r>
        <w:t xml:space="preserve">A deterministic compliance package presents the AO with four properties</w:t>
      </w:r>
      <w:r>
        <w:t xml:space="preserve"> </w:t>
      </w:r>
      <w:r>
        <w:t xml:space="preserve">that an attestation package cannot: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Independent re-execution</w:t>
      </w:r>
      <w:r>
        <w:t xml:space="preserve"> </w:t>
      </w:r>
      <w:r>
        <w:t xml:space="preserve">— the AO can rerun substrate walk and</w:t>
      </w:r>
      <w:r>
        <w:t xml:space="preserve"> </w:t>
      </w:r>
      <w:r>
        <w:t xml:space="preserve">the OSCAL pipeline without coordinating with the operator.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Hash-verifiable evidence</w:t>
      </w:r>
      <w:r>
        <w:t xml:space="preserve"> </w:t>
      </w:r>
      <w:r>
        <w:t xml:space="preserve">— bundles carry per-claim hashes; the</w:t>
      </w:r>
      <w:r>
        <w:t xml:space="preserve"> </w:t>
      </w:r>
      <w:r>
        <w:t xml:space="preserve">bundle hash is computed over those, giving tamper-evident lineage.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Drift findings between audits</w:t>
      </w:r>
      <w:r>
        <w:t xml:space="preserve"> </w:t>
      </w:r>
      <w:r>
        <w:t xml:space="preserve">— schema and provenance drift are</w:t>
      </w:r>
      <w:r>
        <w:t xml:space="preserve"> </w:t>
      </w:r>
      <w:r>
        <w:t xml:space="preserve">emitted continuously in CI, not discovered at audit time.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Canon citation per control</w:t>
      </w:r>
      <w:r>
        <w:t xml:space="preserve"> </w:t>
      </w:r>
      <w:r>
        <w:t xml:space="preserve">— every policy intent points to a</w:t>
      </w:r>
      <w:r>
        <w:t xml:space="preserve"> </w:t>
      </w:r>
      <w:r>
        <w:t xml:space="preserve">numbered canon document, not to a paragraph of narrative.</w:t>
      </w:r>
    </w:p>
    <w:p>
      <w:pPr>
        <w:pStyle w:val="FirstParagraph"/>
      </w:pPr>
      <w:r>
        <w:t xml:space="preserve">The AO’s evaluation moves from</w:t>
      </w:r>
      <w:r>
        <w:t xml:space="preserve"> </w:t>
      </w:r>
      <w:r>
        <w:t xml:space="preserve">“is the document accurate today?”</w:t>
      </w:r>
      <w:r>
        <w:t xml:space="preserve"> </w:t>
      </w:r>
      <w:r>
        <w:t xml:space="preserve">to</w:t>
      </w:r>
      <w:r>
        <w:t xml:space="preserve"> </w:t>
      </w:r>
      <w:r>
        <w:t xml:space="preserve">“does the substrate continuously prove that it is accurate?”</w:t>
      </w:r>
    </w:p>
    <w:bookmarkEnd w:id="28"/>
    <w:bookmarkStart w:id="29" w:name="honest-limit"/>
    <w:p>
      <w:pPr>
        <w:pStyle w:val="Heading2"/>
      </w:pPr>
      <w:r>
        <w:t xml:space="preserve">Honest limit</w:t>
      </w:r>
    </w:p>
    <w:p>
      <w:pPr>
        <w:pStyle w:val="FirstParagraph"/>
      </w:pPr>
      <w:r>
        <w:t xml:space="preserve">Determinism applies to the</w:t>
      </w:r>
      <w:r>
        <w:t xml:space="preserve"> </w:t>
      </w:r>
      <w:r>
        <w:rPr>
          <w:i/>
          <w:iCs/>
        </w:rPr>
        <w:t xml:space="preserve">evidence layer</w:t>
      </w:r>
      <w:r>
        <w:t xml:space="preserve">, not to the underlying</w:t>
      </w:r>
      <w:r>
        <w:t xml:space="preserve"> </w:t>
      </w:r>
      <w:r>
        <w:t xml:space="preserve">truth. If canon is wrong, the substrate will faithfully and</w:t>
      </w:r>
      <w:r>
        <w:t xml:space="preserve"> </w:t>
      </w:r>
      <w:r>
        <w:t xml:space="preserve">reproducibly emit evidence of the wrong canon. Deterministic compliance</w:t>
      </w:r>
      <w:r>
        <w:t xml:space="preserve"> </w:t>
      </w:r>
      <w:r>
        <w:t xml:space="preserve">does not replace canonical correctness; it ensures that canonical</w:t>
      </w:r>
      <w:r>
        <w:t xml:space="preserve"> </w:t>
      </w:r>
      <w:r>
        <w:t xml:space="preserve">correctness is the only thing that matters.</w:t>
      </w:r>
    </w:p>
    <w:p>
      <w:pPr>
        <w:pStyle w:val="BodyText"/>
      </w:pPr>
      <w:r>
        <w:t xml:space="preserve">This is the right limit. It puts pressure on canon authoring rather</w:t>
      </w:r>
      <w:r>
        <w:t xml:space="preserve"> </w:t>
      </w:r>
      <w:r>
        <w:t xml:space="preserve">than on evidence assembly — a pressure the substrate is designed to</w:t>
      </w:r>
      <w:r>
        <w:t xml:space="preserve"> </w:t>
      </w:r>
      <w:r>
        <w:t xml:space="preserve">absorb through schema validation, ADR review, and the canon-change</w:t>
      </w:r>
      <w:r>
        <w:t xml:space="preserve"> </w:t>
      </w:r>
      <w:r>
        <w:t xml:space="preserve">process.</w:t>
      </w:r>
    </w:p>
    <w:bookmarkEnd w:id="29"/>
    <w:bookmarkStart w:id="30" w:name="key-takeaways-1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9"/>
        </w:numPr>
      </w:pPr>
      <w:r>
        <w:t xml:space="preserve">Compliance-driven organizations accumulate risk between audit cycles.</w:t>
      </w:r>
    </w:p>
    <w:p>
      <w:pPr>
        <w:pStyle w:val="Compact"/>
        <w:numPr>
          <w:ilvl w:val="0"/>
          <w:numId w:val="1009"/>
        </w:numPr>
      </w:pPr>
      <w:r>
        <w:t xml:space="preserve">Adding checkboxes makes reporting heavier without addressing drift.</w:t>
      </w:r>
    </w:p>
    <w:p>
      <w:pPr>
        <w:pStyle w:val="Compact"/>
        <w:numPr>
          <w:ilvl w:val="0"/>
          <w:numId w:val="1009"/>
        </w:numPr>
      </w:pPr>
      <w:r>
        <w:t xml:space="preserve">Deterministic regeneration (the program decision) collapses the cycle-gap problem.</w:t>
      </w:r>
    </w:p>
    <w:p>
      <w:pPr>
        <w:pStyle w:val="Compact"/>
        <w:numPr>
          <w:ilvl w:val="0"/>
          <w:numId w:val="1009"/>
        </w:numPr>
      </w:pPr>
      <w:r>
        <w:t xml:space="preserve">The AO’s evaluation shifts from snapshot accuracy to continuous</w:t>
      </w:r>
      <w:r>
        <w:t xml:space="preserve"> </w:t>
      </w:r>
      <w:r>
        <w:t xml:space="preserve">substrate truth.</w:t>
      </w:r>
    </w:p>
    <w:p>
      <w:pPr>
        <w:pStyle w:val="Compact"/>
        <w:numPr>
          <w:ilvl w:val="0"/>
          <w:numId w:val="1009"/>
        </w:numPr>
      </w:pPr>
      <w:r>
        <w:t xml:space="preserve">Determinism does not replace canonical correctness; it makes canon</w:t>
      </w:r>
      <w:r>
        <w:t xml:space="preserve"> </w:t>
      </w:r>
      <w:r>
        <w:t xml:space="preserve">the locus of pressure.</w:t>
      </w:r>
    </w:p>
    <w:bookmarkEnd w:id="30"/>
    <w:bookmarkStart w:id="31" w:name="related-documents-1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10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10"/>
        </w:numPr>
      </w:pPr>
      <w:r>
        <w:t xml:space="preserve">Chapter 1: Why Governance Fails</w:t>
      </w:r>
    </w:p>
    <w:p>
      <w:pPr>
        <w:pStyle w:val="Compact"/>
        <w:numPr>
          <w:ilvl w:val="0"/>
          <w:numId w:val="1010"/>
        </w:numPr>
      </w:pPr>
      <w:r>
        <w:t xml:space="preserve">Chapter 6: Evidence over Attestation</w:t>
      </w:r>
    </w:p>
    <w:p>
      <w:pPr>
        <w:pStyle w:val="Compact"/>
        <w:numPr>
          <w:ilvl w:val="0"/>
          <w:numId w:val="1010"/>
        </w:numPr>
      </w:pPr>
      <w:r>
        <w:t xml:space="preserve">the program decision: Evidence Determinism</w:t>
      </w:r>
    </w:p>
    <w:bookmarkEnd w:id="31"/>
    <w:bookmarkEnd w:id="32"/>
    <w:bookmarkStart w:id="42" w:name="drift-as-the-primary-threat"/>
    <w:p>
      <w:pPr>
        <w:pStyle w:val="Heading1"/>
      </w:pPr>
      <w:r>
        <w:t xml:space="preserve">Drift as the Primary Threat</w:t>
      </w:r>
    </w:p>
    <w:bookmarkStart w:id="33" w:name="in-this-chapter-2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In a substrate-anchored governance model,</w:t>
      </w:r>
      <w:r>
        <w:t xml:space="preserve"> </w:t>
      </w:r>
      <w:r>
        <w:rPr>
          <w:b/>
          <w:bCs/>
        </w:rPr>
        <w:t xml:space="preserve">drift is the single largest</w:t>
      </w:r>
      <w:r>
        <w:rPr>
          <w:b/>
          <w:bCs/>
        </w:rPr>
        <w:t xml:space="preserve"> </w:t>
      </w:r>
      <w:r>
        <w:rPr>
          <w:b/>
          <w:bCs/>
        </w:rPr>
        <w:t xml:space="preserve">threat vector</w:t>
      </w:r>
      <w:r>
        <w:t xml:space="preserve">. Not phishing, not supply chain, not insider risk —</w:t>
      </w:r>
      <w:r>
        <w:t xml:space="preserve"> </w:t>
      </w:r>
      <w:r>
        <w:t xml:space="preserve">those are concerns the substrate helps surface, but the</w:t>
      </w:r>
      <w:r>
        <w:t xml:space="preserve"> </w:t>
      </w:r>
      <w:r>
        <w:rPr>
          <w:i/>
          <w:iCs/>
        </w:rPr>
        <w:t xml:space="preserve">governance</w:t>
      </w:r>
      <w:r>
        <w:t xml:space="preserve"> </w:t>
      </w:r>
      <w:r>
        <w:t xml:space="preserve">threat is the one most agencies track least: silent divergence between</w:t>
      </w:r>
      <w:r>
        <w:t xml:space="preserve"> </w:t>
      </w:r>
      <w:r>
        <w:t xml:space="preserve">declared canon and observed runtime. This chapter explains why drift</w:t>
      </w:r>
      <w:r>
        <w:t xml:space="preserve"> </w:t>
      </w:r>
      <w:r>
        <w:t xml:space="preserve">deserves first-class status, how the Federal Modernization Program classifies it, and what it</w:t>
      </w:r>
      <w:r>
        <w:t xml:space="preserve"> </w:t>
      </w:r>
      <w:r>
        <w:t xml:space="preserve">changes operationally.</w:t>
      </w:r>
    </w:p>
    <w:bookmarkEnd w:id="33"/>
    <w:bookmarkStart w:id="34" w:name="why-drift-is-the-primary-threat"/>
    <w:p>
      <w:pPr>
        <w:pStyle w:val="Heading2"/>
      </w:pPr>
      <w:r>
        <w:t xml:space="preserve">Why drift is the primary threat</w:t>
      </w:r>
    </w:p>
    <w:p>
      <w:pPr>
        <w:pStyle w:val="FirstParagraph"/>
      </w:pPr>
      <w:r>
        <w:t xml:space="preserve">Three properties make drift the substrate-level threat: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It is continuous.</w:t>
      </w:r>
      <w:r>
        <w:t xml:space="preserve"> </w:t>
      </w:r>
      <w:r>
        <w:t xml:space="preserve">Drift accumulates every time a configuration</w:t>
      </w:r>
      <w:r>
        <w:t xml:space="preserve"> </w:t>
      </w:r>
      <w:r>
        <w:t xml:space="preserve">changes, an adapter version updates, a schema evolves, or an</w:t>
      </w:r>
      <w:r>
        <w:t xml:space="preserve"> </w:t>
      </w:r>
      <w:r>
        <w:t xml:space="preserve">identity is provisioned. Other threats are events; drift is a</w:t>
      </w:r>
      <w:r>
        <w:t xml:space="preserve"> </w:t>
      </w:r>
      <w:r>
        <w:t xml:space="preserve">persistent gradient.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It is silent.</w:t>
      </w:r>
      <w:r>
        <w:t xml:space="preserve"> </w:t>
      </w:r>
      <w:r>
        <w:t xml:space="preserve">Without explicit detection, drift has no</w:t>
      </w:r>
      <w:r>
        <w:t xml:space="preserve"> </w:t>
      </w:r>
      <w:r>
        <w:t xml:space="preserve">operational signal. The substrate continues to report the declared</w:t>
      </w:r>
      <w:r>
        <w:t xml:space="preserve"> </w:t>
      </w:r>
      <w:r>
        <w:t xml:space="preserve">state while runtime reality diverges.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It is the surface other threats exploit.</w:t>
      </w:r>
      <w:r>
        <w:t xml:space="preserve"> </w:t>
      </w:r>
      <w:r>
        <w:t xml:space="preserve">A phishing attack</w:t>
      </w:r>
      <w:r>
        <w:t xml:space="preserve"> </w:t>
      </w:r>
      <w:r>
        <w:t xml:space="preserve">succeeds because drift opened a permission path. A supply-chain</w:t>
      </w:r>
      <w:r>
        <w:t xml:space="preserve"> </w:t>
      </w:r>
      <w:r>
        <w:t xml:space="preserve">compromise propagates because drift hid the canonical version. An</w:t>
      </w:r>
      <w:r>
        <w:t xml:space="preserve"> </w:t>
      </w:r>
      <w:r>
        <w:t xml:space="preserve">insider acts because drift attenuated the consent envelope.</w:t>
      </w:r>
    </w:p>
    <w:p>
      <w:pPr>
        <w:pStyle w:val="BlockText"/>
      </w:pPr>
      <w:r>
        <w:rPr>
          <w:b/>
          <w:bCs/>
        </w:rPr>
        <w:t xml:space="preserve">The fix is not</w:t>
      </w:r>
      <w:r>
        <w:rPr>
          <w:b/>
          <w:bCs/>
        </w:rPr>
        <w:t xml:space="preserve"> </w:t>
      </w:r>
      <w:r>
        <w:rPr>
          <w:b/>
          <w:bCs/>
        </w:rPr>
        <w:t xml:space="preserve">“watch for the events”</w:t>
      </w:r>
      <w:r>
        <w:rPr>
          <w:b/>
          <w:bCs/>
        </w:rPr>
        <w:t xml:space="preserve"> </w:t>
      </w:r>
      <w:r>
        <w:rPr>
          <w:b/>
          <w:bCs/>
        </w:rPr>
        <w:t xml:space="preserve">— it is to make drift itself a</w:t>
      </w:r>
      <w:r>
        <w:rPr>
          <w:b/>
          <w:bCs/>
        </w:rPr>
        <w:t xml:space="preserve"> </w:t>
      </w:r>
      <w:r>
        <w:rPr>
          <w:b/>
          <w:bCs/>
        </w:rPr>
        <w:t xml:space="preserve">first-class signal so the events have nowhere to hide.</w:t>
      </w:r>
    </w:p>
    <w:bookmarkEnd w:id="34"/>
    <w:bookmarkStart w:id="35" w:name="the-five-class-taxonomy"/>
    <w:p>
      <w:pPr>
        <w:pStyle w:val="Heading2"/>
      </w:pPr>
      <w:r>
        <w:t xml:space="preserve">The five-class taxonomy</w:t>
      </w:r>
    </w:p>
    <w:p>
      <w:pPr>
        <w:pStyle w:val="FirstParagraph"/>
      </w:pPr>
      <w:r>
        <w:t xml:space="preserve">The Federal Modernization Program names the failure modes exactly. From</w:t>
      </w:r>
      <w:r>
        <w:t xml:space="preserve"> </w:t>
      </w:r>
      <w:r>
        <w:rPr>
          <w:rStyle w:val="VerbatimChar"/>
        </w:rPr>
        <w:t xml:space="preserve">16_DriftDetectionStandard.qmd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t xml:space="preserve">Claim structure no longer matches canonical schema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t xml:space="preserve">Structure valid; meaning is stale or inconsistent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Provenance envelope incomplete or chain broken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Action emitted outside authorized consent envelope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Issuer cannot be resolved to a verified identity-plane object</w:t>
            </w:r>
          </w:p>
        </w:tc>
      </w:tr>
    </w:tbl>
    <w:p>
      <w:pPr>
        <w:pStyle w:val="BodyText"/>
      </w:pPr>
      <w:r>
        <w:t xml:space="preserve">Five is not a number arrived at by abstraction. Each class corresponds</w:t>
      </w:r>
      <w:r>
        <w:t xml:space="preserve"> </w:t>
      </w:r>
      <w:r>
        <w:t xml:space="preserve">to a distinct failure mode that requires a distinct remediation</w:t>
      </w:r>
      <w:r>
        <w:t xml:space="preserve"> </w:t>
      </w:r>
      <w:r>
        <w:t xml:space="preserve">contract. Collapsing them into</w:t>
      </w:r>
      <w:r>
        <w:t xml:space="preserve"> </w:t>
      </w:r>
      <w:r>
        <w:t xml:space="preserve">“configuration drift”</w:t>
      </w:r>
      <w:r>
        <w:t xml:space="preserve"> </w:t>
      </w:r>
      <w:r>
        <w:t xml:space="preserve">loses the</w:t>
      </w:r>
      <w:r>
        <w:t xml:space="preserve"> </w:t>
      </w:r>
      <w:r>
        <w:t xml:space="preserve">ability to assign deterministic severity. See</w:t>
      </w:r>
      <w:r>
        <w:t xml:space="preserve"> </w:t>
      </w:r>
      <w:r>
        <w:t xml:space="preserve">Architecture Series — Drift Engine</w:t>
      </w:r>
      <w:r>
        <w:t xml:space="preserve"> </w:t>
      </w:r>
      <w:r>
        <w:t xml:space="preserve">for the architectural depth.</w:t>
      </w:r>
    </w:p>
    <w:bookmarkEnd w:id="35"/>
    <w:bookmarkStart w:id="36" w:name="from-taxonomy-to-operational-discipline"/>
    <w:p>
      <w:pPr>
        <w:pStyle w:val="Heading2"/>
      </w:pPr>
      <w:r>
        <w:t xml:space="preserve">From taxonomy to operational discipline</w:t>
      </w:r>
    </w:p>
    <w:p>
      <w:pPr>
        <w:pStyle w:val="FirstParagraph"/>
      </w:pPr>
      <w:r>
        <w:t xml:space="preserve">Naming the classes is not enough. The substrate’s operational</w:t>
      </w:r>
      <w:r>
        <w:t xml:space="preserve"> </w:t>
      </w:r>
      <w:r>
        <w:t xml:space="preserve">discipline is: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Detect deterministically.</w:t>
      </w:r>
      <w:r>
        <w:t xml:space="preserve"> </w:t>
      </w:r>
      <w:r>
        <w:rPr>
          <w:rStyle w:val="VerbatimChar"/>
        </w:rPr>
        <w:t xml:space="preserve">fmp substrate walk</w:t>
      </w:r>
      <w:r>
        <w:t xml:space="preserve"> </w:t>
      </w:r>
      <w:r>
        <w:t xml:space="preserve">runs in CI on</w:t>
      </w:r>
      <w:r>
        <w:t xml:space="preserve"> </w:t>
      </w:r>
      <w:r>
        <w:t xml:space="preserve">every PR and emits SCHEMA + PROVENANCE findings. Runtime adapters</w:t>
      </w:r>
      <w:r>
        <w:t xml:space="preserve"> </w:t>
      </w:r>
      <w:r>
        <w:t xml:space="preserve">emit SEMANTIC + AUTHZ + IDENTITY findings as they execute.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Classify deterministically.</w:t>
      </w:r>
      <w:r>
        <w:t xml:space="preserve"> </w:t>
      </w:r>
      <w:r>
        <w:t xml:space="preserve">Severity is a pure function of</w:t>
      </w:r>
      <w:r>
        <w:t xml:space="preserve"> </w:t>
      </w:r>
      <w:r>
        <w:t xml:space="preserve">class plus liveness — operators do not triage.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Remediate via contract.</w:t>
      </w:r>
      <w:r>
        <w:t xml:space="preserve"> </w:t>
      </w:r>
      <w:r>
        <w:t xml:space="preserve">Every drift event emits a remediation</w:t>
      </w:r>
      <w:r>
        <w:t xml:space="preserve"> </w:t>
      </w:r>
      <w:r>
        <w:t xml:space="preserve">contract (timestamps, action, evidence hash, escalation path) that</w:t>
      </w:r>
      <w:r>
        <w:t xml:space="preserve"> </w:t>
      </w:r>
      <w:r>
        <w:t xml:space="preserve">flows into the canonical evidence chain.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 findings as evidence.</w:t>
      </w:r>
      <w:r>
        <w:t xml:space="preserve"> </w:t>
      </w:r>
      <w:r>
        <w:t xml:space="preserve">Drift findings are not a</w:t>
      </w:r>
      <w:r>
        <w:t xml:space="preserve"> </w:t>
      </w:r>
      <w:r>
        <w:t xml:space="preserve">parallel log; they are first-class artifacts in the SSP / POA&amp;M /</w:t>
      </w:r>
      <w:r>
        <w:t xml:space="preserve"> </w:t>
      </w:r>
      <w:r>
        <w:t xml:space="preserve">KSI emissions.</w:t>
      </w:r>
    </w:p>
    <w:p>
      <w:pPr>
        <w:pStyle w:val="FirstParagraph"/>
      </w:pPr>
      <w:r>
        <w:t xml:space="preserve">This shifts drift from</w:t>
      </w:r>
      <w:r>
        <w:t xml:space="preserve"> </w:t>
      </w:r>
      <w:r>
        <w:t xml:space="preserve">“operations problem”</w:t>
      </w:r>
      <w:r>
        <w:t xml:space="preserve"> </w:t>
      </w:r>
      <w:r>
        <w:t xml:space="preserve">to</w:t>
      </w:r>
      <w:r>
        <w:t xml:space="preserve"> </w:t>
      </w:r>
      <w:r>
        <w:t xml:space="preserve">“governance signal.”</w:t>
      </w:r>
      <w:r>
        <w:t xml:space="preserve"> </w:t>
      </w:r>
      <w:r>
        <w:t xml:space="preserve">The AO sees drift as part of the package; the SOC sees it as part of</w:t>
      </w:r>
      <w:r>
        <w:t xml:space="preserve"> </w:t>
      </w:r>
      <w:r>
        <w:t xml:space="preserve">the operational picture; the canon stewards see it as the input to</w:t>
      </w:r>
      <w:r>
        <w:t xml:space="preserve"> </w:t>
      </w:r>
      <w:r>
        <w:t xml:space="preserve">the next ADR.</w:t>
      </w:r>
    </w:p>
    <w:bookmarkEnd w:id="36"/>
    <w:bookmarkStart w:id="37" w:name="what-changes-for-the-soc"/>
    <w:p>
      <w:pPr>
        <w:pStyle w:val="Heading2"/>
      </w:pPr>
      <w:r>
        <w:t xml:space="preserve">What changes for the SOC</w:t>
      </w:r>
    </w:p>
    <w:p>
      <w:pPr>
        <w:pStyle w:val="FirstParagraph"/>
      </w:pPr>
      <w:r>
        <w:t xml:space="preserve">In the attestation model, the SOC discovers drift through outage,</w:t>
      </w:r>
      <w:r>
        <w:t xml:space="preserve"> </w:t>
      </w:r>
      <w:r>
        <w:t xml:space="preserve">incident, or audit. In the substrate model, the SOC consumes drift as</w:t>
      </w:r>
      <w:r>
        <w:t xml:space="preserve"> </w:t>
      </w:r>
      <w:r>
        <w:t xml:space="preserve">a structured stream: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Typical class</w:t>
            </w:r>
          </w:p>
        </w:tc>
        <w:tc>
          <w:tcPr/>
          <w:p>
            <w:pPr>
              <w:pStyle w:val="Compact"/>
            </w:pPr>
            <w:r>
              <w:t xml:space="preserve">Response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Authorization or identity drift</w:t>
            </w:r>
          </w:p>
        </w:tc>
        <w:tc>
          <w:tcPr/>
          <w:p>
            <w:pPr>
              <w:pStyle w:val="Compact"/>
            </w:pPr>
            <w:r>
              <w:t xml:space="preserve">Halt and alert immediately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High-severity drift</w:t>
            </w:r>
          </w:p>
        </w:tc>
        <w:tc>
          <w:tcPr/>
          <w:p>
            <w:pPr>
              <w:pStyle w:val="Compact"/>
            </w:pPr>
            <w:r>
              <w:t xml:space="preserve">Auto-remediate when deterministic; otherwise escalate within an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P3 / P4</w:t>
            </w:r>
          </w:p>
        </w:tc>
        <w:tc>
          <w:tcPr/>
          <w:p>
            <w:pPr>
              <w:pStyle w:val="Compact"/>
            </w:pPr>
            <w:r>
              <w:t xml:space="preserve">Medium / low drift</w:t>
            </w:r>
          </w:p>
        </w:tc>
        <w:tc>
          <w:tcPr/>
          <w:p>
            <w:pPr>
              <w:pStyle w:val="Compact"/>
            </w:pPr>
            <w:r>
              <w:t xml:space="preserve">Queue for auto-remediation within 24 / 72 hours</w:t>
            </w:r>
          </w:p>
        </w:tc>
      </w:tr>
    </w:tbl>
    <w:p>
      <w:pPr>
        <w:pStyle w:val="BodyText"/>
      </w:pPr>
      <w:r>
        <w:t xml:space="preserve">The SOC’s work shifts from</w:t>
      </w:r>
      <w:r>
        <w:t xml:space="preserve"> </w:t>
      </w:r>
      <w:r>
        <w:t xml:space="preserve">“find drift”</w:t>
      </w:r>
      <w:r>
        <w:t xml:space="preserve"> </w:t>
      </w:r>
      <w:r>
        <w:t xml:space="preserve">to</w:t>
      </w:r>
      <w:r>
        <w:t xml:space="preserve"> </w:t>
      </w:r>
      <w:r>
        <w:t xml:space="preserve">“tune the classifier and</w:t>
      </w:r>
      <w:r>
        <w:t xml:space="preserve"> </w:t>
      </w:r>
      <w:r>
        <w:t xml:space="preserve">respond to escalations.”</w:t>
      </w:r>
      <w:r>
        <w:t xml:space="preserve"> </w:t>
      </w:r>
      <w:r>
        <w:t xml:space="preserve">Most drift is auto-remediated by the</w:t>
      </w:r>
      <w:r>
        <w:t xml:space="preserve"> </w:t>
      </w:r>
      <w:r>
        <w:t xml:space="preserve">adapter that detected it; only the human-judgment subset reaches</w:t>
      </w:r>
      <w:r>
        <w:t xml:space="preserve"> </w:t>
      </w:r>
      <w:r>
        <w:t xml:space="preserve">the SOC.</w:t>
      </w:r>
    </w:p>
    <w:bookmarkEnd w:id="37"/>
    <w:bookmarkStart w:id="38" w:name="what-changes-for-the-ao"/>
    <w:p>
      <w:pPr>
        <w:pStyle w:val="Heading2"/>
      </w:pPr>
      <w:r>
        <w:t xml:space="preserve">What changes for the AO</w:t>
      </w:r>
    </w:p>
    <w:p>
      <w:pPr>
        <w:pStyle w:val="FirstParagraph"/>
      </w:pPr>
      <w:r>
        <w:t xml:space="preserve">For the authorizing official, the substrate-level treatment of drift</w:t>
      </w:r>
      <w:r>
        <w:t xml:space="preserve"> </w:t>
      </w:r>
      <w:r>
        <w:t xml:space="preserve">delivers: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Visibility between audits</w:t>
      </w:r>
      <w:r>
        <w:t xml:space="preserve"> </w:t>
      </w:r>
      <w:r>
        <w:t xml:space="preserve">— drift findings are continuous, not</w:t>
      </w:r>
      <w:r>
        <w:t xml:space="preserve"> </w:t>
      </w:r>
      <w:r>
        <w:t xml:space="preserve">audit-cycle.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Deterministic severity</w:t>
      </w:r>
      <w:r>
        <w:t xml:space="preserve"> </w:t>
      </w:r>
      <w:r>
        <w:t xml:space="preserve">— the AO can rely on P1/P2/P3/P4</w:t>
      </w:r>
      <w:r>
        <w:t xml:space="preserve"> </w:t>
      </w:r>
      <w:r>
        <w:t xml:space="preserve">classification without re-evaluating.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Per-finding evidence</w:t>
      </w:r>
      <w:r>
        <w:t xml:space="preserve"> </w:t>
      </w:r>
      <w:r>
        <w:t xml:space="preserve">— every finding carries a remediation</w:t>
      </w:r>
      <w:r>
        <w:t xml:space="preserve"> </w:t>
      </w:r>
      <w:r>
        <w:t xml:space="preserve">contract with hash-verifiable provenance.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Trend analysis</w:t>
      </w:r>
      <w:r>
        <w:t xml:space="preserve"> </w:t>
      </w:r>
      <w:r>
        <w:t xml:space="preserve">— drift findings over time are a measurable</w:t>
      </w:r>
      <w:r>
        <w:t xml:space="preserve"> </w:t>
      </w:r>
      <w:r>
        <w:t xml:space="preserve">property of program health.</w:t>
      </w:r>
    </w:p>
    <w:p>
      <w:pPr>
        <w:pStyle w:val="FirstParagraph"/>
      </w:pPr>
      <w:r>
        <w:t xml:space="preserve">This changes the AO’s posture from periodic re-authorization to</w:t>
      </w:r>
      <w:r>
        <w:t xml:space="preserve"> </w:t>
      </w:r>
      <w:r>
        <w:t xml:space="preserve">continuous monitoring of a deterministic signal.</w:t>
      </w:r>
    </w:p>
    <w:bookmarkEnd w:id="38"/>
    <w:bookmarkStart w:id="39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14"/>
        </w:numPr>
      </w:pPr>
      <w:r>
        <w:t xml:space="preserve">Today, schema and provenance drift ship in CI; semantic,</w:t>
      </w:r>
      <w:r>
        <w:t xml:space="preserve"> </w:t>
      </w:r>
      <w:r>
        <w:t xml:space="preserve">authorization, and identity drift detection at runtime is partial</w:t>
      </w:r>
      <w:r>
        <w:t xml:space="preserve"> </w:t>
      </w:r>
      <w:r>
        <w:t xml:space="preserve">to design-only across the adapter fleet. Coverage is growing, not</w:t>
      </w:r>
      <w:r>
        <w:t xml:space="preserve"> </w:t>
      </w:r>
      <w:r>
        <w:t xml:space="preserve">complete.</w:t>
      </w:r>
    </w:p>
    <w:p>
      <w:pPr>
        <w:pStyle w:val="Compact"/>
        <w:numPr>
          <w:ilvl w:val="0"/>
          <w:numId w:val="1014"/>
        </w:numPr>
      </w:pPr>
      <w:r>
        <w:t xml:space="preserve">Auto-remediation is bounded to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 </w:t>
      </w:r>
      <w:r>
        <w:t xml:space="preserve">fixes. Drift that</w:t>
      </w:r>
      <w:r>
        <w:t xml:space="preserve"> </w:t>
      </w:r>
      <w:r>
        <w:t xml:space="preserve">requires human judgment escalates rather than auto-remediates.</w:t>
      </w:r>
    </w:p>
    <w:p>
      <w:pPr>
        <w:pStyle w:val="Compact"/>
        <w:numPr>
          <w:ilvl w:val="0"/>
          <w:numId w:val="1014"/>
        </w:numPr>
      </w:pPr>
      <w:r>
        <w:t xml:space="preserve">The substrate detects drift against canon. If canon is silently</w:t>
      </w:r>
      <w:r>
        <w:t xml:space="preserve"> </w:t>
      </w:r>
      <w:r>
        <w:t xml:space="preserve">wrong, the substrate will faithfully report no drift.</w:t>
      </w:r>
    </w:p>
    <w:bookmarkEnd w:id="39"/>
    <w:bookmarkStart w:id="40" w:name="key-takeaways-2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15"/>
        </w:numPr>
      </w:pPr>
      <w:r>
        <w:t xml:space="preserve">Drift is the primary governance threat, not a secondary concern.</w:t>
      </w:r>
    </w:p>
    <w:p>
      <w:pPr>
        <w:pStyle w:val="Compact"/>
        <w:numPr>
          <w:ilvl w:val="0"/>
          <w:numId w:val="1015"/>
        </w:numPr>
      </w:pPr>
      <w:r>
        <w:t xml:space="preserve">The five-class taxonomy is canonical and deterministic.</w:t>
      </w:r>
    </w:p>
    <w:p>
      <w:pPr>
        <w:pStyle w:val="Compact"/>
        <w:numPr>
          <w:ilvl w:val="0"/>
          <w:numId w:val="1015"/>
        </w:numPr>
      </w:pPr>
      <w:r>
        <w:t xml:space="preserve">Detection ships today for SCHEMA + PROVENANCE in CI; runtime</w:t>
      </w:r>
      <w:r>
        <w:t xml:space="preserve"> </w:t>
      </w:r>
      <w:r>
        <w:t xml:space="preserve">detection of the other three is partial.</w:t>
      </w:r>
    </w:p>
    <w:p>
      <w:pPr>
        <w:pStyle w:val="Compact"/>
        <w:numPr>
          <w:ilvl w:val="0"/>
          <w:numId w:val="1015"/>
        </w:numPr>
      </w:pPr>
      <w:r>
        <w:t xml:space="preserve">The discipline is detect → classify → remediate via contract →</w:t>
      </w:r>
      <w:r>
        <w:t xml:space="preserve"> </w:t>
      </w:r>
      <w:r>
        <w:t xml:space="preserve">emit as evidence.</w:t>
      </w:r>
    </w:p>
    <w:p>
      <w:pPr>
        <w:pStyle w:val="Compact"/>
        <w:numPr>
          <w:ilvl w:val="0"/>
          <w:numId w:val="1015"/>
        </w:numPr>
      </w:pPr>
      <w:r>
        <w:t xml:space="preserve">For the AO, drift findings are a continuous signal between audits.</w:t>
      </w:r>
    </w:p>
    <w:bookmarkEnd w:id="40"/>
    <w:bookmarkStart w:id="41" w:name="related-documents-2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16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16"/>
        </w:numPr>
      </w:pPr>
      <w:r>
        <w:t xml:space="preserve">Chapter 4: Deterministic Governance</w:t>
      </w:r>
    </w:p>
    <w:p>
      <w:pPr>
        <w:pStyle w:val="Compact"/>
        <w:numPr>
          <w:ilvl w:val="0"/>
          <w:numId w:val="1016"/>
        </w:numPr>
      </w:pPr>
      <w:r>
        <w:t xml:space="preserve">Architecture Series — Drift Engine</w:t>
      </w:r>
    </w:p>
    <w:p>
      <w:pPr>
        <w:pStyle w:val="Compact"/>
        <w:numPr>
          <w:ilvl w:val="0"/>
          <w:numId w:val="1016"/>
        </w:numPr>
      </w:pPr>
      <w:r>
        <w:t xml:space="preserve">Drift Detection Standard (canon)</w:t>
      </w:r>
    </w:p>
    <w:bookmarkEnd w:id="41"/>
    <w:bookmarkEnd w:id="42"/>
    <w:bookmarkStart w:id="52" w:name="deterministic-governance"/>
    <w:p>
      <w:pPr>
        <w:pStyle w:val="Heading1"/>
      </w:pPr>
      <w:r>
        <w:t xml:space="preserve">Deterministic Governance</w:t>
      </w:r>
    </w:p>
    <w:bookmarkStart w:id="43" w:name="in-this-chapter-3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Deterministic governance is the substrate-level alternative to</w:t>
      </w:r>
      <w:r>
        <w:t xml:space="preserve"> </w:t>
      </w:r>
      <w:r>
        <w:t xml:space="preserve">attestation-based compliance. The defining property: given the same</w:t>
      </w:r>
      <w:r>
        <w:t xml:space="preserve"> </w:t>
      </w:r>
      <w:r>
        <w:t xml:space="preserve">canon and the same inputs, the substrate always produces the same</w:t>
      </w:r>
      <w:r>
        <w:t xml:space="preserve"> </w:t>
      </w:r>
      <w:r>
        <w:t xml:space="preserve">evidence — byte-for-byte. This chapter explains what determinism buys</w:t>
      </w:r>
      <w:r>
        <w:t xml:space="preserve"> </w:t>
      </w:r>
      <w:r>
        <w:t xml:space="preserve">operationally, why it is the response to the</w:t>
      </w:r>
      <w:r>
        <w:t xml:space="preserve"> </w:t>
      </w:r>
      <w:r>
        <w:t xml:space="preserve">compliance paradox and to</w:t>
      </w:r>
      <w:r>
        <w:t xml:space="preserve"> </w:t>
      </w:r>
      <w:r>
        <w:t xml:space="preserve">drift, and how the</w:t>
      </w:r>
      <w:r>
        <w:t xml:space="preserve"> </w:t>
      </w:r>
      <w:r>
        <w:t xml:space="preserve">substrate enforces it.</w:t>
      </w:r>
    </w:p>
    <w:bookmarkEnd w:id="43"/>
    <w:bookmarkStart w:id="44" w:name="what-deterministic-means-here"/>
    <w:p>
      <w:pPr>
        <w:pStyle w:val="Heading2"/>
      </w:pPr>
      <w:r>
        <w:t xml:space="preserve">What</w:t>
      </w:r>
      <w:r>
        <w:t xml:space="preserve"> </w:t>
      </w:r>
      <w:r>
        <w:t xml:space="preserve">“deterministic”</w:t>
      </w:r>
      <w:r>
        <w:t xml:space="preserve"> </w:t>
      </w:r>
      <w:r>
        <w:t xml:space="preserve">means here</w:t>
      </w:r>
    </w:p>
    <w:p>
      <w:pPr>
        <w:pStyle w:val="FirstParagraph"/>
      </w:pPr>
      <w:r>
        <w:t xml:space="preserve">Three properties characterize deterministic governance, distinct from</w:t>
      </w:r>
      <w:r>
        <w:t xml:space="preserve"> </w:t>
      </w:r>
      <w:r>
        <w:t xml:space="preserve">“automated”</w:t>
      </w:r>
      <w:r>
        <w:t xml:space="preserve"> </w:t>
      </w:r>
      <w:r>
        <w:t xml:space="preserve">governance: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Reproducibility.</w:t>
      </w:r>
      <w:r>
        <w:t xml:space="preserve"> </w:t>
      </w:r>
      <w:r>
        <w:t xml:space="preserve">Same canon, same inputs → same bundle.</w:t>
      </w:r>
      <w:r>
        <w:t xml:space="preserve"> </w:t>
      </w:r>
      <w:r>
        <w:t xml:space="preserve">Independent re-execution by an assessor is the test.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Provenance.</w:t>
      </w:r>
      <w:r>
        <w:t xml:space="preserve"> </w:t>
      </w:r>
      <w:r>
        <w:t xml:space="preserve">Every claim carries the full envelope (issuer,</w:t>
      </w:r>
      <w:r>
        <w:t xml:space="preserve"> </w:t>
      </w:r>
      <w:r>
        <w:t xml:space="preserve">classification, timestamps, lineage_hash) per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Hash-verifiable lineage.</w:t>
      </w:r>
      <w:r>
        <w:t xml:space="preserve"> </w:t>
      </w:r>
      <w:r>
        <w:t xml:space="preserve">Bundle hash is computed over</w:t>
      </w:r>
      <w:r>
        <w:t xml:space="preserve"> </w:t>
      </w:r>
      <w:r>
        <w:t xml:space="preserve">per-claim hashes; modification anywhere breaks the bundle hash.</w:t>
      </w:r>
    </w:p>
    <w:p>
      <w:pPr>
        <w:pStyle w:val="FirstParagraph"/>
      </w:pPr>
      <w:r>
        <w:t xml:space="preserve">Automation produces faster output. Determinism produces</w:t>
      </w:r>
      <w:r>
        <w:t xml:space="preserve"> </w:t>
      </w:r>
      <w:r>
        <w:rPr>
          <w:i/>
          <w:iCs/>
        </w:rPr>
        <w:t xml:space="preserve">the same</w:t>
      </w:r>
      <w:r>
        <w:t xml:space="preserve"> </w:t>
      </w:r>
      <w:r>
        <w:t xml:space="preserve">output regardless of who runs it or when. Only the second property</w:t>
      </w:r>
      <w:r>
        <w:t xml:space="preserve"> </w:t>
      </w:r>
      <w:r>
        <w:t xml:space="preserve">gives a 3PAO independent verification.</w:t>
      </w:r>
    </w:p>
    <w:p>
      <w:pPr>
        <w:pStyle w:val="BodyText"/>
      </w:pPr>
      <w:r>
        <w:rPr>
          <w:b/>
          <w:bCs/>
        </w:rPr>
        <w:t xml:space="preserve">At a glance — automation is not determinism: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Property</w:t>
            </w:r>
          </w:p>
        </w:tc>
        <w:tc>
          <w:tcPr/>
          <w:p>
            <w:pPr>
              <w:pStyle w:val="Compact"/>
            </w:pPr>
            <w:r>
              <w:t xml:space="preserve">Automation delivers</w:t>
            </w:r>
          </w:p>
        </w:tc>
        <w:tc>
          <w:tcPr/>
          <w:p>
            <w:pPr>
              <w:pStyle w:val="Compact"/>
            </w:pPr>
            <w:r>
              <w:t xml:space="preserve">Determinism delivers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Speed</w:t>
            </w:r>
          </w:p>
        </w:tc>
        <w:tc>
          <w:tcPr/>
          <w:p>
            <w:pPr>
              <w:pStyle w:val="Compact"/>
            </w:pPr>
            <w:r>
              <w:t xml:space="preserve">Faster output</w:t>
            </w:r>
          </w:p>
        </w:tc>
        <w:tc>
          <w:tcPr/>
          <w:p>
            <w:pPr>
              <w:pStyle w:val="Compact"/>
            </w:pPr>
            <w:r>
              <w:t xml:space="preserve">Faster 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Reproducibility</w:t>
            </w:r>
          </w:p>
        </w:tc>
        <w:tc>
          <w:tcPr/>
          <w:p>
            <w:pPr>
              <w:pStyle w:val="Compact"/>
            </w:pPr>
            <w:r>
              <w:t xml:space="preserve">Output may vary by run, operator, or time</w:t>
            </w:r>
          </w:p>
        </w:tc>
        <w:tc>
          <w:tcPr/>
          <w:p>
            <w:pPr>
              <w:pStyle w:val="Compact"/>
            </w:pPr>
            <w:r>
              <w:t xml:space="preserve">Same canon + inputs → same bundle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Full envelope on every claim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verification</w:t>
            </w:r>
          </w:p>
        </w:tc>
        <w:tc>
          <w:tcPr/>
          <w:p>
            <w:pPr>
              <w:pStyle w:val="Compact"/>
            </w:pPr>
            <w:r>
              <w:t xml:space="preserve">Not guaranteed</w:t>
            </w:r>
          </w:p>
        </w:tc>
        <w:tc>
          <w:tcPr/>
          <w:p>
            <w:pPr>
              <w:pStyle w:val="Compact"/>
            </w:pPr>
            <w:r>
              <w:t xml:space="preserve">A 3PAO re-runs and compares hashes</w:t>
            </w:r>
          </w:p>
        </w:tc>
      </w:tr>
    </w:tbl>
    <w:bookmarkEnd w:id="44"/>
    <w:bookmarkStart w:id="45" w:name="Xd85009c264e7c49a5850235e7c3bdad8948e360"/>
    <w:p>
      <w:pPr>
        <w:pStyle w:val="Heading2"/>
      </w:pPr>
      <w:r>
        <w:t xml:space="preserve">Why determinism is the response to the paradox</w:t>
      </w:r>
    </w:p>
    <w:p>
      <w:pPr>
        <w:pStyle w:val="FirstParagraph"/>
      </w:pPr>
      <w:r>
        <w:t xml:space="preserve">The compliance paradox emerges</w:t>
      </w:r>
      <w:r>
        <w:t xml:space="preserve"> </w:t>
      </w:r>
      <w:r>
        <w:t xml:space="preserve">because reported state and substrate state diverge between audit</w:t>
      </w:r>
      <w:r>
        <w:t xml:space="preserve"> </w:t>
      </w:r>
      <w:r>
        <w:t xml:space="preserve">cycles. Determinism collapses the cycle: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Re-running is cheap.</w:t>
      </w:r>
      <w:r>
        <w:t xml:space="preserve"> </w:t>
      </w:r>
      <w:r>
        <w:t xml:space="preserve">A 3PAO does not have to re-engage the</w:t>
      </w:r>
      <w:r>
        <w:t xml:space="preserve"> </w:t>
      </w:r>
      <w:r>
        <w:t xml:space="preserve">operator to re-execute; the substrate runs the assembly itself.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Drift findings are first-class.</w:t>
      </w:r>
      <w:r>
        <w:t xml:space="preserve"> </w:t>
      </w:r>
      <w:r>
        <w:t xml:space="preserve">Between audits, drift findings</w:t>
      </w:r>
      <w:r>
        <w:t xml:space="preserve"> </w:t>
      </w:r>
      <w:r>
        <w:t xml:space="preserve">are emitted continuously and carried into the bundle deterministically.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“snapshot rot.”</w:t>
      </w:r>
      <w:r>
        <w:t xml:space="preserve"> </w:t>
      </w:r>
      <w:r>
        <w:t xml:space="preserve">The bundle from yesterday is regeneratable</w:t>
      </w:r>
      <w:r>
        <w:t xml:space="preserve"> </w:t>
      </w:r>
      <w:r>
        <w:t xml:space="preserve">today, and the regeneration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verification.</w:t>
      </w:r>
    </w:p>
    <w:p>
      <w:pPr>
        <w:pStyle w:val="FirstParagraph"/>
      </w:pPr>
      <w:r>
        <w:t xml:space="preserve">The audit cycle stops being load-bearing for evidence freshness. It</w:t>
      </w:r>
      <w:r>
        <w:t xml:space="preserve"> </w:t>
      </w:r>
      <w:r>
        <w:t xml:space="preserve">becomes a review event for canon changes, ADR decisions, and program</w:t>
      </w:r>
      <w:r>
        <w:t xml:space="preserve"> </w:t>
      </w:r>
      <w:r>
        <w:t xml:space="preserve">posture — which is what an audit cycle should be.</w:t>
      </w:r>
    </w:p>
    <w:bookmarkEnd w:id="45"/>
    <w:bookmarkStart w:id="46" w:name="X0a50a626e4ecf0c5e4d6144a1bc5a1d78903d2d"/>
    <w:p>
      <w:pPr>
        <w:pStyle w:val="Heading2"/>
      </w:pPr>
      <w:r>
        <w:t xml:space="preserve">What determinism is the response to in the drift model</w:t>
      </w:r>
    </w:p>
    <w:p>
      <w:pPr>
        <w:pStyle w:val="FirstParagraph"/>
      </w:pPr>
      <w:r>
        <w:t xml:space="preserve">Drift is detected, classified, and remediated through canonical</w:t>
      </w:r>
      <w:r>
        <w:t xml:space="preserve"> </w:t>
      </w:r>
      <w:r>
        <w:t xml:space="preserve">contracts. Determinism makes those contracts</w:t>
      </w:r>
      <w:r>
        <w:t xml:space="preserve"> </w:t>
      </w:r>
      <w:r>
        <w:rPr>
          <w:i/>
          <w:iCs/>
        </w:rPr>
        <w:t xml:space="preserve">evidence</w:t>
      </w:r>
      <w:r>
        <w:t xml:space="preserve">:</w:t>
      </w:r>
    </w:p>
    <w:p>
      <w:pPr>
        <w:pStyle w:val="Compact"/>
        <w:numPr>
          <w:ilvl w:val="0"/>
          <w:numId w:val="1019"/>
        </w:numPr>
      </w:pPr>
      <w:r>
        <w:t xml:space="preserve">A remediation contract emitted at time T is part of the bundle for</w:t>
      </w:r>
      <w:r>
        <w:t xml:space="preserve"> </w:t>
      </w:r>
      <w:r>
        <w:t xml:space="preserve">any window covering T.</w:t>
      </w:r>
    </w:p>
    <w:p>
      <w:pPr>
        <w:pStyle w:val="Compact"/>
        <w:numPr>
          <w:ilvl w:val="0"/>
          <w:numId w:val="1019"/>
        </w:numPr>
      </w:pPr>
      <w:r>
        <w:t xml:space="preserve">Re-running the bundle for that window months later produces the</w:t>
      </w:r>
      <w:r>
        <w:t xml:space="preserve"> </w:t>
      </w:r>
      <w:r>
        <w:t xml:space="preserve">same contract record, byte-identical.</w:t>
      </w:r>
    </w:p>
    <w:p>
      <w:pPr>
        <w:pStyle w:val="Compact"/>
        <w:numPr>
          <w:ilvl w:val="0"/>
          <w:numId w:val="1019"/>
        </w:numPr>
      </w:pPr>
      <w:r>
        <w:t xml:space="preserve">The AO can verify the program responded to drift correctly</w:t>
      </w:r>
      <w:r>
        <w:t xml:space="preserve"> </w:t>
      </w:r>
      <w:r>
        <w:rPr>
          <w:i/>
          <w:iCs/>
        </w:rPr>
        <w:t xml:space="preserve">by</w:t>
      </w:r>
      <w:r>
        <w:rPr>
          <w:i/>
          <w:iCs/>
        </w:rPr>
        <w:t xml:space="preserve"> </w:t>
      </w:r>
      <w:r>
        <w:rPr>
          <w:i/>
          <w:iCs/>
        </w:rPr>
        <w:t xml:space="preserve">re-executing</w:t>
      </w:r>
      <w:r>
        <w:t xml:space="preserve">, not by reading a narrative.</w:t>
      </w:r>
    </w:p>
    <w:p>
      <w:pPr>
        <w:pStyle w:val="FirstParagraph"/>
      </w:pPr>
      <w:r>
        <w:t xml:space="preserve">This is why drift detection without determinism is incomplete: the</w:t>
      </w:r>
      <w:r>
        <w:t xml:space="preserve"> </w:t>
      </w:r>
      <w:r>
        <w:t xml:space="preserve">findings exist but are not assessor-reproducible.</w:t>
      </w:r>
    </w:p>
    <w:bookmarkEnd w:id="46"/>
    <w:bookmarkStart w:id="47" w:name="how-the-substrate-enforces-it"/>
    <w:p>
      <w:pPr>
        <w:pStyle w:val="Heading2"/>
      </w:pPr>
      <w:r>
        <w:t xml:space="preserve">How the substrate enforces it</w:t>
      </w:r>
    </w:p>
    <w:p>
      <w:pPr>
        <w:pStyle w:val="FirstParagraph"/>
      </w:pPr>
      <w:r>
        <w:t xml:space="preserve">the program decision</w:t>
      </w:r>
      <w:r>
        <w:t xml:space="preserve"> </w:t>
      </w:r>
      <w:r>
        <w:t xml:space="preserve">declares the four properties evidence emission must satisfy: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No silent drops.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Append-only writes.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Ordered records.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Idempotent ingestion.</w:t>
      </w:r>
    </w:p>
    <w:p>
      <w:pPr>
        <w:pStyle w:val="FirstParagraph"/>
      </w:pPr>
      <w:r>
        <w:t xml:space="preserve">the program decision</w:t>
      </w:r>
      <w:r>
        <w:t xml:space="preserve"> </w:t>
      </w:r>
      <w:r>
        <w:t xml:space="preserve">declares the bundle lifecycle: assemble → seal → submit → close.</w:t>
      </w:r>
      <w:r>
        <w:t xml:space="preserve"> </w:t>
      </w:r>
      <w:r>
        <w:t xml:space="preserve">Once sealed, the bundle is immutable; updates produce new bundles</w:t>
      </w:r>
      <w:r>
        <w:t xml:space="preserve"> </w:t>
      </w:r>
      <w:r>
        <w:t xml:space="preserve">that supersede prior ones with explicit provenance.</w:t>
      </w:r>
    </w:p>
    <w:p>
      <w:pPr>
        <w:pStyle w:val="BodyText"/>
      </w:pPr>
      <w:r>
        <w:t xml:space="preserve">Together these constrain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OSCAL emission the substrate makes.</w:t>
      </w:r>
      <w:r>
        <w:t xml:space="preserve"> </w:t>
      </w:r>
      <w:r>
        <w:t xml:space="preserve">SSP, POA&amp;M, KSI dashboard entries, Component Definition records — all</w:t>
      </w:r>
      <w:r>
        <w:t xml:space="preserve"> </w:t>
      </w:r>
      <w:r>
        <w:t xml:space="preserve">emerge from the same deterministic pipeline.</w:t>
      </w:r>
    </w:p>
    <w:bookmarkEnd w:id="47"/>
    <w:bookmarkStart w:id="48" w:name="what-changes-for-the-program"/>
    <w:p>
      <w:pPr>
        <w:pStyle w:val="Heading2"/>
      </w:pPr>
      <w:r>
        <w:t xml:space="preserve">What changes for the program</w:t>
      </w:r>
    </w:p>
    <w:p>
      <w:pPr>
        <w:pStyle w:val="FirstParagraph"/>
      </w:pPr>
      <w:r>
        <w:t xml:space="preserve">For program leadership, three operational properties: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Evidence is regenerable.</w:t>
      </w:r>
      <w:r>
        <w:t xml:space="preserve"> </w:t>
      </w:r>
      <w:r>
        <w:t xml:space="preserve">The program does not have to preserve</w:t>
      </w:r>
      <w:r>
        <w:t xml:space="preserve"> </w:t>
      </w:r>
      <w:r>
        <w:t xml:space="preserve">point-in-time bundles forever; they can be recreated from canon</w:t>
      </w:r>
      <w:r>
        <w:t xml:space="preserve"> </w:t>
      </w:r>
      <w:r>
        <w:t xml:space="preserve">plus archived inputs.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Vendor lock-in shrinks.</w:t>
      </w:r>
      <w:r>
        <w:t xml:space="preserve"> </w:t>
      </w:r>
      <w:r>
        <w:t xml:space="preserve">The substrate’s deterministic emissions</w:t>
      </w:r>
      <w:r>
        <w:t xml:space="preserve"> </w:t>
      </w:r>
      <w:r>
        <w:t xml:space="preserve">do not depend on the vendor’s GRC tool to assemble them.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Post-incident reconstruction is cheap.</w:t>
      </w:r>
      <w:r>
        <w:t xml:space="preserve"> </w:t>
      </w:r>
      <w:r>
        <w:t xml:space="preserve">A 3PAO investigating a</w:t>
      </w:r>
      <w:r>
        <w:t xml:space="preserve"> </w:t>
      </w:r>
      <w:r>
        <w:t xml:space="preserve">past period can regenerate the evidence for that period without</w:t>
      </w:r>
      <w:r>
        <w:t xml:space="preserve"> </w:t>
      </w:r>
      <w:r>
        <w:t xml:space="preserve">the original team’s involvement.</w:t>
      </w:r>
    </w:p>
    <w:p>
      <w:pPr>
        <w:pStyle w:val="BlockText"/>
      </w:pPr>
      <w:r>
        <w:rPr>
          <w:b/>
          <w:bCs/>
        </w:rPr>
        <w:t xml:space="preserve">For the AO, the operational property is simpler: independent</w:t>
      </w:r>
      <w:r>
        <w:rPr>
          <w:b/>
          <w:bCs/>
        </w:rPr>
        <w:t xml:space="preserve"> </w:t>
      </w:r>
      <w:r>
        <w:rPr>
          <w:b/>
          <w:bCs/>
        </w:rPr>
        <w:t xml:space="preserve">verification is a re-run, not an interview.</w:t>
      </w:r>
    </w:p>
    <w:bookmarkEnd w:id="48"/>
    <w:bookmarkStart w:id="49" w:name="honest-limits-1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22"/>
        </w:numPr>
      </w:pPr>
      <w:r>
        <w:t xml:space="preserve">Determinism applies to the evidence layer. Canon correctness is a</w:t>
      </w:r>
      <w:r>
        <w:t xml:space="preserve"> </w:t>
      </w:r>
      <w:r>
        <w:t xml:space="preserve">separate concern; the substrate is faithful to canon, not a check</w:t>
      </w:r>
      <w:r>
        <w:t xml:space="preserve"> </w:t>
      </w:r>
      <w:r>
        <w:t xml:space="preserve">on canon.</w:t>
      </w:r>
    </w:p>
    <w:p>
      <w:pPr>
        <w:pStyle w:val="Compact"/>
        <w:numPr>
          <w:ilvl w:val="0"/>
          <w:numId w:val="1022"/>
        </w:numPr>
      </w:pPr>
      <w:r>
        <w:t xml:space="preserve">Continuous event-time capture across all adapters is target state.</w:t>
      </w:r>
      <w:r>
        <w:t xml:space="preserve"> </w:t>
      </w:r>
      <w:r>
        <w:t xml:space="preserve">Adapters that ship interval evidence today (e.g. ScubaGear) are</w:t>
      </w:r>
      <w:r>
        <w:t xml:space="preserve"> </w:t>
      </w:r>
      <w:r>
        <w:t xml:space="preserve">deterministic per interval; continuous deterministic capture is</w:t>
      </w:r>
      <w:r>
        <w:t xml:space="preserve"> </w:t>
      </w:r>
      <w:r>
        <w:t xml:space="preserve">engineering ahead.</w:t>
      </w:r>
    </w:p>
    <w:p>
      <w:pPr>
        <w:pStyle w:val="Compact"/>
        <w:numPr>
          <w:ilvl w:val="0"/>
          <w:numId w:val="1022"/>
        </w:numPr>
      </w:pPr>
      <w:r>
        <w:t xml:space="preserve">Deterministic regeneration depends on archiving the inputs alongside</w:t>
      </w:r>
      <w:r>
        <w:t xml:space="preserve"> </w:t>
      </w:r>
      <w:r>
        <w:t xml:space="preserve">the canon version. Programs that discard inputs after assembly lose</w:t>
      </w:r>
      <w:r>
        <w:t xml:space="preserve"> </w:t>
      </w:r>
      <w:r>
        <w:t xml:space="preserve">the regeneration property.</w:t>
      </w:r>
    </w:p>
    <w:bookmarkEnd w:id="49"/>
    <w:bookmarkStart w:id="50" w:name="key-takeaways-3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23"/>
        </w:numPr>
      </w:pPr>
      <w:r>
        <w:t xml:space="preserve">Determinism is the response to both the compliance paradox and the</w:t>
      </w:r>
      <w:r>
        <w:t xml:space="preserve"> </w:t>
      </w:r>
      <w:r>
        <w:t xml:space="preserve">drift problem.</w:t>
      </w:r>
    </w:p>
    <w:p>
      <w:pPr>
        <w:pStyle w:val="Compact"/>
        <w:numPr>
          <w:ilvl w:val="0"/>
          <w:numId w:val="1023"/>
        </w:numPr>
      </w:pPr>
      <w:r>
        <w:t xml:space="preserve">It is reproducibility + provenance + hash-verifiable lineage —</w:t>
      </w:r>
      <w:r>
        <w:t xml:space="preserve"> </w:t>
      </w:r>
      <w:r>
        <w:t xml:space="preserve">three properties, not just automation.</w:t>
      </w:r>
    </w:p>
    <w:p>
      <w:pPr>
        <w:pStyle w:val="Compact"/>
        <w:numPr>
          <w:ilvl w:val="0"/>
          <w:numId w:val="1023"/>
        </w:numPr>
      </w:pPr>
      <w:r>
        <w:t xml:space="preserve">the program decision + the program decision constrain every OSCAL emission to the</w:t>
      </w:r>
      <w:r>
        <w:t xml:space="preserve"> </w:t>
      </w:r>
      <w:r>
        <w:t xml:space="preserve">deterministic contract.</w:t>
      </w:r>
    </w:p>
    <w:p>
      <w:pPr>
        <w:pStyle w:val="Compact"/>
        <w:numPr>
          <w:ilvl w:val="0"/>
          <w:numId w:val="1023"/>
        </w:numPr>
      </w:pPr>
      <w:r>
        <w:t xml:space="preserve">For the AO, independent verification becomes a re-run.</w:t>
      </w:r>
    </w:p>
    <w:p>
      <w:pPr>
        <w:pStyle w:val="Compact"/>
        <w:numPr>
          <w:ilvl w:val="0"/>
          <w:numId w:val="1023"/>
        </w:numPr>
      </w:pPr>
      <w:r>
        <w:t xml:space="preserve">Honest limit: determinism is faithful to canon; canon correctness is</w:t>
      </w:r>
      <w:r>
        <w:t xml:space="preserve"> </w:t>
      </w:r>
      <w:r>
        <w:t xml:space="preserve">a separate (and primary) concern.</w:t>
      </w:r>
    </w:p>
    <w:bookmarkEnd w:id="50"/>
    <w:bookmarkStart w:id="51" w:name="related-documents-3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24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24"/>
        </w:numPr>
      </w:pPr>
      <w:r>
        <w:t xml:space="preserve">Chapter 6: Evidence over Attestation</w:t>
      </w:r>
    </w:p>
    <w:p>
      <w:pPr>
        <w:pStyle w:val="Compact"/>
        <w:numPr>
          <w:ilvl w:val="0"/>
          <w:numId w:val="1024"/>
        </w:numPr>
      </w:pPr>
      <w:r>
        <w:t xml:space="preserve">Architecture Series — Evidence Chain</w:t>
      </w:r>
    </w:p>
    <w:p>
      <w:pPr>
        <w:pStyle w:val="Compact"/>
        <w:numPr>
          <w:ilvl w:val="0"/>
          <w:numId w:val="1024"/>
        </w:numPr>
      </w:pPr>
      <w:r>
        <w:t xml:space="preserve">the program decision: Evidence Determinism</w:t>
      </w:r>
    </w:p>
    <w:p>
      <w:pPr>
        <w:pStyle w:val="Compact"/>
        <w:numPr>
          <w:ilvl w:val="0"/>
          <w:numId w:val="1024"/>
        </w:numPr>
      </w:pPr>
      <w:r>
        <w:t xml:space="preserve">the program decision: Evidence Bundle Lifecycle</w:t>
      </w:r>
    </w:p>
    <w:bookmarkEnd w:id="51"/>
    <w:bookmarkEnd w:id="52"/>
    <w:bookmarkStart w:id="63" w:name="the-adapter-model"/>
    <w:p>
      <w:pPr>
        <w:pStyle w:val="Heading1"/>
      </w:pPr>
      <w:r>
        <w:t xml:space="preserve">The Adapter Model</w:t>
      </w:r>
    </w:p>
    <w:bookmarkStart w:id="53" w:name="in-this-chapter-4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The Federal Modernization Program adapter is the substrate’s mechanism for</w:t>
      </w:r>
      <w:r>
        <w:t xml:space="preserve"> </w:t>
      </w:r>
      <w:r>
        <w:rPr>
          <w:b/>
          <w:bCs/>
        </w:rPr>
        <w:t xml:space="preserve">bringing tools and</w:t>
      </w:r>
      <w:r>
        <w:rPr>
          <w:b/>
          <w:bCs/>
        </w:rPr>
        <w:t xml:space="preserve"> </w:t>
      </w:r>
      <w:r>
        <w:rPr>
          <w:b/>
          <w:bCs/>
        </w:rPr>
        <w:t xml:space="preserve">control planes into a canonical governance surface</w:t>
      </w:r>
      <w:r>
        <w:t xml:space="preserve"> </w:t>
      </w:r>
      <w:r>
        <w:t xml:space="preserve">without absorbing</w:t>
      </w:r>
      <w:r>
        <w:t xml:space="preserve"> </w:t>
      </w:r>
      <w:r>
        <w:t xml:space="preserve">their idiosyncrasies into canon. This chapter explains the dual-axis</w:t>
      </w:r>
      <w:r>
        <w:t xml:space="preserve"> </w:t>
      </w:r>
      <w:r>
        <w:t xml:space="preserve">taxonomy that makes adapters governable, the two-registry model that</w:t>
      </w:r>
      <w:r>
        <w:t xml:space="preserve"> </w:t>
      </w:r>
      <w:r>
        <w:t xml:space="preserve">keeps modernization separate from conformance, and the canon</w:t>
      </w:r>
      <w:r>
        <w:t xml:space="preserve"> </w:t>
      </w:r>
      <w:r>
        <w:t xml:space="preserve">invariants that constrain every adapter regardless of vendor.</w:t>
      </w:r>
    </w:p>
    <w:bookmarkEnd w:id="53"/>
    <w:bookmarkStart w:id="54" w:name="the-dual-axis-taxonomy"/>
    <w:p>
      <w:pPr>
        <w:pStyle w:val="Heading2"/>
      </w:pPr>
      <w:r>
        <w:t xml:space="preserve">The dual-axis taxonomy</w:t>
      </w:r>
    </w:p>
    <w:p>
      <w:pPr>
        <w:pStyle w:val="FirstParagraph"/>
      </w:pPr>
      <w:r>
        <w:t xml:space="preserve">Per FMP_003, every adapter declares two attributes:</w:t>
      </w:r>
    </w:p>
    <w:p>
      <w:pPr>
        <w:pStyle w:val="Compact"/>
        <w:numPr>
          <w:ilvl w:val="0"/>
          <w:numId w:val="1025"/>
        </w:numPr>
      </w:pPr>
      <w:r>
        <w:rPr>
          <w:rStyle w:val="VerbatimChar"/>
          <w:b/>
          <w:bCs/>
        </w:rPr>
        <w:t xml:space="preserve">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modernization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conformance</w:t>
      </w:r>
      <w:r>
        <w:t xml:space="preserve">.</w:t>
      </w:r>
    </w:p>
    <w:p>
      <w:pPr>
        <w:pStyle w:val="Compact"/>
        <w:numPr>
          <w:ilvl w:val="1"/>
          <w:numId w:val="1026"/>
        </w:numPr>
      </w:pPr>
      <w:r>
        <w:rPr>
          <w:i/>
          <w:iCs/>
        </w:rPr>
        <w:t xml:space="preserve">Modernization</w:t>
      </w:r>
      <w:r>
        <w:t xml:space="preserve"> </w:t>
      </w:r>
      <w:r>
        <w:t xml:space="preserve">adapters are change-making. They mutate state in</w:t>
      </w:r>
      <w:r>
        <w:t xml:space="preserve"> </w:t>
      </w:r>
      <w:r>
        <w:t xml:space="preserve">pursuit of a target architecture (e.g. moving identities from AD</w:t>
      </w:r>
      <w:r>
        <w:t xml:space="preserve"> </w:t>
      </w:r>
      <w:r>
        <w:t xml:space="preserve">to Entra ID, reshaping the addressing plane).</w:t>
      </w:r>
    </w:p>
    <w:p>
      <w:pPr>
        <w:pStyle w:val="Compact"/>
        <w:numPr>
          <w:ilvl w:val="1"/>
          <w:numId w:val="1026"/>
        </w:numPr>
      </w:pPr>
      <w:r>
        <w:rPr>
          <w:i/>
          <w:iCs/>
        </w:rPr>
        <w:t xml:space="preserve">Conformance</w:t>
      </w:r>
      <w:r>
        <w:t xml:space="preserve"> </w:t>
      </w:r>
      <w:r>
        <w:t xml:space="preserve">adapters are read-only. They observe state and emit</w:t>
      </w:r>
      <w:r>
        <w:t xml:space="preserve"> </w:t>
      </w:r>
      <w:r>
        <w:t xml:space="preserve">canonical claims; they do not mutate.</w:t>
      </w:r>
    </w:p>
    <w:p>
      <w:pPr>
        <w:pStyle w:val="Compact"/>
        <w:numPr>
          <w:ilvl w:val="0"/>
          <w:numId w:val="1025"/>
        </w:numPr>
      </w:pPr>
      <w:r>
        <w:rPr>
          <w:rStyle w:val="VerbatimChar"/>
          <w:b/>
          <w:bCs/>
        </w:rPr>
        <w:t xml:space="preserve">mission-class</w:t>
      </w:r>
      <w:r>
        <w:t xml:space="preserve">: one of</w:t>
      </w:r>
      <w:r>
        <w:t xml:space="preserve"> </w:t>
      </w:r>
      <w:r>
        <w:rPr>
          <w:rStyle w:val="VerbatimChar"/>
        </w:rPr>
        <w:t xml:space="preserve">identity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telemetry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enforcement</w:t>
      </w:r>
      <w:r>
        <w:t xml:space="preserve">, or</w:t>
      </w:r>
      <w:r>
        <w:t xml:space="preserve"> </w:t>
      </w:r>
      <w:r>
        <w:rPr>
          <w:rStyle w:val="VerbatimChar"/>
        </w:rPr>
        <w:t xml:space="preserve">integration</w:t>
      </w:r>
      <w:r>
        <w:t xml:space="preserve">. Each adapter belongs to exactly</w:t>
      </w:r>
      <w:r>
        <w:t xml:space="preserve"> </w:t>
      </w:r>
      <w:r>
        <w:t xml:space="preserve">one mission class — the canonical concern it primarily serves.</w:t>
      </w:r>
    </w:p>
    <w:p>
      <w:pPr>
        <w:pStyle w:val="FirstParagraph"/>
      </w:pPr>
      <w:r>
        <w:t xml:space="preserve">The cross-product yields a 2×5 matrix. Every adapter lands in exactly</w:t>
      </w:r>
      <w:r>
        <w:t xml:space="preserve"> </w:t>
      </w:r>
      <w:r>
        <w:t xml:space="preserve">one cell. The taxonomy is canonical (declared in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modernization-registry.yaml</w:t>
      </w:r>
      <w:r>
        <w:t xml:space="preserve">)</w:t>
      </w:r>
      <w:r>
        <w:t xml:space="preserve"> </w:t>
      </w:r>
      <w:r>
        <w:t xml:space="preserve">and validated in CI by</w:t>
      </w:r>
      <w:r>
        <w:t xml:space="preserve"> </w:t>
      </w:r>
      <w:r>
        <w:rPr>
          <w:rStyle w:val="VerbatimChar"/>
        </w:rPr>
        <w:t xml:space="preserve">adapter-conformance.yml</w:t>
      </w:r>
      <w:r>
        <w:t xml:space="preserve">.</w:t>
      </w:r>
    </w:p>
    <w:bookmarkEnd w:id="54"/>
    <w:bookmarkStart w:id="55" w:name="why-two-registries"/>
    <w:p>
      <w:pPr>
        <w:pStyle w:val="Heading2"/>
      </w:pPr>
      <w:r>
        <w:t xml:space="preserve">Why two registries</w:t>
      </w:r>
    </w:p>
    <w:p>
      <w:pPr>
        <w:pStyle w:val="FirstParagraph"/>
      </w:pPr>
      <w:r>
        <w:t xml:space="preserve">The two registries are not bureaucratic. They reflect a substrate</w:t>
      </w:r>
      <w:r>
        <w:t xml:space="preserve"> </w:t>
      </w:r>
      <w:r>
        <w:t xml:space="preserve">invariant:</w:t>
      </w:r>
      <w:r>
        <w:t xml:space="preserve"> </w:t>
      </w:r>
      <w:r>
        <w:rPr>
          <w:b/>
          <w:bCs/>
        </w:rPr>
        <w:t xml:space="preserve">conformance adapters must not mutate state</w:t>
      </w:r>
      <w:r>
        <w:t xml:space="preserve">. A</w:t>
      </w:r>
      <w:r>
        <w:t xml:space="preserve"> </w:t>
      </w:r>
      <w:r>
        <w:rPr>
          <w:rStyle w:val="VerbatimChar"/>
        </w:rPr>
        <w:t xml:space="preserve">conformance</w:t>
      </w:r>
      <w:r>
        <w:t xml:space="preserve"> </w:t>
      </w:r>
      <w:r>
        <w:t xml:space="preserve">entry in the wrong registry would silently violate the</w:t>
      </w:r>
      <w:r>
        <w:t xml:space="preserve"> </w:t>
      </w:r>
      <w:r>
        <w:t xml:space="preserve">SSOT principle, so the canon enforces the separation by</w:t>
      </w:r>
      <w:r>
        <w:t xml:space="preserve"> </w:t>
      </w:r>
      <w:r>
        <w:rPr>
          <w:i/>
          <w:iCs/>
        </w:rPr>
        <w:t xml:space="preserve">file</w:t>
      </w:r>
      <w:r>
        <w:t xml:space="preserve">, not by</w:t>
      </w:r>
      <w:r>
        <w:t xml:space="preserve"> </w:t>
      </w:r>
      <w:r>
        <w:t xml:space="preserve">field.</w:t>
      </w:r>
    </w:p>
    <w:p>
      <w:pPr>
        <w:pStyle w:val="BlockText"/>
      </w:pPr>
      <w:r>
        <w:rPr>
          <w:b/>
          <w:bCs/>
        </w:rPr>
        <w:t xml:space="preserve">The separation is enforced by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file</w:t>
      </w:r>
      <w:r>
        <w:rPr>
          <w:b/>
          <w:bCs/>
        </w:rPr>
        <w:t xml:space="preserve">, not by field</w:t>
      </w:r>
      <w:r>
        <w:t xml:space="preserve"> </w:t>
      </w:r>
      <w:r>
        <w:t xml:space="preserve">— so a reviewer can</w:t>
      </w:r>
      <w:r>
        <w:t xml:space="preserve"> </w:t>
      </w:r>
      <w:r>
        <w:t xml:space="preserve">verify the invariant before reading a single line of adapter code.</w:t>
      </w:r>
    </w:p>
    <w:p>
      <w:pPr>
        <w:pStyle w:val="FirstParagraph"/>
      </w:pPr>
      <w:r>
        <w:t xml:space="preserve">Operationally:</w:t>
      </w:r>
    </w:p>
    <w:p>
      <w:pPr>
        <w:pStyle w:val="Compact"/>
        <w:numPr>
          <w:ilvl w:val="0"/>
          <w:numId w:val="1027"/>
        </w:numPr>
      </w:pPr>
      <w:r>
        <w:t xml:space="preserve">A vendor-supplied policy assessor (ScubaGear) ships as a</w:t>
      </w:r>
      <w:r>
        <w:t xml:space="preserve"> </w:t>
      </w:r>
      <w:r>
        <w:rPr>
          <w:rStyle w:val="VerbatimChar"/>
        </w:rPr>
        <w:t xml:space="preserve">conformance / policy</w:t>
      </w:r>
      <w:r>
        <w:t xml:space="preserve"> </w:t>
      </w:r>
      <w:r>
        <w:t xml:space="preserve">adapter. It observes M365 state and emits</w:t>
      </w:r>
      <w:r>
        <w:t xml:space="preserve"> </w:t>
      </w:r>
      <w:r>
        <w:t xml:space="preserve">canonical claims. It cannot mutate the tenant.</w:t>
      </w:r>
    </w:p>
    <w:p>
      <w:pPr>
        <w:pStyle w:val="Compact"/>
        <w:numPr>
          <w:ilvl w:val="0"/>
          <w:numId w:val="1027"/>
        </w:numPr>
      </w:pPr>
      <w:r>
        <w:t xml:space="preserve">A directory-migration adapter (bluecat-address-manager) ships as a</w:t>
      </w:r>
      <w:r>
        <w:t xml:space="preserve"> </w:t>
      </w:r>
      <w:r>
        <w:rPr>
          <w:rStyle w:val="VerbatimChar"/>
        </w:rPr>
        <w:t xml:space="preserve">modernization / identity</w:t>
      </w:r>
      <w:r>
        <w:t xml:space="preserve"> </w:t>
      </w:r>
      <w:r>
        <w:t xml:space="preserve">adapter. It is</w:t>
      </w:r>
      <w:r>
        <w:t xml:space="preserve"> </w:t>
      </w:r>
      <w:r>
        <w:rPr>
          <w:i/>
          <w:iCs/>
        </w:rPr>
        <w:t xml:space="preserve">expected</w:t>
      </w:r>
      <w:r>
        <w:t xml:space="preserve"> </w:t>
      </w:r>
      <w:r>
        <w:t xml:space="preserve">to mutate state;</w:t>
      </w:r>
      <w:r>
        <w:t xml:space="preserve"> </w:t>
      </w:r>
      <w:r>
        <w:t xml:space="preserve">the modernization registry is the file that grants that authority.</w:t>
      </w:r>
    </w:p>
    <w:p>
      <w:pPr>
        <w:pStyle w:val="FirstParagraph"/>
      </w:pPr>
      <w:r>
        <w:t xml:space="preserve">A reviewer auditing a PR can check the file-level invariant before</w:t>
      </w:r>
      <w:r>
        <w:t xml:space="preserve"> </w:t>
      </w:r>
      <w:r>
        <w:t xml:space="preserve">reading any code: a conformance adapter editing the modernization</w:t>
      </w:r>
      <w:r>
        <w:t xml:space="preserve"> </w:t>
      </w:r>
      <w:r>
        <w:t xml:space="preserve">registry is a structural error.</w:t>
      </w:r>
    </w:p>
    <w:p>
      <w:pPr>
        <w:pStyle w:val="BodyText"/>
      </w:pPr>
      <w:r>
        <w:rPr>
          <w:b/>
          <w:bCs/>
        </w:rPr>
        <w:t xml:space="preserve">At a glance — the two registries: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Conformance adapter</w:t>
            </w:r>
          </w:p>
        </w:tc>
        <w:tc>
          <w:tcPr/>
          <w:p>
            <w:pPr>
              <w:pStyle w:val="Compact"/>
            </w:pPr>
            <w:r>
              <w:t xml:space="preserve">Modernization adapter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ScubaGear (</w:t>
            </w:r>
            <w:r>
              <w:rPr>
                <w:rStyle w:val="VerbatimChar"/>
              </w:rPr>
              <w:t xml:space="preserve">conformance / policy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bluecat-address-manager (</w:t>
            </w:r>
            <w:r>
              <w:rPr>
                <w:rStyle w:val="VerbatimChar"/>
              </w:rPr>
              <w:t xml:space="preserve">modernization / identity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</w:t>
            </w:r>
          </w:p>
        </w:tc>
        <w:tc>
          <w:tcPr/>
          <w:p>
            <w:pPr>
              <w:pStyle w:val="Compact"/>
            </w:pPr>
            <w:r>
              <w:t xml:space="preserve">Observes state, emits canonical claims</w:t>
            </w:r>
          </w:p>
        </w:tc>
        <w:tc>
          <w:tcPr/>
          <w:p>
            <w:pPr>
              <w:pStyle w:val="Compact"/>
            </w:pPr>
            <w:r>
              <w:t xml:space="preserve">Mutates state toward a target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SSOT mutation</w:t>
            </w:r>
          </w:p>
        </w:tc>
        <w:tc>
          <w:tcPr/>
          <w:p>
            <w:pPr>
              <w:pStyle w:val="Compact"/>
            </w:pPr>
            <w:r>
              <w:t xml:space="preserve">Never</w:t>
            </w:r>
          </w:p>
        </w:tc>
        <w:tc>
          <w:tcPr/>
          <w:p>
            <w:pPr>
              <w:pStyle w:val="Compact"/>
            </w:pPr>
            <w:r>
              <w:t xml:space="preserve">Governed by canonical change records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Registry file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adapter-registry.yaml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modernization-registry.yaml</w:t>
            </w:r>
          </w:p>
        </w:tc>
      </w:tr>
    </w:tbl>
    <w:bookmarkEnd w:id="55"/>
    <w:bookmarkStart w:id="56" w:name="canon-invariants-every-adapter-inherits"/>
    <w:p>
      <w:pPr>
        <w:pStyle w:val="Heading2"/>
      </w:pPr>
      <w:r>
        <w:t xml:space="preserve">Canon invariants every adapter inherits</w:t>
      </w:r>
    </w:p>
    <w:p>
      <w:pPr>
        <w:pStyle w:val="FirstParagraph"/>
      </w:pPr>
      <w:r>
        <w:t xml:space="preserve">Every adapter, regardless of class, inherits four canon invariants: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Invariant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gcc-boundary: gcc-moderate</w:t>
            </w:r>
          </w:p>
        </w:tc>
        <w:tc>
          <w:tcPr/>
          <w:p>
            <w:pPr>
              <w:pStyle w:val="Compact"/>
            </w:pPr>
            <w:r>
              <w:t xml:space="preserve">Adapter operates within the GCC-Moderate authorization boundary (or a named exception per the program decision)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ssot-mutation: never</w:t>
            </w:r>
            <w:r>
              <w:t xml:space="preserve"> </w:t>
            </w:r>
            <w:r>
              <w:t xml:space="preserve">(conformance) /</w:t>
            </w:r>
            <w:r>
              <w:t xml:space="preserve"> </w:t>
            </w:r>
            <w:r>
              <w:rPr>
                <w:rStyle w:val="VerbatimChar"/>
              </w:rPr>
              <w:t xml:space="preserve">governed</w:t>
            </w:r>
            <w:r>
              <w:t xml:space="preserve"> </w:t>
            </w:r>
            <w:r>
              <w:t xml:space="preserve">(modernization)</w:t>
            </w:r>
          </w:p>
        </w:tc>
        <w:tc>
          <w:tcPr/>
          <w:p>
            <w:pPr>
              <w:pStyle w:val="Compact"/>
            </w:pPr>
            <w:r>
              <w:t xml:space="preserve">Conformance never mutates SSOT; modernization mutations are governed by canonical change records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certificate-anchored: true</w:t>
            </w:r>
          </w:p>
        </w:tc>
        <w:tc>
          <w:tcPr/>
          <w:p>
            <w:pPr>
              <w:pStyle w:val="Compact"/>
            </w:pPr>
            <w:r>
              <w:t xml:space="preserve">mTLS-anchored emission of canonical claims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object-identity-only: true</w:t>
            </w:r>
          </w:p>
        </w:tc>
        <w:tc>
          <w:tcPr/>
          <w:p>
            <w:pPr>
              <w:pStyle w:val="Compact"/>
            </w:pPr>
            <w:r>
              <w:t xml:space="preserve">Identity claims resolve to identity-plane objects, not to opaque strings</w:t>
            </w:r>
          </w:p>
        </w:tc>
      </w:tr>
    </w:tbl>
    <w:p>
      <w:pPr>
        <w:pStyle w:val="BodyText"/>
      </w:pPr>
      <w:r>
        <w:t xml:space="preserve">These are not suggestions. They are schema-validated on every PR.</w:t>
      </w:r>
    </w:p>
    <w:bookmarkEnd w:id="56"/>
    <w:bookmarkStart w:id="57" w:name="microsoft-graph-adapter-convention"/>
    <w:p>
      <w:pPr>
        <w:pStyle w:val="Heading2"/>
      </w:pPr>
      <w:r>
        <w:t xml:space="preserve">Microsoft Graph adapter convention</w:t>
      </w:r>
    </w:p>
    <w:p>
      <w:pPr>
        <w:pStyle w:val="FirstParagraph"/>
      </w:pPr>
      <w:r>
        <w:t xml:space="preserve">Adapters that read from Microsoft Graph resolve their endpoint via</w:t>
      </w:r>
      <w:r>
        <w:t xml:space="preserve"> </w:t>
      </w:r>
      <w:r>
        <w:rPr>
          <w:rStyle w:val="VerbatimChar"/>
        </w:rPr>
        <w:t xml:space="preserve">fmp.adapters._graph_clouds.resolve_graph_base</w:t>
      </w:r>
      <w:r>
        <w:t xml:space="preserve"> </w:t>
      </w:r>
      <w:r>
        <w:t xml:space="preserve">rather than</w:t>
      </w:r>
      <w:r>
        <w:t xml:space="preserve"> </w:t>
      </w:r>
      <w:r>
        <w:t xml:space="preserve">hardcoding hostnames. Accepted config keys: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cloud</w:t>
      </w:r>
      <w:r>
        <w:t xml:space="preserve">:</w:t>
      </w:r>
      <w:r>
        <w:t xml:space="preserve"> </w:t>
      </w:r>
      <w:r>
        <w:rPr>
          <w:rStyle w:val="VerbatimChar"/>
        </w:rPr>
        <w:t xml:space="preserve">commercial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gcc-high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dod</w:t>
      </w:r>
      <w:r>
        <w:t xml:space="preserve"> </w:t>
      </w:r>
      <w:r>
        <w:t xml:space="preserve">(default</w:t>
      </w:r>
      <w:r>
        <w:t xml:space="preserve"> </w:t>
      </w:r>
      <w:r>
        <w:rPr>
          <w:rStyle w:val="VerbatimChar"/>
        </w:rPr>
        <w:t xml:space="preserve">commercial</w:t>
      </w:r>
      <w:r>
        <w:t xml:space="preserve">,</w:t>
      </w:r>
      <w:r>
        <w:t xml:space="preserve"> </w:t>
      </w:r>
      <w:r>
        <w:t xml:space="preserve">also serving GCC-Moderate per the program decision).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graph_api_version</w:t>
      </w:r>
      <w:r>
        <w:t xml:space="preserve">: per-adapter default (</w:t>
      </w:r>
      <w:r>
        <w:rPr>
          <w:rStyle w:val="VerbatimChar"/>
        </w:rPr>
        <w:t xml:space="preserve">beta</w:t>
      </w:r>
      <w:r>
        <w:t xml:space="preserve"> </w:t>
      </w:r>
      <w:r>
        <w:t xml:space="preserve">for IntuneAdapter;</w:t>
      </w:r>
      <w:r>
        <w:t xml:space="preserve"> </w:t>
      </w:r>
      <w:r>
        <w:rPr>
          <w:rStyle w:val="VerbatimChar"/>
        </w:rPr>
        <w:t xml:space="preserve">v1.0</w:t>
      </w:r>
      <w:r>
        <w:t xml:space="preserve"> </w:t>
      </w:r>
      <w:r>
        <w:t xml:space="preserve">for EntraAdapter, M365Adapter, EntraDynamicGroupsAdapter,</w:t>
      </w:r>
      <w:r>
        <w:t xml:space="preserve"> </w:t>
      </w:r>
      <w:r>
        <w:t xml:space="preserve">EntraAdminUnitsAdapter, InBoundaryTelemetry).</w:t>
      </w:r>
    </w:p>
    <w:p>
      <w:pPr>
        <w:pStyle w:val="Compact"/>
        <w:numPr>
          <w:ilvl w:val="0"/>
          <w:numId w:val="1028"/>
        </w:numPr>
      </w:pPr>
      <w:r>
        <w:t xml:space="preserve">An explicit URL override (</w:t>
      </w:r>
      <w:r>
        <w:rPr>
          <w:rStyle w:val="VerbatimChar"/>
        </w:rPr>
        <w:t xml:space="preserve">graph_endpoint</w:t>
      </w:r>
      <w:r>
        <w:t xml:space="preserve"> </w:t>
      </w:r>
      <w:r>
        <w:t xml:space="preserve">for most adapters;</w:t>
      </w:r>
      <w:r>
        <w:t xml:space="preserve"> </w:t>
      </w:r>
      <w:r>
        <w:rPr>
          <w:rStyle w:val="VerbatimChar"/>
        </w:rPr>
        <w:t xml:space="preserve">api_base_url</w:t>
      </w:r>
      <w:r>
        <w:t xml:space="preserve"> </w:t>
      </w:r>
      <w:r>
        <w:t xml:space="preserve">for the two Entra group/AU adapters that pre-dated</w:t>
      </w:r>
      <w:r>
        <w:t xml:space="preserve"> </w:t>
      </w:r>
      <w:r>
        <w:t xml:space="preserve">the convention).</w:t>
      </w:r>
    </w:p>
    <w:p>
      <w:pPr>
        <w:pStyle w:val="FirstParagraph"/>
      </w:pPr>
      <w:r>
        <w:t xml:space="preserve">Unknown clouds fail closed at construction. The convention is what</w:t>
      </w:r>
      <w:r>
        <w:t xml:space="preserve"> </w:t>
      </w:r>
      <w:r>
        <w:t xml:space="preserve">makes the substrate cloud-portable without per-adapter rewrites.</w:t>
      </w:r>
    </w:p>
    <w:bookmarkEnd w:id="57"/>
    <w:bookmarkStart w:id="58" w:name="adapter-retirement-the-program-decision"/>
    <w:p>
      <w:pPr>
        <w:pStyle w:val="Heading2"/>
      </w:pPr>
      <w:r>
        <w:t xml:space="preserve">Adapter retirement (the program decision)</w:t>
      </w:r>
    </w:p>
    <w:p>
      <w:pPr>
        <w:pStyle w:val="FirstParagraph"/>
      </w:pPr>
      <w:r>
        <w:t xml:space="preserve">Adapters do not vanish; they retire. the program decision defines the retirement</w:t>
      </w:r>
      <w:r>
        <w:t xml:space="preserve"> </w:t>
      </w:r>
      <w:r>
        <w:t xml:space="preserve">path: an adapter that is no longer maintained or whose target</w:t>
      </w:r>
      <w:r>
        <w:t xml:space="preserve"> </w:t>
      </w:r>
      <w:r>
        <w:t xml:space="preserve">capability has been superseded transitions through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retired</w:t>
      </w:r>
      <w:r>
        <w:t xml:space="preserve"> </w:t>
      </w:r>
      <w:r>
        <w:t xml:space="preserve">states with explicit canonical successor pointers.</w:t>
      </w:r>
      <w:r>
        <w:t xml:space="preserve"> </w:t>
      </w:r>
      <w:r>
        <w:t xml:space="preserve">Substrate-walker findings catch references to retired adapters as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 ensuring no consumer silently keeps using them.</w:t>
      </w:r>
    </w:p>
    <w:p>
      <w:pPr>
        <w:pStyle w:val="BodyText"/>
      </w:pPr>
      <w:r>
        <w:t xml:space="preserve">This is what allows the substrate to evolve without forcing a forklift</w:t>
      </w:r>
      <w:r>
        <w:t xml:space="preserve"> </w:t>
      </w:r>
      <w:r>
        <w:t xml:space="preserve">upgrade: retirement is a substrate transition, not a removal.</w:t>
      </w:r>
    </w:p>
    <w:bookmarkEnd w:id="58"/>
    <w:bookmarkStart w:id="59" w:name="X52bc9a92524a9f46538fcc114d026ba3828f722"/>
    <w:p>
      <w:pPr>
        <w:pStyle w:val="Heading2"/>
      </w:pPr>
      <w:r>
        <w:t xml:space="preserve">What changes for an authorizing official</w:t>
      </w:r>
    </w:p>
    <w:p>
      <w:pPr>
        <w:pStyle w:val="FirstParagraph"/>
      </w:pPr>
      <w:r>
        <w:t xml:space="preserve">The adapter taxonomy delivers four properties to the AO: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Per-adapter evidence trail.</w:t>
      </w:r>
      <w:r>
        <w:t xml:space="preserve"> </w:t>
      </w:r>
      <w:r>
        <w:t xml:space="preserve">Every adapter’s findings are</w:t>
      </w:r>
      <w:r>
        <w:t xml:space="preserve"> </w:t>
      </w:r>
      <w:r>
        <w:t xml:space="preserve">identifiable by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 </w:t>
      </w:r>
      <w:r>
        <w:t xml:space="preserve">×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, allowing per-pillar</w:t>
      </w:r>
      <w:r>
        <w:t xml:space="preserve"> </w:t>
      </w:r>
      <w:r>
        <w:t xml:space="preserve">control mapping.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Conformance / modernization separation in the package.</w:t>
      </w:r>
      <w:r>
        <w:t xml:space="preserve"> </w:t>
      </w:r>
      <w:r>
        <w:t xml:space="preserve">Read-only assessor evidence is structurally distinct from</w:t>
      </w:r>
      <w:r>
        <w:t xml:space="preserve"> </w:t>
      </w:r>
      <w:r>
        <w:t xml:space="preserve">change-making evidence; the AO can treat them differently.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Canon invariants verifiable by inspection.</w:t>
      </w:r>
      <w:r>
        <w:t xml:space="preserve"> </w:t>
      </w:r>
      <w:r>
        <w:t xml:space="preserve">Boundary, SSOT</w:t>
      </w:r>
      <w:r>
        <w:t xml:space="preserve"> </w:t>
      </w:r>
      <w:r>
        <w:t xml:space="preserve">mutation posture, certificate anchoring, and identity binding are</w:t>
      </w:r>
      <w:r>
        <w:t xml:space="preserve"> </w:t>
      </w:r>
      <w:r>
        <w:t xml:space="preserve">declared, not narrated.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Retirement traceability.</w:t>
      </w:r>
      <w:r>
        <w:t xml:space="preserve"> </w:t>
      </w:r>
      <w:r>
        <w:t xml:space="preserve">A retired adapter’s evidence remains</w:t>
      </w:r>
      <w:r>
        <w:t xml:space="preserve"> </w:t>
      </w:r>
      <w:r>
        <w:t xml:space="preserve">reproducible from canon-archived state; the AO does not lose access</w:t>
      </w:r>
      <w:r>
        <w:t xml:space="preserve"> </w:t>
      </w:r>
      <w:r>
        <w:t xml:space="preserve">to past findings when an adapter retires.</w:t>
      </w:r>
    </w:p>
    <w:bookmarkEnd w:id="59"/>
    <w:bookmarkStart w:id="60" w:name="honest-limits-2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30"/>
        </w:numPr>
      </w:pPr>
      <w:r>
        <w:t xml:space="preserve">The taxonomy is opinionated. Tools that do not fit a single</w:t>
      </w:r>
      <w:r>
        <w:t xml:space="preserve"> </w:t>
      </w:r>
      <w:r>
        <w:t xml:space="preserve">mission-class either decompose into multiple adapters or wait for a</w:t>
      </w:r>
      <w:r>
        <w:t xml:space="preserve"> </w:t>
      </w:r>
      <w:r>
        <w:t xml:space="preserve">taxonomy ADR. There is no</w:t>
      </w:r>
      <w:r>
        <w:t xml:space="preserve"> </w:t>
      </w:r>
      <w:r>
        <w:t xml:space="preserve">“miscellaneous”</w:t>
      </w:r>
      <w:r>
        <w:t xml:space="preserve"> </w:t>
      </w:r>
      <w:r>
        <w:t xml:space="preserve">mission-class.</w:t>
      </w:r>
    </w:p>
    <w:p>
      <w:pPr>
        <w:pStyle w:val="Compact"/>
        <w:numPr>
          <w:ilvl w:val="0"/>
          <w:numId w:val="1030"/>
        </w:numPr>
      </w:pPr>
      <w:r>
        <w:t xml:space="preserve">Adapter authoring is engineering work. The substrate provides the</w:t>
      </w:r>
      <w:r>
        <w:t xml:space="preserve"> </w:t>
      </w:r>
      <w:r>
        <w:t xml:space="preserve">contract and the registry; vendors and agencies provide the</w:t>
      </w:r>
      <w:r>
        <w:t xml:space="preserve"> </w:t>
      </w:r>
      <w:r>
        <w:t xml:space="preserve">per-tool implementations.</w:t>
      </w:r>
    </w:p>
    <w:p>
      <w:pPr>
        <w:pStyle w:val="Compact"/>
        <w:numPr>
          <w:ilvl w:val="0"/>
          <w:numId w:val="1030"/>
        </w:numPr>
      </w:pPr>
      <w:r>
        <w:t xml:space="preserve">The two-registry separation does not preserve adapters that mutate</w:t>
      </w:r>
      <w:r>
        <w:t xml:space="preserve"> </w:t>
      </w:r>
      <w:r>
        <w:t xml:space="preserve">conformance behavior at runtime. A conformance adapter that</w:t>
      </w:r>
      <w:r>
        <w:t xml:space="preserve"> </w:t>
      </w:r>
      <w:r>
        <w:t xml:space="preserve">silently mutates is a substrate-level violation, caught by drift</w:t>
      </w:r>
      <w:r>
        <w:t xml:space="preserve"> </w:t>
      </w:r>
      <w:r>
        <w:t xml:space="preserve">detection and resolved by an ADR.</w:t>
      </w:r>
    </w:p>
    <w:bookmarkEnd w:id="60"/>
    <w:bookmarkStart w:id="61" w:name="key-takeaways-4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31"/>
        </w:numPr>
      </w:pPr>
      <w:r>
        <w:t xml:space="preserve">Adapters are the substrate’s tool-integration mechanism.</w:t>
      </w:r>
    </w:p>
    <w:p>
      <w:pPr>
        <w:pStyle w:val="Compact"/>
        <w:numPr>
          <w:ilvl w:val="0"/>
          <w:numId w:val="1031"/>
        </w:numPr>
      </w:pPr>
      <w:r>
        <w:t xml:space="preserve">The dual-axis taxonomy (class × mission-class) is canonical and</w:t>
      </w:r>
      <w:r>
        <w:t xml:space="preserve"> </w:t>
      </w:r>
      <w:r>
        <w:t xml:space="preserve">enforced.</w:t>
      </w:r>
    </w:p>
    <w:p>
      <w:pPr>
        <w:pStyle w:val="Compact"/>
        <w:numPr>
          <w:ilvl w:val="0"/>
          <w:numId w:val="1031"/>
        </w:numPr>
      </w:pPr>
      <w:r>
        <w:t xml:space="preserve">Two registries (conformance / modernization) reflect a substrate</w:t>
      </w:r>
      <w:r>
        <w:t xml:space="preserve"> </w:t>
      </w:r>
      <w:r>
        <w:t xml:space="preserve">invariant about mutation authority.</w:t>
      </w:r>
    </w:p>
    <w:p>
      <w:pPr>
        <w:pStyle w:val="Compact"/>
        <w:numPr>
          <w:ilvl w:val="0"/>
          <w:numId w:val="1031"/>
        </w:numPr>
      </w:pPr>
      <w:r>
        <w:t xml:space="preserve">Four canon invariants apply to every adapter regardless of vendor.</w:t>
      </w:r>
    </w:p>
    <w:p>
      <w:pPr>
        <w:pStyle w:val="Compact"/>
        <w:numPr>
          <w:ilvl w:val="0"/>
          <w:numId w:val="1031"/>
        </w:numPr>
      </w:pPr>
      <w:r>
        <w:t xml:space="preserve">Retirement is a governed substrate transition, not a removal.</w:t>
      </w:r>
    </w:p>
    <w:bookmarkEnd w:id="61"/>
    <w:bookmarkStart w:id="62" w:name="related-documents-4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32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32"/>
        </w:numPr>
      </w:pPr>
      <w:r>
        <w:t xml:space="preserve">Architecture Series — Three-Layer Rule Model</w:t>
      </w:r>
    </w:p>
    <w:p>
      <w:pPr>
        <w:pStyle w:val="Compact"/>
        <w:numPr>
          <w:ilvl w:val="0"/>
          <w:numId w:val="1032"/>
        </w:numPr>
      </w:pPr>
      <w:r>
        <w:t xml:space="preserve">Adapter Registry (canon)</w:t>
      </w:r>
    </w:p>
    <w:p>
      <w:pPr>
        <w:pStyle w:val="Compact"/>
        <w:numPr>
          <w:ilvl w:val="0"/>
          <w:numId w:val="1032"/>
        </w:numPr>
      </w:pPr>
      <w:r>
        <w:t xml:space="preserve">Modernization Registry (canon)</w:t>
      </w:r>
    </w:p>
    <w:p>
      <w:pPr>
        <w:pStyle w:val="Compact"/>
        <w:numPr>
          <w:ilvl w:val="0"/>
          <w:numId w:val="1032"/>
        </w:numPr>
      </w:pPr>
      <w:r>
        <w:t xml:space="preserve">the program decision: Adapter Retirement</w:t>
      </w:r>
    </w:p>
    <w:bookmarkEnd w:id="62"/>
    <w:bookmarkEnd w:id="63"/>
    <w:bookmarkStart w:id="73" w:name="evidence-over-attestation"/>
    <w:p>
      <w:pPr>
        <w:pStyle w:val="Heading1"/>
      </w:pPr>
      <w:r>
        <w:t xml:space="preserve">Evidence over Attestation</w:t>
      </w:r>
    </w:p>
    <w:bookmarkStart w:id="64" w:name="in-this-chapter-5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Attestation is a human signing that something is true. Evidence is a</w:t>
      </w:r>
      <w:r>
        <w:t xml:space="preserve"> </w:t>
      </w:r>
      <w:r>
        <w:t xml:space="preserve">machine-verifiable artifact showing that it is. The Federal Modernization Program’s substrate</w:t>
      </w:r>
      <w:r>
        <w:t xml:space="preserve"> </w:t>
      </w:r>
      <w:r>
        <w:t xml:space="preserve">treats evidence as the primary artifact and attestation as a</w:t>
      </w:r>
      <w:r>
        <w:t xml:space="preserve"> </w:t>
      </w:r>
      <w:r>
        <w:t xml:space="preserve">supplemental layer rather than the other way around. This chapter</w:t>
      </w:r>
      <w:r>
        <w:t xml:space="preserve"> </w:t>
      </w:r>
      <w:r>
        <w:t xml:space="preserve">explains why the inversion matters and what changes operationally.</w:t>
      </w:r>
    </w:p>
    <w:bookmarkEnd w:id="64"/>
    <w:bookmarkStart w:id="65" w:name="what-attestation-is-and-is-not"/>
    <w:p>
      <w:pPr>
        <w:pStyle w:val="Heading2"/>
      </w:pPr>
      <w:r>
        <w:t xml:space="preserve">What attestation is and is not</w:t>
      </w:r>
    </w:p>
    <w:p>
      <w:pPr>
        <w:pStyle w:val="FirstParagraph"/>
      </w:pPr>
      <w:r>
        <w:t xml:space="preserve">An attestation is a person (or a designated body) signing that, at a</w:t>
      </w:r>
      <w:r>
        <w:t xml:space="preserve"> </w:t>
      </w:r>
      <w:r>
        <w:t xml:space="preserve">moment, a system is in a stated condition. It is necessary for some</w:t>
      </w:r>
      <w:r>
        <w:t xml:space="preserve"> </w:t>
      </w:r>
      <w:r>
        <w:t xml:space="preserve">purposes — accountability, formal authorization, legal liability —</w:t>
      </w:r>
      <w:r>
        <w:t xml:space="preserve"> </w:t>
      </w:r>
      <w:r>
        <w:t xml:space="preserve">and the substrate does not eliminate it.</w:t>
      </w:r>
    </w:p>
    <w:p>
      <w:pPr>
        <w:pStyle w:val="BodyText"/>
      </w:pPr>
      <w:r>
        <w:t xml:space="preserve">What attestation is</w:t>
      </w:r>
      <w:r>
        <w:t xml:space="preserve"> </w:t>
      </w:r>
      <w:r>
        <w:rPr>
          <w:i/>
          <w:iCs/>
        </w:rPr>
        <w:t xml:space="preserve">not</w:t>
      </w:r>
      <w:r>
        <w:t xml:space="preserve">:</w:t>
      </w:r>
    </w:p>
    <w:p>
      <w:pPr>
        <w:pStyle w:val="Compact"/>
        <w:numPr>
          <w:ilvl w:val="0"/>
          <w:numId w:val="1033"/>
        </w:numPr>
      </w:pPr>
      <w:r>
        <w:t xml:space="preserve">A reproducible verification of substrate truth.</w:t>
      </w:r>
    </w:p>
    <w:p>
      <w:pPr>
        <w:pStyle w:val="Compact"/>
        <w:numPr>
          <w:ilvl w:val="0"/>
          <w:numId w:val="1033"/>
        </w:numPr>
      </w:pPr>
      <w:r>
        <w:t xml:space="preserve">A continuous signal between attestation events.</w:t>
      </w:r>
    </w:p>
    <w:p>
      <w:pPr>
        <w:pStyle w:val="Compact"/>
        <w:numPr>
          <w:ilvl w:val="0"/>
          <w:numId w:val="1033"/>
        </w:numPr>
      </w:pPr>
      <w:r>
        <w:t xml:space="preserve">A hash-bound proof an assessor can re-execute.</w:t>
      </w:r>
    </w:p>
    <w:p>
      <w:pPr>
        <w:pStyle w:val="FirstParagraph"/>
      </w:pPr>
      <w:r>
        <w:t xml:space="preserve">Treating attestation as the primary artifact pushes those three</w:t>
      </w:r>
      <w:r>
        <w:t xml:space="preserve"> </w:t>
      </w:r>
      <w:r>
        <w:t xml:space="preserve">properties out of the package. The substrate inverts the priority:</w:t>
      </w:r>
      <w:r>
        <w:t xml:space="preserve"> </w:t>
      </w:r>
      <w:r>
        <w:t xml:space="preserve">machine evidence is primary, attestation is the human review wrapper</w:t>
      </w:r>
      <w:r>
        <w:t xml:space="preserve"> </w:t>
      </w:r>
      <w:r>
        <w:t xml:space="preserve">on top.</w:t>
      </w:r>
    </w:p>
    <w:p>
      <w:pPr>
        <w:pStyle w:val="BodyText"/>
      </w:pPr>
      <w:r>
        <w:rPr>
          <w:b/>
          <w:bCs/>
        </w:rPr>
        <w:t xml:space="preserve">At a glance — two artifacts, one inversion: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Attestation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A human signing that something is true</w:t>
            </w:r>
          </w:p>
        </w:tc>
        <w:tc>
          <w:tcPr/>
          <w:p>
            <w:pPr>
              <w:pStyle w:val="Compact"/>
            </w:pPr>
            <w:r>
              <w:t xml:space="preserve">A machine-verifiable artifact showing it 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Temporal scope</w:t>
            </w:r>
          </w:p>
        </w:tc>
        <w:tc>
          <w:tcPr/>
          <w:p>
            <w:pPr>
              <w:pStyle w:val="Compact"/>
            </w:pPr>
            <w:r>
              <w:t xml:space="preserve">Point-in-time</w:t>
            </w:r>
          </w:p>
        </w:tc>
        <w:tc>
          <w:tcPr/>
          <w:p>
            <w:pPr>
              <w:pStyle w:val="Compact"/>
            </w:pPr>
            <w:r>
              <w:t xml:space="preserve">Continuous between events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Re-read</w:t>
            </w:r>
          </w:p>
        </w:tc>
        <w:tc>
          <w:tcPr/>
          <w:p>
            <w:pPr>
              <w:pStyle w:val="Compact"/>
            </w:pPr>
            <w:r>
              <w:t xml:space="preserve">Re-execute and hash-check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 in the Federal Modernization Program</w:t>
            </w:r>
          </w:p>
        </w:tc>
        <w:tc>
          <w:tcPr/>
          <w:p>
            <w:pPr>
              <w:pStyle w:val="Compact"/>
            </w:pPr>
            <w:r>
              <w:t xml:space="preserve">Human accountability wrapper</w:t>
            </w:r>
          </w:p>
        </w:tc>
        <w:tc>
          <w:tcPr/>
          <w:p>
            <w:pPr>
              <w:pStyle w:val="Compact"/>
            </w:pPr>
            <w:r>
              <w:t xml:space="preserve">Primary artifact</w:t>
            </w:r>
          </w:p>
        </w:tc>
      </w:tr>
    </w:tbl>
    <w:bookmarkEnd w:id="65"/>
    <w:bookmarkStart w:id="66" w:name="what-evidence-means-in-canon"/>
    <w:p>
      <w:pPr>
        <w:pStyle w:val="Heading2"/>
      </w:pPr>
      <w:r>
        <w:t xml:space="preserve">What</w:t>
      </w:r>
      <w:r>
        <w:t xml:space="preserve"> </w:t>
      </w:r>
      <w:r>
        <w:t xml:space="preserve">“evidence”</w:t>
      </w:r>
      <w:r>
        <w:t xml:space="preserve"> </w:t>
      </w:r>
      <w:r>
        <w:t xml:space="preserve">means in canon</w:t>
      </w:r>
    </w:p>
    <w:p>
      <w:pPr>
        <w:pStyle w:val="FirstParagraph"/>
      </w:pPr>
      <w:r>
        <w:t xml:space="preserve">Per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,</w:t>
      </w:r>
      <w:r>
        <w:t xml:space="preserve"> </w:t>
      </w:r>
      <w:r>
        <w:t xml:space="preserve">every claim emitted into the substrate carries the full provenance</w:t>
      </w:r>
      <w:r>
        <w:t xml:space="preserve"> </w:t>
      </w:r>
      <w:r>
        <w:t xml:space="preserve">envelope: claim_id, issuer_identity, source_classification, extraction</w:t>
      </w:r>
      <w:r>
        <w:t xml:space="preserve"> </w:t>
      </w:r>
      <w:r>
        <w:t xml:space="preserve">timestamp and method, transformation_chain, lineage_hash, schema_version,</w:t>
      </w:r>
      <w:r>
        <w:t xml:space="preserve"> </w:t>
      </w:r>
      <w:r>
        <w:t xml:space="preserve">signature.</w:t>
      </w:r>
    </w:p>
    <w:p>
      <w:pPr>
        <w:pStyle w:val="BodyText"/>
      </w:pPr>
      <w:r>
        <w:t xml:space="preserve">Two structural properties of this envelope matter for the</w:t>
      </w:r>
      <w:r>
        <w:t xml:space="preserve"> </w:t>
      </w:r>
      <w:r>
        <w:t xml:space="preserve">“evidence over attestation”</w:t>
      </w:r>
      <w:r>
        <w:t xml:space="preserve"> </w:t>
      </w:r>
      <w:r>
        <w:t xml:space="preserve">position: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  <w:b/>
          <w:bCs/>
        </w:rPr>
        <w:t xml:space="preserve">source_classification</w:t>
      </w:r>
      <w:r>
        <w:rPr>
          <w:b/>
          <w:bCs/>
        </w:rPr>
        <w:t xml:space="preserve"> </w:t>
      </w:r>
      <w:r>
        <w:rPr>
          <w:b/>
          <w:bCs/>
        </w:rPr>
        <w:t xml:space="preserve">is canonical.</w:t>
      </w:r>
      <w:r>
        <w:t xml:space="preserve"> </w:t>
      </w:r>
      <w:r>
        <w:t xml:space="preserve">A claim is</w:t>
      </w:r>
      <w:r>
        <w:t xml:space="preserve"> </w:t>
      </w:r>
      <w:r>
        <w:rPr>
          <w:rStyle w:val="VerbatimChar"/>
        </w:rPr>
        <w:t xml:space="preserve">authoritative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or</w:t>
      </w:r>
      <w:r>
        <w:t xml:space="preserve"> </w:t>
      </w:r>
      <w:r>
        <w:rPr>
          <w:rStyle w:val="VerbatimChar"/>
        </w:rPr>
        <w:t xml:space="preserve">synthesized</w:t>
      </w:r>
      <w:r>
        <w:t xml:space="preserve">. The classification</w:t>
      </w:r>
      <w:r>
        <w:t xml:space="preserve"> </w:t>
      </w:r>
      <w:r>
        <w:t xml:space="preserve">is verifiable by re-executing the adapter; it is not an</w:t>
      </w:r>
      <w:r>
        <w:t xml:space="preserve"> </w:t>
      </w:r>
      <w:r>
        <w:t xml:space="preserve">operator’s judgment call.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  <w:b/>
          <w:bCs/>
        </w:rPr>
        <w:t xml:space="preserve">transformation_chain</w:t>
      </w:r>
      <w:r>
        <w:rPr>
          <w:b/>
          <w:bCs/>
        </w:rPr>
        <w:t xml:space="preserve"> </w:t>
      </w:r>
      <w:r>
        <w:rPr>
          <w:b/>
          <w:bCs/>
        </w:rPr>
        <w:t xml:space="preserve">is append-only.</w:t>
      </w:r>
      <w:r>
        <w:t xml:space="preserve"> </w:t>
      </w:r>
      <w:r>
        <w:t xml:space="preserve">Once a step is recorded</w:t>
      </w:r>
      <w:r>
        <w:t xml:space="preserve"> </w:t>
      </w:r>
      <w:r>
        <w:t xml:space="preserve">and signed, it cannot be removed or reordered. Re-execution that</w:t>
      </w:r>
      <w:r>
        <w:t xml:space="preserve"> </w:t>
      </w:r>
      <w:r>
        <w:t xml:space="preserve">would produce a different chain is itself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finding.</w:t>
      </w:r>
    </w:p>
    <w:p>
      <w:pPr>
        <w:pStyle w:val="FirstParagraph"/>
      </w:pPr>
      <w:r>
        <w:t xml:space="preserve">These properties make machine evidence</w:t>
      </w:r>
      <w:r>
        <w:t xml:space="preserve"> </w:t>
      </w:r>
      <w:r>
        <w:rPr>
          <w:i/>
          <w:iCs/>
        </w:rPr>
        <w:t xml:space="preserve">better</w:t>
      </w:r>
      <w:r>
        <w:t xml:space="preserve"> </w:t>
      </w:r>
      <w:r>
        <w:t xml:space="preserve">than attestation for</w:t>
      </w:r>
      <w:r>
        <w:t xml:space="preserve"> </w:t>
      </w:r>
      <w:r>
        <w:t xml:space="preserve">verification, not just</w:t>
      </w:r>
      <w:r>
        <w:t xml:space="preserve"> </w:t>
      </w:r>
      <w:r>
        <w:rPr>
          <w:i/>
          <w:iCs/>
        </w:rPr>
        <w:t xml:space="preserve">cheaper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An assessor can re-execute and verify; an attestation can only be</w:t>
      </w:r>
      <w:r>
        <w:rPr>
          <w:b/>
          <w:bCs/>
        </w:rPr>
        <w:t xml:space="preserve"> </w:t>
      </w:r>
      <w:r>
        <w:rPr>
          <w:b/>
          <w:bCs/>
        </w:rPr>
        <w:t xml:space="preserve">re-read.</w:t>
      </w:r>
      <w:r>
        <w:t xml:space="preserve"> </w:t>
      </w:r>
      <w:r>
        <w:t xml:space="preserve">That is the whole of the inversion.</w:t>
      </w:r>
    </w:p>
    <w:bookmarkEnd w:id="66"/>
    <w:bookmarkStart w:id="67" w:name="what-changes-for-the-assessor"/>
    <w:p>
      <w:pPr>
        <w:pStyle w:val="Heading2"/>
      </w:pPr>
      <w:r>
        <w:t xml:space="preserve">What changes for the assessor</w:t>
      </w:r>
    </w:p>
    <w:p>
      <w:pPr>
        <w:pStyle w:val="FirstParagraph"/>
      </w:pPr>
      <w:r>
        <w:t xml:space="preserve">A 3PAO assessing an FMP-anchored package gets four properties they</w:t>
      </w:r>
      <w:r>
        <w:t xml:space="preserve"> </w:t>
      </w:r>
      <w:r>
        <w:t xml:space="preserve">cannot get from an attestation package: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Independent re-execution</w:t>
      </w:r>
      <w:r>
        <w:t xml:space="preserve"> </w:t>
      </w:r>
      <w:r>
        <w:t xml:space="preserve">— they re-run the OSCAL pipeline and</w:t>
      </w:r>
      <w:r>
        <w:t xml:space="preserve"> </w:t>
      </w:r>
      <w:r>
        <w:t xml:space="preserve">verify the bundle hash matches.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Per-claim source classification</w:t>
      </w:r>
      <w:r>
        <w:t xml:space="preserve"> </w:t>
      </w:r>
      <w:r>
        <w:t xml:space="preserve">— authoritative claims are</w:t>
      </w:r>
      <w:r>
        <w:t xml:space="preserve"> </w:t>
      </w:r>
      <w:r>
        <w:t xml:space="preserve">distinguished from derived at the field level.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Tamper-evident lineage</w:t>
      </w:r>
      <w:r>
        <w:t xml:space="preserve"> </w:t>
      </w:r>
      <w:r>
        <w:t xml:space="preserve">— modification anywhere breaks the</w:t>
      </w:r>
      <w:r>
        <w:t xml:space="preserve"> </w:t>
      </w:r>
      <w:r>
        <w:t xml:space="preserve">bundle hash.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Drift-coupled remediation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 </w:t>
      </w:r>
      <w:r>
        <w:t xml:space="preserve">finding from</w:t>
      </w:r>
      <w:r>
        <w:t xml:space="preserve"> </w:t>
      </w:r>
      <w:r>
        <w:t xml:space="preserve">the Drift Engine</w:t>
      </w:r>
      <w:r>
        <w:t xml:space="preserve"> </w:t>
      </w:r>
      <w:r>
        <w:t xml:space="preserve">identifies the affected claim(s) directly.</w:t>
      </w:r>
    </w:p>
    <w:p>
      <w:pPr>
        <w:pStyle w:val="FirstParagraph"/>
      </w:pPr>
      <w:r>
        <w:t xml:space="preserve">Attestations remain in the package. They are no longer the primary</w:t>
      </w:r>
      <w:r>
        <w:t xml:space="preserve"> </w:t>
      </w:r>
      <w:r>
        <w:t xml:space="preserve">verification surface — they are the human accountability wrapper on</w:t>
      </w:r>
      <w:r>
        <w:t xml:space="preserve"> </w:t>
      </w:r>
      <w:r>
        <w:t xml:space="preserve">top of a machine-verifiable substrate.</w:t>
      </w:r>
    </w:p>
    <w:bookmarkEnd w:id="67"/>
    <w:bookmarkStart w:id="68" w:name="what-changes-for-the-operator"/>
    <w:p>
      <w:pPr>
        <w:pStyle w:val="Heading2"/>
      </w:pPr>
      <w:r>
        <w:t xml:space="preserve">What changes for the operator</w:t>
      </w:r>
    </w:p>
    <w:p>
      <w:pPr>
        <w:pStyle w:val="FirstParagraph"/>
      </w:pPr>
      <w:r>
        <w:t xml:space="preserve">For the operator, the substrate-level evidence-first posture changes: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Evidence is regenerable.</w:t>
      </w:r>
      <w:r>
        <w:t xml:space="preserve"> </w:t>
      </w:r>
      <w:r>
        <w:t xml:space="preserve">The team does not have to preserve</w:t>
      </w:r>
      <w:r>
        <w:t xml:space="preserve"> </w:t>
      </w:r>
      <w:r>
        <w:t xml:space="preserve">point-in-time bundles indefinitely; they regenerate from canon</w:t>
      </w:r>
      <w:r>
        <w:t xml:space="preserve"> </w:t>
      </w:r>
      <w:r>
        <w:t xml:space="preserve">plus archived inputs.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Attestation work shrinks.</w:t>
      </w:r>
      <w:r>
        <w:t xml:space="preserve"> </w:t>
      </w:r>
      <w:r>
        <w:t xml:space="preserve">Humans attest at the canon-change</w:t>
      </w:r>
      <w:r>
        <w:t xml:space="preserve"> </w:t>
      </w:r>
      <w:r>
        <w:t xml:space="preserve">ADR layer, not per-control-per-cycle.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Audit-prep cost drops.</w:t>
      </w:r>
      <w:r>
        <w:t xml:space="preserve"> </w:t>
      </w:r>
      <w:r>
        <w:t xml:space="preserve">Bundles assemble deterministically; the</w:t>
      </w:r>
      <w:r>
        <w:t xml:space="preserve"> </w:t>
      </w:r>
      <w:r>
        <w:t xml:space="preserve">operator does not re-engineer the package per audit.</w:t>
      </w:r>
    </w:p>
    <w:p>
      <w:pPr>
        <w:pStyle w:val="FirstParagraph"/>
      </w:pPr>
      <w:r>
        <w:t xml:space="preserve">The work shifts from</w:t>
      </w:r>
      <w:r>
        <w:t xml:space="preserve"> </w:t>
      </w:r>
      <w:r>
        <w:t xml:space="preserve">“produce the package”</w:t>
      </w:r>
      <w:r>
        <w:t xml:space="preserve"> </w:t>
      </w:r>
      <w:r>
        <w:t xml:space="preserve">to</w:t>
      </w:r>
      <w:r>
        <w:t xml:space="preserve"> </w:t>
      </w:r>
      <w:r>
        <w:t xml:space="preserve">“keep the substrate</w:t>
      </w:r>
      <w:r>
        <w:t xml:space="preserve"> </w:t>
      </w:r>
      <w:r>
        <w:t xml:space="preserve">truthful so the package emits correctly.”</w:t>
      </w:r>
    </w:p>
    <w:bookmarkEnd w:id="68"/>
    <w:bookmarkStart w:id="69" w:name="what-does-not-change"/>
    <w:p>
      <w:pPr>
        <w:pStyle w:val="Heading2"/>
      </w:pPr>
      <w:r>
        <w:t xml:space="preserve">What does not change</w:t>
      </w:r>
    </w:p>
    <w:p>
      <w:pPr>
        <w:pStyle w:val="FirstParagraph"/>
      </w:pPr>
      <w:r>
        <w:t xml:space="preserve">Three properties intentionally remain:</w:t>
      </w:r>
    </w:p>
    <w:p>
      <w:pPr>
        <w:pStyle w:val="Compact"/>
        <w:numPr>
          <w:ilvl w:val="0"/>
          <w:numId w:val="1037"/>
        </w:numPr>
      </w:pPr>
      <w:r>
        <w:t xml:space="preserve">Authorizing officials still authorize. The substrate emits evidence;</w:t>
      </w:r>
      <w:r>
        <w:t xml:space="preserve"> </w:t>
      </w:r>
      <w:r>
        <w:t xml:space="preserve">it does not replace the AO’s judgment.</w:t>
      </w:r>
    </w:p>
    <w:p>
      <w:pPr>
        <w:pStyle w:val="Compact"/>
        <w:numPr>
          <w:ilvl w:val="0"/>
          <w:numId w:val="1037"/>
        </w:numPr>
      </w:pPr>
      <w:r>
        <w:t xml:space="preserve">Canon stewards still author canon, and ADRs still go through</w:t>
      </w:r>
      <w:r>
        <w:t xml:space="preserve"> </w:t>
      </w:r>
      <w:r>
        <w:t xml:space="preserve">governance review. Determinism is faithful to canon, not a check</w:t>
      </w:r>
      <w:r>
        <w:t xml:space="preserve"> </w:t>
      </w:r>
      <w:r>
        <w:t xml:space="preserve">on it.</w:t>
      </w:r>
    </w:p>
    <w:p>
      <w:pPr>
        <w:pStyle w:val="Compact"/>
        <w:numPr>
          <w:ilvl w:val="0"/>
          <w:numId w:val="1037"/>
        </w:numPr>
      </w:pPr>
      <w:r>
        <w:t xml:space="preserve">Humans still review evidence at audit boundaries. The review</w:t>
      </w:r>
      <w:r>
        <w:t xml:space="preserve"> </w:t>
      </w:r>
      <w:r>
        <w:t xml:space="preserve">becomes a higher-leverage activity (canon and ADRs) rather than a</w:t>
      </w:r>
      <w:r>
        <w:t xml:space="preserve"> </w:t>
      </w:r>
      <w:r>
        <w:t xml:space="preserve">lower-leverage one (line-item attestation).</w:t>
      </w:r>
    </w:p>
    <w:bookmarkEnd w:id="69"/>
    <w:bookmarkStart w:id="70" w:name="honest-limits-3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38"/>
        </w:numPr>
      </w:pPr>
      <w:r>
        <w:t xml:space="preserve">The substrate does not eliminate attestation. It changes what gets</w:t>
      </w:r>
      <w:r>
        <w:t xml:space="preserve"> </w:t>
      </w:r>
      <w:r>
        <w:t xml:space="preserve">attested and at what frequency.</w:t>
      </w:r>
    </w:p>
    <w:p>
      <w:pPr>
        <w:pStyle w:val="Compact"/>
        <w:numPr>
          <w:ilvl w:val="0"/>
          <w:numId w:val="1038"/>
        </w:numPr>
      </w:pPr>
      <w:r>
        <w:t xml:space="preserve">Adapters that have not yet implemented continuous evidence emission</w:t>
      </w:r>
      <w:r>
        <w:t xml:space="preserve"> </w:t>
      </w:r>
      <w:r>
        <w:t xml:space="preserve">fall back to interval evidence (e.g. ScubaGear); interval evidence</w:t>
      </w:r>
      <w:r>
        <w:t xml:space="preserve"> </w:t>
      </w:r>
      <w:r>
        <w:t xml:space="preserve">is still deterministic per interval, but is not continuous.</w:t>
      </w:r>
    </w:p>
    <w:p>
      <w:pPr>
        <w:pStyle w:val="Compact"/>
        <w:numPr>
          <w:ilvl w:val="0"/>
          <w:numId w:val="1038"/>
        </w:numPr>
      </w:pPr>
      <w:r>
        <w:t xml:space="preserve">Cryptographic signing of evidence with agency-issued certificates</w:t>
      </w:r>
      <w:r>
        <w:t xml:space="preserve"> </w:t>
      </w:r>
      <w:r>
        <w:t xml:space="preserve">is design-only today; the envelope reserves the field, but full</w:t>
      </w:r>
      <w:r>
        <w:t xml:space="preserve"> </w:t>
      </w:r>
      <w:r>
        <w:t xml:space="preserve">end-to-end signing across all adapters is target state.</w:t>
      </w:r>
    </w:p>
    <w:bookmarkEnd w:id="70"/>
    <w:bookmarkStart w:id="71" w:name="key-takeaways-5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39"/>
        </w:numPr>
      </w:pPr>
      <w:r>
        <w:t xml:space="preserve">Attestation and evidence are different artifacts; the substrate</w:t>
      </w:r>
      <w:r>
        <w:t xml:space="preserve"> </w:t>
      </w:r>
      <w:r>
        <w:t xml:space="preserve">inverts which is primary.</w:t>
      </w:r>
    </w:p>
    <w:p>
      <w:pPr>
        <w:pStyle w:val="Compact"/>
        <w:numPr>
          <w:ilvl w:val="0"/>
          <w:numId w:val="1039"/>
        </w:numPr>
      </w:pPr>
      <w:r>
        <w:t xml:space="preserve">The provenance envelope makes evidence reproducibly verifiable in a</w:t>
      </w:r>
      <w:r>
        <w:t xml:space="preserve"> </w:t>
      </w:r>
      <w:r>
        <w:t xml:space="preserve">way attestations cannot be.</w:t>
      </w:r>
    </w:p>
    <w:p>
      <w:pPr>
        <w:pStyle w:val="Compact"/>
        <w:numPr>
          <w:ilvl w:val="0"/>
          <w:numId w:val="1039"/>
        </w:numPr>
      </w:pPr>
      <w:r>
        <w:t xml:space="preserve">For the assessor, verification becomes a re-run.</w:t>
      </w:r>
    </w:p>
    <w:p>
      <w:pPr>
        <w:pStyle w:val="Compact"/>
        <w:numPr>
          <w:ilvl w:val="0"/>
          <w:numId w:val="1039"/>
        </w:numPr>
      </w:pPr>
      <w:r>
        <w:t xml:space="preserve">For the operator, audit-prep cost drops; canon-change discipline</w:t>
      </w:r>
      <w:r>
        <w:t xml:space="preserve"> </w:t>
      </w:r>
      <w:r>
        <w:t xml:space="preserve">becomes the primary review surface.</w:t>
      </w:r>
    </w:p>
    <w:p>
      <w:pPr>
        <w:pStyle w:val="Compact"/>
        <w:numPr>
          <w:ilvl w:val="0"/>
          <w:numId w:val="1039"/>
        </w:numPr>
      </w:pPr>
      <w:r>
        <w:t xml:space="preserve">Honest limits remain around continuous capture and signing</w:t>
      </w:r>
      <w:r>
        <w:t xml:space="preserve"> </w:t>
      </w:r>
      <w:r>
        <w:t xml:space="preserve">maturity.</w:t>
      </w:r>
    </w:p>
    <w:bookmarkEnd w:id="71"/>
    <w:bookmarkStart w:id="72" w:name="related-documents-5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40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40"/>
        </w:numPr>
      </w:pPr>
      <w:r>
        <w:t xml:space="preserve">Chapter 4: Deterministic Governance</w:t>
      </w:r>
    </w:p>
    <w:p>
      <w:pPr>
        <w:pStyle w:val="Compact"/>
        <w:numPr>
          <w:ilvl w:val="0"/>
          <w:numId w:val="1040"/>
        </w:numPr>
      </w:pPr>
      <w:r>
        <w:t xml:space="preserve">Architecture Series — Evidence Chain</w:t>
      </w:r>
    </w:p>
    <w:p>
      <w:pPr>
        <w:pStyle w:val="Compact"/>
        <w:numPr>
          <w:ilvl w:val="0"/>
          <w:numId w:val="1040"/>
        </w:numPr>
      </w:pPr>
      <w:r>
        <w:t xml:space="preserve">Provenance Profile (canon)</w:t>
      </w:r>
    </w:p>
    <w:bookmarkEnd w:id="72"/>
    <w:bookmarkEnd w:id="73"/>
    <w:bookmarkStart w:id="84" w:name="operational-tempo"/>
    <w:p>
      <w:pPr>
        <w:pStyle w:val="Heading1"/>
      </w:pPr>
      <w:r>
        <w:t xml:space="preserve">Operational Tempo</w:t>
      </w:r>
    </w:p>
    <w:bookmarkStart w:id="74" w:name="in-this-chapter-6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Substrate-level governance has a tempo: the cadence at which detection,</w:t>
      </w:r>
      <w:r>
        <w:t xml:space="preserve"> </w:t>
      </w:r>
      <w:r>
        <w:t xml:space="preserve">classification, remediation, escalation, and SLA enforcement run.</w:t>
      </w:r>
      <w:r>
        <w:t xml:space="preserve"> </w:t>
      </w:r>
      <w:r>
        <w:t xml:space="preserve">Without an explicit tempo, even a deterministic substrate degrades —</w:t>
      </w:r>
      <w:r>
        <w:t xml:space="preserve"> </w:t>
      </w:r>
      <w:r>
        <w:t xml:space="preserve">findings pile up, remediation contracts are not honored, and the</w:t>
      </w:r>
      <w:r>
        <w:t xml:space="preserve"> </w:t>
      </w:r>
      <w:r>
        <w:t xml:space="preserve">substrate’s evidence reflects neglect rather than discipline. This</w:t>
      </w:r>
      <w:r>
        <w:t xml:space="preserve"> </w:t>
      </w:r>
      <w:r>
        <w:t xml:space="preserve">chapter explains the tempo the Federal Modernization Program declares and what it requires of the</w:t>
      </w:r>
      <w:r>
        <w:t xml:space="preserve"> </w:t>
      </w:r>
      <w:r>
        <w:t xml:space="preserve">operating program.</w:t>
      </w:r>
    </w:p>
    <w:bookmarkEnd w:id="74"/>
    <w:bookmarkStart w:id="75" w:name="the-tempo-declared-in-canon"/>
    <w:p>
      <w:pPr>
        <w:pStyle w:val="Heading2"/>
      </w:pPr>
      <w:r>
        <w:t xml:space="preserve">The tempo declared in canon</w:t>
      </w:r>
    </w:p>
    <w:p>
      <w:pPr>
        <w:pStyle w:val="FirstParagraph"/>
      </w:pPr>
      <w:r>
        <w:rPr>
          <w:rStyle w:val="VerbatimChar"/>
        </w:rPr>
        <w:t xml:space="preserve">16_DriftDetectionStandard.qmd</w:t>
      </w:r>
      <w:r>
        <w:t xml:space="preserve"> </w:t>
      </w:r>
      <w:r>
        <w:t xml:space="preserve">declares severity-to-SLA mapping verbatim: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Auto-remediate?</w:t>
            </w:r>
          </w:p>
        </w:tc>
        <w:tc>
          <w:tcPr/>
          <w:p>
            <w:pPr>
              <w:pStyle w:val="Compact"/>
            </w:pPr>
            <w:r>
              <w:t xml:space="preserve">SLA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P1</w:t>
            </w:r>
            <w:r>
              <w:t xml:space="preserve"> </w:t>
            </w:r>
            <w:r>
              <w:t xml:space="preserve">(critical)</w:t>
            </w:r>
          </w:p>
        </w:tc>
        <w:tc>
          <w:tcPr/>
          <w:p>
            <w:pPr>
              <w:pStyle w:val="Compact"/>
            </w:pPr>
            <w:r>
              <w:t xml:space="preserve">No — halt + alert</w:t>
            </w:r>
          </w:p>
        </w:tc>
        <w:tc>
          <w:tcPr/>
          <w:p>
            <w:pPr>
              <w:pStyle w:val="Compact"/>
            </w:pPr>
            <w:r>
              <w:t xml:space="preserve">Immediate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P2</w:t>
            </w:r>
            <w:r>
              <w:t xml:space="preserve"> </w:t>
            </w:r>
            <w:r>
              <w:t xml:space="preserve">(high)</w:t>
            </w:r>
          </w:p>
        </w:tc>
        <w:tc>
          <w:tcPr/>
          <w:p>
            <w:pPr>
              <w:pStyle w:val="Compact"/>
            </w:pPr>
            <w:r>
              <w:t xml:space="preserve">Yes, if deterministic</w:t>
            </w:r>
          </w:p>
        </w:tc>
        <w:tc>
          <w:tcPr/>
          <w:p>
            <w:pPr>
              <w:pStyle w:val="Compact"/>
            </w:pPr>
            <w:r>
              <w:t xml:space="preserve">1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P3</w:t>
            </w:r>
            <w:r>
              <w:t xml:space="preserve"> </w:t>
            </w:r>
            <w:r>
              <w:t xml:space="preserve">(medium)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24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P4</w:t>
            </w:r>
            <w:r>
              <w:t xml:space="preserve"> </w:t>
            </w:r>
            <w:r>
              <w:t xml:space="preserve">(low)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72 hours</w:t>
            </w:r>
          </w:p>
        </w:tc>
      </w:tr>
    </w:tbl>
    <w:p>
      <w:pPr>
        <w:pStyle w:val="BodyText"/>
      </w:pPr>
      <w:r>
        <w:t xml:space="preserve">This is the substrate’s tempo. Programs that adopt the Federal Modernization Program inherit the</w:t>
      </w:r>
      <w:r>
        <w:t xml:space="preserve"> </w:t>
      </w:r>
      <w:r>
        <w:t xml:space="preserve">tempo as a canonical commitment, not as a target to negotiate.</w:t>
      </w:r>
    </w:p>
    <w:bookmarkEnd w:id="75"/>
    <w:bookmarkStart w:id="76" w:name="what-the-tempo-requires-of-the-program"/>
    <w:p>
      <w:pPr>
        <w:pStyle w:val="Heading2"/>
      </w:pPr>
      <w:r>
        <w:t xml:space="preserve">What the tempo requires of the program</w:t>
      </w:r>
    </w:p>
    <w:p>
      <w:pPr>
        <w:pStyle w:val="FirstParagraph"/>
      </w:pPr>
      <w:r>
        <w:t xml:space="preserve">Three operating commitments: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Continuous detection.</w:t>
      </w:r>
      <w:r>
        <w:t xml:space="preserve"> </w:t>
      </w:r>
      <w:r>
        <w:rPr>
          <w:rStyle w:val="VerbatimChar"/>
        </w:rPr>
        <w:t xml:space="preserve">fmp substrate walk</w:t>
      </w:r>
      <w:r>
        <w:t xml:space="preserve"> </w:t>
      </w:r>
      <w:r>
        <w:t xml:space="preserve">runs in CI; runtime</w:t>
      </w:r>
      <w:r>
        <w:t xml:space="preserve"> </w:t>
      </w:r>
      <w:r>
        <w:t xml:space="preserve">adapters emit findings as they execute. Detection is not</w:t>
      </w:r>
      <w:r>
        <w:t xml:space="preserve"> </w:t>
      </w:r>
      <w:r>
        <w:t xml:space="preserve">audit-cycle.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Bounded remediation.</w:t>
      </w:r>
      <w:r>
        <w:t xml:space="preserve"> </w:t>
      </w:r>
      <w:r>
        <w:t xml:space="preserve">Every finding has an SLA; auto-remediation</w:t>
      </w:r>
      <w:r>
        <w:t xml:space="preserve"> </w:t>
      </w:r>
      <w:r>
        <w:t xml:space="preserve">handles deterministic fixes; the human-judgment subset escalates.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Escalation paths land at named roles.</w:t>
      </w:r>
      <w:r>
        <w:t xml:space="preserve"> </w:t>
      </w:r>
      <w:r>
        <w:t xml:space="preserve">Per the drift standard,</w:t>
      </w:r>
      <w:r>
        <w:t xml:space="preserve"> </w:t>
      </w:r>
      <w:r>
        <w:t xml:space="preserve">escalation paths are</w:t>
      </w:r>
      <w:r>
        <w:t xml:space="preserve"> </w:t>
      </w:r>
      <w:r>
        <w:rPr>
          <w:rStyle w:val="VerbatimChar"/>
        </w:rPr>
        <w:t xml:space="preserve">Canon Steward | Architecture Lead | CISO</w:t>
      </w:r>
      <w:r>
        <w:t xml:space="preserve"> </w:t>
      </w:r>
      <w:r>
        <w:t xml:space="preserve">—</w:t>
      </w:r>
      <w:r>
        <w:t xml:space="preserve"> </w:t>
      </w:r>
      <w:r>
        <w:t xml:space="preserve">not generic distribution lists.</w:t>
      </w:r>
    </w:p>
    <w:p>
      <w:pPr>
        <w:pStyle w:val="BlockText"/>
      </w:pPr>
      <w:r>
        <w:rPr>
          <w:b/>
          <w:bCs/>
        </w:rPr>
        <w:t xml:space="preserve">A program that declares tempo but does not honor SLAs is itself</w:t>
      </w:r>
      <w:r>
        <w:rPr>
          <w:b/>
          <w:bCs/>
        </w:rPr>
        <w:t xml:space="preserve"> </w:t>
      </w:r>
      <w:r>
        <w:rPr>
          <w:b/>
          <w:bCs/>
        </w:rPr>
        <w:t xml:space="preserve">generating drift in the operational layer.</w:t>
      </w:r>
      <w:r>
        <w:t xml:space="preserve"> </w:t>
      </w:r>
      <w:r>
        <w:t xml:space="preserve">The substrate detects this</w:t>
      </w:r>
      <w:r>
        <w:t xml:space="preserve"> </w:t>
      </w:r>
      <w:r>
        <w:t xml:space="preserve">through its own findings backlog: a substrate with chronic open</w:t>
      </w:r>
      <w:r>
        <w:t xml:space="preserve"> </w:t>
      </w:r>
      <w:r>
        <w:t xml:space="preserve">findings is signaling that the program’s tempo is out of step with the</w:t>
      </w:r>
      <w:r>
        <w:t xml:space="preserve"> </w:t>
      </w:r>
      <w:r>
        <w:t xml:space="preserve">canonical SLAs.</w:t>
      </w:r>
    </w:p>
    <w:bookmarkEnd w:id="76"/>
    <w:bookmarkStart w:id="77" w:name="auto-remediation-versus-escalation"/>
    <w:p>
      <w:pPr>
        <w:pStyle w:val="Heading2"/>
      </w:pPr>
      <w:r>
        <w:t xml:space="preserve">Auto-remediation versus escalation</w:t>
      </w:r>
    </w:p>
    <w:p>
      <w:pPr>
        <w:pStyle w:val="FirstParagraph"/>
      </w:pPr>
      <w:r>
        <w:t xml:space="preserve">The SLA model deliberately auto-remediates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 </w:t>
      </w:r>
      <w:r>
        <w:t xml:space="preserve">fixes and</w:t>
      </w:r>
      <w:r>
        <w:t xml:space="preserve"> </w:t>
      </w:r>
      <w:r>
        <w:t xml:space="preserve">escalates the rest. Three structural reasons: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Auto-remediation that requires judgment is unsafe.</w:t>
      </w:r>
      <w:r>
        <w:t xml:space="preserve"> </w:t>
      </w:r>
      <w:r>
        <w:t xml:space="preserve">A fix that</w:t>
      </w:r>
      <w:r>
        <w:t xml:space="preserve"> </w:t>
      </w:r>
      <w:r>
        <w:t xml:space="preserve">depends on context cannot run unattended.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Escalation that auto-remediates undermines the canon-change</w:t>
      </w:r>
      <w:r>
        <w:rPr>
          <w:b/>
          <w:bCs/>
        </w:rPr>
        <w:t xml:space="preserve"> </w:t>
      </w:r>
      <w:r>
        <w:rPr>
          <w:b/>
          <w:bCs/>
        </w:rPr>
        <w:t xml:space="preserve">process.</w:t>
      </w:r>
      <w:r>
        <w:t xml:space="preserve"> </w:t>
      </w:r>
      <w:r>
        <w:t xml:space="preserve">Authority to mutate canon belongs in the canon-change</w:t>
      </w:r>
      <w:r>
        <w:t xml:space="preserve"> </w:t>
      </w:r>
      <w:r>
        <w:t xml:space="preserve">ADR review, not in an adapter’s auto-fix path.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The split clarifies what humans do.</w:t>
      </w:r>
      <w:r>
        <w:t xml:space="preserve"> </w:t>
      </w:r>
      <w:r>
        <w:t xml:space="preserve">Humans tune the</w:t>
      </w:r>
      <w:r>
        <w:t xml:space="preserve"> </w:t>
      </w:r>
      <w:r>
        <w:t xml:space="preserve">classifier, review escalations, and author ADRs. Humans do not do</w:t>
      </w:r>
      <w:r>
        <w:t xml:space="preserve"> </w:t>
      </w:r>
      <w:r>
        <w:t xml:space="preserve">ticket triage on routine drift.</w:t>
      </w:r>
    </w:p>
    <w:bookmarkEnd w:id="77"/>
    <w:bookmarkStart w:id="78" w:name="the-operations-teams-view"/>
    <w:p>
      <w:pPr>
        <w:pStyle w:val="Heading2"/>
      </w:pPr>
      <w:r>
        <w:t xml:space="preserve">The operations team’s view</w:t>
      </w:r>
    </w:p>
    <w:p>
      <w:pPr>
        <w:pStyle w:val="FirstParagraph"/>
      </w:pPr>
      <w:r>
        <w:t xml:space="preserve">For a substrate operations team, the tempo presents: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A live findings queue</w:t>
      </w:r>
      <w:r>
        <w:t xml:space="preserve"> </w:t>
      </w:r>
      <w:r>
        <w:t xml:space="preserve">scoped by severity and adapter.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Per-finding remediation contracts</w:t>
      </w:r>
      <w:r>
        <w:t xml:space="preserve"> </w:t>
      </w:r>
      <w:r>
        <w:t xml:space="preserve">that record what was done and</w:t>
      </w:r>
      <w:r>
        <w:t xml:space="preserve"> </w:t>
      </w:r>
      <w:r>
        <w:t xml:space="preserve">by whom (human or auto).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An SLA dashboard</w:t>
      </w:r>
      <w:r>
        <w:t xml:space="preserve"> </w:t>
      </w:r>
      <w:r>
        <w:t xml:space="preserve">showing P1/P2/P3/P4 burn-down rates.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Escalation channels</w:t>
      </w:r>
      <w:r>
        <w:t xml:space="preserve"> </w:t>
      </w:r>
      <w:r>
        <w:t xml:space="preserve">routed by canon-defined paths, not by</w:t>
      </w:r>
      <w:r>
        <w:t xml:space="preserve"> </w:t>
      </w:r>
      <w:r>
        <w:t xml:space="preserve">ad-hoc routing rules.</w:t>
      </w:r>
    </w:p>
    <w:p>
      <w:pPr>
        <w:pStyle w:val="FirstParagraph"/>
      </w:pPr>
      <w:r>
        <w:t xml:space="preserve">The operations work shifts from</w:t>
      </w:r>
      <w:r>
        <w:t xml:space="preserve"> </w:t>
      </w:r>
      <w:r>
        <w:t xml:space="preserve">“monitor everything”</w:t>
      </w:r>
      <w:r>
        <w:t xml:space="preserve"> </w:t>
      </w:r>
      <w:r>
        <w:t xml:space="preserve">to</w:t>
      </w:r>
      <w:r>
        <w:t xml:space="preserve"> </w:t>
      </w:r>
      <w:r>
        <w:t xml:space="preserve">“tune the</w:t>
      </w:r>
      <w:r>
        <w:t xml:space="preserve"> </w:t>
      </w:r>
      <w:r>
        <w:t xml:space="preserve">classifier and respond to escalations.”</w:t>
      </w:r>
      <w:r>
        <w:t xml:space="preserve"> </w:t>
      </w:r>
      <w:r>
        <w:t xml:space="preserve">Most P3/P4 findings are</w:t>
      </w:r>
      <w:r>
        <w:t xml:space="preserve"> </w:t>
      </w:r>
      <w:r>
        <w:t xml:space="preserve">auto-handled; most P2 findings auto-remediate when deterministic; only</w:t>
      </w:r>
      <w:r>
        <w:t xml:space="preserve"> </w:t>
      </w:r>
      <w:r>
        <w:t xml:space="preserve">P1 and the human-judgment subset of P2 reach a human in the loop.</w:t>
      </w:r>
    </w:p>
    <w:bookmarkEnd w:id="78"/>
    <w:bookmarkStart w:id="79" w:name="the-leadership-view"/>
    <w:p>
      <w:pPr>
        <w:pStyle w:val="Heading2"/>
      </w:pPr>
      <w:r>
        <w:t xml:space="preserve">The leadership view</w:t>
      </w:r>
    </w:p>
    <w:p>
      <w:pPr>
        <w:pStyle w:val="FirstParagraph"/>
      </w:pPr>
      <w:r>
        <w:t xml:space="preserve">For program leadership, the tempo presents three measurable</w:t>
      </w:r>
      <w:r>
        <w:t xml:space="preserve"> </w:t>
      </w:r>
      <w:r>
        <w:t xml:space="preserve">properties: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Detection coverage</w:t>
      </w:r>
      <w:r>
        <w:t xml:space="preserve"> </w:t>
      </w:r>
      <w:r>
        <w:t xml:space="preserve">— what fraction of the runtime surface is</w:t>
      </w:r>
      <w:r>
        <w:t xml:space="preserve"> </w:t>
      </w:r>
      <w:r>
        <w:t xml:space="preserve">emitting drift findings? (Today: schema/provenance fully via CI;</w:t>
      </w:r>
      <w:r>
        <w:t xml:space="preserve"> </w:t>
      </w:r>
      <w:r>
        <w:t xml:space="preserve">semantic/authz/identity via adapters that have implemented runtime</w:t>
      </w:r>
      <w:r>
        <w:t xml:space="preserve"> </w:t>
      </w:r>
      <w:r>
        <w:t xml:space="preserve">conformance.)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SLA adherence</w:t>
      </w:r>
      <w:r>
        <w:t xml:space="preserve"> </w:t>
      </w:r>
      <w:r>
        <w:t xml:space="preserve">— what fraction of findings remediate within</w:t>
      </w:r>
      <w:r>
        <w:t xml:space="preserve"> </w:t>
      </w:r>
      <w:r>
        <w:t xml:space="preserve">their SLA?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Escalation rate</w:t>
      </w:r>
      <w:r>
        <w:t xml:space="preserve"> </w:t>
      </w:r>
      <w:r>
        <w:t xml:space="preserve">— what fraction of findings escalate to a human?</w:t>
      </w:r>
      <w:r>
        <w:t xml:space="preserve"> </w:t>
      </w:r>
      <w:r>
        <w:t xml:space="preserve">(Higher escalation rate = either drift severity is rising, or the</w:t>
      </w:r>
      <w:r>
        <w:t xml:space="preserve"> </w:t>
      </w:r>
      <w:r>
        <w:t xml:space="preserve">classifier needs tuning.)</w:t>
      </w:r>
    </w:p>
    <w:p>
      <w:pPr>
        <w:pStyle w:val="FirstParagraph"/>
      </w:pPr>
      <w:r>
        <w:t xml:space="preserve">These three are</w:t>
      </w:r>
      <w:r>
        <w:t xml:space="preserve"> </w:t>
      </w:r>
      <w:r>
        <w:rPr>
          <w:i/>
          <w:iCs/>
        </w:rPr>
        <w:t xml:space="preserve">program health metrics</w:t>
      </w:r>
      <w:r>
        <w:t xml:space="preserve">, not just operations metrics.</w:t>
      </w:r>
    </w:p>
    <w:bookmarkEnd w:id="79"/>
    <w:bookmarkStart w:id="80" w:name="what-the-tempo-does-not-require"/>
    <w:p>
      <w:pPr>
        <w:pStyle w:val="Heading2"/>
      </w:pPr>
      <w:r>
        <w:t xml:space="preserve">What the tempo does not require</w:t>
      </w:r>
    </w:p>
    <w:p>
      <w:pPr>
        <w:pStyle w:val="Compact"/>
        <w:numPr>
          <w:ilvl w:val="0"/>
          <w:numId w:val="1045"/>
        </w:numPr>
      </w:pPr>
      <w:r>
        <w:t xml:space="preserve">It does not require 24/7 staffing. P3/P4 findings auto-remediate</w:t>
      </w:r>
      <w:r>
        <w:t xml:space="preserve"> </w:t>
      </w:r>
      <w:r>
        <w:t xml:space="preserve">within their SLA; P1 findings halt and alert, preserving substrate</w:t>
      </w:r>
      <w:r>
        <w:t xml:space="preserve"> </w:t>
      </w:r>
      <w:r>
        <w:t xml:space="preserve">integrity until a human responds.</w:t>
      </w:r>
    </w:p>
    <w:p>
      <w:pPr>
        <w:pStyle w:val="Compact"/>
        <w:numPr>
          <w:ilvl w:val="0"/>
          <w:numId w:val="1045"/>
        </w:numPr>
      </w:pPr>
      <w:r>
        <w:t xml:space="preserve">It does not require eliminating drift. Drift is the signal; the</w:t>
      </w:r>
      <w:r>
        <w:t xml:space="preserve"> </w:t>
      </w:r>
      <w:r>
        <w:t xml:space="preserve">tempo bounds</w:t>
      </w:r>
      <w:r>
        <w:t xml:space="preserve"> </w:t>
      </w:r>
      <w:r>
        <w:rPr>
          <w:i/>
          <w:iCs/>
        </w:rPr>
        <w:t xml:space="preserve">response</w:t>
      </w:r>
      <w:r>
        <w:t xml:space="preserve">, not</w:t>
      </w:r>
      <w:r>
        <w:t xml:space="preserve"> </w:t>
      </w:r>
      <w:r>
        <w:rPr>
          <w:i/>
          <w:iCs/>
        </w:rPr>
        <w:t xml:space="preserve">occurrence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t xml:space="preserve">It does not require a vendor SaaS. The tempo runs entirely on the</w:t>
      </w:r>
      <w:r>
        <w:t xml:space="preserve"> </w:t>
      </w:r>
      <w:r>
        <w:t xml:space="preserve">substrate hosted by the agency.</w:t>
      </w:r>
    </w:p>
    <w:bookmarkEnd w:id="80"/>
    <w:bookmarkStart w:id="81" w:name="honest-limits-4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46"/>
        </w:numPr>
      </w:pPr>
      <w:r>
        <w:t xml:space="preserve">Auto-remediation is bounded to deterministic fixes. As the runtime</w:t>
      </w:r>
      <w:r>
        <w:t xml:space="preserve"> </w:t>
      </w:r>
      <w:r>
        <w:t xml:space="preserve">detection surface matures, the auto-remediation envelope grows;</w:t>
      </w:r>
      <w:r>
        <w:t xml:space="preserve"> </w:t>
      </w:r>
      <w:r>
        <w:t xml:space="preserve">today, semantic/authz/identity drift more often escalates.</w:t>
      </w:r>
    </w:p>
    <w:p>
      <w:pPr>
        <w:pStyle w:val="Compact"/>
        <w:numPr>
          <w:ilvl w:val="0"/>
          <w:numId w:val="1046"/>
        </w:numPr>
      </w:pPr>
      <w:r>
        <w:t xml:space="preserve">SLAs are enforceable only when findings are emitted. Adapters that</w:t>
      </w:r>
      <w:r>
        <w:t xml:space="preserve"> </w:t>
      </w:r>
      <w:r>
        <w:t xml:space="preserve">have not yet implemented runtime conformance contribute no</w:t>
      </w:r>
      <w:r>
        <w:t xml:space="preserve"> </w:t>
      </w:r>
      <w:r>
        <w:t xml:space="preserve">findings, and their drift is invisible to the tempo.</w:t>
      </w:r>
    </w:p>
    <w:p>
      <w:pPr>
        <w:pStyle w:val="Compact"/>
        <w:numPr>
          <w:ilvl w:val="0"/>
          <w:numId w:val="1046"/>
        </w:numPr>
      </w:pPr>
      <w:r>
        <w:t xml:space="preserve">The escalation paths assume the named roles exist in the agency.</w:t>
      </w:r>
      <w:r>
        <w:t xml:space="preserve"> </w:t>
      </w:r>
      <w:r>
        <w:t xml:space="preserve">Programs without a Canon Steward role have to designate one; the</w:t>
      </w:r>
      <w:r>
        <w:t xml:space="preserve"> </w:t>
      </w:r>
      <w:r>
        <w:t xml:space="preserve">substrate cannot manufacture authority.</w:t>
      </w:r>
    </w:p>
    <w:bookmarkEnd w:id="81"/>
    <w:bookmarkStart w:id="82" w:name="key-takeaways-6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47"/>
        </w:numPr>
      </w:pPr>
      <w:r>
        <w:t xml:space="preserve">Operational tempo is canonical, not negotiable.</w:t>
      </w:r>
    </w:p>
    <w:p>
      <w:pPr>
        <w:pStyle w:val="Compact"/>
        <w:numPr>
          <w:ilvl w:val="0"/>
          <w:numId w:val="1047"/>
        </w:numPr>
      </w:pPr>
      <w:r>
        <w:t xml:space="preserve">Auto-remediation handles deterministic fixes; escalation handles the</w:t>
      </w:r>
      <w:r>
        <w:t xml:space="preserve"> </w:t>
      </w:r>
      <w:r>
        <w:t xml:space="preserve">rest.</w:t>
      </w:r>
    </w:p>
    <w:p>
      <w:pPr>
        <w:pStyle w:val="Compact"/>
        <w:numPr>
          <w:ilvl w:val="0"/>
          <w:numId w:val="1047"/>
        </w:numPr>
      </w:pPr>
      <w:r>
        <w:t xml:space="preserve">The split clarifies what humans do.</w:t>
      </w:r>
    </w:p>
    <w:p>
      <w:pPr>
        <w:pStyle w:val="Compact"/>
        <w:numPr>
          <w:ilvl w:val="0"/>
          <w:numId w:val="1047"/>
        </w:numPr>
      </w:pPr>
      <w:r>
        <w:t xml:space="preserve">Detection coverage, SLA adherence, and escalation rate are program</w:t>
      </w:r>
      <w:r>
        <w:t xml:space="preserve"> </w:t>
      </w:r>
      <w:r>
        <w:t xml:space="preserve">health metrics.</w:t>
      </w:r>
    </w:p>
    <w:p>
      <w:pPr>
        <w:pStyle w:val="Compact"/>
        <w:numPr>
          <w:ilvl w:val="0"/>
          <w:numId w:val="1047"/>
        </w:numPr>
      </w:pPr>
      <w:r>
        <w:t xml:space="preserve">Honest limits remain around runtime maturity and role assignment.</w:t>
      </w:r>
    </w:p>
    <w:bookmarkEnd w:id="82"/>
    <w:bookmarkStart w:id="83" w:name="related-documents-6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48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48"/>
        </w:numPr>
      </w:pPr>
      <w:r>
        <w:t xml:space="preserve">Chapter 3: Drift as the Primary Threat</w:t>
      </w:r>
    </w:p>
    <w:p>
      <w:pPr>
        <w:pStyle w:val="Compact"/>
        <w:numPr>
          <w:ilvl w:val="0"/>
          <w:numId w:val="1048"/>
        </w:numPr>
      </w:pPr>
      <w:r>
        <w:t xml:space="preserve">Architecture Series — Drift Engine</w:t>
      </w:r>
    </w:p>
    <w:p>
      <w:pPr>
        <w:pStyle w:val="Compact"/>
        <w:numPr>
          <w:ilvl w:val="0"/>
          <w:numId w:val="1048"/>
        </w:numPr>
      </w:pPr>
      <w:r>
        <w:t xml:space="preserve">Drift Detection Standard (canon)</w:t>
      </w:r>
    </w:p>
    <w:bookmarkEnd w:id="83"/>
    <w:bookmarkEnd w:id="84"/>
    <w:bookmarkStart w:id="96" w:name="governance-at-scale"/>
    <w:p>
      <w:pPr>
        <w:pStyle w:val="Heading1"/>
      </w:pPr>
      <w:r>
        <w:t xml:space="preserve">Governance at Scale</w:t>
      </w:r>
    </w:p>
    <w:bookmarkStart w:id="85" w:name="in-this-chapter-7"/>
    <w:p>
      <w:pPr>
        <w:pStyle w:val="Heading2"/>
      </w:pPr>
      <w:r>
        <w:t xml:space="preserve">In this chapter</w:t>
      </w:r>
    </w:p>
    <w:p>
      <w:pPr>
        <w:pStyle w:val="FirstParagraph"/>
      </w:pPr>
      <w:r>
        <w:t xml:space="preserve">Substrate-level governance has to scale across hundreds of adapters,</w:t>
      </w:r>
      <w:r>
        <w:t xml:space="preserve"> </w:t>
      </w:r>
      <w:r>
        <w:t xml:space="preserve">thousands of controls, multiple authorization boundaries, and many</w:t>
      </w:r>
      <w:r>
        <w:t xml:space="preserve"> </w:t>
      </w:r>
      <w:r>
        <w:t xml:space="preserve">concurrent modernization programs without devolving into per-program</w:t>
      </w:r>
      <w:r>
        <w:t xml:space="preserve"> </w:t>
      </w:r>
      <w:r>
        <w:t xml:space="preserve">exceptions. This chapter explains how the Federal Modernization Program’s substrate scales — what</w:t>
      </w:r>
      <w:r>
        <w:t xml:space="preserve"> </w:t>
      </w:r>
      <w:r>
        <w:t xml:space="preserve">it deliberately keeps small, what it lets grow, and why the scaling</w:t>
      </w:r>
      <w:r>
        <w:t xml:space="preserve"> </w:t>
      </w:r>
      <w:r>
        <w:t xml:space="preserve">properties are structural rather than operational.</w:t>
      </w:r>
    </w:p>
    <w:bookmarkEnd w:id="85"/>
    <w:bookmarkStart w:id="86" w:name="what-stays-small"/>
    <w:p>
      <w:pPr>
        <w:pStyle w:val="Heading2"/>
      </w:pPr>
      <w:r>
        <w:t xml:space="preserve">What stays small</w:t>
      </w:r>
    </w:p>
    <w:p>
      <w:pPr>
        <w:pStyle w:val="FirstParagraph"/>
      </w:pPr>
      <w:r>
        <w:t xml:space="preserve">Three substrate properties are deliberately kept small at scale: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Canon.</w:t>
      </w:r>
      <w:r>
        <w:t xml:space="preserve"> </w:t>
      </w:r>
      <w:r>
        <w:t xml:space="preserve">The canonical document set is small — schemas, ADRs,</w:t>
      </w:r>
      <w:r>
        <w:t xml:space="preserve"> </w:t>
      </w:r>
      <w:r>
        <w:t xml:space="preserve">numbered governance documents under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. Adding a</w:t>
      </w:r>
      <w:r>
        <w:t xml:space="preserve"> </w:t>
      </w:r>
      <w:r>
        <w:t xml:space="preserve">document requires a FMP_NNN allocation and (for doctrinal</w:t>
      </w:r>
      <w:r>
        <w:t xml:space="preserve"> </w:t>
      </w:r>
      <w:r>
        <w:t xml:space="preserve">changes) an ADR. The substrate is designed so canon does not</w:t>
      </w:r>
      <w:r>
        <w:t xml:space="preserve"> </w:t>
      </w:r>
      <w:r>
        <w:t xml:space="preserve">linearly inflate with the program.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 drift taxonomy.</w:t>
      </w:r>
      <w:r>
        <w:t xml:space="preserve"> </w:t>
      </w:r>
      <w:r>
        <w:t xml:space="preserve">Five classes, not fifty. Severity is four</w:t>
      </w:r>
      <w:r>
        <w:t xml:space="preserve"> </w:t>
      </w:r>
      <w:r>
        <w:t xml:space="preserve">levels, not twelve. Adding a class would require an ADR and</w:t>
      </w:r>
      <w:r>
        <w:t xml:space="preserve"> </w:t>
      </w:r>
      <w:r>
        <w:t xml:space="preserve">substrate-wide schema migration.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 CLI surface.</w:t>
      </w:r>
      <w:r>
        <w:t xml:space="preserve"> </w:t>
      </w:r>
      <w:r>
        <w:t xml:space="preserve">Sub-app structure (per the program decision) means new</w:t>
      </w:r>
      <w:r>
        <w:t xml:space="preserve"> </w:t>
      </w:r>
      <w:r>
        <w:t xml:space="preserve">commands live under existing domains; no flat top-level commands.</w:t>
      </w:r>
      <w:r>
        <w:t xml:space="preserve"> </w:t>
      </w:r>
      <w:r>
        <w:t xml:space="preserve">The CLI’s shape is invariant under feature growth.</w:t>
      </w:r>
    </w:p>
    <w:p>
      <w:pPr>
        <w:pStyle w:val="FirstParagraph"/>
      </w:pPr>
      <w:r>
        <w:t xml:space="preserve">These three are the substrate’s stability anchors.</w:t>
      </w:r>
    </w:p>
    <w:bookmarkEnd w:id="86"/>
    <w:bookmarkStart w:id="87" w:name="what-is-allowed-to-grow"/>
    <w:p>
      <w:pPr>
        <w:pStyle w:val="Heading2"/>
      </w:pPr>
      <w:r>
        <w:t xml:space="preserve">What is allowed to grow</w:t>
      </w:r>
    </w:p>
    <w:p>
      <w:pPr>
        <w:pStyle w:val="FirstParagraph"/>
      </w:pPr>
      <w:r>
        <w:t xml:space="preserve">Three substrate properties are designed to grow: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Adapters.</w:t>
      </w:r>
      <w:r>
        <w:t xml:space="preserve"> </w:t>
      </w:r>
      <w:r>
        <w:t xml:space="preserve">New adapters land in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modernization-registry.yaml</w:t>
      </w:r>
      <w:r>
        <w:t xml:space="preserve"> </w:t>
      </w:r>
      <w:r>
        <w:t xml:space="preserve">with schema validation. The</w:t>
      </w:r>
      <w:r>
        <w:t xml:space="preserve"> </w:t>
      </w:r>
      <w:r>
        <w:t xml:space="preserve">registries are append-only at the structural level (retirement is</w:t>
      </w:r>
      <w:r>
        <w:t xml:space="preserve"> </w:t>
      </w:r>
      <w:r>
        <w:t xml:space="preserve">a state, not a deletion).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Policy mappings.</w:t>
      </w:r>
      <w:r>
        <w:t xml:space="preserve"> </w:t>
      </w:r>
      <w:r>
        <w:t xml:space="preserve">KSI mappings, control-to-rule bindings,</w:t>
      </w:r>
      <w:r>
        <w:t xml:space="preserve"> </w:t>
      </w:r>
      <w:r>
        <w:t xml:space="preserve">adapter-to-mission-class declarations grow with the substrate’s</w:t>
      </w:r>
      <w:r>
        <w:t xml:space="preserve"> </w:t>
      </w:r>
      <w:r>
        <w:t xml:space="preserve">coverage of an agency’s tool stack.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Evidence emissions.</w:t>
      </w:r>
      <w:r>
        <w:t xml:space="preserve"> </w:t>
      </w:r>
      <w:r>
        <w:t xml:space="preserve">OSCAL artifacts, KSI dashboard entries,</w:t>
      </w:r>
      <w:r>
        <w:t xml:space="preserve"> </w:t>
      </w:r>
      <w:r>
        <w:t xml:space="preserve">Component Definitions, drift findings — these grow continuously as</w:t>
      </w:r>
      <w:r>
        <w:t xml:space="preserve"> </w:t>
      </w:r>
      <w:r>
        <w:t xml:space="preserve">the substrate runs.</w:t>
      </w:r>
    </w:p>
    <w:p>
      <w:pPr>
        <w:pStyle w:val="FirstParagraph"/>
      </w:pPr>
      <w:r>
        <w:t xml:space="preserve">Growth is structural: each new entry conforms to the canonical schema,</w:t>
      </w:r>
      <w:r>
        <w:t xml:space="preserve"> </w:t>
      </w:r>
      <w:r>
        <w:t xml:space="preserve">is validated in CI, and inherits the substrate’s invariants</w:t>
      </w:r>
      <w:r>
        <w:t xml:space="preserve"> </w:t>
      </w:r>
      <w:r>
        <w:t xml:space="preserve">automatically.</w:t>
      </w:r>
    </w:p>
    <w:p>
      <w:pPr>
        <w:pStyle w:val="BodyText"/>
      </w:pPr>
      <w:r>
        <w:rPr>
          <w:b/>
          <w:bCs/>
        </w:rPr>
        <w:t xml:space="preserve">At a glance — what the substrate holds small vs lets grow: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Held small (stability anchors)</w:t>
            </w:r>
          </w:p>
        </w:tc>
        <w:tc>
          <w:tcPr/>
          <w:p>
            <w:pPr>
              <w:pStyle w:val="Compact"/>
            </w:pPr>
            <w:r>
              <w:t xml:space="preserve">Allowed to grow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 (schemas, ADRs, numbered docs)</w:t>
            </w:r>
          </w:p>
        </w:tc>
        <w:tc>
          <w:tcPr/>
          <w:p>
            <w:pPr>
              <w:pStyle w:val="Compact"/>
            </w:pPr>
            <w:r>
              <w:t xml:space="preserve">Adapters (append-only registries)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drift taxonomy (5 classes, 4 severities)</w:t>
            </w:r>
          </w:p>
        </w:tc>
        <w:tc>
          <w:tcPr/>
          <w:p>
            <w:pPr>
              <w:pStyle w:val="Compact"/>
            </w:pPr>
            <w:r>
              <w:t xml:space="preserve">Policy mappings (KSI, control-to-rule bindings)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CLI surface (sub-app structure, the program decision)</w:t>
            </w:r>
          </w:p>
        </w:tc>
        <w:tc>
          <w:tcPr/>
          <w:p>
            <w:pPr>
              <w:pStyle w:val="Compact"/>
            </w:pPr>
            <w:r>
              <w:t xml:space="preserve">Evidence emissions (OSCAL, KSI, drift findings)</w:t>
            </w:r>
          </w:p>
        </w:tc>
      </w:tr>
    </w:tbl>
    <w:bookmarkEnd w:id="87"/>
    <w:bookmarkStart w:id="88" w:name="how-the-consolidation-supports-scale"/>
    <w:p>
      <w:pPr>
        <w:pStyle w:val="Heading2"/>
      </w:pPr>
      <w:r>
        <w:t xml:space="preserve">How the consolidation supports scale</w:t>
      </w:r>
    </w:p>
    <w:p>
      <w:pPr>
        <w:pStyle w:val="FirstParagraph"/>
      </w:pPr>
      <w:r>
        <w:t xml:space="preserve">Per the program decision</w:t>
      </w:r>
      <w:r>
        <w:t xml:space="preserve"> </w:t>
      </w:r>
      <w:r>
        <w:t xml:space="preserve">and the program decision,</w:t>
      </w:r>
      <w:r>
        <w:t xml:space="preserve"> </w:t>
      </w:r>
      <w:r>
        <w:t xml:space="preserve">the substrate consolidated four predecessor repos into a single</w:t>
      </w:r>
      <w:r>
        <w:t xml:space="preserve"> </w:t>
      </w:r>
      <w:r>
        <w:t xml:space="preserve">monorepo with a single installable Python package. The consolidation</w:t>
      </w:r>
      <w:r>
        <w:t xml:space="preserve"> </w:t>
      </w:r>
      <w:r>
        <w:t xml:space="preserve">matters for scale because it eliminates a class of substrate-level</w:t>
      </w:r>
      <w:r>
        <w:t xml:space="preserve"> </w:t>
      </w:r>
      <w:r>
        <w:t xml:space="preserve">drift that no individual program could solve: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No cross-repo version skew.</w:t>
      </w:r>
      <w:r>
        <w:t xml:space="preserve"> </w:t>
      </w:r>
      <w:r>
        <w:t xml:space="preserve">Canon, schemas, runtime, and tests</w:t>
      </w:r>
      <w:r>
        <w:t xml:space="preserve"> </w:t>
      </w:r>
      <w:r>
        <w:t xml:space="preserve">ship together. There is no scenario where canon advances and</w:t>
      </w:r>
      <w:r>
        <w:t xml:space="preserve"> </w:t>
      </w:r>
      <w:r>
        <w:t xml:space="preserve">runtime lags.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Single import root.</w:t>
      </w:r>
      <w:r>
        <w:t xml:space="preserve"> </w:t>
      </w:r>
      <w:r>
        <w:t xml:space="preserve">Code reads canon via</w:t>
      </w:r>
      <w:r>
        <w:t xml:space="preserve"> </w:t>
      </w:r>
      <w:r>
        <w:rPr>
          <w:rStyle w:val="VerbatimChar"/>
        </w:rPr>
        <w:t xml:space="preserve">importlib.resources.files("fmp.canon")</w:t>
      </w:r>
      <w:r>
        <w:t xml:space="preserve">; no sibling-checkout</w:t>
      </w:r>
      <w:r>
        <w:t xml:space="preserve"> </w:t>
      </w:r>
      <w:r>
        <w:t xml:space="preserve">fallbacks, no per-program path manipulation.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One CI surface.</w:t>
      </w:r>
      <w:r>
        <w:t xml:space="preserve"> </w:t>
      </w:r>
      <w:r>
        <w:t xml:space="preserve">Schema validation, drift detection, adapter</w:t>
      </w:r>
      <w:r>
        <w:t xml:space="preserve"> </w:t>
      </w:r>
      <w:r>
        <w:t xml:space="preserve">conformance, and tests all run on the same merge gate. Adding an</w:t>
      </w:r>
      <w:r>
        <w:t xml:space="preserve"> </w:t>
      </w:r>
      <w:r>
        <w:t xml:space="preserve">adapter does not require setting up a new CI pipeline.</w:t>
      </w:r>
    </w:p>
    <w:p>
      <w:pPr>
        <w:pStyle w:val="FirstParagraph"/>
      </w:pPr>
      <w:r>
        <w:t xml:space="preserve">The consolidation is</w:t>
      </w:r>
      <w:r>
        <w:t xml:space="preserve"> </w:t>
      </w:r>
      <w:r>
        <w:rPr>
          <w:i/>
          <w:iCs/>
        </w:rPr>
        <w:t xml:space="preserve">what makes scale tractable</w:t>
      </w:r>
      <w:r>
        <w:t xml:space="preserve"> </w:t>
      </w:r>
      <w:r>
        <w:t xml:space="preserve">— without it, every</w:t>
      </w:r>
      <w:r>
        <w:t xml:space="preserve"> </w:t>
      </w:r>
      <w:r>
        <w:t xml:space="preserve">new program would have its own integration headaches.</w:t>
      </w:r>
    </w:p>
    <w:bookmarkEnd w:id="88"/>
    <w:bookmarkStart w:id="89" w:name="multi-program-scaling"/>
    <w:p>
      <w:pPr>
        <w:pStyle w:val="Heading2"/>
      </w:pPr>
      <w:r>
        <w:t xml:space="preserve">Multi-program scaling</w:t>
      </w:r>
    </w:p>
    <w:p>
      <w:pPr>
        <w:pStyle w:val="FirstParagraph"/>
      </w:pPr>
      <w:r>
        <w:t xml:space="preserve">A substrate hosting many concurrent agency programs scales by: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Per-program canon under shared schemas.</w:t>
      </w:r>
      <w:r>
        <w:t xml:space="preserve"> </w:t>
      </w:r>
      <w:r>
        <w:t xml:space="preserve">Each program’s</w:t>
      </w:r>
      <w:r>
        <w:t xml:space="preserve"> </w:t>
      </w:r>
      <w:r>
        <w:t xml:space="preserve">artifacts live under canonical layouts; the substrate’s schemas</w:t>
      </w:r>
      <w:r>
        <w:t xml:space="preserve"> </w:t>
      </w:r>
      <w:r>
        <w:t xml:space="preserve">validate them uniformly.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Per-program adapter registration.</w:t>
      </w:r>
      <w:r>
        <w:t xml:space="preserve"> </w:t>
      </w:r>
      <w:r>
        <w:t xml:space="preserve">New adapters declare their</w:t>
      </w:r>
      <w:r>
        <w:t xml:space="preserve"> </w:t>
      </w:r>
      <w:r>
        <w:rPr>
          <w:rStyle w:val="VerbatimChar"/>
        </w:rPr>
        <w:t xml:space="preserve">class × mission-class</w:t>
      </w:r>
      <w:r>
        <w:t xml:space="preserve"> </w:t>
      </w:r>
      <w:r>
        <w:t xml:space="preserve">and inherit the canon invariants. The</w:t>
      </w:r>
      <w:r>
        <w:t xml:space="preserve"> </w:t>
      </w:r>
      <w:r>
        <w:t xml:space="preserve">substrate enforces consistency without per-program negotiation.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Per-program drift findings.</w:t>
      </w:r>
      <w:r>
        <w:t xml:space="preserve"> </w:t>
      </w:r>
      <w:r>
        <w:t xml:space="preserve">Findings are scoped per program but</w:t>
      </w:r>
      <w:r>
        <w:t xml:space="preserve"> </w:t>
      </w:r>
      <w:r>
        <w:t xml:space="preserve">emitted into the same canonical taxonomy. Cross-program drift</w:t>
      </w:r>
      <w:r>
        <w:t xml:space="preserve"> </w:t>
      </w:r>
      <w:r>
        <w:t xml:space="preserve">trends are observable without unifying the program teams.</w:t>
      </w:r>
    </w:p>
    <w:p>
      <w:pPr>
        <w:pStyle w:val="BlockText"/>
      </w:pPr>
      <w:r>
        <w:rPr>
          <w:b/>
          <w:bCs/>
        </w:rPr>
        <w:t xml:space="preserve">Three programs, three programs’ worth of evidence — but one</w:t>
      </w:r>
      <w:r>
        <w:rPr>
          <w:b/>
          <w:bCs/>
        </w:rPr>
        <w:t xml:space="preserve"> </w:t>
      </w:r>
      <w:r>
        <w:rPr>
          <w:b/>
          <w:bCs/>
        </w:rPr>
        <w:t xml:space="preserve">substrate, one taxonomy, one CI surface.</w:t>
      </w:r>
    </w:p>
    <w:bookmarkEnd w:id="89"/>
    <w:bookmarkStart w:id="90" w:name="the-boundary-multiplicity-problem"/>
    <w:p>
      <w:pPr>
        <w:pStyle w:val="Heading2"/>
      </w:pPr>
      <w:r>
        <w:t xml:space="preserve">The boundary multiplicity problem</w:t>
      </w:r>
    </w:p>
    <w:p>
      <w:pPr>
        <w:pStyle w:val="FirstParagraph"/>
      </w:pPr>
      <w:r>
        <w:t xml:space="preserve">Federal agencies operate across multiple authorization boundaries:</w:t>
      </w:r>
      <w:r>
        <w:t xml:space="preserve"> </w:t>
      </w:r>
      <w:r>
        <w:t xml:space="preserve">GCC-Moderate (the substrate’s primary), the two named Commercial</w:t>
      </w:r>
      <w:r>
        <w:t xml:space="preserve"> </w:t>
      </w:r>
      <w:r>
        <w:t xml:space="preserve">exceptions per the program decision (Amazon Connect, SailPoint NERM), classified</w:t>
      </w:r>
      <w:r>
        <w:t xml:space="preserve"> </w:t>
      </w:r>
      <w:r>
        <w:t xml:space="preserve">boundaries, agency-to-agency federation. Each boundary impacts</w:t>
      </w:r>
      <w:r>
        <w:t xml:space="preserve"> </w:t>
      </w:r>
      <w:r>
        <w:t xml:space="preserve">telemetry, identity, enforcement, and provenance per the</w:t>
      </w:r>
      <w:r>
        <w:t xml:space="preserve"> </w:t>
      </w:r>
      <w:r>
        <w:t xml:space="preserve">Boundary Impact Model.</w:t>
      </w:r>
    </w:p>
    <w:p>
      <w:pPr>
        <w:pStyle w:val="BodyText"/>
      </w:pPr>
      <w:r>
        <w:t xml:space="preserve">The substrate scales across boundaries by treating each as a</w:t>
      </w:r>
      <w:r>
        <w:t xml:space="preserve"> </w:t>
      </w:r>
      <w:r>
        <w:rPr>
          <w:b/>
          <w:bCs/>
        </w:rPr>
        <w:t xml:space="preserve">first-class canonical object</w:t>
      </w:r>
      <w:r>
        <w:t xml:space="preserve"> </w:t>
      </w:r>
      <w:r>
        <w:t xml:space="preserve">rather than as an implicit</w:t>
      </w:r>
      <w:r>
        <w:t xml:space="preserve"> </w:t>
      </w:r>
      <w:r>
        <w:t xml:space="preserve">assumption. Boundaries appear in: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Adapter declarations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gcc-boundary</w:t>
      </w:r>
      <w:r>
        <w:t xml:space="preserve"> </w:t>
      </w:r>
      <w:r>
        <w:t xml:space="preserve">field).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Schema enums</w:t>
      </w:r>
      <w:r>
        <w:t xml:space="preserve"> </w:t>
      </w:r>
      <w:r>
        <w:t xml:space="preserve">(</w:t>
      </w:r>
      <w:r>
        <w:rPr>
          <w:rStyle w:val="VerbatimChar"/>
        </w:rPr>
        <w:t xml:space="preserve">gcc-boundary</w:t>
      </w:r>
      <w:r>
        <w:t xml:space="preserve"> </w:t>
      </w:r>
      <w:r>
        <w:t xml:space="preserve">schema; new exceptions are encoded</w:t>
      </w:r>
      <w:r>
        <w:t xml:space="preserve"> </w:t>
      </w:r>
      <w:r>
        <w:t xml:space="preserve">as discrete enum values added in lockstep with their authorizing</w:t>
      </w:r>
      <w:r>
        <w:t xml:space="preserve"> </w:t>
      </w:r>
      <w:r>
        <w:t xml:space="preserve">ADR).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Drift findings</w:t>
      </w:r>
      <w:r>
        <w:t xml:space="preserve"> </w:t>
      </w:r>
      <w:r>
        <w:t xml:space="preserve">(boundary-scoped: e.g.</w:t>
      </w:r>
      <w:r>
        <w:t xml:space="preserve"> </w:t>
      </w:r>
      <w:r>
        <w:rPr>
          <w:rStyle w:val="VerbatimChar"/>
        </w:rPr>
        <w:t xml:space="preserve">DRIFT-PROVENANCE @ gcc-moderate-edge</w:t>
      </w:r>
      <w:r>
        <w:t xml:space="preserve">).</w:t>
      </w:r>
    </w:p>
    <w:p>
      <w:pPr>
        <w:pStyle w:val="FirstParagraph"/>
      </w:pPr>
      <w:r>
        <w:t xml:space="preserve">Adding a new boundary is a substrate transition, not a runtime</w:t>
      </w:r>
      <w:r>
        <w:t xml:space="preserve"> </w:t>
      </w:r>
      <w:r>
        <w:t xml:space="preserve">flag — and it ships with its authorizing ADR.</w:t>
      </w:r>
    </w:p>
    <w:bookmarkEnd w:id="90"/>
    <w:bookmarkStart w:id="91" w:name="what-does-not-scale-automatically"/>
    <w:p>
      <w:pPr>
        <w:pStyle w:val="Heading2"/>
      </w:pPr>
      <w:r>
        <w:t xml:space="preserve">What does not scale automatically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Canon authoring.</w:t>
      </w:r>
      <w:r>
        <w:t xml:space="preserve"> </w:t>
      </w:r>
      <w:r>
        <w:t xml:space="preserve">Authoring quality canon is human work. The</w:t>
      </w:r>
      <w:r>
        <w:t xml:space="preserve"> </w:t>
      </w:r>
      <w:r>
        <w:t xml:space="preserve">substrate scales the</w:t>
      </w:r>
      <w:r>
        <w:t xml:space="preserve"> </w:t>
      </w:r>
      <w:r>
        <w:rPr>
          <w:i/>
          <w:iCs/>
        </w:rPr>
        <w:t xml:space="preserve">consumption</w:t>
      </w:r>
      <w:r>
        <w:t xml:space="preserve"> </w:t>
      </w:r>
      <w:r>
        <w:t xml:space="preserve">of canon, not its</w:t>
      </w:r>
      <w:r>
        <w:t xml:space="preserve"> </w:t>
      </w:r>
      <w:r>
        <w:rPr>
          <w:i/>
          <w:iCs/>
        </w:rPr>
        <w:t xml:space="preserve">production</w:t>
      </w:r>
      <w:r>
        <w:t xml:space="preserve">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Adapter implementation.</w:t>
      </w:r>
      <w:r>
        <w:t xml:space="preserve"> </w:t>
      </w:r>
      <w:r>
        <w:t xml:space="preserve">Each new tool requires an adapter; the</w:t>
      </w:r>
      <w:r>
        <w:t xml:space="preserve"> </w:t>
      </w:r>
      <w:r>
        <w:t xml:space="preserve">substrate provides the contract, but vendors and agencies provide</w:t>
      </w:r>
      <w:r>
        <w:t xml:space="preserve"> </w:t>
      </w:r>
      <w:r>
        <w:t xml:space="preserve">the per-tool code.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Cross-program human review.</w:t>
      </w:r>
      <w:r>
        <w:t xml:space="preserve"> </w:t>
      </w:r>
      <w:r>
        <w:t xml:space="preserve">Canon-change ADRs scale by</w:t>
      </w:r>
      <w:r>
        <w:t xml:space="preserve"> </w:t>
      </w:r>
      <w:r>
        <w:t xml:space="preserve">governance discipline, not by tooling.</w:t>
      </w:r>
    </w:p>
    <w:p>
      <w:pPr>
        <w:pStyle w:val="FirstParagraph"/>
      </w:pPr>
      <w:r>
        <w:t xml:space="preserve">Substrate scaling reduces these to their irreducible humans-in-the-</w:t>
      </w:r>
      <w:r>
        <w:t xml:space="preserve"> </w:t>
      </w:r>
      <w:r>
        <w:t xml:space="preserve">loop — and removes everything else.</w:t>
      </w:r>
    </w:p>
    <w:bookmarkEnd w:id="91"/>
    <w:bookmarkStart w:id="92" w:name="honest-limits-5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55"/>
        </w:numPr>
      </w:pPr>
      <w:r>
        <w:t xml:space="preserve">The runtime detection surface is partial today (schema/provenance</w:t>
      </w:r>
      <w:r>
        <w:t xml:space="preserve"> </w:t>
      </w:r>
      <w:r>
        <w:t xml:space="preserve">via CI; semantic/authz/identity via adapter implementation).</w:t>
      </w:r>
      <w:r>
        <w:t xml:space="preserve"> </w:t>
      </w:r>
      <w:r>
        <w:t xml:space="preserve">Coverage is growing.</w:t>
      </w:r>
    </w:p>
    <w:p>
      <w:pPr>
        <w:pStyle w:val="Compact"/>
        <w:numPr>
          <w:ilvl w:val="0"/>
          <w:numId w:val="1055"/>
        </w:numPr>
      </w:pPr>
      <w:r>
        <w:t xml:space="preserve">The substrate does not eliminate the engineering work of new</w:t>
      </w:r>
      <w:r>
        <w:t xml:space="preserve"> </w:t>
      </w:r>
      <w:r>
        <w:t xml:space="preserve">adapters; it provides the contract that makes the engineering</w:t>
      </w:r>
      <w:r>
        <w:t xml:space="preserve"> </w:t>
      </w:r>
      <w:r>
        <w:t xml:space="preserve">consistent.</w:t>
      </w:r>
    </w:p>
    <w:p>
      <w:pPr>
        <w:pStyle w:val="Compact"/>
        <w:numPr>
          <w:ilvl w:val="0"/>
          <w:numId w:val="1055"/>
        </w:numPr>
      </w:pPr>
      <w:r>
        <w:t xml:space="preserve">Cross-agency federation is a structural extension, not a current</w:t>
      </w:r>
      <w:r>
        <w:t xml:space="preserve"> </w:t>
      </w:r>
      <w:r>
        <w:t xml:space="preserve">feature. Federation patterns are present in canon (ADRs reference</w:t>
      </w:r>
      <w:r>
        <w:t xml:space="preserve"> </w:t>
      </w:r>
      <w:r>
        <w:t xml:space="preserve">federation explicitly) but the runtime federation substrate is</w:t>
      </w:r>
      <w:r>
        <w:t xml:space="preserve"> </w:t>
      </w:r>
      <w:r>
        <w:t xml:space="preserve">ahead.</w:t>
      </w:r>
    </w:p>
    <w:bookmarkEnd w:id="92"/>
    <w:bookmarkStart w:id="93" w:name="key-takeaways-7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56"/>
        </w:numPr>
      </w:pPr>
      <w:r>
        <w:t xml:space="preserve">Scaling holds canon small while letting adapters and mappings grow.</w:t>
      </w:r>
    </w:p>
    <w:p>
      <w:pPr>
        <w:pStyle w:val="Compact"/>
        <w:numPr>
          <w:ilvl w:val="0"/>
          <w:numId w:val="1056"/>
        </w:numPr>
      </w:pPr>
      <w:r>
        <w:t xml:space="preserve">The monorepo consolidation eliminates substrate-level drift across</w:t>
      </w:r>
      <w:r>
        <w:t xml:space="preserve"> </w:t>
      </w:r>
      <w:r>
        <w:t xml:space="preserve">the canon/runtime boundary.</w:t>
      </w:r>
    </w:p>
    <w:p>
      <w:pPr>
        <w:pStyle w:val="Compact"/>
        <w:numPr>
          <w:ilvl w:val="0"/>
          <w:numId w:val="1056"/>
        </w:numPr>
      </w:pPr>
      <w:r>
        <w:t xml:space="preserve">Multi-program scaling reuses one substrate, one taxonomy, one CI</w:t>
      </w:r>
      <w:r>
        <w:t xml:space="preserve"> </w:t>
      </w:r>
      <w:r>
        <w:t xml:space="preserve">surface.</w:t>
      </w:r>
    </w:p>
    <w:p>
      <w:pPr>
        <w:pStyle w:val="Compact"/>
        <w:numPr>
          <w:ilvl w:val="0"/>
          <w:numId w:val="1056"/>
        </w:numPr>
      </w:pPr>
      <w:r>
        <w:t xml:space="preserve">Boundaries are first-class canonical objects, not implicit</w:t>
      </w:r>
      <w:r>
        <w:t xml:space="preserve"> </w:t>
      </w:r>
      <w:r>
        <w:t xml:space="preserve">assumptions.</w:t>
      </w:r>
    </w:p>
    <w:p>
      <w:pPr>
        <w:pStyle w:val="Compact"/>
        <w:numPr>
          <w:ilvl w:val="0"/>
          <w:numId w:val="1056"/>
        </w:numPr>
      </w:pPr>
      <w:r>
        <w:t xml:space="preserve">Honest limits remain around runtime coverage and federation.</w:t>
      </w:r>
    </w:p>
    <w:bookmarkEnd w:id="93"/>
    <w:bookmarkStart w:id="94" w:name="end-of-the-series"/>
    <w:p>
      <w:pPr>
        <w:pStyle w:val="Heading2"/>
      </w:pPr>
      <w:r>
        <w:t xml:space="preserve">End of the series</w:t>
      </w:r>
    </w:p>
    <w:p>
      <w:pPr>
        <w:pStyle w:val="FirstParagraph"/>
      </w:pPr>
      <w:r>
        <w:t xml:space="preserve">This is the final chapter. Return to the series overview for the reading paths.</w:t>
      </w:r>
    </w:p>
    <w:bookmarkEnd w:id="94"/>
    <w:bookmarkStart w:id="95" w:name="related-documents-7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57"/>
        </w:numPr>
      </w:pPr>
      <w:r>
        <w:t xml:space="preserve">Executive Governance Series Index</w:t>
      </w:r>
    </w:p>
    <w:p>
      <w:pPr>
        <w:pStyle w:val="Compact"/>
        <w:numPr>
          <w:ilvl w:val="0"/>
          <w:numId w:val="1057"/>
        </w:numPr>
      </w:pPr>
      <w:r>
        <w:t xml:space="preserve">Chapter 5: The Adapter Model</w:t>
      </w:r>
    </w:p>
    <w:p>
      <w:pPr>
        <w:pStyle w:val="Compact"/>
        <w:numPr>
          <w:ilvl w:val="0"/>
          <w:numId w:val="1057"/>
        </w:numPr>
      </w:pPr>
      <w:r>
        <w:t xml:space="preserve">Substrate Manifest (canon)</w:t>
      </w:r>
    </w:p>
    <w:p>
      <w:pPr>
        <w:pStyle w:val="Compact"/>
        <w:numPr>
          <w:ilvl w:val="0"/>
          <w:numId w:val="1057"/>
        </w:numPr>
      </w:pPr>
      <w:r>
        <w:t xml:space="preserve">the program decision: Monorepo Consolidation</w:t>
      </w:r>
    </w:p>
    <w:p>
      <w:pPr>
        <w:pStyle w:val="Compact"/>
        <w:numPr>
          <w:ilvl w:val="0"/>
          <w:numId w:val="1057"/>
        </w:numPr>
      </w:pPr>
      <w:r>
        <w:t xml:space="preserve">the program decision: Single-Package Consolidation</w:t>
      </w:r>
    </w:p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Governance Series</dc:title>
  <dc:creator/>
  <cp:keywords/>
  <dcterms:created xsi:type="dcterms:W3CDTF">2026-10-19T10:17:35Z</dcterms:created>
  <dcterms:modified xsi:type="dcterms:W3CDTF">2026-10-19T10:17:35Z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Modernization Workbook — Word edition</vt:lpwstr>
  </property>
</Properties>
</file>