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01 — Why HR Is the Source of Authority</w:t>
      </w:r>
    </w:p>
    <w:p>
      <w:pPr>
        <w:pStyle w:val="Subtitle"/>
      </w:pPr>
      <w:r>
        <w:t xml:space="preserve">HR-Driven Identity — From the HR System of Record to Entra 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7" w:name="X7b0fa2e8e014e6bd5dca6083aecda120822390c"/>
    <w:p>
      <w:pPr>
        <w:pStyle w:val="Heading1"/>
      </w:pPr>
      <w:r>
        <w:t xml:space="preserve">Chapter 01 — Why HR Is the Source of Authority</w:t>
      </w:r>
    </w:p>
    <w:p>
      <w:pPr>
        <w:pStyle w:val="FirstParagraph"/>
      </w:pPr>
      <w:r>
        <w:rPr>
          <w:i/>
          <w:iCs/>
        </w:rPr>
        <w:t xml:space="preserve">A token proves that an assertion was signed. It can’t prove the assertion describes a real, current employee with a real, current role.</w:t>
      </w:r>
    </w:p>
    <w:bookmarkStart w:id="9" w:name="in-this-chapter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Where identity truth lives today and why it contradicts itself. Why orphaned accounts are the guaranteed output of that design rather than an operational lapse. The federal frames that require a designated source. Why cleanup, directory mastery, and reviews can’t substitute for one. What HR provides and what identity architecture has to add.</w:t>
      </w:r>
    </w:p>
    <w:bookmarkEnd w:id="9"/>
    <w:bookmarkStart w:id="10" w:name="what-the-claims-in-a-token-assert"/>
    <w:p>
      <w:pPr>
        <w:pStyle w:val="Heading2"/>
      </w:pPr>
      <w:r>
        <w:t xml:space="preserve">What the claims in a token assert</w:t>
      </w:r>
    </w:p>
    <w:p>
      <w:pPr>
        <w:pStyle w:val="FirstParagraph"/>
      </w:pPr>
      <w:r>
        <w:t xml:space="preserve">An access token carries claims: an identifier, group memberships, role assignments. Those claims are projections of upstream facts. This person is employed; this person holds this position; this person reports to this supervisor; this person’s affiliation ended on this date. If the upstream facts are stale, scattered, or unrecorded, the whole cryptographic apparatus notarizes fiction.</w:t>
      </w:r>
    </w:p>
    <w:bookmarkEnd w:id="10"/>
    <w:bookmarkStart w:id="13" w:name="the-fragmented-truth-problem"/>
    <w:p>
      <w:pPr>
        <w:pStyle w:val="Heading2"/>
      </w:pPr>
      <w:r>
        <w:t xml:space="preserve">The fragmented truth problem</w:t>
      </w:r>
    </w:p>
    <w:bookmarkStart w:id="11" w:name="where-identity-truth-lives-today"/>
    <w:p>
      <w:pPr>
        <w:pStyle w:val="Heading3"/>
      </w:pPr>
      <w:r>
        <w:t xml:space="preserve">Where identity truth lives today</w:t>
      </w:r>
    </w:p>
    <w:p>
      <w:pPr>
        <w:pStyle w:val="FirstParagraph"/>
      </w:pPr>
      <w:r>
        <w:t xml:space="preserve">Ask a federal estate three questions —</w:t>
      </w:r>
      <w:r>
        <w:t xml:space="preserve"> </w:t>
      </w:r>
      <w:r>
        <w:rPr>
          <w:i/>
          <w:iCs/>
        </w:rPr>
        <w:t xml:space="preserve">who works here, what do they do, and who do they report to</w:t>
      </w:r>
      <w:r>
        <w:t xml:space="preserve"> </w:t>
      </w:r>
      <w:r>
        <w:t xml:space="preserve">— and no single system answers. The answers are distributed across: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Regional Active Directory OU trees</w:t>
      </w:r>
      <w:r>
        <w:t xml:space="preserve">, each built when compute was regional, each drifted through decades of reorganizations, ad-hoc container moves, and administrator judgment calls. The OU estate was originally a downstream projection of organizational truth; nobody maintained the projection, and the source it projected was never machine-readable to begin with.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Per-system account stores.</w:t>
      </w:r>
      <w:r>
        <w:t xml:space="preserve"> </w:t>
      </w:r>
      <w:r>
        <w:t xml:space="preserve">Every application old enough to predate federation keeps its own user table: database logins, mainframe RACF profiles, contact-center agent rosters, badge systems. Each is a private, unsynchronized opinion about who exists.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Spreadsheets and email.</w:t>
      </w:r>
      <w:r>
        <w:t xml:space="preserve"> </w:t>
      </w:r>
      <w:r>
        <w:t xml:space="preserve">The onboarding tracker, the contractor roster, the separation checklist — operational documents that carry authoritative-grade decisions (who gets an account, when access ends) with none of the properties of an authoritative source: no schema, no lineage, no events, no audit.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Drawings.</w:t>
      </w:r>
      <w:r>
        <w:t xml:space="preserve"> </w:t>
      </w:r>
      <w:r>
        <w:t xml:space="preserve">The organizational chart itself lives in Visio and briefing slides. It is read by humans, cited in memos, and queryable by absolutely no policy engine anywhere in the enterprise.</w:t>
      </w:r>
    </w:p>
    <w:p>
      <w:pPr>
        <w:pStyle w:val="FirstParagraph"/>
      </w:pPr>
      <w:r>
        <w:t xml:space="preserve">Each fragment is</w:t>
      </w:r>
      <w:r>
        <w:t xml:space="preserve"> </w:t>
      </w:r>
      <w:r>
        <w:rPr>
          <w:i/>
          <w:iCs/>
        </w:rPr>
        <w:t xml:space="preserve">locally</w:t>
      </w:r>
      <w:r>
        <w:t xml:space="preserve"> </w:t>
      </w:r>
      <w:r>
        <w:t xml:space="preserve">maintained and</w:t>
      </w:r>
      <w:r>
        <w:t xml:space="preserve"> </w:t>
      </w:r>
      <w:r>
        <w:rPr>
          <w:i/>
          <w:iCs/>
        </w:rPr>
        <w:t xml:space="preserve">globally</w:t>
      </w:r>
      <w:r>
        <w:t xml:space="preserve"> </w:t>
      </w:r>
      <w:r>
        <w:t xml:space="preserve">wrong. The regional OU tree knows an account exists but not whether its owner is still employed. The application user table knows a login works but not what position justified it. The spreadsheet knows a contractor started but is a copy the moment it is saved. Fragmented truth is not partial truth — it is contradiction with no arbiter, because no fragment is designated to win.</w:t>
      </w:r>
    </w:p>
    <w:bookmarkEnd w:id="11"/>
    <w:bookmarkStart w:id="12" w:name="the-visible-symptom-orphaned-accounts"/>
    <w:p>
      <w:pPr>
        <w:pStyle w:val="Heading3"/>
      </w:pPr>
      <w:r>
        <w:t xml:space="preserve">The visible symptom: orphaned accounts</w:t>
      </w:r>
    </w:p>
    <w:p>
      <w:pPr>
        <w:pStyle w:val="FirstParagraph"/>
      </w:pPr>
      <w:r>
        <w:t xml:space="preserve">The measurable consequence is the orphaned account: an enabled credential whose human justification has ended. Every audit finds them; every remediation sweep removes a batch; every year they return — because sweeps treat the symptom. An orphaned account is not an administrator’s mistake. It is the</w:t>
      </w:r>
      <w:r>
        <w:t xml:space="preserve"> </w:t>
      </w:r>
      <w:r>
        <w:rPr>
          <w:i/>
          <w:iCs/>
        </w:rPr>
        <w:t xml:space="preserve">structurally guaranteed output</w:t>
      </w:r>
      <w:r>
        <w:t xml:space="preserve"> </w:t>
      </w:r>
      <w:r>
        <w:t xml:space="preserve">of an architecture in which the system that knows a person left (HR) and the systems that must act on it (directory, applications, badge, VPN, database) share no event channel. The information exists on day zero; it arrives — by ticket, by email, by quarterly review, or by audit finding — days to months later, or never. No amount of process discipline closes a gap whose cause is the absence of a wire.</w:t>
      </w:r>
    </w:p>
    <w:p>
      <w:pPr>
        <w:pStyle w:val="BodyText"/>
      </w:pPr>
      <w:r>
        <w:t xml:space="preserve">The anatomy is worth one concrete timeline, because it shows</w:t>
      </w:r>
      <w:r>
        <w:t xml:space="preserve"> </w:t>
      </w:r>
      <w:r>
        <w:rPr>
          <w:i/>
          <w:iCs/>
        </w:rPr>
        <w:t xml:space="preserve">where the information is</w:t>
      </w:r>
      <w:r>
        <w:t xml:space="preserve"> </w:t>
      </w:r>
      <w:r>
        <w:t xml:space="preserve">at every point during the gap:</w:t>
      </w:r>
    </w:p>
    <w:p>
      <w:pPr>
        <w:pStyle w:val="TableCaption"/>
      </w:pPr>
      <w:r>
        <w:t xml:space="preserve">The orphan timeline — the fact exists on day −14; the fragments learn it by accident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orphan timeline — the fact exists on day −14; the fragments learn it by accident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Day</w:t>
            </w:r>
          </w:p>
        </w:tc>
        <w:tc>
          <w:tcPr/>
          <w:p>
            <w:pPr>
              <w:pStyle w:val="Compact"/>
            </w:pPr>
            <w:r>
              <w:t xml:space="preserve">What the HR System Knows</w:t>
            </w:r>
          </w:p>
        </w:tc>
        <w:tc>
          <w:tcPr/>
          <w:p>
            <w:pPr>
              <w:pStyle w:val="Compact"/>
            </w:pPr>
            <w:r>
              <w:t xml:space="preserve">What the Fragments Know</w:t>
            </w:r>
          </w:p>
        </w:tc>
        <w:tc>
          <w:tcPr/>
          <w:p>
            <w:pPr>
              <w:pStyle w:val="Compact"/>
            </w:pPr>
            <w:r>
              <w:t xml:space="preserve">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−14</w:t>
            </w:r>
          </w:p>
        </w:tc>
        <w:tc>
          <w:tcPr/>
          <w:p>
            <w:pPr>
              <w:pStyle w:val="Compact"/>
            </w:pPr>
            <w:r>
              <w:t xml:space="preserve">Separation recorded, effective day 0</w:t>
            </w:r>
          </w:p>
        </w:tc>
        <w:tc>
          <w:tcPr/>
          <w:p>
            <w:pPr>
              <w:pStyle w:val="Compact"/>
            </w:pPr>
            <w:r>
              <w:t xml:space="preserve">Nothing — no fragment subscribes to HR events</w:t>
            </w:r>
          </w:p>
        </w:tc>
        <w:tc>
          <w:tcPr/>
          <w:p>
            <w:pPr>
              <w:pStyle w:val="Compact"/>
            </w:pPr>
            <w:r>
              <w:t xml:space="preserve">None yet; the fact exists and is actionable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Separation effective</w:t>
            </w:r>
          </w:p>
        </w:tc>
        <w:tc>
          <w:tcPr/>
          <w:p>
            <w:pPr>
              <w:pStyle w:val="Compact"/>
            </w:pPr>
            <w:r>
              <w:t xml:space="preserve">Directory: account enabled. Applications: logins valid. Badge: active</w:t>
            </w:r>
          </w:p>
        </w:tc>
        <w:tc>
          <w:tcPr/>
          <w:p>
            <w:pPr>
              <w:pStyle w:val="Compact"/>
            </w:pPr>
            <w:r>
              <w:t xml:space="preserve">Credentials of a former worker are fully 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+3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Supervisor emails a ticket; the directory account is disabled; nine application accounts are not</w:t>
            </w:r>
          </w:p>
        </w:tc>
        <w:tc>
          <w:tcPr/>
          <w:p>
            <w:pPr>
              <w:pStyle w:val="Compact"/>
            </w:pPr>
            <w:r>
              <w:t xml:space="preserve">Partial: the fragments deprovision independently, in whatever order tickets are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+45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A quarterly review flags two of the nine; nobody is sure who owns the rest</w:t>
            </w:r>
          </w:p>
        </w:tc>
        <w:tc>
          <w:tcPr/>
          <w:p>
            <w:pPr>
              <w:pStyle w:val="Compact"/>
            </w:pPr>
            <w:r>
              <w:t xml:space="preserve">The finding is now aging toward an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+180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A penetration test authenticates to a case system with an orphaned service-desk account</w:t>
            </w:r>
          </w:p>
        </w:tc>
        <w:tc>
          <w:tcPr/>
          <w:p>
            <w:pPr>
              <w:pStyle w:val="Compact"/>
            </w:pPr>
            <w:r>
              <w:t xml:space="preserve">The gap is now an incident narrative</w:t>
            </w:r>
          </w:p>
        </w:tc>
      </w:tr>
    </w:tbl>
    <w:p>
      <w:pPr>
        <w:pStyle w:val="BodyText"/>
      </w:pPr>
      <w:r>
        <w:t xml:space="preserve">Nothing in that timeline is a failure of diligence. It is the</w:t>
      </w:r>
      <w:r>
        <w:t xml:space="preserve"> </w:t>
      </w:r>
      <w:r>
        <w:rPr>
          <w:i/>
          <w:iCs/>
        </w:rPr>
        <w:t xml:space="preserve">wiring diagram working as built</w:t>
      </w:r>
      <w:r>
        <w:t xml:space="preserve">: a system that records the truth, five systems that need it, and no channel between them. The same anatomy produces the quieter failures: the transferred employee who keeps the old division’s access for years (the access-accretion problem PS-5 exists to stop), the contractor converted to staff who now has two identities, the rehired annuitant with three.</w:t>
      </w:r>
    </w:p>
    <w:bookmarkEnd w:id="12"/>
    <w:bookmarkEnd w:id="13"/>
    <w:bookmarkStart w:id="14" w:name="the-statutory-frame"/>
    <w:p>
      <w:pPr>
        <w:pStyle w:val="Heading2"/>
      </w:pPr>
      <w:r>
        <w:t xml:space="preserve">The statutory frame</w:t>
      </w:r>
    </w:p>
    <w:p>
      <w:pPr>
        <w:pStyle w:val="FirstParagraph"/>
      </w:pPr>
      <w:r>
        <w:t xml:space="preserve">Two federal frames make the fix a mandate rather than a preference. The</w:t>
      </w:r>
      <w:r>
        <w:t xml:space="preserve"> </w:t>
      </w:r>
      <w:r>
        <w:rPr>
          <w:b/>
          <w:bCs/>
        </w:rPr>
        <w:t xml:space="preserve">Evidence Act (2018)</w:t>
      </w:r>
      <w:r>
        <w:t xml:space="preserve"> </w:t>
      </w:r>
      <w:r>
        <w:t xml:space="preserve">and the Federal Data Strategy require that agency data trace to a single authoritative system of record for each data type, with documented lineage from source to decision. The</w:t>
      </w:r>
      <w:r>
        <w:t xml:space="preserve"> </w:t>
      </w:r>
      <w:r>
        <w:rPr>
          <w:b/>
          <w:bCs/>
        </w:rPr>
        <w:t xml:space="preserve">FICAM Architecture</w:t>
      </w:r>
      <w:r>
        <w:t xml:space="preserve"> </w:t>
      </w:r>
      <w:r>
        <w:t xml:space="preserve">requires that every governed identity carry a complete, authoritative set of identity attributes</w:t>
      </w:r>
      <w:r>
        <w:t xml:space="preserve"> </w:t>
      </w:r>
      <w:r>
        <w:rPr>
          <w:i/>
          <w:iCs/>
        </w:rPr>
        <w:t xml:space="preserve">derived from authoritative sources such as HR systems</w:t>
      </w:r>
      <w:r>
        <w:t xml:space="preserve">. Neither frame is satisfied by cleaning the fragments. Both are satisfied only by designating the source — and for facts about people and organizational placement, the only candidate system that records hire, position, reporting line, and separation</w:t>
      </w:r>
      <w:r>
        <w:t xml:space="preserve"> </w:t>
      </w:r>
      <w:r>
        <w:rPr>
          <w:i/>
          <w:iCs/>
        </w:rPr>
        <w:t xml:space="preserve">as a matter of business authority</w:t>
      </w:r>
      <w:r>
        <w:t xml:space="preserve"> </w:t>
      </w:r>
      <w:r>
        <w:t xml:space="preserve">is the human capital system.</w:t>
      </w:r>
    </w:p>
    <w:bookmarkEnd w:id="14"/>
    <w:bookmarkStart w:id="15" w:name="why-this-cant-be-patched"/>
    <w:p>
      <w:pPr>
        <w:pStyle w:val="Heading2"/>
      </w:pPr>
      <w:r>
        <w:t xml:space="preserve">Why this can’t be patched</w:t>
      </w:r>
    </w:p>
    <w:p>
      <w:pPr>
        <w:pStyle w:val="FirstParagraph"/>
      </w:pPr>
      <w:r>
        <w:t xml:space="preserve">Three remediation strategies are regularly proposed to fix fragmented identity truth without designating a source. Each fails for a structural reason: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“Clean up the directory.”</w:t>
      </w:r>
      <w:r>
        <w:t xml:space="preserve"> </w:t>
      </w:r>
      <w:r>
        <w:t xml:space="preserve">A directory-hygiene project produces a correct</w:t>
      </w:r>
      <w:r>
        <w:t xml:space="preserve"> </w:t>
      </w:r>
      <w:r>
        <w:rPr>
          <w:i/>
          <w:iCs/>
        </w:rPr>
        <w:t xml:space="preserve">snapshot</w:t>
      </w:r>
      <w:r>
        <w:t xml:space="preserve"> </w:t>
      </w:r>
      <w:r>
        <w:t xml:space="preserve">with no event source behind it. Drift resumes the day the project ends, because hires, transfers, and separations keep happening in a system the directory still cannot hear. Cleanup is a measurement, not a source.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“Make the directory the master.”</w:t>
      </w:r>
      <w:r>
        <w:t xml:space="preserve"> </w:t>
      </w:r>
      <w:r>
        <w:t xml:space="preserve">Elevating the directory to authority inverts causation. Employment facts would then have to be</w:t>
      </w:r>
      <w:r>
        <w:t xml:space="preserve"> </w:t>
      </w:r>
      <w:r>
        <w:rPr>
          <w:i/>
          <w:iCs/>
        </w:rPr>
        <w:t xml:space="preserve">entered into</w:t>
      </w:r>
      <w:r>
        <w:t xml:space="preserve"> </w:t>
      </w:r>
      <w:r>
        <w:t xml:space="preserve">the directory by administrators — that is, by tickets — which re-creates the ticket queue as the source of truth, now with a grander title and still with no effective dating, no positions, no supervisory hierarchy, and no business authority behind any entry. Nothing that happens inside a directory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hire or a separation. The directory can hold truth; it cannot originate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“Review our way to correctness.”</w:t>
      </w:r>
      <w:r>
        <w:t xml:space="preserve"> </w:t>
      </w:r>
      <w:r>
        <w:t xml:space="preserve">Quarterly access reviews sample state; they cannot observe transitions. A review that runs ninety days after a separation certifies an orphan for a quarter, and a reviewer confronted with four hundred entitlements approves them in bulk — the rubber-stamp failure mode every assessor recognizes. Reviews are AC-2(j)’s verification layer and this architecture keeps them, sharper (Chapter 08); but a detective control needs a truth to detect drift</w:t>
      </w:r>
      <w:r>
        <w:t xml:space="preserve"> </w:t>
      </w:r>
      <w:r>
        <w:rPr>
          <w:i/>
          <w:iCs/>
        </w:rPr>
        <w:t xml:space="preserve">from</w:t>
      </w:r>
      <w:r>
        <w:t xml:space="preserve">, and reviews cannot manufacture the truth they check against.</w:t>
      </w:r>
    </w:p>
    <w:p>
      <w:pPr>
        <w:pStyle w:val="FirstParagraph"/>
      </w:pPr>
      <w:r>
        <w:t xml:space="preserve">Every patch preserves the premise — that identity truth can be maintained where it is consumed rather than where it originates — and the premise is the defect. The remediation is not a cleaner copy; it is a designated origin with an event feed.</w:t>
      </w:r>
    </w:p>
    <w:bookmarkEnd w:id="15"/>
    <w:bookmarkStart w:id="16" w:name="X355c4f0e11de6c09e8ad84a660f994093450f78"/>
    <w:p>
      <w:pPr>
        <w:pStyle w:val="Heading2"/>
      </w:pPr>
      <w:r>
        <w:t xml:space="preserve">What HR provides, and what identity architecture must add</w:t>
      </w:r>
    </w:p>
    <w:p>
      <w:pPr>
        <w:pStyle w:val="FirstParagraph"/>
      </w:pPr>
      <w:r>
        <w:t xml:space="preserve">The HR system of record supplies the authoritative origin:</w:t>
      </w:r>
    </w:p>
    <w:p>
      <w:pPr>
        <w:pStyle w:val="Compact"/>
        <w:numPr>
          <w:ilvl w:val="0"/>
          <w:numId w:val="1003"/>
        </w:numPr>
      </w:pPr>
      <w:r>
        <w:t xml:space="preserve">Authoritative employment status (joiner, mover, leaver)</w:t>
      </w:r>
    </w:p>
    <w:p>
      <w:pPr>
        <w:pStyle w:val="Compact"/>
        <w:numPr>
          <w:ilvl w:val="0"/>
          <w:numId w:val="1003"/>
        </w:numPr>
      </w:pPr>
      <w:r>
        <w:t xml:space="preserve">Organizational attributes (department, division, location, employee type)</w:t>
      </w:r>
    </w:p>
    <w:p>
      <w:pPr>
        <w:pStyle w:val="Compact"/>
        <w:numPr>
          <w:ilvl w:val="0"/>
          <w:numId w:val="1003"/>
        </w:numPr>
      </w:pPr>
      <w:r>
        <w:t xml:space="preserve">A consistent feed shape across agencies once Federal HR 2.0 consolidation completes</w:t>
      </w:r>
    </w:p>
    <w:p>
      <w:pPr>
        <w:pStyle w:val="FirstParagraph"/>
      </w:pPr>
      <w:r>
        <w:t xml:space="preserve">Identity architecture supplies everything that turns that origin into access:</w:t>
      </w:r>
    </w:p>
    <w:p>
      <w:pPr>
        <w:pStyle w:val="Compact"/>
        <w:numPr>
          <w:ilvl w:val="0"/>
          <w:numId w:val="1004"/>
        </w:numPr>
      </w:pPr>
      <w:r>
        <w:t xml:space="preserve">A canonical schema that normalizes HR attributes for directory consumption (Chapter 05)</w:t>
      </w:r>
    </w:p>
    <w:p>
      <w:pPr>
        <w:pStyle w:val="Compact"/>
        <w:numPr>
          <w:ilvl w:val="0"/>
          <w:numId w:val="1004"/>
        </w:numPr>
      </w:pPr>
      <w:r>
        <w:t xml:space="preserve">Joiner/mover/leaver workflows that act only on HR events (Chapter 06)</w:t>
      </w:r>
    </w:p>
    <w:p>
      <w:pPr>
        <w:pStyle w:val="Compact"/>
        <w:numPr>
          <w:ilvl w:val="0"/>
          <w:numId w:val="1004"/>
        </w:numPr>
      </w:pPr>
      <w:r>
        <w:t xml:space="preserve">Credential and certificate lifecycle tied to the same events (Chapter 07)</w:t>
      </w:r>
    </w:p>
    <w:p>
      <w:pPr>
        <w:pStyle w:val="Compact"/>
        <w:numPr>
          <w:ilvl w:val="0"/>
          <w:numId w:val="1004"/>
        </w:numPr>
      </w:pPr>
      <w:r>
        <w:t xml:space="preserve">Population of the attributes policy reads, so that targeting stays deterministic (Chapter 08)</w:t>
      </w:r>
    </w:p>
    <w:p>
      <w:pPr>
        <w:pStyle w:val="Compact"/>
        <w:numPr>
          <w:ilvl w:val="0"/>
          <w:numId w:val="1004"/>
        </w:numPr>
      </w:pPr>
      <w:r>
        <w:t xml:space="preserve">Drift detection between HR state and directory state, and evidence that account-management controls can be continuously verified (Chapter 09)</w:t>
      </w:r>
    </w:p>
    <w:p>
      <w:pPr>
        <w:pStyle w:val="FirstParagraph"/>
      </w:pPr>
      <w:r>
        <w:t xml:space="preserve">The identity architecture doesn’t depend on the platform being Oracle Fusion Cloud HCM. It depends on the HR system remaining the authoritative source and on the feed being normalizable to a canonical schema. Neither half is sufficient alone.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01 — Why HR Is the Source of Authority</dc:title>
  <dc:creator/>
  <cp:keywords/>
  <dcterms:created xsi:type="dcterms:W3CDTF">2026-10-19T10:17:33Z</dcterms:created>
  <dcterms:modified xsi:type="dcterms:W3CDTF">2026-10-19T10:17:33Z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HR-Driven Identity — From the HR System of Record to Entra ID</vt:lpwstr>
  </property>
</Properties>
</file>