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04 — The Provisioning Pipeline</w:t>
      </w:r>
    </w:p>
    <w:p>
      <w:pPr>
        <w:pStyle w:val="Subtitle"/>
      </w:pPr>
      <w:r>
        <w:t xml:space="preserve">HR-Driven Identity — From the HR System of Record to Entra 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43" w:name="chapter-04-the-provisioning-pipeline"/>
    <w:p>
      <w:pPr>
        <w:pStyle w:val="Heading1"/>
      </w:pPr>
      <w:r>
        <w:t xml:space="preserve">Chapter 04 — The Provisioning Pipeline</w:t>
      </w:r>
    </w:p>
    <w:p>
      <w:pPr>
        <w:pStyle w:val="FirstParagraph"/>
      </w:pPr>
      <w:r>
        <w:rPr>
          <w:i/>
          <w:iCs/>
        </w:rPr>
        <w:t xml:space="preserve">One door into the directory, so there is exactly one door to instrument.</w:t>
      </w:r>
    </w:p>
    <w:bookmarkStart w:id="9" w:name="in-this-chapter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Why the canonical path is API-driven inbound provisioning. The Oracle HCM source surfaces. What the middleware must do for every event. The</w:t>
      </w:r>
      <w:r>
        <w:t xml:space="preserve"> </w:t>
      </w:r>
      <w:r>
        <w:rPr>
          <w:rStyle w:val="VerbatimChar"/>
        </w:rPr>
        <w:t xml:space="preserve">bulkUpload</w:t>
      </w:r>
      <w:r>
        <w:t xml:space="preserve"> </w:t>
      </w:r>
      <w:r>
        <w:t xml:space="preserve">contract and its limits. The two landing zones and what each one does with structure. Native connectors and writeback.</w:t>
      </w:r>
    </w:p>
    <w:bookmarkEnd w:id="9"/>
    <w:bookmarkStart w:id="12" w:name="the-shape"/>
    <w:p>
      <w:pPr>
        <w:pStyle w:val="Heading2"/>
      </w:pPr>
      <w:r>
        <w:t xml:space="preserve">The shape</w:t>
      </w:r>
    </w:p>
    <w:p>
      <w:pPr>
        <w:pStyle w:val="BlockText"/>
      </w:pPr>
      <w:r>
        <w:rPr>
          <w:b/>
          <w:bCs/>
        </w:rPr>
        <w:t xml:space="preserve">HR system of record → integration middleware → Microsoft Graph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/bulkUpload</w:t>
      </w:r>
      <w:r>
        <w:rPr>
          <w:b/>
          <w:bCs/>
        </w:rPr>
        <w:t xml:space="preserve"> </w:t>
      </w:r>
      <w:r>
        <w:rPr>
          <w:b/>
          <w:bCs/>
        </w:rPr>
        <w:t xml:space="preserve">→ Entra provisioning service → Entra ID or on-premises Active Directory</w:t>
      </w:r>
    </w:p>
    <w:p>
      <w:pPr>
        <w:pStyle w:val="FirstParagraph"/>
      </w:pPr>
      <w:r>
        <w:t xml:space="preserve">The API client reads identity data from the authoritative source and posts it to the provisioning app’s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endpoint as a SCIM bulk request. It doesn’t compare source and target values to decide whether to create, update, enable or disable; the provisioning service does that, applies the attribute mappings the administrator configured, and writes the user to on-premises AD (hybrid users) or to Entra ID (cloud-only users). The endpoint answers</w:t>
      </w:r>
      <w:r>
        <w:t xml:space="preserve"> </w:t>
      </w:r>
      <w:r>
        <w:rPr>
          <w:rStyle w:val="VerbatimChar"/>
        </w:rPr>
        <w:t xml:space="preserve">202 Accepted</w:t>
      </w:r>
      <w:r>
        <w:t xml:space="preserve"> </w:t>
      </w:r>
      <w:r>
        <w:t xml:space="preserve">and processes asynchronously; the client reads the provisioning logs API for the per-record result and resubmits failures.</w:t>
      </w:r>
      <w:r>
        <w:rPr>
          <w:rStyle w:val="FootnoteReference"/>
        </w:rPr>
        <w:footnoteReference w:id="10"/>
      </w:r>
    </w:p>
    <w:bookmarkEnd w:id="12"/>
    <w:bookmarkStart w:id="15" w:name="why-this-path-and-no-other"/>
    <w:p>
      <w:pPr>
        <w:pStyle w:val="Heading2"/>
      </w:pPr>
      <w:r>
        <w:t xml:space="preserve">Why this path and no 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Oracle Fusion Cloud HCM has no native Entra connector.</w:t>
      </w:r>
      <w:r>
        <w:t xml:space="preserve"> </w:t>
      </w:r>
      <w:r>
        <w:t xml:space="preserve">Entra’s prebuilt HR connectors are for Workday and SAP SuccessFactors. Microsoft’s own Oracle HCM integration guidance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API-driven pattern: CSV extracts for the initial load, ATOM feeds or HCM Extracts for deltas, and optional writeback through Oracle’s SCIM APIs.</w:t>
      </w:r>
      <w:r>
        <w:rPr>
          <w:rStyle w:val="FootnoteReference"/>
        </w:rPr>
        <w:footnoteReference w:id="13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architecture is source-agnostic; the deployed source is configuration.</w:t>
      </w:r>
      <w:r>
        <w:t xml:space="preserve"> </w:t>
      </w:r>
      <w:r>
        <w:t xml:space="preserve">The middleware normalizes any HR export into the same SCIM payload, so 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call is identical whatever the source. If the source changes, the adapter changes; the pipeline and everything downstream don’t.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entry point gives one provenance stream.</w:t>
      </w:r>
      <w:r>
        <w:t xml:space="preserve"> </w:t>
      </w:r>
      <w:r>
        <w:t xml:space="preserve">All inbound identity writes pass through a single provisioning surface, which is what makes lineage and drift detection tractable (Chapter 09).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procurement points the same way.</w:t>
      </w:r>
      <w:r>
        <w:t xml:space="preserve"> </w:t>
      </w:r>
      <w:r>
        <w:t xml:space="preserve">The Core HCM solicitation’s requirements checklist asks for SCIM 2.0 near-real-time provisioning, the protocol this pipe speaks (Chapter 02).</w:t>
      </w:r>
    </w:p>
    <w:p>
      <w:pPr>
        <w:pStyle w:val="FirstParagraph"/>
      </w:pPr>
      <w:r>
        <w:t xml:space="preserve">If Microsoft later ships a native Oracle HCM connector, it becomes an optimization inside this architecture, not a replacement for it.</w:t>
      </w:r>
    </w:p>
    <w:bookmarkEnd w:id="15"/>
    <w:bookmarkStart w:id="16" w:name="the-source-oracle-fusion-cloud-hcm"/>
    <w:p>
      <w:pPr>
        <w:pStyle w:val="Heading2"/>
      </w:pPr>
      <w:r>
        <w:t xml:space="preserve">The source: Oracle Fusion Cloud HCM</w:t>
      </w:r>
    </w:p>
    <w:p>
      <w:pPr>
        <w:pStyle w:val="TableCaption"/>
      </w:pPr>
      <w:r>
        <w:t xml:space="preserve">Oracle HCM source surfaces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Oracle HCM source surface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Sync</w:t>
            </w:r>
          </w:p>
        </w:tc>
        <w:tc>
          <w:tcPr/>
          <w:p>
            <w:pPr>
              <w:pStyle w:val="Compact"/>
            </w:pPr>
            <w:r>
              <w:t xml:space="preserve">Mechanism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Initial / full</w:t>
            </w:r>
          </w:p>
        </w:tc>
        <w:tc>
          <w:tcPr/>
          <w:p>
            <w:pPr>
              <w:pStyle w:val="Compact"/>
            </w:pPr>
            <w:r>
              <w:t xml:space="preserve">HCM Extracts (or BI Publisher) to CSV</w:t>
            </w:r>
          </w:p>
        </w:tc>
        <w:tc>
          <w:tcPr/>
          <w:p>
            <w:pPr>
              <w:pStyle w:val="Compact"/>
            </w:pPr>
            <w:r>
              <w:t xml:space="preserve">Full worker population, scoped by the filter rules of Chapter 10, 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Delta</w:t>
            </w:r>
          </w:p>
        </w:tc>
        <w:tc>
          <w:tcPr/>
          <w:p>
            <w:pPr>
              <w:pStyle w:val="Compact"/>
            </w:pPr>
            <w:r>
              <w:t xml:space="preserve">ATOM feeds:</w:t>
            </w:r>
            <w:r>
              <w:t xml:space="preserve"> </w:t>
            </w:r>
            <w:r>
              <w:rPr>
                <w:rStyle w:val="VerbatimChar"/>
              </w:rPr>
              <w:t xml:space="preserve">newhire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empassignment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termination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cancelworkrelship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workrelshipupdate</w:t>
            </w:r>
          </w:p>
        </w:tc>
        <w:tc>
          <w:tcPr/>
          <w:p>
            <w:pPr>
              <w:pStyle w:val="Compact"/>
            </w:pPr>
            <w:r>
              <w:t xml:space="preserve">Turn on immediately after the initial sync; a gap loses changes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Delta (alternative)</w:t>
            </w:r>
          </w:p>
        </w:tc>
        <w:tc>
          <w:tcPr/>
          <w:p>
            <w:pPr>
              <w:pStyle w:val="Compact"/>
            </w:pPr>
            <w:r>
              <w:t xml:space="preserve">Periodic HCM Extract deltas</w:t>
            </w:r>
          </w:p>
        </w:tc>
        <w:tc>
          <w:tcPr/>
          <w:p>
            <w:pPr>
              <w:pStyle w:val="Compact"/>
            </w:pPr>
            <w:r>
              <w:t xml:space="preserve">Simpler; latency equals the extract cadence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Enrichment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employees</w:t>
            </w:r>
            <w:r>
              <w:t xml:space="preserve"> </w:t>
            </w:r>
            <w:r>
              <w:t xml:space="preserve">REST endpoints</w:t>
            </w:r>
          </w:p>
        </w:tc>
        <w:tc>
          <w:tcPr/>
          <w:p>
            <w:pPr>
              <w:pStyle w:val="Compact"/>
            </w:pPr>
            <w:r>
              <w:t xml:space="preserve">When a feed event doesn’t carry an attribute the payload needs</w:t>
            </w:r>
          </w:p>
        </w:tc>
      </w:tr>
    </w:tbl>
    <w:p>
      <w:pPr>
        <w:pStyle w:val="BodyText"/>
      </w:pPr>
      <w:r>
        <w:rPr>
          <w:b/>
          <w:bCs/>
        </w:rPr>
        <w:t xml:space="preserve">Match key:</w:t>
      </w:r>
      <w:r>
        <w:t xml:space="preserve"> </w:t>
      </w:r>
      <w:r>
        <w:t xml:space="preserve">Oracle</w:t>
      </w:r>
      <w:r>
        <w:t xml:space="preserve"> </w:t>
      </w:r>
      <w:r>
        <w:rPr>
          <w:rStyle w:val="VerbatimChar"/>
        </w:rPr>
        <w:t xml:space="preserve">PersonNumber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 </w:t>
      </w:r>
      <w:r>
        <w:t xml:space="preserve">in Entra ID and AD. The employee ID must be populated on existing accounts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first full sync; matching is what prevents duplicate identities at go-live.</w:t>
      </w:r>
    </w:p>
    <w:bookmarkEnd w:id="16"/>
    <w:bookmarkStart w:id="19" w:name="the-middleware-four-duties-per-event"/>
    <w:p>
      <w:pPr>
        <w:pStyle w:val="Heading2"/>
      </w:pPr>
      <w:r>
        <w:t xml:space="preserve">The middleware: four duties per event</w:t>
      </w:r>
    </w:p>
    <w:p>
      <w:pPr>
        <w:pStyle w:val="FirstParagraph"/>
      </w:pPr>
      <w:r>
        <w:t xml:space="preserve">Azure Functions or Logic Apps, inside the agency’s authorization boundary, doing four things for every event: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Validate.</w:t>
      </w:r>
      <w:r>
        <w:t xml:space="preserve"> </w:t>
      </w:r>
      <w:r>
        <w:t xml:space="preserve">Required attributes present; unknown worker types refused. Fail closed.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Sequence and retry.</w:t>
      </w:r>
      <w:r>
        <w:t xml:space="preserve"> </w:t>
      </w:r>
      <w:r>
        <w:t xml:space="preserve">Apply feed events in order and handle failures explicitly. An out-of-order mover/leaver pair is a correctness bug and a dropped event is a silent drift source. A failed transform retries and is recorded, never skipped.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Normalize to SCIM.</w:t>
      </w:r>
      <w:r>
        <w:t xml:space="preserve"> </w:t>
      </w:r>
      <w:r>
        <w:t xml:space="preserve">Build the bulk request (</w:t>
      </w:r>
      <w:r>
        <w:rPr>
          <w:rStyle w:val="VerbatimChar"/>
        </w:rPr>
        <w:t xml:space="preserve">urn:ietf:params:scim:api:messages:2.0:BulkRequest</w:t>
      </w:r>
      <w:r>
        <w:t xml:space="preserve">) with the core and enterprise user schemas, plus a schema extension for any attribute the core schemas don’t carry.</w:t>
      </w:r>
      <w:r>
        <w:rPr>
          <w:rStyle w:val="FootnoteReference"/>
        </w:rPr>
        <w:footnoteReference w:id="17"/>
      </w:r>
      <w:r>
        <w:t xml:space="preserve"> </w:t>
      </w:r>
      <w:r>
        <w:t xml:space="preserve">The canonical payload is defined in Chapter 05.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Write provenance.</w:t>
      </w:r>
      <w:r>
        <w:t xml:space="preserve"> </w:t>
      </w:r>
      <w:r>
        <w:t xml:space="preserve">One record per event (source event ID, payload hash, derivation inputs, outcome) to the agency’s evidence store, before the Graph call returns. No record, no closure.</w:t>
      </w:r>
    </w:p>
    <w:p>
      <w:pPr>
        <w:pStyle w:val="FirstParagraph"/>
      </w:pPr>
      <w:r>
        <w:t xml:space="preserve">The middleware never writes back to the HR system’s HR-mastered facts. Send the complete user record in every request, for full and delta syncs alike: if clearing attribute values is enabled, an omitted or null mapped attribute can clear the target value.</w:t>
      </w:r>
      <w:r>
        <w:rPr>
          <w:rStyle w:val="FootnoteReference"/>
        </w:rPr>
        <w:footnoteReference w:id="18"/>
      </w:r>
    </w:p>
    <w:bookmarkEnd w:id="19"/>
    <w:bookmarkStart w:id="26" w:name="the-bulkupload-contract"/>
    <w:p>
      <w:pPr>
        <w:pStyle w:val="Heading2"/>
      </w:pPr>
      <w:r>
        <w:t xml:space="preserve">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contract</w:t>
      </w:r>
    </w:p>
    <w:p>
      <w:pPr>
        <w:pStyle w:val="TableCaption"/>
      </w:pPr>
      <w:r>
        <w:t xml:space="preserve">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envelope</w:t>
      </w:r>
      <w:r>
        <w:rPr>
          <w:rStyle w:val="FootnoteReference"/>
        </w:rPr>
        <w:footnoteReference w:id="20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/bulkUpload envelop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Microsoft Graph, worldwide endpoint</w:t>
            </w:r>
            <w:r>
              <w:t xml:space="preserve"> </w:t>
            </w:r>
            <w:r>
              <w:rPr>
                <w:rStyle w:val="VerbatimChar"/>
              </w:rPr>
              <w:t xml:space="preserve">graph.microsoft.com</w:t>
            </w:r>
            <w:r>
              <w:t xml:space="preserve"> </w:t>
            </w:r>
            <w:r>
              <w:t xml:space="preserve">(Microsoft 365 GCC tenants use the worldwide endpoints)</w:t>
            </w:r>
            <w:r>
              <w:rPr>
                <w:rStyle w:val="FootnoteReference"/>
              </w:rPr>
              <w:footnoteReference w:id="21"/>
            </w:r>
          </w:p>
        </w:tc>
      </w:tr>
      <w:tr>
        <w:tc>
          <w:tcPr/>
          <w:p>
            <w:pPr>
              <w:pStyle w:val="Compact"/>
            </w:pPr>
            <w: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SCIM bulk request; up to 50 operations per call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Throttling</w:t>
            </w:r>
          </w:p>
        </w:tc>
        <w:tc>
          <w:tcPr/>
          <w:p>
            <w:pPr>
              <w:pStyle w:val="Compact"/>
            </w:pPr>
            <w:r>
              <w:t xml:space="preserve">40 calls in any 5-second window; HTTP 429 beyond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daily cap</w:t>
            </w:r>
          </w:p>
        </w:tc>
        <w:tc>
          <w:tcPr/>
          <w:p>
            <w:pPr>
              <w:pStyle w:val="Compact"/>
            </w:pPr>
            <w:r>
              <w:t xml:space="preserve">2,000 calls per 24 hours with Entra ID P1/P2; 6,000 with Entra ID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permissions for the client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SynchronizationData-User.Upload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ProvisioningLog.Read.All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Licensing floor</w:t>
            </w:r>
          </w:p>
        </w:tc>
        <w:tc>
          <w:tcPr/>
          <w:p>
            <w:pPr>
              <w:pStyle w:val="Compact"/>
            </w:pPr>
            <w:r>
              <w:t xml:space="preserve">Entra ID P1; Entra ID Governance for Lifecycle Workflows</w:t>
            </w:r>
          </w:p>
        </w:tc>
      </w:tr>
    </w:tbl>
    <w:p>
      <w:pPr>
        <w:pStyle w:val="BodyText"/>
      </w:pPr>
      <w:r>
        <w:t xml:space="preserve">Each endpoint belongs to one provisioning app, and an agency with several sources (HR for employees, a contractor system, a badging system that only updates attributes) creates one app per source.</w:t>
      </w:r>
      <w:r>
        <w:rPr>
          <w:rStyle w:val="FootnoteReference"/>
        </w:rPr>
        <w:footnoteReference w:id="23"/>
      </w:r>
      <w:r>
        <w:rPr>
          <w:rStyle w:val="FootnoteReference"/>
        </w:rPr>
        <w:footnoteReference w:id="24"/>
      </w:r>
    </w:p>
    <w:bookmarkEnd w:id="26"/>
    <w:bookmarkStart w:id="39" w:name="two-landing-zones"/>
    <w:p>
      <w:pPr>
        <w:pStyle w:val="Heading2"/>
      </w:pPr>
      <w:r>
        <w:t xml:space="preserve">Two landing zones</w:t>
      </w:r>
    </w:p>
    <w:p>
      <w:pPr>
        <w:pStyle w:val="FirstParagraph"/>
      </w:pPr>
      <w:r>
        <w:t xml:space="preserve">The same HR feed can land in two places, separately or at the same time: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API-driven inbound provisioning to Microsoft Entra ID</w:t>
      </w:r>
      <w:r>
        <w:t xml:space="preserve"> </w:t>
      </w:r>
      <w:r>
        <w:t xml:space="preserve">creates cloud-only users directly.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API-driven inbound provisioning to on-premises Active Directory</w:t>
      </w:r>
      <w:r>
        <w:t xml:space="preserve"> </w:t>
      </w:r>
      <w:r>
        <w:t xml:space="preserve">delivers the same payloads through the Microsoft Entra provisioning agent, which writes to AD DS from inside the agency network; Entra Connect then projects the user to the cloud.</w:t>
      </w:r>
      <w:r>
        <w:rPr>
          <w:rStyle w:val="FootnoteReference"/>
        </w:rPr>
        <w:footnoteReference w:id="27"/>
      </w:r>
      <w:r>
        <w:rPr>
          <w:rStyle w:val="FootnoteReference"/>
        </w:rPr>
        <w:footnoteReference w:id="28"/>
      </w:r>
    </w:p>
    <w:bookmarkStart w:id="37" w:name="landing-in-active-directory"/>
    <w:p>
      <w:pPr>
        <w:pStyle w:val="Heading3"/>
      </w:pPr>
      <w:r>
        <w:t xml:space="preserve">Landing in Active Directory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 OU is computed, not hand-picked.</w:t>
      </w:r>
      <w:r>
        <w:t xml:space="preserve"> </w:t>
      </w:r>
      <w:r>
        <w:t xml:space="preserve">An expression mapping on</w:t>
      </w:r>
      <w:r>
        <w:t xml:space="preserve"> </w:t>
      </w:r>
      <w:r>
        <w:rPr>
          <w:rStyle w:val="VerbatimChar"/>
        </w:rPr>
        <w:t xml:space="preserve">parentDistinguishedName</w:t>
      </w:r>
      <w:r>
        <w:t xml:space="preserve"> </w:t>
      </w:r>
      <w:r>
        <w:t xml:space="preserve">derives the destination domain and OU from HR attributes.</w:t>
      </w:r>
      <w:r>
        <w:rPr>
          <w:rStyle w:val="FootnoteReference"/>
        </w:rPr>
        <w:footnoteReference w:id="29"/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The reporting line becomes a reference.</w:t>
      </w:r>
      <w:r>
        <w:t xml:space="preserve"> </w:t>
      </w:r>
      <w:r>
        <w:t xml:space="preserve">The provisioning service writes AD’s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 </w:t>
      </w:r>
      <w:r>
        <w:t xml:space="preserve">attribute as a DN reference to the already-provisioned supervisor; for cross-domain managers Microsoft recommends a separate app that updates only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.</w:t>
      </w:r>
      <w:r>
        <w:rPr>
          <w:rStyle w:val="FootnoteReference"/>
        </w:rPr>
        <w:footnoteReference w:id="31"/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High availability.</w:t>
      </w:r>
      <w:r>
        <w:t xml:space="preserve"> </w:t>
      </w:r>
      <w:r>
        <w:t xml:space="preserve">Deploy at least two provisioning agents, on servers with line of sight to the domain controllers.</w:t>
      </w:r>
      <w:r>
        <w:rPr>
          <w:rStyle w:val="FootnoteReference"/>
        </w:rPr>
        <w:footnoteReference w:id="32"/>
      </w:r>
      <w:r>
        <w:t xml:space="preserve"> </w:t>
      </w:r>
      <w:r>
        <w:t xml:space="preserve">The agent service runs as a group managed service account (gMSA); Domain or Enterprise Administrator credentials are needed once, to create it, not to run the agent.</w:t>
      </w:r>
      <w:r>
        <w:rPr>
          <w:rStyle w:val="FootnoteReference"/>
        </w:rPr>
        <w:footnoteReference w:id="33"/>
      </w:r>
      <w:r>
        <w:t xml:space="preserve"> </w:t>
      </w:r>
      <w:r>
        <w:t xml:space="preserve">Delegate the gMSA rights to the target OUs only.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Termination reaches the domain controller.</w:t>
      </w:r>
      <w:r>
        <w:t xml:space="preserve"> </w:t>
      </w:r>
      <w:r>
        <w:t xml:space="preserve">The SCIM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value maps to AD’s</w:t>
      </w:r>
      <w:r>
        <w:t xml:space="preserve"> </w:t>
      </w:r>
      <w:r>
        <w:rPr>
          <w:rStyle w:val="VerbatimChar"/>
        </w:rPr>
        <w:t xml:space="preserve">accountDisabled</w:t>
      </w:r>
      <w:r>
        <w:t xml:space="preserve">, so an HR termination disables the AD account, and Entra Connect carries that state to the cloud.</w:t>
      </w:r>
      <w:r>
        <w:rPr>
          <w:rStyle w:val="FootnoteReference"/>
        </w:rPr>
        <w:footnoteReference w:id="35"/>
      </w:r>
      <w:r>
        <w:rPr>
          <w:rStyle w:val="FootnoteReference"/>
        </w:rPr>
        <w:footnoteReference w:id="36"/>
      </w:r>
    </w:p>
    <w:p>
      <w:pPr>
        <w:pStyle w:val="FirstParagraph"/>
      </w:pPr>
      <w:r>
        <w:t xml:space="preserve">The caveat:</w:t>
      </w:r>
      <w:r>
        <w:t xml:space="preserve"> </w:t>
      </w:r>
      <w:r>
        <w:rPr>
          <w:b/>
          <w:bCs/>
        </w:rPr>
        <w:t xml:space="preserve">AD stores structure as place.</w:t>
      </w:r>
      <w:r>
        <w:t xml:space="preserve"> </w:t>
      </w:r>
      <w:r>
        <w:t xml:space="preserve">An OU is a container, and Group Policy that reads OU position inherits every reorganization. HR-driven provisioning keeps AD</w:t>
      </w:r>
      <w:r>
        <w:t xml:space="preserve"> </w:t>
      </w:r>
      <w:r>
        <w:rPr>
          <w:i/>
          <w:iCs/>
        </w:rPr>
        <w:t xml:space="preserve">correct</w:t>
      </w:r>
      <w:r>
        <w:t xml:space="preserve">; it can’t make AD attribute-native.</w:t>
      </w:r>
    </w:p>
    <w:bookmarkEnd w:id="37"/>
    <w:bookmarkStart w:id="38" w:name="landing-in-entra-id"/>
    <w:p>
      <w:pPr>
        <w:pStyle w:val="Heading3"/>
      </w:pPr>
      <w:r>
        <w:t xml:space="preserve">Landing in Entra ID</w:t>
      </w:r>
    </w:p>
    <w:p>
      <w:pPr>
        <w:pStyle w:val="FirstParagraph"/>
      </w:pPr>
      <w:r>
        <w:t xml:space="preserve">Entra ID has no OUs. The worker record lands as attributes, and structure becomes data:</w:t>
      </w:r>
      <w:r>
        <w:t xml:space="preserve"> </w:t>
      </w:r>
      <w:r>
        <w:rPr>
          <w:rStyle w:val="VerbatimChar"/>
        </w:rPr>
        <w:t xml:space="preserve">manager</w:t>
      </w:r>
      <w:r>
        <w:t xml:space="preserve"> </w:t>
      </w:r>
      <w:r>
        <w:t xml:space="preserve">(a directory relationship that drives the org chart in Teams and Outlook and approval routing),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jobTitle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employeeOrgData</w:t>
      </w:r>
      <w:r>
        <w:t xml:space="preserve"> </w:t>
      </w:r>
      <w:r>
        <w:t xml:space="preserve">(</w:t>
      </w:r>
      <w:r>
        <w:rPr>
          <w:rStyle w:val="VerbatimChar"/>
        </w:rPr>
        <w:t xml:space="preserve">division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costCenter</w:t>
      </w:r>
      <w:r>
        <w:t xml:space="preserve">). Chapter 05 fixes which of these the agency uses and for what; Chapter 08 shows how they become access.</w:t>
      </w:r>
    </w:p>
    <w:p>
      <w:pPr>
        <w:pStyle w:val="TableCaption"/>
      </w:pPr>
      <w:r>
        <w:t xml:space="preserve">How each directory absorbs organizational structure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How each directory absorbs organizational structur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Active Directory</w:t>
            </w:r>
          </w:p>
        </w:tc>
        <w:tc>
          <w:tcPr/>
          <w:p>
            <w:pPr>
              <w:pStyle w:val="Compact"/>
            </w:pPr>
            <w:r>
              <w:t xml:space="preserve">Entra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Structural container</w:t>
            </w:r>
          </w:p>
        </w:tc>
        <w:tc>
          <w:tcPr/>
          <w:p>
            <w:pPr>
              <w:pStyle w:val="Compact"/>
            </w:pPr>
            <w:r>
              <w:t xml:space="preserve">OU tree: structure as place, which GPO reads</w:t>
            </w:r>
          </w:p>
        </w:tc>
        <w:tc>
          <w:tcPr/>
          <w:p>
            <w:pPr>
              <w:pStyle w:val="Compact"/>
            </w:pPr>
            <w:r>
              <w:t xml:space="preserve">None: structure as attributes, which policy reads through groups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Reporting line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manager</w:t>
            </w:r>
            <w:r>
              <w:t xml:space="preserve"> </w:t>
            </w:r>
            <w:r>
              <w:t xml:space="preserve">DN reference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manager</w:t>
            </w:r>
            <w:r>
              <w:t xml:space="preserve"> </w:t>
            </w:r>
            <w:r>
              <w:t xml:space="preserve">relationship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 placement</w:t>
            </w:r>
          </w:p>
        </w:tc>
        <w:tc>
          <w:tcPr/>
          <w:p>
            <w:pPr>
              <w:pStyle w:val="Compact"/>
            </w:pPr>
            <w:r>
              <w:t xml:space="preserve">OU computed at provisioning (</w:t>
            </w:r>
            <w:r>
              <w:rPr>
                <w:rStyle w:val="VerbatimChar"/>
              </w:rPr>
              <w:t xml:space="preserve">parentDistinguishedName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department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employeeOrgData</w:t>
            </w:r>
            <w:r>
              <w:t xml:space="preserve">, stamped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Membership</w:t>
            </w:r>
          </w:p>
        </w:tc>
        <w:tc>
          <w:tcPr/>
          <w:p>
            <w:pPr>
              <w:pStyle w:val="Compact"/>
            </w:pPr>
            <w:r>
              <w:t xml:space="preserve">Static groups, manual or scripted</w:t>
            </w:r>
          </w:p>
        </w:tc>
        <w:tc>
          <w:tcPr/>
          <w:p>
            <w:pPr>
              <w:pStyle w:val="Compact"/>
            </w:pPr>
            <w:r>
              <w:t xml:space="preserve">Rules for dynamic membership, evaluated by the service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Delegated admin</w:t>
            </w:r>
          </w:p>
        </w:tc>
        <w:tc>
          <w:tcPr/>
          <w:p>
            <w:pPr>
              <w:pStyle w:val="Compact"/>
            </w:pPr>
            <w:r>
              <w:t xml:space="preserve">OU ACL delegation</w:t>
            </w:r>
          </w:p>
        </w:tc>
        <w:tc>
          <w:tcPr/>
          <w:p>
            <w:pPr>
              <w:pStyle w:val="Compact"/>
            </w:pPr>
            <w:r>
              <w:t xml:space="preserve">Administrative units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Reorganization cost</w:t>
            </w:r>
          </w:p>
        </w:tc>
        <w:tc>
          <w:tcPr/>
          <w:p>
            <w:pPr>
              <w:pStyle w:val="Compact"/>
            </w:pPr>
            <w:r>
              <w:t xml:space="preserve">OU restructure and GPO re-link: a project</w:t>
            </w:r>
          </w:p>
        </w:tc>
        <w:tc>
          <w:tcPr/>
          <w:p>
            <w:pPr>
              <w:pStyle w:val="Compact"/>
            </w:pPr>
            <w:r>
              <w:t xml:space="preserve">Attribute re-stamp and rule re-evaluation: a data change</w:t>
            </w:r>
          </w:p>
        </w:tc>
      </w:tr>
    </w:tbl>
    <w:p>
      <w:pPr>
        <w:pStyle w:val="BodyText"/>
      </w:pPr>
      <w:r>
        <w:t xml:space="preserve">During coexistence, provision both zones, read structure from attributes, and retire OU-bound policy deliberately (Chapter 10, Phase 5).</w:t>
      </w:r>
    </w:p>
    <w:bookmarkEnd w:id="38"/>
    <w:bookmarkEnd w:id="39"/>
    <w:bookmarkStart w:id="40" w:name="native-connectors"/>
    <w:p>
      <w:pPr>
        <w:pStyle w:val="Heading2"/>
      </w:pPr>
      <w:r>
        <w:t xml:space="preserve">Native connectors</w:t>
      </w:r>
    </w:p>
    <w:p>
      <w:pPr>
        <w:pStyle w:val="FirstParagraph"/>
      </w:pPr>
      <w:r>
        <w:t xml:space="preserve">Where an HR source has a native connector (Workday, SAP SuccessFactors), it’s an acceptable accelerator. The API-driven path stays canonical because it works for any source and because its middleware is where validation and provenance happen before the identity platform sees the record.</w:t>
      </w:r>
    </w:p>
    <w:bookmarkEnd w:id="40"/>
    <w:bookmarkStart w:id="42" w:name="X266d4d5a9494795d71b36e2d275e4c6bbec543b"/>
    <w:p>
      <w:pPr>
        <w:pStyle w:val="Heading2"/>
      </w:pPr>
      <w:r>
        <w:t xml:space="preserve">Writeback: optional and one-way per attribute</w:t>
      </w:r>
    </w:p>
    <w:p>
      <w:pPr>
        <w:pStyle w:val="FirstParagraph"/>
      </w:pPr>
      <w:r>
        <w:t xml:space="preserve">Once inbound provisioning is proven, an optional outbound job can write identity-platform-mastered attributes the HR system wants to display (username, work email, work phone) back to Oracle HCM through its SCIM APIs.</w:t>
      </w:r>
      <w:r>
        <w:rPr>
          <w:rStyle w:val="FootnoteReference"/>
        </w:rPr>
        <w:footnoteReference w:id="41"/>
      </w:r>
      <w:r>
        <w:t xml:space="preserve"> </w:t>
      </w:r>
      <w:r>
        <w:t xml:space="preserve">Two rules keep it safe: no attribute is writable in both directions (Chapter 03), and nothing in the plan depends on writeback.</w:t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1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19, 2026).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19, 2026).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1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19, 2026).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1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19, 2026).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1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19, 2026).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“National cloud deployments”</w:t>
      </w:r>
      <w:r>
        <w:t xml:space="preserve"> </w:t>
      </w:r>
      <w:r>
        <w:t xml:space="preserve">(Microsoft Graph):</w:t>
      </w:r>
      <w:r>
        <w:t xml:space="preserve"> </w:t>
      </w:r>
      <w:r>
        <w:t xml:space="preserve">“If you’re working in a Microsoft 365 GCC environment, continue using the worldwide endpoints,”</w:t>
      </w:r>
      <w:r>
        <w:t xml:space="preserve"> </w:t>
      </w:r>
      <w:hyperlink r:id="rId22">
        <w:r>
          <w:rPr>
            <w:rStyle w:val="Hyperlink"/>
          </w:rPr>
          <w:t xml:space="preserve">https://learn.microsoft.com/en-us/graph/deployments</w:t>
        </w:r>
      </w:hyperlink>
      <w:r>
        <w:t xml:space="preserve"> </w:t>
      </w:r>
      <w:r>
        <w:t xml:space="preserve">(accessed Oct 19,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1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19, 2026).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provisioning,”</w:t>
      </w:r>
      <w:r>
        <w:t xml:space="preserve"> </w:t>
      </w:r>
      <w:hyperlink r:id="rId25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19, 2026).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“API-driven inbound provisioning concepts,”</w:t>
      </w:r>
      <w:r>
        <w:t xml:space="preserve"> </w:t>
      </w:r>
      <w:hyperlink r:id="rId11">
        <w:r>
          <w:rPr>
            <w:rStyle w:val="Hyperlink"/>
          </w:rPr>
          <w:t xml:space="preserve">https://learn.microsoft.com/en-us/entra/identity/app-provisioning/inbound-provisioning-api-concepts</w:t>
        </w:r>
      </w:hyperlink>
      <w:r>
        <w:t xml:space="preserve"> </w:t>
      </w:r>
      <w:r>
        <w:t xml:space="preserve">(accessed Oct 19, 2026).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19, 2026).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19, 2026).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19, 2026).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19, 2026).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“Prerequisites for Microsoft Entra Cloud Sync”</w:t>
      </w:r>
      <w:r>
        <w:t xml:space="preserve"> </w:t>
      </w:r>
      <w:r>
        <w:t xml:space="preserve">(provisioning agent and gMSA requirements),</w:t>
      </w:r>
      <w:r>
        <w:t xml:space="preserve"> </w:t>
      </w:r>
      <w:hyperlink r:id="rId34">
        <w:r>
          <w:rPr>
            <w:rStyle w:val="Hyperlink"/>
          </w:rPr>
          <w:t xml:space="preserve">https://learn.microsoft.com/en-us/entra/identity/hybrid/cloud-sync/how-to-prerequisites</w:t>
        </w:r>
      </w:hyperlink>
      <w:r>
        <w:t xml:space="preserve"> </w:t>
      </w:r>
      <w:r>
        <w:t xml:space="preserve">(accessed Oct 19, 2026).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19, 2026).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“Plan cloud HR application to Microsoft Entra user provisioning,”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https://learn.microsoft.com/en-us/entra/identity/app-provisioning/plan-cloud-hr-provision</w:t>
        </w:r>
      </w:hyperlink>
      <w:r>
        <w:t xml:space="preserve"> </w:t>
      </w:r>
      <w:r>
        <w:t xml:space="preserve">(accessed Oct 19, 2026).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“Configure Oracle Human Capital Management (HCM) for automatic user provisioning,”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https://learn.microsoft.com/en-us/entra/identity/saas-apps/oracle-hcm-provisioning-tutorial</w:t>
        </w:r>
      </w:hyperlink>
      <w:r>
        <w:t xml:space="preserve"> </w:t>
      </w:r>
      <w:r>
        <w:t xml:space="preserve">(accessed Oct 19,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learn.microsoft.com/en-us/entra/identity/app-provisioning/inbound-provisioning-api-concepts" TargetMode="External" /><Relationship Type="http://schemas.openxmlformats.org/officeDocument/2006/relationships/hyperlink" Id="rId25" Target="https://learn.microsoft.com/en-us/entra/identity/app-provisioning/inbound-provisioning-api-faqs" TargetMode="External" /><Relationship Type="http://schemas.openxmlformats.org/officeDocument/2006/relationships/hyperlink" Id="rId30" Target="https://learn.microsoft.com/en-us/entra/identity/app-provisioning/plan-cloud-hr-provision" TargetMode="External" /><Relationship Type="http://schemas.openxmlformats.org/officeDocument/2006/relationships/hyperlink" Id="rId34" Target="https://learn.microsoft.com/en-us/entra/identity/hybrid/cloud-sync/how-to-prerequisites" TargetMode="External" /><Relationship Type="http://schemas.openxmlformats.org/officeDocument/2006/relationships/hyperlink" Id="rId14" Target="https://learn.microsoft.com/en-us/entra/identity/saas-apps/oracle-hcm-provisioning-tutorial" TargetMode="External" /><Relationship Type="http://schemas.openxmlformats.org/officeDocument/2006/relationships/hyperlink" Id="rId22" Target="https://learn.microsoft.com/en-us/graph/deploy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learn.microsoft.com/en-us/entra/identity/app-provisioning/inbound-provisioning-api-concepts" TargetMode="External" /><Relationship Type="http://schemas.openxmlformats.org/officeDocument/2006/relationships/hyperlink" Id="rId25" Target="https://learn.microsoft.com/en-us/entra/identity/app-provisioning/inbound-provisioning-api-faqs" TargetMode="External" /><Relationship Type="http://schemas.openxmlformats.org/officeDocument/2006/relationships/hyperlink" Id="rId30" Target="https://learn.microsoft.com/en-us/entra/identity/app-provisioning/plan-cloud-hr-provision" TargetMode="External" /><Relationship Type="http://schemas.openxmlformats.org/officeDocument/2006/relationships/hyperlink" Id="rId34" Target="https://learn.microsoft.com/en-us/entra/identity/hybrid/cloud-sync/how-to-prerequisites" TargetMode="External" /><Relationship Type="http://schemas.openxmlformats.org/officeDocument/2006/relationships/hyperlink" Id="rId14" Target="https://learn.microsoft.com/en-us/entra/identity/saas-apps/oracle-hcm-provisioning-tutorial" TargetMode="External" /><Relationship Type="http://schemas.openxmlformats.org/officeDocument/2006/relationships/hyperlink" Id="rId22" Target="https://learn.microsoft.com/en-us/graph/deploy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04 — The Provisioning Pipeline</dc:title>
  <dc:creator/>
  <cp:keywords/>
  <dcterms:created xsi:type="dcterms:W3CDTF">2026-10-19T10:17:34Z</dcterms:created>
  <dcterms:modified xsi:type="dcterms:W3CDTF">2026-10-19T10:17:34Z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HR-Driven Identity — From the HR System of Record to Entra ID</vt:lpwstr>
  </property>
</Properties>
</file>