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05 — The Canonical Attribute Schema</w:t>
      </w:r>
    </w:p>
    <w:p>
      <w:pPr>
        <w:pStyle w:val="Subtitle"/>
      </w:pPr>
      <w:r>
        <w:t xml:space="preserve">HR-Driven Identity — From the HR System of Record to Entra ID</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29" w:name="X919ebcc598e4f2130dc65987112868ddf99d32c"/>
    <w:p>
      <w:pPr>
        <w:pStyle w:val="Heading1"/>
      </w:pPr>
      <w:r>
        <w:t xml:space="preserve">Chapter 05 — The Canonical Attribute Schema</w:t>
      </w:r>
    </w:p>
    <w:p>
      <w:pPr>
        <w:pStyle w:val="FirstParagraph"/>
      </w:pPr>
      <w:r>
        <w:rPr>
          <w:i/>
          <w:iCs/>
        </w:rPr>
        <w:t xml:space="preserve">Native attributes first. A small, coded set of extension attributes for access. Nothing hand-edited.</w:t>
      </w:r>
    </w:p>
    <w:bookmarkStart w:id="9" w:name="in-this-chapter"/>
    <w:p>
      <w:pPr>
        <w:pStyle w:val="Heading2"/>
      </w:pPr>
      <w:r>
        <w:t xml:space="preserve">In this chapter</w:t>
      </w:r>
    </w:p>
    <w:p>
      <w:pPr>
        <w:pStyle w:val="FirstParagraph"/>
      </w:pPr>
      <w:r>
        <w:t xml:space="preserve">The design rules behind the schema. The schema table itself, which every other page on this site links to instead of repeating. Why three extension attributes, and why they hold codes. How the hire and leave dates reach Entra ID from each landing zone. Who is allowed to write any of it.</w:t>
      </w:r>
    </w:p>
    <w:bookmarkEnd w:id="9"/>
    <w:bookmarkStart w:id="14" w:name="design-rules"/>
    <w:p>
      <w:pPr>
        <w:pStyle w:val="Heading2"/>
      </w:pPr>
      <w:r>
        <w:t xml:space="preserve">Design rules</w:t>
      </w:r>
    </w:p>
    <w:p>
      <w:pPr>
        <w:pStyle w:val="Compact"/>
        <w:numPr>
          <w:ilvl w:val="0"/>
          <w:numId w:val="1001"/>
        </w:numPr>
      </w:pPr>
      <w:r>
        <w:rPr>
          <w:b/>
          <w:bCs/>
        </w:rPr>
        <w:t xml:space="preserve">Use a native Entra attribute wherever one exists.</w:t>
      </w:r>
      <w:r>
        <w:t xml:space="preserve"> </w:t>
      </w:r>
      <w:r>
        <w:rPr>
          <w:rStyle w:val="VerbatimChar"/>
        </w:rPr>
        <w:t xml:space="preserve">employeeId</w:t>
      </w:r>
      <w:r>
        <w:t xml:space="preserve">,</w:t>
      </w:r>
      <w:r>
        <w:t xml:space="preserve"> </w:t>
      </w:r>
      <w:r>
        <w:rPr>
          <w:rStyle w:val="VerbatimChar"/>
        </w:rPr>
        <w:t xml:space="preserve">department</w:t>
      </w:r>
      <w:r>
        <w:t xml:space="preserve">,</w:t>
      </w:r>
      <w:r>
        <w:t xml:space="preserve"> </w:t>
      </w:r>
      <w:r>
        <w:rPr>
          <w:rStyle w:val="VerbatimChar"/>
        </w:rPr>
        <w:t xml:space="preserve">jobTitle</w:t>
      </w:r>
      <w:r>
        <w:t xml:space="preserve">,</w:t>
      </w:r>
      <w:r>
        <w:t xml:space="preserve"> </w:t>
      </w:r>
      <w:r>
        <w:rPr>
          <w:rStyle w:val="VerbatimChar"/>
        </w:rPr>
        <w:t xml:space="preserve">companyName</w:t>
      </w:r>
      <w:r>
        <w:t xml:space="preserve">,</w:t>
      </w:r>
      <w:r>
        <w:t xml:space="preserve"> </w:t>
      </w:r>
      <w:r>
        <w:rPr>
          <w:rStyle w:val="VerbatimChar"/>
        </w:rPr>
        <w:t xml:space="preserve">manager</w:t>
      </w:r>
      <w:r>
        <w:t xml:space="preserve">,</w:t>
      </w:r>
      <w:r>
        <w:t xml:space="preserve"> </w:t>
      </w:r>
      <w:r>
        <w:rPr>
          <w:rStyle w:val="VerbatimChar"/>
        </w:rPr>
        <w:t xml:space="preserve">employeeType</w:t>
      </w:r>
      <w:r>
        <w:t xml:space="preserve">,</w:t>
      </w:r>
      <w:r>
        <w:t xml:space="preserve"> </w:t>
      </w:r>
      <w:r>
        <w:rPr>
          <w:rStyle w:val="VerbatimChar"/>
        </w:rPr>
        <w:t xml:space="preserve">employeeHireDate</w:t>
      </w:r>
      <w:r>
        <w:t xml:space="preserve">,</w:t>
      </w:r>
      <w:r>
        <w:t xml:space="preserve"> </w:t>
      </w:r>
      <w:r>
        <w:rPr>
          <w:rStyle w:val="VerbatimChar"/>
        </w:rPr>
        <w:t xml:space="preserve">employeeLeaveDateTime</w:t>
      </w:r>
      <w:r>
        <w:t xml:space="preserve"> </w:t>
      </w:r>
      <w:r>
        <w:t xml:space="preserve">and</w:t>
      </w:r>
      <w:r>
        <w:t xml:space="preserve"> </w:t>
      </w:r>
      <w:r>
        <w:rPr>
          <w:rStyle w:val="VerbatimChar"/>
        </w:rPr>
        <w:t xml:space="preserve">employeeOrgData</w:t>
      </w:r>
      <w:r>
        <w:t xml:space="preserve"> </w:t>
      </w:r>
      <w:r>
        <w:t xml:space="preserve">already mean what the HR record means. Other Microsoft features (the org chart, Lifecycle Workflows, access-package approvals) read them directly.</w:t>
      </w:r>
    </w:p>
    <w:p>
      <w:pPr>
        <w:pStyle w:val="Compact"/>
        <w:numPr>
          <w:ilvl w:val="0"/>
          <w:numId w:val="1001"/>
        </w:numPr>
      </w:pPr>
      <w:r>
        <w:rPr>
          <w:b/>
          <w:bCs/>
        </w:rPr>
        <w:t xml:space="preserve">Add an extension attribute only where access needs a value a rule can’t read natively.</w:t>
      </w:r>
      <w:r>
        <w:t xml:space="preserve"> </w:t>
      </w:r>
      <w:r>
        <w:t xml:space="preserve">Rules for dynamic membership support a fixed list of user properties. That list includes</w:t>
      </w:r>
      <w:r>
        <w:t xml:space="preserve"> </w:t>
      </w:r>
      <w:r>
        <w:rPr>
          <w:rStyle w:val="VerbatimChar"/>
        </w:rPr>
        <w:t xml:space="preserve">department</w:t>
      </w:r>
      <w:r>
        <w:t xml:space="preserve">,</w:t>
      </w:r>
      <w:r>
        <w:t xml:space="preserve"> </w:t>
      </w:r>
      <w:r>
        <w:rPr>
          <w:rStyle w:val="VerbatimChar"/>
        </w:rPr>
        <w:t xml:space="preserve">companyName</w:t>
      </w:r>
      <w:r>
        <w:t xml:space="preserve">,</w:t>
      </w:r>
      <w:r>
        <w:t xml:space="preserve"> </w:t>
      </w:r>
      <w:r>
        <w:rPr>
          <w:rStyle w:val="VerbatimChar"/>
        </w:rPr>
        <w:t xml:space="preserve">jobTitle</w:t>
      </w:r>
      <w:r>
        <w:t xml:space="preserve">,</w:t>
      </w:r>
      <w:r>
        <w:t xml:space="preserve"> </w:t>
      </w:r>
      <w:r>
        <w:rPr>
          <w:rStyle w:val="VerbatimChar"/>
        </w:rPr>
        <w:t xml:space="preserve">employeeId</w:t>
      </w:r>
      <w:r>
        <w:t xml:space="preserve">,</w:t>
      </w:r>
      <w:r>
        <w:t xml:space="preserve"> </w:t>
      </w:r>
      <w:r>
        <w:rPr>
          <w:rStyle w:val="VerbatimChar"/>
        </w:rPr>
        <w:t xml:space="preserve">employeeHireDate</w:t>
      </w:r>
      <w:r>
        <w:t xml:space="preserve"> </w:t>
      </w:r>
      <w:r>
        <w:t xml:space="preserve">(preview),</w:t>
      </w:r>
      <w:r>
        <w:t xml:space="preserve"> </w:t>
      </w:r>
      <w:r>
        <w:rPr>
          <w:rStyle w:val="VerbatimChar"/>
        </w:rPr>
        <w:t xml:space="preserve">userType</w:t>
      </w:r>
      <w:r>
        <w:t xml:space="preserve"> </w:t>
      </w:r>
      <w:r>
        <w:t xml:space="preserve">and</w:t>
      </w:r>
      <w:r>
        <w:t xml:space="preserve"> </w:t>
      </w:r>
      <w:r>
        <w:rPr>
          <w:rStyle w:val="VerbatimChar"/>
        </w:rPr>
        <w:t xml:space="preserve">accountEnabled</w:t>
      </w:r>
      <w:r>
        <w:t xml:space="preserve">, plus</w:t>
      </w:r>
      <w:r>
        <w:t xml:space="preserve"> </w:t>
      </w:r>
      <w:r>
        <w:rPr>
          <w:rStyle w:val="VerbatimChar"/>
        </w:rPr>
        <w:t xml:space="preserve">extensionAttribute1</w:t>
      </w:r>
      <w:r>
        <w:t xml:space="preserve">–</w:t>
      </w:r>
      <w:r>
        <w:rPr>
          <w:rStyle w:val="VerbatimChar"/>
        </w:rPr>
        <w:t xml:space="preserve">15</w:t>
      </w:r>
      <w:r>
        <w:t xml:space="preserve"> </w:t>
      </w:r>
      <w:r>
        <w:t xml:space="preserve">and directory extension properties. It doesn’t include</w:t>
      </w:r>
      <w:r>
        <w:t xml:space="preserve"> </w:t>
      </w:r>
      <w:r>
        <w:rPr>
          <w:rStyle w:val="VerbatimChar"/>
        </w:rPr>
        <w:t xml:space="preserve">employeeType</w:t>
      </w:r>
      <w:r>
        <w:t xml:space="preserve">,</w:t>
      </w:r>
      <w:r>
        <w:t xml:space="preserve"> </w:t>
      </w:r>
      <w:r>
        <w:rPr>
          <w:rStyle w:val="VerbatimChar"/>
        </w:rPr>
        <w:t xml:space="preserve">employeeOrgData</w:t>
      </w:r>
      <w:r>
        <w:t xml:space="preserve"> </w:t>
      </w:r>
      <w:r>
        <w:t xml:space="preserve">or</w:t>
      </w:r>
      <w:r>
        <w:t xml:space="preserve"> </w:t>
      </w:r>
      <w:r>
        <w:rPr>
          <w:rStyle w:val="VerbatimChar"/>
        </w:rPr>
        <w:t xml:space="preserve">manager</w:t>
      </w:r>
      <w:r>
        <w:t xml:space="preserve"> </w:t>
      </w:r>
      <w:r>
        <w:t xml:space="preserve">(direct-reports groups use a separate rule form).</w:t>
      </w:r>
      <w:r>
        <w:rPr>
          <w:rStyle w:val="FootnoteReference"/>
        </w:rPr>
        <w:footnoteReference w:id="10"/>
      </w:r>
      <w:r>
        <w:t xml:space="preserve"> </w:t>
      </w:r>
      <w:r>
        <w:t xml:space="preserve">Three attributes cover the gap.</w:t>
      </w:r>
    </w:p>
    <w:p>
      <w:pPr>
        <w:pStyle w:val="Compact"/>
        <w:numPr>
          <w:ilvl w:val="0"/>
          <w:numId w:val="1001"/>
        </w:numPr>
      </w:pPr>
      <w:r>
        <w:rPr>
          <w:b/>
          <w:bCs/>
        </w:rPr>
        <w:t xml:space="preserve">Put codes in access attributes, never display strings.</w:t>
      </w:r>
      <w:r>
        <w:t xml:space="preserve"> </w:t>
      </w:r>
      <w:r>
        <w:t xml:space="preserve">An organization code changes only when the business fact changes; a display name changes whenever someone retypes it.</w:t>
      </w:r>
    </w:p>
    <w:p>
      <w:pPr>
        <w:pStyle w:val="Compact"/>
        <w:numPr>
          <w:ilvl w:val="0"/>
          <w:numId w:val="1001"/>
        </w:numPr>
      </w:pPr>
      <w:r>
        <w:rPr>
          <w:b/>
          <w:bCs/>
        </w:rPr>
        <w:t xml:space="preserve">Use the same carrier in both landing zones.</w:t>
      </w:r>
      <w:r>
        <w:t xml:space="preserve"> </w:t>
      </w:r>
      <w:r>
        <w:rPr>
          <w:rStyle w:val="VerbatimChar"/>
        </w:rPr>
        <w:t xml:space="preserve">extensionAttribute1</w:t>
      </w:r>
      <w:r>
        <w:t xml:space="preserve">–</w:t>
      </w:r>
      <w:r>
        <w:rPr>
          <w:rStyle w:val="VerbatimChar"/>
        </w:rPr>
        <w:t xml:space="preserve">15</w:t>
      </w:r>
      <w:r>
        <w:t xml:space="preserve"> </w:t>
      </w:r>
      <w:r>
        <w:t xml:space="preserve">exist in on-premises AD and in Entra ID. For synced users, AD is the source and the Entra values are read-only; for cloud-only users they can be set when the user is created or updated.</w:t>
      </w:r>
      <w:r>
        <w:rPr>
          <w:rStyle w:val="FootnoteReference"/>
        </w:rPr>
        <w:footnoteReference w:id="12"/>
      </w:r>
      <w:r>
        <w:t xml:space="preserve"> </w:t>
      </w:r>
      <w:r>
        <w:t xml:space="preserve">A rule written against</w:t>
      </w:r>
      <w:r>
        <w:t xml:space="preserve"> </w:t>
      </w:r>
      <w:r>
        <w:rPr>
          <w:rStyle w:val="VerbatimChar"/>
        </w:rPr>
        <w:t xml:space="preserve">user.extensionAttribute10</w:t>
      </w:r>
      <w:r>
        <w:t xml:space="preserve"> </w:t>
      </w:r>
      <w:r>
        <w:t xml:space="preserve">works the same for a hybrid user and a cloud-mastered one, which matters during the years of coexistence.</w:t>
      </w:r>
    </w:p>
    <w:p>
      <w:pPr>
        <w:pStyle w:val="Compact"/>
        <w:numPr>
          <w:ilvl w:val="0"/>
          <w:numId w:val="1001"/>
        </w:numPr>
      </w:pPr>
      <w:r>
        <w:rPr>
          <w:b/>
          <w:bCs/>
        </w:rPr>
        <w:t xml:space="preserve">Don’t build an organizational hierarchy into attributes.</w:t>
      </w:r>
      <w:r>
        <w:t xml:space="preserve"> </w:t>
      </w:r>
      <w:r>
        <w:t xml:space="preserve">The reporting line is the</w:t>
      </w:r>
      <w:r>
        <w:t xml:space="preserve"> </w:t>
      </w:r>
      <w:r>
        <w:rPr>
          <w:rStyle w:val="VerbatimChar"/>
        </w:rPr>
        <w:t xml:space="preserve">manager</w:t>
      </w:r>
      <w:r>
        <w:t xml:space="preserve"> </w:t>
      </w:r>
      <w:r>
        <w:t xml:space="preserve">relationship; organizational placement is</w:t>
      </w:r>
      <w:r>
        <w:t xml:space="preserve"> </w:t>
      </w:r>
      <w:r>
        <w:rPr>
          <w:rStyle w:val="VerbatimChar"/>
        </w:rPr>
        <w:t xml:space="preserve">department</w:t>
      </w:r>
      <w:r>
        <w:t xml:space="preserve">,</w:t>
      </w:r>
      <w:r>
        <w:t xml:space="preserve"> </w:t>
      </w:r>
      <w:r>
        <w:rPr>
          <w:rStyle w:val="VerbatimChar"/>
        </w:rPr>
        <w:t xml:space="preserve">employeeOrgData</w:t>
      </w:r>
      <w:r>
        <w:t xml:space="preserve"> </w:t>
      </w:r>
      <w:r>
        <w:t xml:space="preserve">and one organization code. There’s no encoded path, tree or composite key to maintain.</w:t>
      </w:r>
    </w:p>
    <w:bookmarkEnd w:id="14"/>
    <w:bookmarkStart w:id="25" w:name="the-schema"/>
    <w:p>
      <w:pPr>
        <w:pStyle w:val="Heading2"/>
      </w:pPr>
      <w:r>
        <w:t xml:space="preserve">The schema</w:t>
      </w:r>
    </w:p>
    <w:p>
      <w:pPr>
        <w:pStyle w:val="TableCaption"/>
      </w:pPr>
      <w:r>
        <w:t xml:space="preserve">The canonical attribute schema — the only attribute crosswalk on this site</w:t>
      </w:r>
    </w:p>
    <w:tbl>
      <w:tblPr>
        <w:tblStyle w:val="Table"/>
        <w:tblW w:type="pct" w:w="5000"/>
        <w:tblLayout w:type="fixed"/>
        <w:tblLook w:firstRow="1" w:lastRow="0" w:firstColumn="0" w:lastColumn="0" w:noHBand="0" w:noVBand="0" w:val="0020"/>
        <w:tblCaption w:val="The canonical attribute schema — the only attribute crosswalk on this site"/>
      </w:tblPr>
      <w:tblGrid>
        <w:gridCol w:w="1131"/>
        <w:gridCol w:w="1131"/>
        <w:gridCol w:w="1131"/>
        <w:gridCol w:w="1131"/>
        <w:gridCol w:w="1131"/>
        <w:gridCol w:w="1131"/>
        <w:gridCol w:w="1131"/>
      </w:tblGrid>
      <w:tr>
        <w:trPr>
          <w:tblHeader w:val="on"/>
        </w:trPr>
        <w:tc>
          <w:tcPr/>
          <w:p>
            <w:pPr>
              <w:pStyle w:val="Compact"/>
            </w:pPr>
            <w:r>
              <w:t xml:space="preserve">Canonical field</w:t>
            </w:r>
          </w:p>
        </w:tc>
        <w:tc>
          <w:tcPr/>
          <w:p>
            <w:pPr>
              <w:pStyle w:val="Compact"/>
            </w:pPr>
            <w:r>
              <w:t xml:space="preserve">Oracle HCM source</w:t>
            </w:r>
          </w:p>
        </w:tc>
        <w:tc>
          <w:tcPr/>
          <w:p>
            <w:pPr>
              <w:pStyle w:val="Compact"/>
            </w:pPr>
            <w:r>
              <w:t xml:space="preserve">SCIM attribute</w:t>
            </w:r>
          </w:p>
        </w:tc>
        <w:tc>
          <w:tcPr/>
          <w:p>
            <w:pPr>
              <w:pStyle w:val="Compact"/>
            </w:pPr>
            <w:r>
              <w:t xml:space="preserve">On-premises AD</w:t>
            </w:r>
          </w:p>
        </w:tc>
        <w:tc>
          <w:tcPr/>
          <w:p>
            <w:pPr>
              <w:pStyle w:val="Compact"/>
            </w:pPr>
            <w:r>
              <w:t xml:space="preserve">Entra ID</w:t>
            </w:r>
          </w:p>
        </w:tc>
        <w:tc>
          <w:tcPr/>
          <w:p>
            <w:pPr>
              <w:pStyle w:val="Compact"/>
            </w:pPr>
            <w:r>
              <w:t xml:space="preserve">Rule can read it</w:t>
            </w:r>
          </w:p>
        </w:tc>
        <w:tc>
          <w:tcPr/>
          <w:p>
            <w:pPr>
              <w:pStyle w:val="Compact"/>
            </w:pPr>
            <w:r>
              <w:t xml:space="preserve">Used for</w:t>
            </w:r>
          </w:p>
        </w:tc>
      </w:tr>
      <w:tr>
        <w:tc>
          <w:tcPr/>
          <w:p>
            <w:pPr>
              <w:pStyle w:val="Compact"/>
            </w:pPr>
            <w:r>
              <w:t xml:space="preserve">Person number</w:t>
            </w:r>
          </w:p>
        </w:tc>
        <w:tc>
          <w:tcPr/>
          <w:p>
            <w:pPr>
              <w:pStyle w:val="Compact"/>
            </w:pPr>
            <w:r>
              <w:rPr>
                <w:rStyle w:val="VerbatimChar"/>
              </w:rPr>
              <w:t xml:space="preserve">workers.PersonNumber</w:t>
            </w:r>
          </w:p>
        </w:tc>
        <w:tc>
          <w:tcPr/>
          <w:p>
            <w:pPr>
              <w:pStyle w:val="Compact"/>
            </w:pPr>
            <w:r>
              <w:rPr>
                <w:rStyle w:val="VerbatimChar"/>
              </w:rPr>
              <w:t xml:space="preserve">externalId</w:t>
            </w:r>
          </w:p>
        </w:tc>
        <w:tc>
          <w:tcPr/>
          <w:p>
            <w:pPr>
              <w:pStyle w:val="Compact"/>
            </w:pPr>
            <w:r>
              <w:rPr>
                <w:rStyle w:val="VerbatimChar"/>
              </w:rPr>
              <w:t xml:space="preserve">employeeID</w:t>
            </w:r>
          </w:p>
        </w:tc>
        <w:tc>
          <w:tcPr/>
          <w:p>
            <w:pPr>
              <w:pStyle w:val="Compact"/>
            </w:pPr>
            <w:r>
              <w:rPr>
                <w:rStyle w:val="VerbatimChar"/>
              </w:rPr>
              <w:t xml:space="preserve">employeeId</w:t>
            </w:r>
          </w:p>
        </w:tc>
        <w:tc>
          <w:tcPr/>
          <w:p>
            <w:pPr>
              <w:pStyle w:val="Compact"/>
            </w:pPr>
            <w:r>
              <w:t xml:space="preserve">Yes</w:t>
            </w:r>
          </w:p>
        </w:tc>
        <w:tc>
          <w:tcPr/>
          <w:p>
            <w:pPr>
              <w:pStyle w:val="Compact"/>
            </w:pPr>
            <w:r>
              <w:rPr>
                <w:b/>
                <w:bCs/>
              </w:rPr>
              <w:t xml:space="preserve">Match key</w:t>
            </w:r>
            <w:r>
              <w:t xml:space="preserve">, identifier for life (Chapter 03)</w:t>
            </w:r>
          </w:p>
        </w:tc>
      </w:tr>
      <w:tr>
        <w:tc>
          <w:tcPr/>
          <w:p>
            <w:pPr>
              <w:pStyle w:val="Compact"/>
            </w:pPr>
            <w:r>
              <w:t xml:space="preserve">Employment active</w:t>
            </w:r>
          </w:p>
        </w:tc>
        <w:tc>
          <w:tcPr/>
          <w:p>
            <w:pPr>
              <w:pStyle w:val="Compact"/>
            </w:pPr>
            <w:r>
              <w:t xml:space="preserve">Assignment status</w:t>
            </w:r>
          </w:p>
        </w:tc>
        <w:tc>
          <w:tcPr/>
          <w:p>
            <w:pPr>
              <w:pStyle w:val="Compact"/>
            </w:pPr>
            <w:r>
              <w:rPr>
                <w:rStyle w:val="VerbatimChar"/>
              </w:rPr>
              <w:t xml:space="preserve">active</w:t>
            </w:r>
          </w:p>
        </w:tc>
        <w:tc>
          <w:tcPr/>
          <w:p>
            <w:pPr>
              <w:pStyle w:val="Compact"/>
            </w:pPr>
            <w:r>
              <w:rPr>
                <w:rStyle w:val="VerbatimChar"/>
              </w:rPr>
              <w:t xml:space="preserve">accountDisabled</w:t>
            </w:r>
          </w:p>
        </w:tc>
        <w:tc>
          <w:tcPr/>
          <w:p>
            <w:pPr>
              <w:pStyle w:val="Compact"/>
            </w:pPr>
            <w:r>
              <w:rPr>
                <w:rStyle w:val="VerbatimChar"/>
              </w:rPr>
              <w:t xml:space="preserve">accountEnabled</w:t>
            </w:r>
          </w:p>
        </w:tc>
        <w:tc>
          <w:tcPr/>
          <w:p>
            <w:pPr>
              <w:pStyle w:val="Compact"/>
            </w:pPr>
            <w:r>
              <w:t xml:space="preserve">Yes</w:t>
            </w:r>
          </w:p>
        </w:tc>
        <w:tc>
          <w:tcPr/>
          <w:p>
            <w:pPr>
              <w:pStyle w:val="Compact"/>
            </w:pPr>
            <w:r>
              <w:t xml:space="preserve">Joiner and leaver state</w:t>
            </w:r>
          </w:p>
        </w:tc>
      </w:tr>
      <w:tr>
        <w:tc>
          <w:tcPr/>
          <w:p>
            <w:pPr>
              <w:pStyle w:val="Compact"/>
            </w:pPr>
            <w:r>
              <w:t xml:space="preserve">Given name / surname</w:t>
            </w:r>
          </w:p>
        </w:tc>
        <w:tc>
          <w:tcPr/>
          <w:p>
            <w:pPr>
              <w:pStyle w:val="Compact"/>
            </w:pPr>
            <w:r>
              <w:rPr>
                <w:rStyle w:val="VerbatimChar"/>
              </w:rPr>
              <w:t xml:space="preserve">workers.names</w:t>
            </w:r>
          </w:p>
        </w:tc>
        <w:tc>
          <w:tcPr/>
          <w:p>
            <w:pPr>
              <w:pStyle w:val="Compact"/>
            </w:pPr>
            <w:r>
              <w:rPr>
                <w:rStyle w:val="VerbatimChar"/>
              </w:rPr>
              <w:t xml:space="preserve">name.givenName</w:t>
            </w:r>
            <w:r>
              <w:t xml:space="preserve"> </w:t>
            </w:r>
            <w:r>
              <w:t xml:space="preserve">/</w:t>
            </w:r>
            <w:r>
              <w:t xml:space="preserve"> </w:t>
            </w:r>
            <w:r>
              <w:rPr>
                <w:rStyle w:val="VerbatimChar"/>
              </w:rPr>
              <w:t xml:space="preserve">name.familyName</w:t>
            </w:r>
          </w:p>
        </w:tc>
        <w:tc>
          <w:tcPr/>
          <w:p>
            <w:pPr>
              <w:pStyle w:val="Compact"/>
            </w:pPr>
            <w:r>
              <w:rPr>
                <w:rStyle w:val="VerbatimChar"/>
              </w:rPr>
              <w:t xml:space="preserve">givenName</w:t>
            </w:r>
            <w:r>
              <w:t xml:space="preserve"> </w:t>
            </w:r>
            <w:r>
              <w:t xml:space="preserve">/</w:t>
            </w:r>
            <w:r>
              <w:t xml:space="preserve"> </w:t>
            </w:r>
            <w:r>
              <w:rPr>
                <w:rStyle w:val="VerbatimChar"/>
              </w:rPr>
              <w:t xml:space="preserve">sn</w:t>
            </w:r>
          </w:p>
        </w:tc>
        <w:tc>
          <w:tcPr/>
          <w:p>
            <w:pPr>
              <w:pStyle w:val="Compact"/>
            </w:pPr>
            <w:r>
              <w:rPr>
                <w:rStyle w:val="VerbatimChar"/>
              </w:rPr>
              <w:t xml:space="preserve">givenName</w:t>
            </w:r>
            <w:r>
              <w:t xml:space="preserve"> </w:t>
            </w:r>
            <w:r>
              <w:t xml:space="preserve">/</w:t>
            </w:r>
            <w:r>
              <w:t xml:space="preserve"> </w:t>
            </w:r>
            <w:r>
              <w:rPr>
                <w:rStyle w:val="VerbatimChar"/>
              </w:rPr>
              <w:t xml:space="preserve">surname</w:t>
            </w:r>
          </w:p>
        </w:tc>
        <w:tc>
          <w:tcPr/>
          <w:p>
            <w:pPr>
              <w:pStyle w:val="Compact"/>
            </w:pPr>
            <w:r>
              <w:t xml:space="preserve">Yes</w:t>
            </w:r>
          </w:p>
        </w:tc>
        <w:tc>
          <w:tcPr/>
          <w:p>
            <w:pPr>
              <w:pStyle w:val="Compact"/>
            </w:pPr>
            <w:r>
              <w:t xml:space="preserve">Display, UPN rules</w:t>
            </w:r>
          </w:p>
        </w:tc>
      </w:tr>
      <w:tr>
        <w:tc>
          <w:tcPr/>
          <w:p>
            <w:pPr>
              <w:pStyle w:val="Compact"/>
            </w:pPr>
            <w:r>
              <w:t xml:space="preserve">Display name</w:t>
            </w:r>
          </w:p>
        </w:tc>
        <w:tc>
          <w:tcPr/>
          <w:p>
            <w:pPr>
              <w:pStyle w:val="Compact"/>
            </w:pPr>
            <w:r>
              <w:rPr>
                <w:rStyle w:val="VerbatimChar"/>
              </w:rPr>
              <w:t xml:space="preserve">workers.DisplayName</w:t>
            </w:r>
          </w:p>
        </w:tc>
        <w:tc>
          <w:tcPr/>
          <w:p>
            <w:pPr>
              <w:pStyle w:val="Compact"/>
            </w:pPr>
            <w:r>
              <w:rPr>
                <w:rStyle w:val="VerbatimChar"/>
              </w:rPr>
              <w:t xml:space="preserve">displayName</w:t>
            </w:r>
          </w:p>
        </w:tc>
        <w:tc>
          <w:tcPr/>
          <w:p>
            <w:pPr>
              <w:pStyle w:val="Compact"/>
            </w:pPr>
            <w:r>
              <w:rPr>
                <w:rStyle w:val="VerbatimChar"/>
              </w:rPr>
              <w:t xml:space="preserve">cn</w:t>
            </w:r>
          </w:p>
        </w:tc>
        <w:tc>
          <w:tcPr/>
          <w:p>
            <w:pPr>
              <w:pStyle w:val="Compact"/>
            </w:pPr>
            <w:r>
              <w:rPr>
                <w:rStyle w:val="VerbatimChar"/>
              </w:rPr>
              <w:t xml:space="preserve">displayName</w:t>
            </w:r>
          </w:p>
        </w:tc>
        <w:tc>
          <w:tcPr/>
          <w:p>
            <w:pPr>
              <w:pStyle w:val="Compact"/>
            </w:pPr>
            <w:r>
              <w:t xml:space="preserve">Yes</w:t>
            </w:r>
          </w:p>
        </w:tc>
        <w:tc>
          <w:tcPr/>
          <w:p>
            <w:pPr>
              <w:pStyle w:val="Compact"/>
            </w:pPr>
            <w:r>
              <w:t xml:space="preserve">Display only, never access</w:t>
            </w:r>
          </w:p>
        </w:tc>
      </w:tr>
      <w:tr>
        <w:tc>
          <w:tcPr/>
          <w:p>
            <w:pPr>
              <w:pStyle w:val="Compact"/>
            </w:pPr>
            <w:r>
              <w:t xml:space="preserve">Department</w:t>
            </w:r>
          </w:p>
        </w:tc>
        <w:tc>
          <w:tcPr/>
          <w:p>
            <w:pPr>
              <w:pStyle w:val="Compact"/>
            </w:pPr>
            <w:r>
              <w:t xml:space="preserve">Department name</w:t>
            </w:r>
          </w:p>
        </w:tc>
        <w:tc>
          <w:tcPr/>
          <w:p>
            <w:pPr>
              <w:pStyle w:val="Compact"/>
            </w:pPr>
            <w:r>
              <w:t xml:space="preserve">enterprise</w:t>
            </w:r>
            <w:r>
              <w:t xml:space="preserve"> </w:t>
            </w:r>
            <w:r>
              <w:rPr>
                <w:rStyle w:val="VerbatimChar"/>
              </w:rPr>
              <w:t xml:space="preserve">department</w:t>
            </w:r>
          </w:p>
        </w:tc>
        <w:tc>
          <w:tcPr/>
          <w:p>
            <w:pPr>
              <w:pStyle w:val="Compact"/>
            </w:pPr>
            <w:r>
              <w:rPr>
                <w:rStyle w:val="VerbatimChar"/>
              </w:rPr>
              <w:t xml:space="preserve">department</w:t>
            </w:r>
          </w:p>
        </w:tc>
        <w:tc>
          <w:tcPr/>
          <w:p>
            <w:pPr>
              <w:pStyle w:val="Compact"/>
            </w:pPr>
            <w:r>
              <w:rPr>
                <w:rStyle w:val="VerbatimChar"/>
              </w:rPr>
              <w:t xml:space="preserve">department</w:t>
            </w:r>
          </w:p>
        </w:tc>
        <w:tc>
          <w:tcPr/>
          <w:p>
            <w:pPr>
              <w:pStyle w:val="Compact"/>
            </w:pPr>
            <w:r>
              <w:t xml:space="preserve">Yes</w:t>
            </w:r>
          </w:p>
        </w:tc>
        <w:tc>
          <w:tcPr/>
          <w:p>
            <w:pPr>
              <w:pStyle w:val="Compact"/>
            </w:pPr>
            <w:r>
              <w:t xml:space="preserve">Display, address book, coarse scoping</w:t>
            </w:r>
          </w:p>
        </w:tc>
      </w:tr>
      <w:tr>
        <w:tc>
          <w:tcPr/>
          <w:p>
            <w:pPr>
              <w:pStyle w:val="Compact"/>
            </w:pPr>
            <w:r>
              <w:t xml:space="preserve">Division</w:t>
            </w:r>
          </w:p>
        </w:tc>
        <w:tc>
          <w:tcPr/>
          <w:p>
            <w:pPr>
              <w:pStyle w:val="Compact"/>
            </w:pPr>
            <w:r>
              <w:t xml:space="preserve">Business unit</w:t>
            </w:r>
          </w:p>
        </w:tc>
        <w:tc>
          <w:tcPr/>
          <w:p>
            <w:pPr>
              <w:pStyle w:val="Compact"/>
            </w:pPr>
            <w:r>
              <w:t xml:space="preserve">enterprise</w:t>
            </w:r>
            <w:r>
              <w:t xml:space="preserve"> </w:t>
            </w:r>
            <w:r>
              <w:rPr>
                <w:rStyle w:val="VerbatimChar"/>
              </w:rPr>
              <w:t xml:space="preserve">division</w:t>
            </w:r>
          </w:p>
        </w:tc>
        <w:tc>
          <w:tcPr/>
          <w:p>
            <w:pPr>
              <w:pStyle w:val="Compact"/>
            </w:pPr>
            <w:r>
              <w:rPr>
                <w:rStyle w:val="VerbatimChar"/>
              </w:rPr>
              <w:t xml:space="preserve">division</w:t>
            </w:r>
          </w:p>
        </w:tc>
        <w:tc>
          <w:tcPr/>
          <w:p>
            <w:pPr>
              <w:pStyle w:val="Compact"/>
            </w:pPr>
            <w:r>
              <w:rPr>
                <w:rStyle w:val="VerbatimChar"/>
              </w:rPr>
              <w:t xml:space="preserve">employeeOrgData.division</w:t>
            </w:r>
          </w:p>
        </w:tc>
        <w:tc>
          <w:tcPr/>
          <w:p>
            <w:pPr>
              <w:pStyle w:val="Compact"/>
            </w:pPr>
            <w:r>
              <w:t xml:space="preserve">No</w:t>
            </w:r>
          </w:p>
        </w:tc>
        <w:tc>
          <w:tcPr/>
          <w:p>
            <w:pPr>
              <w:pStyle w:val="Compact"/>
            </w:pPr>
            <w:r>
              <w:t xml:space="preserve">Reporting, profile card</w:t>
            </w:r>
          </w:p>
        </w:tc>
      </w:tr>
      <w:tr>
        <w:tc>
          <w:tcPr/>
          <w:p>
            <w:pPr>
              <w:pStyle w:val="Compact"/>
            </w:pPr>
            <w:r>
              <w:t xml:space="preserve">Cost center</w:t>
            </w:r>
          </w:p>
        </w:tc>
        <w:tc>
          <w:tcPr/>
          <w:p>
            <w:pPr>
              <w:pStyle w:val="Compact"/>
            </w:pPr>
            <w:r>
              <w:t xml:space="preserve">Cost center</w:t>
            </w:r>
          </w:p>
        </w:tc>
        <w:tc>
          <w:tcPr/>
          <w:p>
            <w:pPr>
              <w:pStyle w:val="Compact"/>
            </w:pPr>
            <w:r>
              <w:t xml:space="preserve">enterprise</w:t>
            </w:r>
            <w:r>
              <w:t xml:space="preserve"> </w:t>
            </w:r>
            <w:r>
              <w:rPr>
                <w:rStyle w:val="VerbatimChar"/>
              </w:rPr>
              <w:t xml:space="preserve">costCenter</w:t>
            </w:r>
          </w:p>
        </w:tc>
        <w:tc>
          <w:tcPr/>
          <w:p>
            <w:pPr>
              <w:pStyle w:val="Compact"/>
            </w:pPr>
            <w:r>
              <w:t xml:space="preserve">—</w:t>
            </w:r>
          </w:p>
        </w:tc>
        <w:tc>
          <w:tcPr/>
          <w:p>
            <w:pPr>
              <w:pStyle w:val="Compact"/>
            </w:pPr>
            <w:r>
              <w:rPr>
                <w:rStyle w:val="VerbatimChar"/>
              </w:rPr>
              <w:t xml:space="preserve">employeeOrgData.costCenter</w:t>
            </w:r>
          </w:p>
        </w:tc>
        <w:tc>
          <w:tcPr/>
          <w:p>
            <w:pPr>
              <w:pStyle w:val="Compact"/>
            </w:pPr>
            <w:r>
              <w:t xml:space="preserve">No</w:t>
            </w:r>
          </w:p>
        </w:tc>
        <w:tc>
          <w:tcPr/>
          <w:p>
            <w:pPr>
              <w:pStyle w:val="Compact"/>
            </w:pPr>
            <w:r>
              <w:t xml:space="preserve">Chargeback, reporting</w:t>
            </w:r>
          </w:p>
        </w:tc>
      </w:tr>
      <w:tr>
        <w:tc>
          <w:tcPr/>
          <w:p>
            <w:pPr>
              <w:pStyle w:val="Compact"/>
            </w:pPr>
            <w:r>
              <w:t xml:space="preserve">Legal employer</w:t>
            </w:r>
          </w:p>
        </w:tc>
        <w:tc>
          <w:tcPr/>
          <w:p>
            <w:pPr>
              <w:pStyle w:val="Compact"/>
            </w:pPr>
            <w:r>
              <w:t xml:space="preserve">Legal employer</w:t>
            </w:r>
          </w:p>
        </w:tc>
        <w:tc>
          <w:tcPr/>
          <w:p>
            <w:pPr>
              <w:pStyle w:val="Compact"/>
            </w:pPr>
            <w:r>
              <w:t xml:space="preserve">enterprise</w:t>
            </w:r>
            <w:r>
              <w:t xml:space="preserve"> </w:t>
            </w:r>
            <w:r>
              <w:rPr>
                <w:rStyle w:val="VerbatimChar"/>
              </w:rPr>
              <w:t xml:space="preserve">organization</w:t>
            </w:r>
          </w:p>
        </w:tc>
        <w:tc>
          <w:tcPr/>
          <w:p>
            <w:pPr>
              <w:pStyle w:val="Compact"/>
            </w:pPr>
            <w:r>
              <w:rPr>
                <w:rStyle w:val="VerbatimChar"/>
              </w:rPr>
              <w:t xml:space="preserve">company</w:t>
            </w:r>
          </w:p>
        </w:tc>
        <w:tc>
          <w:tcPr/>
          <w:p>
            <w:pPr>
              <w:pStyle w:val="Compact"/>
            </w:pPr>
            <w:r>
              <w:rPr>
                <w:rStyle w:val="VerbatimChar"/>
              </w:rPr>
              <w:t xml:space="preserve">companyName</w:t>
            </w:r>
          </w:p>
        </w:tc>
        <w:tc>
          <w:tcPr/>
          <w:p>
            <w:pPr>
              <w:pStyle w:val="Compact"/>
            </w:pPr>
            <w:r>
              <w:t xml:space="preserve">Yes</w:t>
            </w:r>
          </w:p>
        </w:tc>
        <w:tc>
          <w:tcPr/>
          <w:p>
            <w:pPr>
              <w:pStyle w:val="Compact"/>
            </w:pPr>
            <w:r>
              <w:t xml:space="preserve">Agency or component</w:t>
            </w:r>
          </w:p>
        </w:tc>
      </w:tr>
      <w:tr>
        <w:tc>
          <w:tcPr/>
          <w:p>
            <w:pPr>
              <w:pStyle w:val="Compact"/>
            </w:pPr>
            <w:r>
              <w:t xml:space="preserve">Manager</w:t>
            </w:r>
          </w:p>
        </w:tc>
        <w:tc>
          <w:tcPr/>
          <w:p>
            <w:pPr>
              <w:pStyle w:val="Compact"/>
            </w:pPr>
            <w:r>
              <w:t xml:space="preserve">Manager’s person number</w:t>
            </w:r>
          </w:p>
        </w:tc>
        <w:tc>
          <w:tcPr/>
          <w:p>
            <w:pPr>
              <w:pStyle w:val="Compact"/>
            </w:pPr>
            <w:r>
              <w:t xml:space="preserve">enterprise</w:t>
            </w:r>
            <w:r>
              <w:t xml:space="preserve"> </w:t>
            </w:r>
            <w:r>
              <w:rPr>
                <w:rStyle w:val="VerbatimChar"/>
              </w:rPr>
              <w:t xml:space="preserve">manager</w:t>
            </w:r>
          </w:p>
        </w:tc>
        <w:tc>
          <w:tcPr/>
          <w:p>
            <w:pPr>
              <w:pStyle w:val="Compact"/>
            </w:pPr>
            <w:r>
              <w:rPr>
                <w:rStyle w:val="VerbatimChar"/>
              </w:rPr>
              <w:t xml:space="preserve">manager</w:t>
            </w:r>
            <w:r>
              <w:t xml:space="preserve"> </w:t>
            </w:r>
            <w:r>
              <w:t xml:space="preserve">(DN)</w:t>
            </w:r>
          </w:p>
        </w:tc>
        <w:tc>
          <w:tcPr/>
          <w:p>
            <w:pPr>
              <w:pStyle w:val="Compact"/>
            </w:pPr>
            <w:r>
              <w:rPr>
                <w:rStyle w:val="VerbatimChar"/>
              </w:rPr>
              <w:t xml:space="preserve">manager</w:t>
            </w:r>
          </w:p>
        </w:tc>
        <w:tc>
          <w:tcPr/>
          <w:p>
            <w:pPr>
              <w:pStyle w:val="Compact"/>
            </w:pPr>
            <w:r>
              <w:t xml:space="preserve">Direct-reports rule only</w:t>
            </w:r>
          </w:p>
        </w:tc>
        <w:tc>
          <w:tcPr/>
          <w:p>
            <w:pPr>
              <w:pStyle w:val="Compact"/>
            </w:pPr>
            <w:r>
              <w:t xml:space="preserve">Supervisory chain, approvals, reviewers</w:t>
            </w:r>
          </w:p>
        </w:tc>
      </w:tr>
      <w:tr>
        <w:tc>
          <w:tcPr/>
          <w:p>
            <w:pPr>
              <w:pStyle w:val="Compact"/>
            </w:pPr>
            <w:r>
              <w:t xml:space="preserve">Job title</w:t>
            </w:r>
          </w:p>
        </w:tc>
        <w:tc>
          <w:tcPr/>
          <w:p>
            <w:pPr>
              <w:pStyle w:val="Compact"/>
            </w:pPr>
            <w:r>
              <w:rPr>
                <w:rStyle w:val="VerbatimChar"/>
              </w:rPr>
              <w:t xml:space="preserve">JobName</w:t>
            </w:r>
          </w:p>
        </w:tc>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rPr>
                <w:rStyle w:val="VerbatimChar"/>
              </w:rPr>
              <w:t xml:space="preserve">jobTitle</w:t>
            </w:r>
          </w:p>
        </w:tc>
        <w:tc>
          <w:tcPr/>
          <w:p>
            <w:pPr>
              <w:pStyle w:val="Compact"/>
            </w:pPr>
            <w:r>
              <w:t xml:space="preserve">Yes</w:t>
            </w:r>
          </w:p>
        </w:tc>
        <w:tc>
          <w:tcPr/>
          <w:p>
            <w:pPr>
              <w:pStyle w:val="Compact"/>
            </w:pPr>
            <w:r>
              <w:t xml:space="preserve">Display; not an access input</w:t>
            </w:r>
          </w:p>
        </w:tc>
      </w:tr>
      <w:tr>
        <w:tc>
          <w:tcPr/>
          <w:p>
            <w:pPr>
              <w:pStyle w:val="Compact"/>
            </w:pPr>
            <w:r>
              <w:t xml:space="preserve">Worker type</w:t>
            </w:r>
          </w:p>
        </w:tc>
        <w:tc>
          <w:tcPr/>
          <w:p>
            <w:pPr>
              <w:pStyle w:val="Compact"/>
            </w:pPr>
            <w:r>
              <w:t xml:space="preserve">Worker type / person type</w:t>
            </w:r>
          </w:p>
        </w:tc>
        <w:tc>
          <w:tcPr/>
          <w:p>
            <w:pPr>
              <w:pStyle w:val="Compact"/>
            </w:pPr>
            <w:r>
              <w:t xml:space="preserve">custom extension</w:t>
            </w:r>
            <w:r>
              <w:t xml:space="preserve"> </w:t>
            </w:r>
            <w:r>
              <w:rPr>
                <w:rStyle w:val="VerbatimChar"/>
              </w:rPr>
              <w:t xml:space="preserve">workerType</w:t>
            </w:r>
          </w:p>
        </w:tc>
        <w:tc>
          <w:tcPr/>
          <w:p>
            <w:pPr>
              <w:pStyle w:val="Compact"/>
            </w:pPr>
            <w:r>
              <w:rPr>
                <w:rStyle w:val="VerbatimChar"/>
              </w:rPr>
              <w:t xml:space="preserve">employeeType</w:t>
            </w:r>
          </w:p>
        </w:tc>
        <w:tc>
          <w:tcPr/>
          <w:p>
            <w:pPr>
              <w:pStyle w:val="Compact"/>
            </w:pPr>
            <w:r>
              <w:rPr>
                <w:rStyle w:val="VerbatimChar"/>
              </w:rPr>
              <w:t xml:space="preserve">employeeType</w:t>
            </w:r>
          </w:p>
        </w:tc>
        <w:tc>
          <w:tcPr/>
          <w:p>
            <w:pPr>
              <w:pStyle w:val="Compact"/>
            </w:pPr>
            <w:r>
              <w:t xml:space="preserve">No</w:t>
            </w:r>
          </w:p>
        </w:tc>
        <w:tc>
          <w:tcPr/>
          <w:p>
            <w:pPr>
              <w:pStyle w:val="Compact"/>
            </w:pPr>
            <w:r>
              <w:t xml:space="preserve">Employee, contractor, intern, volunteer</w:t>
            </w:r>
          </w:p>
        </w:tc>
      </w:tr>
      <w:tr>
        <w:tc>
          <w:tcPr/>
          <w:p>
            <w:pPr>
              <w:pStyle w:val="Compact"/>
            </w:pPr>
            <w:r>
              <w:t xml:space="preserve">Hire date</w:t>
            </w:r>
          </w:p>
        </w:tc>
        <w:tc>
          <w:tcPr/>
          <w:p>
            <w:pPr>
              <w:pStyle w:val="Compact"/>
            </w:pPr>
            <w:r>
              <w:t xml:space="preserve">Effective start date</w:t>
            </w:r>
          </w:p>
        </w:tc>
        <w:tc>
          <w:tcPr/>
          <w:p>
            <w:pPr>
              <w:pStyle w:val="Compact"/>
            </w:pPr>
            <w:r>
              <w:t xml:space="preserve">custom extension</w:t>
            </w:r>
            <w:r>
              <w:t xml:space="preserve"> </w:t>
            </w:r>
            <w:r>
              <w:rPr>
                <w:rStyle w:val="VerbatimChar"/>
              </w:rPr>
              <w:t xml:space="preserve">HireDate</w:t>
            </w:r>
          </w:p>
        </w:tc>
        <w:tc>
          <w:tcPr/>
          <w:p>
            <w:pPr>
              <w:pStyle w:val="Compact"/>
            </w:pPr>
            <w:r>
              <w:rPr>
                <w:rStyle w:val="VerbatimChar"/>
              </w:rPr>
              <w:t xml:space="preserve">extensionAttribute2</w:t>
            </w:r>
          </w:p>
        </w:tc>
        <w:tc>
          <w:tcPr/>
          <w:p>
            <w:pPr>
              <w:pStyle w:val="Compact"/>
            </w:pPr>
            <w:r>
              <w:rPr>
                <w:rStyle w:val="VerbatimChar"/>
              </w:rPr>
              <w:t xml:space="preserve">employeeHireDate</w:t>
            </w:r>
          </w:p>
        </w:tc>
        <w:tc>
          <w:tcPr/>
          <w:p>
            <w:pPr>
              <w:pStyle w:val="Compact"/>
            </w:pPr>
            <w:r>
              <w:t xml:space="preserve">Yes (preview)</w:t>
            </w:r>
          </w:p>
        </w:tc>
        <w:tc>
          <w:tcPr/>
          <w:p>
            <w:pPr>
              <w:pStyle w:val="Compact"/>
            </w:pPr>
            <w:r>
              <w:t xml:space="preserve">Joiner workflow trigger</w:t>
            </w:r>
          </w:p>
        </w:tc>
      </w:tr>
      <w:tr>
        <w:tc>
          <w:tcPr/>
          <w:p>
            <w:pPr>
              <w:pStyle w:val="Compact"/>
            </w:pPr>
            <w:r>
              <w:t xml:space="preserve">Leave date</w:t>
            </w:r>
          </w:p>
        </w:tc>
        <w:tc>
          <w:tcPr/>
          <w:p>
            <w:pPr>
              <w:pStyle w:val="Compact"/>
            </w:pPr>
            <w:r>
              <w:t xml:space="preserve">Termination effective date</w:t>
            </w:r>
          </w:p>
        </w:tc>
        <w:tc>
          <w:tcPr/>
          <w:p>
            <w:pPr>
              <w:pStyle w:val="Compact"/>
            </w:pPr>
            <w:r>
              <w:t xml:space="preserve">custom extension</w:t>
            </w:r>
            <w:r>
              <w:t xml:space="preserve"> </w:t>
            </w:r>
            <w:r>
              <w:rPr>
                <w:rStyle w:val="VerbatimChar"/>
              </w:rPr>
              <w:t xml:space="preserve">TermDate</w:t>
            </w:r>
          </w:p>
        </w:tc>
        <w:tc>
          <w:tcPr/>
          <w:p>
            <w:pPr>
              <w:pStyle w:val="Compact"/>
            </w:pPr>
            <w:r>
              <w:rPr>
                <w:rStyle w:val="VerbatimChar"/>
              </w:rPr>
              <w:t xml:space="preserve">extensionAttribute3</w:t>
            </w:r>
          </w:p>
        </w:tc>
        <w:tc>
          <w:tcPr/>
          <w:p>
            <w:pPr>
              <w:pStyle w:val="Compact"/>
            </w:pPr>
            <w:r>
              <w:rPr>
                <w:rStyle w:val="VerbatimChar"/>
              </w:rPr>
              <w:t xml:space="preserve">employeeLeaveDateTime</w:t>
            </w:r>
          </w:p>
        </w:tc>
        <w:tc>
          <w:tcPr/>
          <w:p>
            <w:pPr>
              <w:pStyle w:val="Compact"/>
            </w:pPr>
            <w:r>
              <w:t xml:space="preserve">No</w:t>
            </w:r>
          </w:p>
        </w:tc>
        <w:tc>
          <w:tcPr/>
          <w:p>
            <w:pPr>
              <w:pStyle w:val="Compact"/>
            </w:pPr>
            <w:r>
              <w:t xml:space="preserve">Leaver workflow trigger</w:t>
            </w:r>
          </w:p>
        </w:tc>
      </w:tr>
      <w:tr>
        <w:tc>
          <w:tcPr/>
          <w:p>
            <w:pPr>
              <w:pStyle w:val="Compact"/>
            </w:pPr>
            <w:r>
              <w:t xml:space="preserve">Work country</w:t>
            </w:r>
          </w:p>
        </w:tc>
        <w:tc>
          <w:tcPr/>
          <w:p>
            <w:pPr>
              <w:pStyle w:val="Compact"/>
            </w:pPr>
            <w:r>
              <w:t xml:space="preserve">Work address country</w:t>
            </w:r>
          </w:p>
        </w:tc>
        <w:tc>
          <w:tcPr/>
          <w:p>
            <w:pPr>
              <w:pStyle w:val="Compact"/>
            </w:pPr>
            <w:r>
              <w:rPr>
                <w:rStyle w:val="VerbatimChar"/>
              </w:rPr>
              <w:t xml:space="preserve">addresses[type eq "work"].country</w:t>
            </w:r>
          </w:p>
        </w:tc>
        <w:tc>
          <w:tcPr/>
          <w:p>
            <w:pPr>
              <w:pStyle w:val="Compact"/>
            </w:pPr>
            <w:r>
              <w:rPr>
                <w:rStyle w:val="VerbatimChar"/>
              </w:rPr>
              <w:t xml:space="preserve">co</w:t>
            </w:r>
          </w:p>
        </w:tc>
        <w:tc>
          <w:tcPr/>
          <w:p>
            <w:pPr>
              <w:pStyle w:val="Compact"/>
            </w:pPr>
            <w:r>
              <w:rPr>
                <w:rStyle w:val="VerbatimChar"/>
              </w:rPr>
              <w:t xml:space="preserve">country</w:t>
            </w:r>
          </w:p>
        </w:tc>
        <w:tc>
          <w:tcPr/>
          <w:p>
            <w:pPr>
              <w:pStyle w:val="Compact"/>
            </w:pPr>
            <w:r>
              <w:t xml:space="preserve">Yes</w:t>
            </w:r>
          </w:p>
        </w:tc>
        <w:tc>
          <w:tcPr/>
          <w:p>
            <w:pPr>
              <w:pStyle w:val="Compact"/>
            </w:pPr>
            <w:r>
              <w:t xml:space="preserve">Address; source for the</w:t>
            </w:r>
            <w:r>
              <w:t xml:space="preserve"> </w:t>
            </w:r>
            <w:r>
              <w:rPr>
                <w:rStyle w:val="VerbatimChar"/>
              </w:rPr>
              <w:t xml:space="preserve">usageLocation</w:t>
            </w:r>
            <w:r>
              <w:t xml:space="preserve"> </w:t>
            </w:r>
            <w:r>
              <w:t xml:space="preserve">expression that licensing needs</w:t>
            </w:r>
          </w:p>
        </w:tc>
      </w:tr>
      <w:tr>
        <w:tc>
          <w:tcPr/>
          <w:p>
            <w:pPr>
              <w:pStyle w:val="Compact"/>
            </w:pPr>
            <w:r>
              <w:rPr>
                <w:b/>
                <w:bCs/>
              </w:rPr>
              <w:t xml:space="preserve">Organization code</w:t>
            </w:r>
          </w:p>
        </w:tc>
        <w:tc>
          <w:tcPr/>
          <w:p>
            <w:pPr>
              <w:pStyle w:val="Compact"/>
            </w:pPr>
            <w:r>
              <w:t xml:space="preserve">Department ID (code)</w:t>
            </w:r>
          </w:p>
        </w:tc>
        <w:tc>
          <w:tcPr/>
          <w:p>
            <w:pPr>
              <w:pStyle w:val="Compact"/>
            </w:pPr>
            <w:r>
              <w:t xml:space="preserve">custom extension</w:t>
            </w:r>
            <w:r>
              <w:t xml:space="preserve"> </w:t>
            </w:r>
            <w:r>
              <w:rPr>
                <w:rStyle w:val="VerbatimChar"/>
              </w:rPr>
              <w:t xml:space="preserve">orgCode</w:t>
            </w:r>
          </w:p>
        </w:tc>
        <w:tc>
          <w:tcPr/>
          <w:p>
            <w:pPr>
              <w:pStyle w:val="Compact"/>
            </w:pPr>
            <w:r>
              <w:rPr>
                <w:rStyle w:val="VerbatimChar"/>
              </w:rPr>
              <w:t xml:space="preserve">extensionAttribute10</w:t>
            </w:r>
          </w:p>
        </w:tc>
        <w:tc>
          <w:tcPr/>
          <w:p>
            <w:pPr>
              <w:pStyle w:val="Compact"/>
            </w:pPr>
            <w:r>
              <w:rPr>
                <w:rStyle w:val="VerbatimChar"/>
              </w:rPr>
              <w:t xml:space="preserve">extensionAttribute10</w:t>
            </w:r>
          </w:p>
        </w:tc>
        <w:tc>
          <w:tcPr/>
          <w:p>
            <w:pPr>
              <w:pStyle w:val="Compact"/>
            </w:pPr>
            <w:r>
              <w:t xml:space="preserve">Yes</w:t>
            </w:r>
          </w:p>
        </w:tc>
        <w:tc>
          <w:tcPr/>
          <w:p>
            <w:pPr>
              <w:pStyle w:val="Compact"/>
            </w:pPr>
            <w:r>
              <w:rPr>
                <w:b/>
                <w:bCs/>
              </w:rPr>
              <w:t xml:space="preserve">Access targeting</w:t>
            </w:r>
          </w:p>
        </w:tc>
      </w:tr>
      <w:tr>
        <w:tc>
          <w:tcPr/>
          <w:p>
            <w:pPr>
              <w:pStyle w:val="Compact"/>
            </w:pPr>
            <w:r>
              <w:rPr>
                <w:b/>
                <w:bCs/>
              </w:rPr>
              <w:t xml:space="preserve">Worker type code</w:t>
            </w:r>
          </w:p>
        </w:tc>
        <w:tc>
          <w:tcPr/>
          <w:p>
            <w:pPr>
              <w:pStyle w:val="Compact"/>
            </w:pPr>
            <w:r>
              <w:t xml:space="preserve">Worker type (code)</w:t>
            </w:r>
          </w:p>
        </w:tc>
        <w:tc>
          <w:tcPr/>
          <w:p>
            <w:pPr>
              <w:pStyle w:val="Compact"/>
            </w:pPr>
            <w:r>
              <w:t xml:space="preserve">custom extension</w:t>
            </w:r>
            <w:r>
              <w:t xml:space="preserve"> </w:t>
            </w:r>
            <w:r>
              <w:rPr>
                <w:rStyle w:val="VerbatimChar"/>
              </w:rPr>
              <w:t xml:space="preserve">workerTypeCode</w:t>
            </w:r>
          </w:p>
        </w:tc>
        <w:tc>
          <w:tcPr/>
          <w:p>
            <w:pPr>
              <w:pStyle w:val="Compact"/>
            </w:pPr>
            <w:r>
              <w:rPr>
                <w:rStyle w:val="VerbatimChar"/>
              </w:rPr>
              <w:t xml:space="preserve">extensionAttribute11</w:t>
            </w:r>
          </w:p>
        </w:tc>
        <w:tc>
          <w:tcPr/>
          <w:p>
            <w:pPr>
              <w:pStyle w:val="Compact"/>
            </w:pPr>
            <w:r>
              <w:rPr>
                <w:rStyle w:val="VerbatimChar"/>
              </w:rPr>
              <w:t xml:space="preserve">extensionAttribute11</w:t>
            </w:r>
          </w:p>
        </w:tc>
        <w:tc>
          <w:tcPr/>
          <w:p>
            <w:pPr>
              <w:pStyle w:val="Compact"/>
            </w:pPr>
            <w:r>
              <w:t xml:space="preserve">Yes</w:t>
            </w:r>
          </w:p>
        </w:tc>
        <w:tc>
          <w:tcPr/>
          <w:p>
            <w:pPr>
              <w:pStyle w:val="Compact"/>
            </w:pPr>
            <w:r>
              <w:rPr>
                <w:b/>
                <w:bCs/>
              </w:rPr>
              <w:t xml:space="preserve">Access targeting</w:t>
            </w:r>
            <w:r>
              <w:t xml:space="preserve">; mirrors</w:t>
            </w:r>
            <w:r>
              <w:t xml:space="preserve"> </w:t>
            </w:r>
            <w:r>
              <w:rPr>
                <w:rStyle w:val="VerbatimChar"/>
              </w:rPr>
              <w:t xml:space="preserve">employeeType</w:t>
            </w:r>
          </w:p>
        </w:tc>
      </w:tr>
      <w:tr>
        <w:tc>
          <w:tcPr/>
          <w:p>
            <w:pPr>
              <w:pStyle w:val="Compact"/>
            </w:pPr>
            <w:r>
              <w:rPr>
                <w:b/>
                <w:bCs/>
              </w:rPr>
              <w:t xml:space="preserve">Position category</w:t>
            </w:r>
          </w:p>
        </w:tc>
        <w:tc>
          <w:tcPr/>
          <w:p>
            <w:pPr>
              <w:pStyle w:val="Compact"/>
            </w:pPr>
            <w:r>
              <w:t xml:space="preserve">Job family or position category (code)</w:t>
            </w:r>
          </w:p>
        </w:tc>
        <w:tc>
          <w:tcPr/>
          <w:p>
            <w:pPr>
              <w:pStyle w:val="Compact"/>
            </w:pPr>
            <w:r>
              <w:t xml:space="preserve">custom extension</w:t>
            </w:r>
            <w:r>
              <w:t xml:space="preserve"> </w:t>
            </w:r>
            <w:r>
              <w:rPr>
                <w:rStyle w:val="VerbatimChar"/>
              </w:rPr>
              <w:t xml:space="preserve">positionCategory</w:t>
            </w:r>
          </w:p>
        </w:tc>
        <w:tc>
          <w:tcPr/>
          <w:p>
            <w:pPr>
              <w:pStyle w:val="Compact"/>
            </w:pPr>
            <w:r>
              <w:rPr>
                <w:rStyle w:val="VerbatimChar"/>
              </w:rPr>
              <w:t xml:space="preserve">extensionAttribute12</w:t>
            </w:r>
          </w:p>
        </w:tc>
        <w:tc>
          <w:tcPr/>
          <w:p>
            <w:pPr>
              <w:pStyle w:val="Compact"/>
            </w:pPr>
            <w:r>
              <w:rPr>
                <w:rStyle w:val="VerbatimChar"/>
              </w:rPr>
              <w:t xml:space="preserve">extensionAttribute12</w:t>
            </w:r>
          </w:p>
        </w:tc>
        <w:tc>
          <w:tcPr/>
          <w:p>
            <w:pPr>
              <w:pStyle w:val="Compact"/>
            </w:pPr>
            <w:r>
              <w:t xml:space="preserve">Yes</w:t>
            </w:r>
          </w:p>
        </w:tc>
        <w:tc>
          <w:tcPr/>
          <w:p>
            <w:pPr>
              <w:pStyle w:val="Compact"/>
            </w:pPr>
            <w:r>
              <w:rPr>
                <w:b/>
                <w:bCs/>
              </w:rPr>
              <w:t xml:space="preserve">Access targeting</w:t>
            </w:r>
          </w:p>
        </w:tc>
      </w:tr>
    </w:tbl>
    <w:p>
      <w:pPr>
        <w:pStyle w:val="BodyText"/>
      </w:pPr>
      <w:r>
        <w:t xml:space="preserve">Notes on the table:</w:t>
      </w:r>
    </w:p>
    <w:p>
      <w:pPr>
        <w:pStyle w:val="Compact"/>
        <w:numPr>
          <w:ilvl w:val="0"/>
          <w:numId w:val="1002"/>
        </w:numPr>
      </w:pPr>
      <w:r>
        <w:t xml:space="preserve">The SCIM mappings for both landing zones follow the example worksheets in Microsoft’s Oracle HCM integration guide, which also maps a custom</w:t>
      </w:r>
      <w:r>
        <w:t xml:space="preserve"> </w:t>
      </w:r>
      <w:r>
        <w:rPr>
          <w:rStyle w:val="VerbatimChar"/>
        </w:rPr>
        <w:t xml:space="preserve">JobCode</w:t>
      </w:r>
      <w:r>
        <w:t xml:space="preserve"> </w:t>
      </w:r>
      <w:r>
        <w:t xml:space="preserve">to</w:t>
      </w:r>
      <w:r>
        <w:t xml:space="preserve"> </w:t>
      </w:r>
      <w:r>
        <w:rPr>
          <w:rStyle w:val="VerbatimChar"/>
        </w:rPr>
        <w:t xml:space="preserve">extensionAttribute1</w:t>
      </w:r>
      <w:r>
        <w:t xml:space="preserve"> </w:t>
      </w:r>
      <w:r>
        <w:t xml:space="preserve">in both AD and Entra ID. Custom attributes are added to the provisioning app’s schema as SCIM schema extensions and then mapped.</w:t>
      </w:r>
      <w:r>
        <w:rPr>
          <w:rStyle w:val="FootnoteReference"/>
        </w:rPr>
        <w:footnoteReference w:id="15"/>
      </w:r>
      <w:r>
        <w:rPr>
          <w:rStyle w:val="FootnoteReference"/>
        </w:rPr>
        <w:footnoteReference w:id="17"/>
      </w:r>
      <w:r>
        <w:t xml:space="preserve"> </w:t>
      </w:r>
      <w:r>
        <w:t xml:space="preserve">For attributes with no AD equivalent, the same guide says to use</w:t>
      </w:r>
      <w:r>
        <w:t xml:space="preserve"> </w:t>
      </w:r>
      <w:r>
        <w:rPr>
          <w:rStyle w:val="VerbatimChar"/>
        </w:rPr>
        <w:t xml:space="preserve">extensionAttribute1</w:t>
      </w:r>
      <w:r>
        <w:t xml:space="preserve">–</w:t>
      </w:r>
      <w:r>
        <w:rPr>
          <w:rStyle w:val="VerbatimChar"/>
        </w:rPr>
        <w:t xml:space="preserve">15</w:t>
      </w:r>
      <w:r>
        <w:t xml:space="preserve"> </w:t>
      </w:r>
      <w:r>
        <w:t xml:space="preserve">or extend the AD schema.</w:t>
      </w:r>
      <w:r>
        <w:rPr>
          <w:rStyle w:val="FootnoteReference"/>
        </w:rPr>
        <w:footnoteReference w:id="19"/>
      </w:r>
    </w:p>
    <w:p>
      <w:pPr>
        <w:pStyle w:val="Compact"/>
        <w:numPr>
          <w:ilvl w:val="0"/>
          <w:numId w:val="1002"/>
        </w:numPr>
      </w:pPr>
      <w:r>
        <w:rPr>
          <w:b/>
          <w:bCs/>
        </w:rPr>
        <w:t xml:space="preserve">Neither date has a native AD attribute.</w:t>
      </w:r>
      <w:r>
        <w:t xml:space="preserve"> </w:t>
      </w:r>
      <w:r>
        <w:t xml:space="preserve">For AD-landed users, Microsoft’s Oracle HCM worksheet writes</w:t>
      </w:r>
      <w:r>
        <w:t xml:space="preserve"> </w:t>
      </w:r>
      <w:r>
        <w:rPr>
          <w:rStyle w:val="VerbatimChar"/>
        </w:rPr>
        <w:t xml:space="preserve">HireDate</w:t>
      </w:r>
      <w:r>
        <w:t xml:space="preserve"> </w:t>
      </w:r>
      <w:r>
        <w:t xml:space="preserve">and</w:t>
      </w:r>
      <w:r>
        <w:t xml:space="preserve"> </w:t>
      </w:r>
      <w:r>
        <w:rPr>
          <w:rStyle w:val="VerbatimChar"/>
        </w:rPr>
        <w:t xml:space="preserve">TermDate</w:t>
      </w:r>
      <w:r>
        <w:t xml:space="preserve"> </w:t>
      </w:r>
      <w:r>
        <w:t xml:space="preserve">to</w:t>
      </w:r>
      <w:r>
        <w:t xml:space="preserve"> </w:t>
      </w:r>
      <w:r>
        <w:rPr>
          <w:rStyle w:val="VerbatimChar"/>
        </w:rPr>
        <w:t xml:space="preserve">extensionAttribute2</w:t>
      </w:r>
      <w:r>
        <w:t xml:space="preserve"> </w:t>
      </w:r>
      <w:r>
        <w:t xml:space="preserve">and</w:t>
      </w:r>
      <w:r>
        <w:t xml:space="preserve"> </w:t>
      </w:r>
      <w:r>
        <w:rPr>
          <w:rStyle w:val="VerbatimChar"/>
        </w:rPr>
        <w:t xml:space="preserve">extensionAttribute3</w:t>
      </w:r>
      <w:r>
        <w:t xml:space="preserve">;</w:t>
      </w:r>
      <w:r>
        <w:rPr>
          <w:rStyle w:val="FootnoteReference"/>
        </w:rPr>
        <w:footnoteReference w:id="20"/>
      </w:r>
      <w:r>
        <w:t xml:space="preserve"> </w:t>
      </w:r>
      <w:r>
        <w:t xml:space="preserve">a sync rule then maps each one to</w:t>
      </w:r>
      <w:r>
        <w:t xml:space="preserve"> </w:t>
      </w:r>
      <w:r>
        <w:rPr>
          <w:rStyle w:val="VerbatimChar"/>
        </w:rPr>
        <w:t xml:space="preserve">employeeHireDate</w:t>
      </w:r>
      <w:r>
        <w:t xml:space="preserve"> </w:t>
      </w:r>
      <w:r>
        <w:t xml:space="preserve">or</w:t>
      </w:r>
      <w:r>
        <w:t xml:space="preserve"> </w:t>
      </w:r>
      <w:r>
        <w:rPr>
          <w:rStyle w:val="VerbatimChar"/>
        </w:rPr>
        <w:t xml:space="preserve">employeeLeaveDateTime</w:t>
      </w:r>
      <w:r>
        <w:t xml:space="preserve"> </w:t>
      </w:r>
      <w:r>
        <w:t xml:space="preserve">in Entra ID. The AD attribute must be a string, and the value must be converted to the format Entra expects, usually with a date-format expression. Inbound provisioning, Entra Connect cloud sync and Entra Connect Sync all support both target attributes.</w:t>
      </w:r>
      <w:r>
        <w:rPr>
          <w:rStyle w:val="FootnoteReference"/>
        </w:rPr>
        <w:footnoteReference w:id="21"/>
      </w:r>
    </w:p>
    <w:p>
      <w:pPr>
        <w:pStyle w:val="Compact"/>
        <w:numPr>
          <w:ilvl w:val="0"/>
          <w:numId w:val="1002"/>
        </w:numPr>
      </w:pPr>
      <w:r>
        <w:rPr>
          <w:b/>
          <w:bCs/>
        </w:rPr>
        <w:t xml:space="preserve">The choice of</w:t>
      </w:r>
      <w:r>
        <w:rPr>
          <w:b/>
          <w:bCs/>
        </w:rPr>
        <w:t xml:space="preserve"> </w:t>
      </w:r>
      <w:r>
        <w:rPr>
          <w:rStyle w:val="VerbatimChar"/>
          <w:b/>
          <w:bCs/>
        </w:rPr>
        <w:t xml:space="preserve">extensionAttribute10</w:t>
      </w:r>
      <w:r>
        <w:rPr>
          <w:b/>
          <w:bCs/>
        </w:rPr>
        <w:t xml:space="preserve">–</w:t>
      </w:r>
      <w:r>
        <w:rPr>
          <w:rStyle w:val="VerbatimChar"/>
          <w:b/>
          <w:bCs/>
        </w:rPr>
        <w:t xml:space="preserve">12</w:t>
      </w:r>
      <w:r>
        <w:rPr>
          <w:b/>
          <w:bCs/>
        </w:rPr>
        <w:t xml:space="preserve"> </w:t>
      </w:r>
      <w:r>
        <w:rPr>
          <w:b/>
          <w:bCs/>
        </w:rPr>
        <w:t xml:space="preserve">for access codes is this series’ decision</w:t>
      </w:r>
      <w:r>
        <w:t xml:space="preserve">, not a Microsoft default. Before Phase 1 closes, confirm that each one is in the provisioning app’s target attribute list and isn’t already used. Exchange calls</w:t>
      </w:r>
      <w:r>
        <w:t xml:space="preserve"> </w:t>
      </w:r>
      <w:r>
        <w:rPr>
          <w:rStyle w:val="VerbatimChar"/>
        </w:rPr>
        <w:t xml:space="preserve">extensionAttribute1</w:t>
      </w:r>
      <w:r>
        <w:t xml:space="preserve">–</w:t>
      </w:r>
      <w:r>
        <w:rPr>
          <w:rStyle w:val="VerbatimChar"/>
        </w:rPr>
        <w:t xml:space="preserve">15</w:t>
      </w:r>
      <w:r>
        <w:t xml:space="preserve"> </w:t>
      </w:r>
      <w:r>
        <w:t xml:space="preserve">custom attributes 1–15.</w:t>
      </w:r>
      <w:r>
        <w:rPr>
          <w:rStyle w:val="FootnoteReference"/>
        </w:rPr>
        <w:footnoteReference w:id="23"/>
      </w:r>
    </w:p>
    <w:p>
      <w:pPr>
        <w:pStyle w:val="Compact"/>
        <w:numPr>
          <w:ilvl w:val="0"/>
          <w:numId w:val="1002"/>
        </w:numPr>
      </w:pPr>
      <w:r>
        <w:t xml:space="preserve">Rules can’t use multi-value extension properties.</w:t>
      </w:r>
      <w:r>
        <w:rPr>
          <w:rStyle w:val="FootnoteReference"/>
        </w:rPr>
        <w:footnoteReference w:id="24"/>
      </w:r>
      <w:r>
        <w:t xml:space="preserve"> </w:t>
      </w:r>
      <w:r>
        <w:t xml:space="preserve">All three access attributes hold one code.</w:t>
      </w:r>
    </w:p>
    <w:bookmarkEnd w:id="25"/>
    <w:bookmarkStart w:id="27" w:name="writers"/>
    <w:p>
      <w:pPr>
        <w:pStyle w:val="Heading2"/>
      </w:pPr>
      <w:r>
        <w:t xml:space="preserve">Writers</w:t>
      </w:r>
    </w:p>
    <w:p>
      <w:pPr>
        <w:pStyle w:val="FirstParagraph"/>
      </w:pPr>
      <w:r>
        <w:t xml:space="preserve">A dynamic membership rule moves the access decision to whoever can write the attribute it reads. Microsoft’s guidance is to check write permissions for every attribute a rule uses, in Entra ID and in any source directory, and to restrict self-service write access to attributes used in security-sensitive groups.</w:t>
      </w:r>
      <w:r>
        <w:rPr>
          <w:rStyle w:val="FootnoteReference"/>
        </w:rPr>
        <w:footnoteReference w:id="26"/>
      </w:r>
      <w:r>
        <w:t xml:space="preserve"> </w:t>
      </w:r>
      <w:r>
        <w:t xml:space="preserve">For this schema that means:</w:t>
      </w:r>
    </w:p>
    <w:p>
      <w:pPr>
        <w:pStyle w:val="Compact"/>
        <w:numPr>
          <w:ilvl w:val="0"/>
          <w:numId w:val="1003"/>
        </w:numPr>
      </w:pPr>
      <w:r>
        <w:t xml:space="preserve">The</w:t>
      </w:r>
      <w:r>
        <w:t xml:space="preserve"> </w:t>
      </w:r>
      <w:r>
        <w:rPr>
          <w:b/>
          <w:bCs/>
        </w:rPr>
        <w:t xml:space="preserve">only writer</w:t>
      </w:r>
      <w:r>
        <w:t xml:space="preserve"> </w:t>
      </w:r>
      <w:r>
        <w:t xml:space="preserve">of every field above is the provisioning service: the API-driven inbound app for cloud-mastered users, the provisioning agent plus Entra Connect for AD-mastered ones.</w:t>
      </w:r>
    </w:p>
    <w:p>
      <w:pPr>
        <w:pStyle w:val="Compact"/>
        <w:numPr>
          <w:ilvl w:val="0"/>
          <w:numId w:val="1003"/>
        </w:numPr>
      </w:pPr>
      <w:r>
        <w:t xml:space="preserve">Remove help-desk, self-service and Exchange-admin write paths to</w:t>
      </w:r>
      <w:r>
        <w:t xml:space="preserve"> </w:t>
      </w:r>
      <w:r>
        <w:rPr>
          <w:rStyle w:val="VerbatimChar"/>
        </w:rPr>
        <w:t xml:space="preserve">extensionAttribute10</w:t>
      </w:r>
      <w:r>
        <w:t xml:space="preserve">–</w:t>
      </w:r>
      <w:r>
        <w:rPr>
          <w:rStyle w:val="VerbatimChar"/>
        </w:rPr>
        <w:t xml:space="preserve">12</w:t>
      </w:r>
      <w:r>
        <w:t xml:space="preserve"> </w:t>
      </w:r>
      <w:r>
        <w:t xml:space="preserve">and to the two date carriers. In AD, review the ACLs on the target OUs; in Exchange, the custom-attribute cmdlets are a write path.</w:t>
      </w:r>
    </w:p>
    <w:p>
      <w:pPr>
        <w:pStyle w:val="Compact"/>
        <w:numPr>
          <w:ilvl w:val="0"/>
          <w:numId w:val="1003"/>
        </w:numPr>
      </w:pPr>
      <w:r>
        <w:t xml:space="preserve">Any write by another principal is a drift event (Chapter 09).</w:t>
      </w:r>
    </w:p>
    <w:bookmarkEnd w:id="27"/>
    <w:bookmarkStart w:id="28" w:name="how-other-pages-use-this-schema"/>
    <w:p>
      <w:pPr>
        <w:pStyle w:val="Heading2"/>
      </w:pPr>
      <w:r>
        <w:t xml:space="preserve">How other pages use this schema</w:t>
      </w:r>
    </w:p>
    <w:p>
      <w:pPr>
        <w:pStyle w:val="FirstParagraph"/>
      </w:pPr>
      <w:r>
        <w:t xml:space="preserve">The SQL Server Identity Transformation series, Book 07 applies the same attribute-to-access discipline to SQL Server logins and database roles. The AD → Entra ID Identity Modernization Guide and the Conditional Access library link here rather than carrying their own attribute map.</w:t>
      </w:r>
    </w:p>
    <w:bookmarkEnd w:id="28"/>
    <w:bookmarkEnd w:id="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0">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r>
        <w:t xml:space="preserve">(supported properties; extension attributes and custom extension properties; security consideration on attribute write permissions),</w:t>
      </w:r>
      <w:r>
        <w:t xml:space="preserve"> </w:t>
      </w:r>
      <w:hyperlink r:id="rId11">
        <w:r>
          <w:rPr>
            <w:rStyle w:val="Hyperlink"/>
          </w:rPr>
          <w:t xml:space="preserve">https://learn.microsoft.com/en-us/entra/identity/users/groups-dynamic-membership</w:t>
        </w:r>
      </w:hyperlink>
      <w:r>
        <w:t xml:space="preserve"> </w:t>
      </w:r>
      <w:r>
        <w:t xml:space="preserve">(accessed Oct 19, 2026).</w:t>
      </w:r>
    </w:p>
  </w:footnote>
  <w:footnote w:id="12">
    <w:p>
      <w:pPr>
        <w:pStyle w:val="FootnoteText"/>
      </w:pPr>
      <w:r>
        <w:rPr>
          <w:rStyle w:val="FootnoteReference"/>
        </w:rPr>
        <w:footnoteRef/>
      </w:r>
      <w:r>
        <w:t xml:space="preserve"> </w:t>
      </w:r>
      <w:r>
        <w:t xml:space="preserve">Microsoft Graph,</w:t>
      </w:r>
      <w:r>
        <w:t xml:space="preserve"> </w:t>
      </w:r>
      <w:r>
        <w:t xml:space="preserve">“onPremisesExtensionAttributes resource type,”</w:t>
      </w:r>
      <w:r>
        <w:t xml:space="preserve"> </w:t>
      </w:r>
      <w:hyperlink r:id="rId13">
        <w:r>
          <w:rPr>
            <w:rStyle w:val="Hyperlink"/>
          </w:rPr>
          <w:t xml:space="preserve">https://learn.microsoft.com/en-us/graph/api/resources/onpremisesextensionattributes</w:t>
        </w:r>
      </w:hyperlink>
      <w:r>
        <w:t xml:space="preserve"> </w:t>
      </w:r>
      <w:r>
        <w:t xml:space="preserve">(accessed Oct 19, 2026).</w:t>
      </w:r>
    </w:p>
  </w:footnote>
  <w:footnote w:id="15">
    <w:p>
      <w:pPr>
        <w:pStyle w:val="FootnoteText"/>
      </w:pPr>
      <w:r>
        <w:rPr>
          <w:rStyle w:val="FootnoteReference"/>
        </w:rPr>
        <w:footnoteRef/>
      </w:r>
      <w:r>
        <w:t xml:space="preserve"> </w:t>
      </w:r>
      <w:r>
        <w:t xml:space="preserve">Microsoft Learn,</w:t>
      </w:r>
      <w:r>
        <w:t xml:space="preserve"> </w:t>
      </w:r>
      <w:r>
        <w:t xml:space="preserve">“Configure Oracle Human Capital Management (HCM) for automatic user provisioning,”</w:t>
      </w:r>
      <w:r>
        <w:t xml:space="preserve"> </w:t>
      </w:r>
      <w:hyperlink r:id="rId16">
        <w:r>
          <w:rPr>
            <w:rStyle w:val="Hyperlink"/>
          </w:rPr>
          <w:t xml:space="preserve">https://learn.microsoft.com/en-us/entra/identity/saas-apps/oracle-hcm-provisioning-tutorial</w:t>
        </w:r>
      </w:hyperlink>
      <w:r>
        <w:t xml:space="preserve"> </w:t>
      </w:r>
      <w:r>
        <w:t xml:space="preserve">(accessed Oct 19, 2026).</w:t>
      </w:r>
    </w:p>
  </w:footnote>
  <w:footnote w:id="17">
    <w:p>
      <w:pPr>
        <w:pStyle w:val="FootnoteText"/>
      </w:pPr>
      <w:r>
        <w:rPr>
          <w:rStyle w:val="FootnoteReference"/>
        </w:rPr>
        <w:footnoteRef/>
      </w:r>
      <w:r>
        <w:t xml:space="preserve"> </w:t>
      </w:r>
      <w:r>
        <w:t xml:space="preserve">Microsoft Learn,</w:t>
      </w:r>
      <w:r>
        <w:t xml:space="preserve"> </w:t>
      </w:r>
      <w:r>
        <w:t xml:space="preserve">“Extend API-driven provisioning to sync custom attributes,”</w:t>
      </w:r>
      <w:r>
        <w:t xml:space="preserve"> </w:t>
      </w:r>
      <w:hyperlink r:id="rId18">
        <w:r>
          <w:rPr>
            <w:rStyle w:val="Hyperlink"/>
          </w:rPr>
          <w:t xml:space="preserve">https://learn.microsoft.com/en-us/entra/identity/app-provisioning/inbound-provisioning-api-custom-attributes</w:t>
        </w:r>
      </w:hyperlink>
      <w:r>
        <w:t xml:space="preserve"> </w:t>
      </w:r>
      <w:r>
        <w:t xml:space="preserve">(accessed Oct 19, 2026).</w:t>
      </w:r>
    </w:p>
  </w:footnote>
  <w:footnote w:id="19">
    <w:p>
      <w:pPr>
        <w:pStyle w:val="FootnoteText"/>
      </w:pPr>
      <w:r>
        <w:rPr>
          <w:rStyle w:val="FootnoteReference"/>
        </w:rPr>
        <w:footnoteRef/>
      </w:r>
      <w:r>
        <w:t xml:space="preserve"> </w:t>
      </w:r>
      <w:r>
        <w:t xml:space="preserve">Microsoft Learn,</w:t>
      </w:r>
      <w:r>
        <w:t xml:space="preserve"> </w:t>
      </w:r>
      <w:r>
        <w:t xml:space="preserve">“Configure Oracle Human Capital Management (HCM) for automatic user provisioning,”</w:t>
      </w:r>
      <w:r>
        <w:t xml:space="preserve"> </w:t>
      </w:r>
      <w:hyperlink r:id="rId16">
        <w:r>
          <w:rPr>
            <w:rStyle w:val="Hyperlink"/>
          </w:rPr>
          <w:t xml:space="preserve">https://learn.microsoft.com/en-us/entra/identity/saas-apps/oracle-hcm-provisioning-tutorial</w:t>
        </w:r>
      </w:hyperlink>
      <w:r>
        <w:t xml:space="preserve"> </w:t>
      </w:r>
      <w:r>
        <w:t xml:space="preserve">(accessed Oct 19, 2026).</w:t>
      </w:r>
    </w:p>
  </w:footnote>
  <w:footnote w:id="20">
    <w:p>
      <w:pPr>
        <w:pStyle w:val="FootnoteText"/>
      </w:pPr>
      <w:r>
        <w:rPr>
          <w:rStyle w:val="FootnoteReference"/>
        </w:rPr>
        <w:footnoteRef/>
      </w:r>
      <w:r>
        <w:t xml:space="preserve"> </w:t>
      </w:r>
      <w:r>
        <w:t xml:space="preserve">Microsoft Learn,</w:t>
      </w:r>
      <w:r>
        <w:t xml:space="preserve"> </w:t>
      </w:r>
      <w:r>
        <w:t xml:space="preserve">“Configure Oracle Human Capital Management (HCM) for automatic user provisioning,”</w:t>
      </w:r>
      <w:r>
        <w:t xml:space="preserve"> </w:t>
      </w:r>
      <w:hyperlink r:id="rId16">
        <w:r>
          <w:rPr>
            <w:rStyle w:val="Hyperlink"/>
          </w:rPr>
          <w:t xml:space="preserve">https://learn.microsoft.com/en-us/entra/identity/saas-apps/oracle-hcm-provisioning-tutorial</w:t>
        </w:r>
      </w:hyperlink>
      <w:r>
        <w:t xml:space="preserve"> </w:t>
      </w:r>
      <w:r>
        <w:t xml:space="preserve">(accessed Oct 19, 2026).</w:t>
      </w:r>
    </w:p>
  </w:footnote>
  <w:footnote w:id="21">
    <w:p>
      <w:pPr>
        <w:pStyle w:val="FootnoteText"/>
      </w:pPr>
      <w:r>
        <w:rPr>
          <w:rStyle w:val="FootnoteReference"/>
        </w:rPr>
        <w:footnoteRef/>
      </w:r>
      <w:r>
        <w:t xml:space="preserve"> </w:t>
      </w:r>
      <w:r>
        <w:t xml:space="preserve">Microsoft Learn,</w:t>
      </w:r>
      <w:r>
        <w:t xml:space="preserve"> </w:t>
      </w:r>
      <w:r>
        <w:t xml:space="preserve">“How to synchronize attributes for Lifecycle Workflows,”</w:t>
      </w:r>
      <w:r>
        <w:t xml:space="preserve"> </w:t>
      </w:r>
      <w:hyperlink r:id="rId22">
        <w:r>
          <w:rPr>
            <w:rStyle w:val="Hyperlink"/>
          </w:rPr>
          <w:t xml:space="preserve">https://learn.microsoft.com/en-us/entra/id-governance/how-to-lifecycle-workflow-sync-attributes</w:t>
        </w:r>
      </w:hyperlink>
      <w:r>
        <w:t xml:space="preserve"> </w:t>
      </w:r>
      <w:r>
        <w:t xml:space="preserve">(accessed Oct 19, 2026).</w:t>
      </w:r>
    </w:p>
  </w:footnote>
  <w:footnote w:id="23">
    <w:p>
      <w:pPr>
        <w:pStyle w:val="FootnoteText"/>
      </w:pPr>
      <w:r>
        <w:rPr>
          <w:rStyle w:val="FootnoteReference"/>
        </w:rPr>
        <w:footnoteRef/>
      </w:r>
      <w:r>
        <w:t xml:space="preserve"> </w:t>
      </w:r>
      <w:r>
        <w:t xml:space="preserve">Microsoft Graph,</w:t>
      </w:r>
      <w:r>
        <w:t xml:space="preserve"> </w:t>
      </w:r>
      <w:r>
        <w:t xml:space="preserve">“onPremisesExtensionAttributes resource type,”</w:t>
      </w:r>
      <w:r>
        <w:t xml:space="preserve"> </w:t>
      </w:r>
      <w:hyperlink r:id="rId13">
        <w:r>
          <w:rPr>
            <w:rStyle w:val="Hyperlink"/>
          </w:rPr>
          <w:t xml:space="preserve">https://learn.microsoft.com/en-us/graph/api/resources/onpremisesextensionattributes</w:t>
        </w:r>
      </w:hyperlink>
      <w:r>
        <w:t xml:space="preserve"> </w:t>
      </w:r>
      <w:r>
        <w:t xml:space="preserve">(accessed Oct 19, 2026).</w:t>
      </w:r>
    </w:p>
  </w:footnote>
  <w:footnote w:id="24">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r>
        <w:t xml:space="preserve">(supported properties; extension attributes and custom extension properties; security consideration on attribute write permissions),</w:t>
      </w:r>
      <w:r>
        <w:t xml:space="preserve"> </w:t>
      </w:r>
      <w:hyperlink r:id="rId11">
        <w:r>
          <w:rPr>
            <w:rStyle w:val="Hyperlink"/>
          </w:rPr>
          <w:t xml:space="preserve">https://learn.microsoft.com/en-us/entra/identity/users/groups-dynamic-membership</w:t>
        </w:r>
      </w:hyperlink>
      <w:r>
        <w:t xml:space="preserve"> </w:t>
      </w:r>
      <w:r>
        <w:t xml:space="preserve">(accessed Oct 19, 2026).</w:t>
      </w:r>
    </w:p>
  </w:footnote>
  <w:footnote w:id="26">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r>
        <w:t xml:space="preserve">(supported properties; extension attributes and custom extension properties; security consideration on attribute write permissions),</w:t>
      </w:r>
      <w:r>
        <w:t xml:space="preserve"> </w:t>
      </w:r>
      <w:hyperlink r:id="rId11">
        <w:r>
          <w:rPr>
            <w:rStyle w:val="Hyperlink"/>
          </w:rPr>
          <w:t xml:space="preserve">https://learn.microsoft.com/en-us/entra/identity/users/groups-dynamic-membership</w:t>
        </w:r>
      </w:hyperlink>
      <w:r>
        <w:t xml:space="preserve"> </w:t>
      </w:r>
      <w:r>
        <w:t xml:space="preserve">(accessed Oct 19,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2" Target="https://learn.microsoft.com/en-us/entra/id-governance/how-to-lifecycle-workflow-sync-attributes" TargetMode="External" /><Relationship Type="http://schemas.openxmlformats.org/officeDocument/2006/relationships/hyperlink" Id="rId18" Target="https://learn.microsoft.com/en-us/entra/identity/app-provisioning/inbound-provisioning-api-custom-attributes" TargetMode="External" /><Relationship Type="http://schemas.openxmlformats.org/officeDocument/2006/relationships/hyperlink" Id="rId16" Target="https://learn.microsoft.com/en-us/entra/identity/saas-apps/oracle-hcm-provisioning-tutorial" TargetMode="External" /><Relationship Type="http://schemas.openxmlformats.org/officeDocument/2006/relationships/hyperlink" Id="rId11" Target="https://learn.microsoft.com/en-us/entra/identity/users/groups-dynamic-membership" TargetMode="External" /><Relationship Type="http://schemas.openxmlformats.org/officeDocument/2006/relationships/hyperlink" Id="rId13" Target="https://learn.microsoft.com/en-us/graph/api/resources/onpremisesextensionattributes" TargetMode="External" /></Relationships>
</file>

<file path=word/_rels/footnotes.xml.rels><?xml version="1.0" encoding="UTF-8"?><Relationships xmlns="http://schemas.openxmlformats.org/package/2006/relationships"><Relationship Type="http://schemas.openxmlformats.org/officeDocument/2006/relationships/hyperlink" Id="rId22" Target="https://learn.microsoft.com/en-us/entra/id-governance/how-to-lifecycle-workflow-sync-attributes" TargetMode="External" /><Relationship Type="http://schemas.openxmlformats.org/officeDocument/2006/relationships/hyperlink" Id="rId18" Target="https://learn.microsoft.com/en-us/entra/identity/app-provisioning/inbound-provisioning-api-custom-attributes" TargetMode="External" /><Relationship Type="http://schemas.openxmlformats.org/officeDocument/2006/relationships/hyperlink" Id="rId16" Target="https://learn.microsoft.com/en-us/entra/identity/saas-apps/oracle-hcm-provisioning-tutorial" TargetMode="External" /><Relationship Type="http://schemas.openxmlformats.org/officeDocument/2006/relationships/hyperlink" Id="rId11" Target="https://learn.microsoft.com/en-us/entra/identity/users/groups-dynamic-membership" TargetMode="External" /><Relationship Type="http://schemas.openxmlformats.org/officeDocument/2006/relationships/hyperlink" Id="rId13" Target="https://learn.microsoft.com/en-us/graph/api/resources/onpremisesextensionattribut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05 — The Canonical Attribute Schema</dc:title>
  <dc:creator/>
  <cp:keywords/>
  <dcterms:created xsi:type="dcterms:W3CDTF">2026-10-19T10:17:34Z</dcterms:created>
  <dcterms:modified xsi:type="dcterms:W3CDTF">2026-10-19T10:17:34Z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HR-Driven Identity — From the HR System of Record to Entra ID</vt:lpwstr>
  </property>
</Properties>
</file>