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06 — Joiner, Mover, Leaver</w:t>
      </w:r>
    </w:p>
    <w:p>
      <w:pPr>
        <w:pStyle w:val="Subtitle"/>
      </w:pPr>
      <w:r>
        <w:t xml:space="preserve">HR-Driven Identity — From the HR System of Record to Entra 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38" w:name="chapter-06-joiner-mover-leaver"/>
    <w:p>
      <w:pPr>
        <w:pStyle w:val="Heading1"/>
      </w:pPr>
      <w:r>
        <w:t xml:space="preserve">Chapter 06 — Joiner, Mover, Leaver</w:t>
      </w:r>
    </w:p>
    <w:p>
      <w:pPr>
        <w:pStyle w:val="FirstParagraph"/>
      </w:pPr>
      <w:r>
        <w:rPr>
          <w:i/>
          <w:iCs/>
        </w:rPr>
        <w:t xml:space="preserve">Nobody requests an account for a new hire. The hire causes it.</w:t>
      </w:r>
    </w:p>
    <w:bookmarkStart w:id="9" w:name="in-this-chapter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The five events a worker record goes through and what each one causes in the directory. The division of labor between inbound provisioning and Lifecycle Workflows. Triggers, schedules and built-in tasks. Emergency termination, rehire, conversion and deletion. The leaver sequence itself, including credentials, is in Chapter 07.</w:t>
      </w:r>
    </w:p>
    <w:bookmarkEnd w:id="9"/>
    <w:bookmarkStart w:id="10" w:name="the-lifecycle-is-an-event-stream"/>
    <w:p>
      <w:pPr>
        <w:pStyle w:val="Heading2"/>
      </w:pPr>
      <w:r>
        <w:t xml:space="preserve">The lifecycle is an event stream</w:t>
      </w:r>
    </w:p>
    <w:p>
      <w:pPr>
        <w:pStyle w:val="FirstParagraph"/>
      </w:pPr>
      <w:r>
        <w:t xml:space="preserve">Joiner, mover and leaver, plus the two transitions estates forget until they hurt,</w:t>
      </w:r>
      <w:r>
        <w:t xml:space="preserve"> </w:t>
      </w:r>
      <w:r>
        <w:rPr>
          <w:b/>
          <w:bCs/>
        </w:rPr>
        <w:t xml:space="preserve">rehire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conversion</w:t>
      </w:r>
      <w:r>
        <w:t xml:space="preserve"> </w:t>
      </w:r>
      <w:r>
        <w:t xml:space="preserve">(contractor to employee), are the five state changes a worker record goes through. Each is recorded in the HR system as an effective-dated event, and each maps to a fixed set of identity actions:</w:t>
      </w:r>
    </w:p>
    <w:p>
      <w:pPr>
        <w:pStyle w:val="TableCaption"/>
      </w:pPr>
      <w:r>
        <w:t xml:space="preserve">The five lifecycle events and the identity actions they cause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five lifecycle events and the identity actions they caus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HR event</w:t>
            </w:r>
          </w:p>
        </w:tc>
        <w:tc>
          <w:tcPr/>
          <w:p>
            <w:pPr>
              <w:pStyle w:val="Compact"/>
            </w:pPr>
            <w:r>
              <w:t xml:space="preserve">Recorded fact</w:t>
            </w:r>
          </w:p>
        </w:tc>
        <w:tc>
          <w:tcPr/>
          <w:p>
            <w:pPr>
              <w:pStyle w:val="Compact"/>
            </w:pPr>
            <w:r>
              <w:t xml:space="preserve">Identity actions derived from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Future-dated hire: worker record and assignment created</w:t>
            </w:r>
          </w:p>
        </w:tc>
        <w:tc>
          <w:tcPr/>
          <w:p>
            <w:pPr>
              <w:pStyle w:val="Compact"/>
            </w:pPr>
            <w:r>
              <w:t xml:space="preserve">Account created ahead of the start date by provisioning; licenses and baseline access derived from attributes; credential enrollment queued for day one (Chapter 07)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Assignment change: new position, organization, location or supervisor</w:t>
            </w:r>
          </w:p>
        </w:tc>
        <w:tc>
          <w:tcPr/>
          <w:p>
            <w:pPr>
              <w:pStyle w:val="Compact"/>
            </w:pPr>
            <w:r>
              <w:t xml:space="preserve">Attributes re-stamped; dynamic memberships re-evaluated, so the old organization’s access leaves as the new one’s arrives; access review on what remains (PS-5); approvals follow the new supervisor of record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Effective-dated separation</w:t>
            </w:r>
          </w:p>
        </w:tc>
        <w:tc>
          <w:tcPr/>
          <w:p>
            <w:pPr>
              <w:pStyle w:val="Compact"/>
            </w:pPr>
            <w:r>
              <w:t xml:space="preserve">The leaver sequence of Chapter 07: devices, PIV, sessions, disable, delete after retention — one workflow, one evidence trail (PS-4)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Rehire</w:t>
            </w:r>
          </w:p>
        </w:tc>
        <w:tc>
          <w:tcPr/>
          <w:p>
            <w:pPr>
              <w:pStyle w:val="Compact"/>
            </w:pPr>
            <w:r>
              <w:t xml:space="preserve">Returning worker matched to the prior worker record</w:t>
            </w:r>
          </w:p>
        </w:tc>
        <w:tc>
          <w:tcPr/>
          <w:p>
            <w:pPr>
              <w:pStyle w:val="Compact"/>
            </w:pPr>
            <w:r>
              <w:t xml:space="preserve">Prior identifier re-linked; the person resumes an identity rather than getting a second one (IA-4)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Conversion</w:t>
            </w:r>
          </w:p>
        </w:tc>
        <w:tc>
          <w:tcPr/>
          <w:p>
            <w:pPr>
              <w:pStyle w:val="Compact"/>
            </w:pPr>
            <w:r>
              <w:t xml:space="preserve">Worker type changes; affiliation continuous</w:t>
            </w:r>
          </w:p>
        </w:tc>
        <w:tc>
          <w:tcPr/>
          <w:p>
            <w:pPr>
              <w:pStyle w:val="Compact"/>
            </w:pPr>
            <w:r>
              <w:t xml:space="preserve">Same identifier, access re-derived from the new worker type; no duplicate identity</w:t>
            </w:r>
          </w:p>
        </w:tc>
      </w:tr>
    </w:tbl>
    <w:p>
      <w:pPr>
        <w:pStyle w:val="BodyText"/>
      </w:pPr>
      <w:r>
        <w:t xml:space="preserve">The property that matters is the direction of causation. Nobody</w:t>
      </w:r>
      <w:r>
        <w:t xml:space="preserve"> </w:t>
      </w:r>
      <w:r>
        <w:rPr>
          <w:i/>
          <w:iCs/>
        </w:rPr>
        <w:t xml:space="preserve">remembers</w:t>
      </w:r>
      <w:r>
        <w:t xml:space="preserve"> </w:t>
      </w:r>
      <w:r>
        <w:t xml:space="preserve">to disable a leaver; the separation record causes the disablement, on the effective date. Tickets survive only for exceptions, and every exception is visible as a deviation from a computed baseline.</w:t>
      </w:r>
    </w:p>
    <w:bookmarkEnd w:id="10"/>
    <w:bookmarkStart w:id="25" w:name="X50111b289b1c8eab2d65f5e342a11d2e51a9787"/>
    <w:p>
      <w:pPr>
        <w:pStyle w:val="Heading2"/>
      </w:pPr>
      <w:r>
        <w:t xml:space="preserve">Who does what: provisioning and Lifecycle Workflows</w:t>
      </w:r>
    </w:p>
    <w:p>
      <w:pPr>
        <w:pStyle w:val="FirstParagraph"/>
      </w:pPr>
      <w:r>
        <w:t xml:space="preserve">Two Microsoft services share the work, and the boundary between them is easy to blur: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Inbound provisioning creates and updates accounts.</w:t>
      </w:r>
      <w:r>
        <w:t xml:space="preserve"> </w:t>
      </w:r>
      <w:r>
        <w:t xml:space="preserve">It creates the user, keeps attributes current, and enables or disables the account from the HR status (Chapter 04).</w:t>
      </w:r>
      <w:r>
        <w:rPr>
          <w:rStyle w:val="FootnoteReference"/>
        </w:rPr>
        <w:footnoteReference w:id="11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Lifecycle Workflows act on users who already exist.</w:t>
      </w:r>
      <w:r>
        <w:t xml:space="preserve"> </w:t>
      </w:r>
      <w:r>
        <w:t xml:space="preserve">Microsoft describes them as automating the routine processes</w:t>
      </w:r>
      <w:r>
        <w:t xml:space="preserve"> </w:t>
      </w:r>
      <w:r>
        <w:rPr>
          <w:i/>
          <w:iCs/>
        </w:rPr>
        <w:t xml:space="preserve">around</w:t>
      </w:r>
      <w:r>
        <w:t xml:space="preserve"> </w:t>
      </w:r>
      <w:r>
        <w:t xml:space="preserve">HR-driven provisioning: while HR provisioning manages creation and attribute updates, workflows run additional tasks.</w:t>
      </w:r>
      <w:r>
        <w:rPr>
          <w:rStyle w:val="FootnoteReference"/>
        </w:rPr>
        <w:footnoteReference w:id="13"/>
      </w:r>
      <w:r>
        <w:t xml:space="preserve"> </w:t>
      </w:r>
      <w:r>
        <w:t xml:space="preserve">A workflow is a set of tasks plus execution conditions: a scope (who) and a trigger (when).</w:t>
      </w:r>
      <w:r>
        <w:rPr>
          <w:rStyle w:val="FootnoteReference"/>
        </w:rPr>
        <w:footnoteReference w:id="14"/>
      </w:r>
    </w:p>
    <w:p>
      <w:pPr>
        <w:pStyle w:val="FirstParagraph"/>
      </w:pPr>
      <w:r>
        <w:t xml:space="preserve">A workflow never creates the account. A page that says</w:t>
      </w:r>
      <w:r>
        <w:t xml:space="preserve"> </w:t>
      </w:r>
      <w:r>
        <w:t xml:space="preserve">“Lifecycle Workflows provision the new hire”</w:t>
      </w:r>
      <w:r>
        <w:t xml:space="preserve"> </w:t>
      </w:r>
      <w:r>
        <w:t xml:space="preserve">has the boundary wrong.</w:t>
      </w:r>
    </w:p>
    <w:bookmarkStart w:id="22" w:name="triggers-and-schedule"/>
    <w:p>
      <w:pPr>
        <w:pStyle w:val="Heading3"/>
      </w:pPr>
      <w:r>
        <w:t xml:space="preserve">Triggers and schedule</w:t>
      </w:r>
    </w:p>
    <w:p>
      <w:pPr>
        <w:pStyle w:val="FirstParagraph"/>
      </w:pPr>
      <w:r>
        <w:t xml:space="preserve">Lifecycle Workflows support four scheduled trigger types — time-based attribute, attribute change, group membership change, and sign-in inactivity — plus on-demand only.</w:t>
      </w:r>
      <w:r>
        <w:rPr>
          <w:rStyle w:val="FootnoteReference"/>
        </w:rPr>
        <w:footnoteReference w:id="16"/>
      </w:r>
      <w:r>
        <w:t xml:space="preserve"> </w:t>
      </w:r>
      <w:r>
        <w:t xml:space="preserve">The time-based trigger reads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createdDateTime</w:t>
      </w:r>
      <w:r>
        <w:t xml:space="preserve">, with an offset of up to 365 days before or after.</w:t>
      </w:r>
      <w:r>
        <w:rPr>
          <w:rStyle w:val="FootnoteReference"/>
        </w:rPr>
        <w:footnoteReference w:id="18"/>
      </w:r>
      <w:r>
        <w:t xml:space="preserve"> </w:t>
      </w:r>
      <w:r>
        <w:t xml:space="preserve">Scheduled workflows run every 3 hours by default; the interval can be set from 1 to 24 hours.</w:t>
      </w:r>
      <w:r>
        <w:rPr>
          <w:rStyle w:val="FootnoteReference"/>
        </w:rPr>
        <w:footnoteReference w:id="19"/>
      </w:r>
      <w:r>
        <w:t xml:space="preserve"> </w:t>
      </w:r>
      <w:r>
        <w:t xml:space="preserve">Just before processing, the engine re-evaluates each user and skips anyone who no longer meets the conditions.</w:t>
      </w:r>
      <w:r>
        <w:rPr>
          <w:rStyle w:val="FootnoteReference"/>
        </w:rPr>
        <w:footnoteReference w:id="21"/>
      </w:r>
    </w:p>
    <w:p>
      <w:pPr>
        <w:pStyle w:val="BodyText"/>
      </w:pPr>
      <w:r>
        <w:t xml:space="preserve">That schedule matters for evidence: a leaver workflow keyed to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runs at the first scheduled pass after the date, so the separation-to-revocation interval (Chapter 09) includes the schedule interval. Set the leaver workflow’s interval with that in mind.</w:t>
      </w:r>
    </w:p>
    <w:bookmarkEnd w:id="22"/>
    <w:bookmarkStart w:id="24" w:name="built-in-tasks-by-stage"/>
    <w:p>
      <w:pPr>
        <w:pStyle w:val="Heading3"/>
      </w:pPr>
      <w:r>
        <w:t xml:space="preserve">Built-in tasks by stage</w:t>
      </w:r>
    </w:p>
    <w:p>
      <w:pPr>
        <w:pStyle w:val="TableCaption"/>
      </w:pPr>
      <w:r>
        <w:t xml:space="preserve">Lifecycle Workflows built-in tasks by stage</w:t>
      </w:r>
      <w:r>
        <w:rPr>
          <w:rStyle w:val="FootnoteReference"/>
        </w:rPr>
        <w:footnoteReference w:id="23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Lifecycle Workflows built-in tasks by stage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Built-in tasks (selection)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Send welcome email; generate a Temporary Access Pass and send it to the manager; request an access package assignment; assign licenses; add to groups and Teams; enable the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Notify the manager of the move; request or remove access package assignments; add to or remove from selected groups; update user attributes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Disable the account; remove from all groups and all Teams; remove all access package assignments and cancel pending requests; remove licenses;</w:t>
            </w:r>
            <w:r>
              <w:t xml:space="preserve"> </w:t>
            </w:r>
            <w:r>
              <w:rPr>
                <w:b/>
                <w:bCs/>
              </w:rPr>
              <w:t xml:space="preserve">revoke all refresh tokens</w:t>
            </w:r>
            <w:r>
              <w:t xml:space="preserve">; delete the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 stage</w:t>
            </w:r>
          </w:p>
        </w:tc>
        <w:tc>
          <w:tcPr/>
          <w:p>
            <w:pPr>
              <w:pStyle w:val="Compact"/>
            </w:pPr>
            <w:r>
              <w:t xml:space="preserve">Run a custom task extension (a call out to an Azure Logic App)</w:t>
            </w:r>
          </w:p>
        </w:tc>
      </w:tr>
    </w:tbl>
    <w:p>
      <w:pPr>
        <w:pStyle w:val="BodyText"/>
      </w:pPr>
      <w:r>
        <w:t xml:space="preserve">No built-in task revokes a certificate or a PIV credential, or retires a device. Those steps go through a custom task extension or a separate process (Chapter 07).</w:t>
      </w:r>
    </w:p>
    <w:bookmarkEnd w:id="24"/>
    <w:bookmarkEnd w:id="25"/>
    <w:bookmarkStart w:id="28" w:name="joiner"/>
    <w:p>
      <w:pPr>
        <w:pStyle w:val="Heading2"/>
      </w:pPr>
      <w:r>
        <w:t xml:space="preserve">Joiner</w:t>
      </w:r>
    </w:p>
    <w:p>
      <w:pPr>
        <w:pStyle w:val="FirstParagraph"/>
      </w:pPr>
      <w:r>
        <w:t xml:space="preserve">Provisioning creates the account ahead of the start date from the future-dated hire. A pre-hire workflow runs a set number of days before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 </w:t>
      </w:r>
      <w:r>
        <w:t xml:space="preserve">(for example, generate a Temporary Access Pass and send it to the manager), and a day-one workflow runs on the date (enable the account, assign licenses, add baseline groups). Microsoft recommends a 24-hour maximum lifetime for a Temporary Access Pass sent to a new hire, so that it hasn’t expired in another time zone.</w:t>
      </w:r>
      <w:r>
        <w:rPr>
          <w:rStyle w:val="FootnoteReference"/>
        </w:rPr>
        <w:footnoteReference w:id="26"/>
      </w:r>
      <w:r>
        <w:t xml:space="preserve"> </w:t>
      </w:r>
      <w:r>
        <w:t xml:space="preserve">Day-one readiness (account, licenses and baseline access in place at start of day) is a metric, not a hope (Chapter 09).</w:t>
      </w:r>
    </w:p>
    <w:bookmarkEnd w:id="28"/>
    <w:bookmarkStart w:id="29" w:name="mover"/>
    <w:p>
      <w:pPr>
        <w:pStyle w:val="Heading2"/>
      </w:pPr>
      <w:r>
        <w:t xml:space="preserve">Mover</w:t>
      </w:r>
    </w:p>
    <w:p>
      <w:pPr>
        <w:pStyle w:val="FirstParagraph"/>
      </w:pPr>
      <w:r>
        <w:t xml:space="preserve">The mover event re-stamps attributes through provisioning; dynamic memberships re-evaluate on their own (Chapter 08). An attribute-change workflow scoped to</w:t>
      </w:r>
      <w:r>
        <w:t xml:space="preserve"> </w:t>
      </w:r>
      <w:r>
        <w:rPr>
          <w:rStyle w:val="VerbatimChar"/>
        </w:rPr>
        <w:t xml:space="preserve">department</w:t>
      </w:r>
      <w:r>
        <w:t xml:space="preserve"> </w:t>
      </w:r>
      <w:r>
        <w:t xml:space="preserve">or the organization code can notify the manager and start a review of what’s left. Old access that came from a dynamic group goes away when the rule stops matching; old access that came from an access package or a direct assignment doesn’t, which is why the review on the residual is a control, not a courtesy.</w:t>
      </w:r>
    </w:p>
    <w:bookmarkEnd w:id="29"/>
    <w:bookmarkStart w:id="33" w:name="leaver"/>
    <w:p>
      <w:pPr>
        <w:pStyle w:val="Heading2"/>
      </w:pPr>
      <w:r>
        <w:t xml:space="preserve">Leaver</w:t>
      </w:r>
    </w:p>
    <w:p>
      <w:pPr>
        <w:pStyle w:val="FirstParagraph"/>
      </w:pPr>
      <w:r>
        <w:t xml:space="preserve">The separation record sets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through provisioning, and the leaver workflows run against it: a pre-separation workflow (notify the manager), a last-day workflow, and a post-separation workflow that deletes the user after the retention period. The order of the steps, and the credential and device steps that the built-in tasks don’t cover, are Chapter 07’s subject.</w:t>
      </w:r>
    </w:p>
    <w:bookmarkStart w:id="32" w:name="emergency-termination"/>
    <w:p>
      <w:pPr>
        <w:pStyle w:val="Heading3"/>
      </w:pPr>
      <w:r>
        <w:t xml:space="preserve">Emergency termination</w:t>
      </w:r>
    </w:p>
    <w:p>
      <w:pPr>
        <w:pStyle w:val="FirstParagraph"/>
      </w:pPr>
      <w:r>
        <w:t xml:space="preserve">Some separations can’t wait for the schedule. Microsoft’s</w:t>
      </w:r>
      <w:r>
        <w:t xml:space="preserve"> </w:t>
      </w:r>
      <w:r>
        <w:rPr>
          <w:b/>
          <w:bCs/>
        </w:rPr>
        <w:t xml:space="preserve">Real-time employee termination</w:t>
      </w:r>
      <w:r>
        <w:t xml:space="preserve"> </w:t>
      </w:r>
      <w:r>
        <w:t xml:space="preserve">template is an on-demand workflow; its tutorial removes the user from all groups and all Teams and deletes the account.</w:t>
      </w:r>
      <w:r>
        <w:rPr>
          <w:rStyle w:val="FootnoteReference"/>
        </w:rPr>
        <w:footnoteReference w:id="30"/>
      </w:r>
      <w:r>
        <w:t xml:space="preserve"> </w:t>
      </w:r>
      <w:r>
        <w:t xml:space="preserve">For an agency, use the template as the starting point for an on-demand workflow that runs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sequence as the scheduled leaver workflow (Chapter 07), not a shorter one. The trigger is human; the execution and the evidence are identical.</w:t>
      </w:r>
    </w:p>
    <w:bookmarkEnd w:id="32"/>
    <w:bookmarkEnd w:id="33"/>
    <w:bookmarkStart w:id="34" w:name="rehire-and-conversion"/>
    <w:p>
      <w:pPr>
        <w:pStyle w:val="Heading2"/>
      </w:pPr>
      <w:r>
        <w:t xml:space="preserve">Rehire and conversion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Rehire.</w:t>
      </w:r>
      <w:r>
        <w:t xml:space="preserve"> </w:t>
      </w:r>
      <w:r>
        <w:t xml:space="preserve">The returning worker is matched to the prior worker record by person number, and the provisioning match on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 </w:t>
      </w:r>
      <w:r>
        <w:t xml:space="preserve">re-links the existing account if it still exists. If the account was deleted, the new account carries the same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; the identifier history lives in the HR record, not the directory.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Conversion.</w:t>
      </w:r>
      <w:r>
        <w:t xml:space="preserve"> </w:t>
      </w:r>
      <w:r>
        <w:t xml:space="preserve">A contractor-to-employee change is an attribute change on the same person, not a leaver plus a joiner.</w:t>
      </w:r>
      <w:r>
        <w:t xml:space="preserve"> </w:t>
      </w:r>
      <w:r>
        <w:rPr>
          <w:rStyle w:val="VerbatimChar"/>
        </w:rPr>
        <w:t xml:space="preserve">employeeType</w:t>
      </w:r>
      <w:r>
        <w:t xml:space="preserve"> </w:t>
      </w:r>
      <w:r>
        <w:t xml:space="preserve">and the worker-type code change; access re-derives; the identifier stays.</w:t>
      </w:r>
    </w:p>
    <w:bookmarkEnd w:id="34"/>
    <w:bookmarkStart w:id="37" w:name="deletion"/>
    <w:p>
      <w:pPr>
        <w:pStyle w:val="Heading2"/>
      </w:pPr>
      <w:r>
        <w:t xml:space="preserve">Deletion</w:t>
      </w:r>
    </w:p>
    <w:p>
      <w:pPr>
        <w:pStyle w:val="FirstParagraph"/>
      </w:pPr>
      <w:r>
        <w:t xml:space="preserve">Disable on the separation date; delete only after the retention period the agency’s records schedule sets, from a post-separation workflow. A deleted Entra user can be restored for 30 days, after which it is permanently deleted;</w:t>
      </w:r>
      <w:r>
        <w:rPr>
          <w:rStyle w:val="FootnoteReference"/>
        </w:rPr>
        <w:footnoteReference w:id="35"/>
      </w:r>
      <w:r>
        <w:t xml:space="preserve"> </w:t>
      </w:r>
      <w:r>
        <w:t xml:space="preserve">retention for audit and records purposes has to be met by the logs and the HR record, not by keeping the account.</w:t>
      </w:r>
    </w:p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tasks and definitions,”</w:t>
      </w:r>
      <w:r>
        <w:t xml:space="preserve"> </w:t>
      </w:r>
      <w:hyperlink r:id="rId12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19, 2026).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tasks and definitions,”</w:t>
      </w:r>
      <w:r>
        <w:t xml:space="preserve"> </w:t>
      </w:r>
      <w:hyperlink r:id="rId12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19, 2026).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are lifecycle workflows?,”</w:t>
      </w:r>
      <w:r>
        <w:t xml:space="preserve"> </w:t>
      </w:r>
      <w:hyperlink r:id="rId15">
        <w:r>
          <w:rPr>
            <w:rStyle w:val="Hyperlink"/>
          </w:rPr>
          <w:t xml:space="preserve">https://learn.microsoft.com/en-us/entra/id-governance/what-are-lifecycle-workflows</w:t>
        </w:r>
      </w:hyperlink>
      <w:r>
        <w:t xml:space="preserve"> </w:t>
      </w:r>
      <w:r>
        <w:t xml:space="preserve">(accessed Oct 19, 2026).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execution conditions and scheduling,”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19, 2026).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execution conditions and scheduling,”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19, 2026).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“Customize a workflow schedule,”</w:t>
      </w:r>
      <w:r>
        <w:t xml:space="preserve"> </w:t>
      </w:r>
      <w:hyperlink r:id="rId20">
        <w:r>
          <w:rPr>
            <w:rStyle w:val="Hyperlink"/>
          </w:rPr>
          <w:t xml:space="preserve">https://learn.microsoft.com/en-us/entra/id-governance/customize-workflow-schedule</w:t>
        </w:r>
      </w:hyperlink>
      <w:r>
        <w:t xml:space="preserve"> </w:t>
      </w:r>
      <w:r>
        <w:t xml:space="preserve">(accessed Oct 19, 2026).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execution conditions and scheduling,”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19,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tasks and definitions,”</w:t>
      </w:r>
      <w:r>
        <w:t xml:space="preserve"> </w:t>
      </w:r>
      <w:hyperlink r:id="rId12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19, 2026).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“How to synchronize attributes for Lifecycle Workflows,”</w:t>
      </w:r>
      <w:r>
        <w:t xml:space="preserve"> </w:t>
      </w:r>
      <w:hyperlink r:id="rId27">
        <w:r>
          <w:rPr>
            <w:rStyle w:val="Hyperlink"/>
          </w:rPr>
          <w:t xml:space="preserve">https://learn.microsoft.com/en-us/entra/id-governance/how-to-lifecycle-workflow-sync-attributes</w:t>
        </w:r>
      </w:hyperlink>
      <w:r>
        <w:t xml:space="preserve"> </w:t>
      </w:r>
      <w:r>
        <w:t xml:space="preserve">(accessed Oct 19, 2026).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“Execute employee termination tasks by using lifecycle workflows”</w:t>
      </w:r>
      <w:r>
        <w:t xml:space="preserve"> </w:t>
      </w:r>
      <w:r>
        <w:t xml:space="preserve">(the Real-time employee termination template),</w:t>
      </w:r>
      <w:r>
        <w:t xml:space="preserve"> </w:t>
      </w:r>
      <w:hyperlink r:id="rId31">
        <w:r>
          <w:rPr>
            <w:rStyle w:val="Hyperlink"/>
          </w:rPr>
          <w:t xml:space="preserve">https://learn.microsoft.com/en-us/entra/id-governance/tutorial-offboard-custom-workflow-portal</w:t>
        </w:r>
      </w:hyperlink>
      <w:r>
        <w:t xml:space="preserve"> </w:t>
      </w:r>
      <w:r>
        <w:t xml:space="preserve">(accessed Oct 19, 2026).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“Restore or remove a recently deleted user,”</w:t>
      </w:r>
      <w:r>
        <w:t xml:space="preserve"> </w:t>
      </w:r>
      <w:hyperlink r:id="rId36">
        <w:r>
          <w:rPr>
            <w:rStyle w:val="Hyperlink"/>
          </w:rPr>
          <w:t xml:space="preserve">https://learn.microsoft.com/en-us/entra/fundamentals/users-restore</w:t>
        </w:r>
      </w:hyperlink>
      <w:r>
        <w:t xml:space="preserve"> </w:t>
      </w:r>
      <w:r>
        <w:t xml:space="preserve">(accessed Oct 19,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6" Target="https://learn.microsoft.com/en-us/entra/fundamentals/users-restore" TargetMode="External" /><Relationship Type="http://schemas.openxmlformats.org/officeDocument/2006/relationships/hyperlink" Id="rId20" Target="https://learn.microsoft.com/en-us/entra/id-governance/customize-workflow-schedule" TargetMode="External" /><Relationship Type="http://schemas.openxmlformats.org/officeDocument/2006/relationships/hyperlink" Id="rId27" Target="https://learn.microsoft.com/en-us/entra/id-governance/how-to-lifecycle-workflow-sync-attributes" TargetMode="External" /><Relationship Type="http://schemas.openxmlformats.org/officeDocument/2006/relationships/hyperlink" Id="rId17" Target="https://learn.microsoft.com/en-us/entra/id-governance/lifecycle-workflow-execution-conditions" TargetMode="External" /><Relationship Type="http://schemas.openxmlformats.org/officeDocument/2006/relationships/hyperlink" Id="rId12" Target="https://learn.microsoft.com/en-us/entra/id-governance/lifecycle-workflow-tasks" TargetMode="External" /><Relationship Type="http://schemas.openxmlformats.org/officeDocument/2006/relationships/hyperlink" Id="rId31" Target="https://learn.microsoft.com/en-us/entra/id-governance/tutorial-offboard-custom-workflow-portal" TargetMode="External" /><Relationship Type="http://schemas.openxmlformats.org/officeDocument/2006/relationships/hyperlink" Id="rId15" Target="https://learn.microsoft.com/en-us/entra/id-governance/what-are-lifecycle-workfl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s://learn.microsoft.com/en-us/entra/fundamentals/users-restore" TargetMode="External" /><Relationship Type="http://schemas.openxmlformats.org/officeDocument/2006/relationships/hyperlink" Id="rId20" Target="https://learn.microsoft.com/en-us/entra/id-governance/customize-workflow-schedule" TargetMode="External" /><Relationship Type="http://schemas.openxmlformats.org/officeDocument/2006/relationships/hyperlink" Id="rId27" Target="https://learn.microsoft.com/en-us/entra/id-governance/how-to-lifecycle-workflow-sync-attributes" TargetMode="External" /><Relationship Type="http://schemas.openxmlformats.org/officeDocument/2006/relationships/hyperlink" Id="rId17" Target="https://learn.microsoft.com/en-us/entra/id-governance/lifecycle-workflow-execution-conditions" TargetMode="External" /><Relationship Type="http://schemas.openxmlformats.org/officeDocument/2006/relationships/hyperlink" Id="rId12" Target="https://learn.microsoft.com/en-us/entra/id-governance/lifecycle-workflow-tasks" TargetMode="External" /><Relationship Type="http://schemas.openxmlformats.org/officeDocument/2006/relationships/hyperlink" Id="rId31" Target="https://learn.microsoft.com/en-us/entra/id-governance/tutorial-offboard-custom-workflow-portal" TargetMode="External" /><Relationship Type="http://schemas.openxmlformats.org/officeDocument/2006/relationships/hyperlink" Id="rId15" Target="https://learn.microsoft.com/en-us/entra/id-governance/what-are-lifecycle-workfl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06 — Joiner, Mover, Leaver</dc:title>
  <dc:creator/>
  <cp:keywords/>
  <dcterms:created xsi:type="dcterms:W3CDTF">2026-10-19T10:17:34Z</dcterms:created>
  <dcterms:modified xsi:type="dcterms:W3CDTF">2026-10-19T10:17:34Z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HR-Driven Identity — From the HR System of Record to Entra ID</vt:lpwstr>
  </property>
</Properties>
</file>