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HR-Driven Identity: From the HR System of Record to Entra ID</w:t>
      </w:r>
    </w:p>
    <w:p>
      <w:pPr>
        <w:pStyle w:val="Subtitle"/>
      </w:pPr>
      <w:r>
        <w:t xml:space="preserve">HR-Driven Identity — combined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2" w:name="X71fd4ccfdaf6eba913fff002670de6471261dc1"/>
    <w:p>
      <w:pPr>
        <w:pStyle w:val="Heading1"/>
      </w:pPr>
      <w:r>
        <w:t xml:space="preserve">HR-Driven Identity: From the HR System of Record to Entra ID</w:t>
      </w:r>
    </w:p>
    <w:bookmarkStart w:id="9" w:name="status-draft-series"/>
    <w:p>
      <w:pPr>
        <w:pStyle w:val="Heading2"/>
      </w:pPr>
      <w:r>
        <w:t xml:space="preserve">Status — Draft series</w:t>
      </w:r>
    </w:p>
    <w:p>
      <w:pPr>
        <w:pStyle w:val="FirstParagraph"/>
      </w:pPr>
      <w:r>
        <w:t xml:space="preserve">This series consolidates what used to be nine separate pages on HR-driven identity (two execution plans, a vendor-neutral lifecycle guide, three reference-deployment write-ups, a whitepaper, an architecture note and a dynamic-group library) into one ordered reading sequence, and adds a chapter on credentials and certificates. It’s a</w:t>
      </w:r>
      <w:r>
        <w:t xml:space="preserve"> </w:t>
      </w:r>
      <w:r>
        <w:rPr>
          <w:b/>
          <w:bCs/>
        </w:rPr>
        <w:t xml:space="preserve">draft</w:t>
      </w:r>
      <w:r>
        <w:t xml:space="preserve">. Program facts about Federal HR 2.0 are dated and change; check them at engagement time.</w:t>
      </w:r>
    </w:p>
    <w:bookmarkEnd w:id="9"/>
    <w:p>
      <w:pPr>
        <w:pStyle w:val="BodyText"/>
      </w:pPr>
      <w:r>
        <w:t xml:space="preserve">One chapter at a time: 00 · 01 · 02 · 03 · 04 · 05 · 06 · 07 · 08 · 09 · 10 · 11</w:t>
      </w:r>
    </w:p>
    <w:p>
      <w:pPr>
        <w:pStyle w:val="BodyText"/>
      </w:pPr>
      <w:r>
        <w:t xml:space="preserve">An agency’s identity platform can prove, cryptographically and at every hop, that a claim was signed by the party allowed to sign it. It can’t tell you whether the claim is</w:t>
      </w:r>
      <w:r>
        <w:t xml:space="preserve"> </w:t>
      </w:r>
      <w:r>
        <w:rPr>
          <w:i/>
          <w:iCs/>
        </w:rPr>
        <w:t xml:space="preserve">true</w:t>
      </w:r>
      <w:r>
        <w:t xml:space="preserve">: whether the person behind the credential still works for the agency, still holds the position the access was granted for, still reports to the supervisor who approved it. That is an employment fact, and it lives in exactly one system: the human capital system of record.</w:t>
      </w:r>
    </w:p>
    <w:p>
      <w:pPr>
        <w:pStyle w:val="BodyText"/>
      </w:pPr>
      <w:r>
        <w:t xml:space="preserve">This series is about wiring that system to Microsoft Entra ID so that accounts, access, and their removal become</w:t>
      </w:r>
      <w:r>
        <w:t xml:space="preserve"> </w:t>
      </w:r>
      <w:r>
        <w:rPr>
          <w:i/>
          <w:iCs/>
        </w:rPr>
        <w:t xml:space="preserve">consequences</w:t>
      </w:r>
      <w:r>
        <w:t xml:space="preserve"> </w:t>
      </w:r>
      <w:r>
        <w:t xml:space="preserve">of HR records rather than tickets. It’s written for a federal civilian agency in the commercial Microsoft cloud at GCC-Moderate / FedRAMP Moderate, receiving its HR data from the government-wide Federal HR 2.0 platform (Oracle Fusion Cloud HCM), and it stays source-agnostic wherever it can.</w:t>
      </w:r>
    </w:p>
    <w:bookmarkStart w:id="10" w:name="reading-sequence"/>
    <w:p>
      <w:pPr>
        <w:pStyle w:val="Heading2"/>
      </w:pPr>
      <w:r>
        <w:t xml:space="preserve">Reading sequence</w:t>
      </w:r>
    </w:p>
    <w:p>
      <w:pPr>
        <w:pStyle w:val="FirstParagraph"/>
      </w:pPr>
      <w:r>
        <w:t xml:space="preserve">Chapters 00–02 make the case and set the context. Chapters 03–05 define the data: who owns which attribute and what it’s called everywhere. Chapters 06–09 turn the data into lifecycle, credentials, access and evidence. Chapter 10 is the execution plan and Chapter 11 an illustrative deployment.</w:t>
      </w:r>
    </w:p>
    <w:bookmarkEnd w:id="10"/>
    <w:bookmarkStart w:id="11" w:name="Xe3688ad438122ecc95ba1800cc95f3147a4ac6f"/>
    <w:p>
      <w:pPr>
        <w:pStyle w:val="Heading2"/>
      </w:pPr>
      <w:r>
        <w:t xml:space="preserve">How this series relates to other parts of the site</w:t>
      </w:r>
    </w:p>
    <w:p>
      <w:pPr>
        <w:pStyle w:val="Compact"/>
        <w:numPr>
          <w:ilvl w:val="0"/>
          <w:numId w:val="1001"/>
        </w:numPr>
      </w:pPr>
      <w:r>
        <w:rPr>
          <w:b/>
          <w:bCs/>
        </w:rPr>
        <w:t xml:space="preserve">SQL Server Identity Transformation, Book 07</w:t>
      </w:r>
      <w:r>
        <w:t xml:space="preserve"> </w:t>
      </w:r>
      <w:r>
        <w:t xml:space="preserve">applies the attribute-to-access chain of Chapter 08 to SQL Server logins and database roles.</w:t>
      </w:r>
    </w:p>
    <w:p>
      <w:pPr>
        <w:pStyle w:val="Compact"/>
        <w:numPr>
          <w:ilvl w:val="0"/>
          <w:numId w:val="1001"/>
        </w:numPr>
      </w:pPr>
      <w:r>
        <w:rPr>
          <w:b/>
          <w:bCs/>
        </w:rPr>
        <w:t xml:space="preserve">SQL Server Identity Transformation, Book 10</w:t>
      </w:r>
      <w:r>
        <w:t xml:space="preserve"> </w:t>
      </w:r>
      <w:r>
        <w:t xml:space="preserve">covers the move from AD CS to Microsoft Cloud PKI; Chapter 07 covers only the certificate steps of the leaver sequence.</w:t>
      </w:r>
    </w:p>
    <w:p>
      <w:pPr>
        <w:pStyle w:val="Compact"/>
        <w:numPr>
          <w:ilvl w:val="0"/>
          <w:numId w:val="1001"/>
        </w:numPr>
      </w:pPr>
      <w:r>
        <w:rPr>
          <w:b/>
          <w:bCs/>
        </w:rPr>
        <w:t xml:space="preserve">Federal Compliance Vol I Book 04</w:t>
      </w:r>
      <w:r>
        <w:t xml:space="preserve"> </w:t>
      </w:r>
      <w:r>
        <w:t xml:space="preserve">carries the control-closure argument (AC-2, IA-4, PS-4, PS-5, SI-12) for the same architecture.</w:t>
      </w:r>
    </w:p>
    <w:p>
      <w:pPr>
        <w:pStyle w:val="Compact"/>
        <w:numPr>
          <w:ilvl w:val="0"/>
          <w:numId w:val="1001"/>
        </w:numPr>
      </w:pPr>
      <w:r>
        <w:rPr>
          <w:b/>
          <w:bCs/>
        </w:rPr>
        <w:t xml:space="preserve">Client-Server to Hybrid-Cloud, Chapter 04</w:t>
      </w:r>
      <w:r>
        <w:t xml:space="preserve"> </w:t>
      </w:r>
      <w:r>
        <w:t xml:space="preserve">covers the move from the OU tree to attribute-driven structure.</w:t>
      </w:r>
    </w:p>
    <w:p>
      <w:pPr>
        <w:pStyle w:val="Compact"/>
        <w:numPr>
          <w:ilvl w:val="0"/>
          <w:numId w:val="1001"/>
        </w:numPr>
      </w:pPr>
      <w:r>
        <w:rPr>
          <w:b/>
          <w:bCs/>
        </w:rPr>
        <w:t xml:space="preserve">The AD → Entra ID Identity Modernization Guide</w:t>
      </w:r>
      <w:r>
        <w:t xml:space="preserve"> </w:t>
      </w:r>
      <w:r>
        <w:t xml:space="preserve">covers directory migration, the companion dimension to inbound provisioning.</w:t>
      </w:r>
    </w:p>
    <w:bookmarkEnd w:id="11"/>
    <w:bookmarkEnd w:id="12"/>
    <w:bookmarkStart w:id="20" w:name="chapter-00-overview-and-applicability"/>
    <w:p>
      <w:pPr>
        <w:pStyle w:val="Heading1"/>
      </w:pPr>
      <w:r>
        <w:t xml:space="preserve">Chapter 00 — Overview and Applicability</w:t>
      </w:r>
    </w:p>
    <w:p>
      <w:pPr>
        <w:pStyle w:val="FirstParagraph"/>
      </w:pPr>
      <w:r>
        <w:rPr>
          <w:i/>
          <w:iCs/>
        </w:rPr>
        <w:t xml:space="preserve">The facts that decide who should have access are recorded in the HR system of record before any administrator hears about them.</w:t>
      </w:r>
    </w:p>
    <w:bookmarkStart w:id="13" w:name="in-this-chapter"/>
    <w:p>
      <w:pPr>
        <w:pStyle w:val="Heading2"/>
      </w:pPr>
      <w:r>
        <w:t xml:space="preserve">In this chapter</w:t>
      </w:r>
    </w:p>
    <w:p>
      <w:pPr>
        <w:pStyle w:val="FirstParagraph"/>
      </w:pPr>
      <w:r>
        <w:t xml:space="preserve">The problem the series solves, the architecture in one paragraph, the environment it’s written for, what it doesn’t cover, and the one caution that governs every chapter: no OPM document mandates Entra ID integration.</w:t>
      </w:r>
    </w:p>
    <w:bookmarkEnd w:id="13"/>
    <w:bookmarkStart w:id="14" w:name="the-problem"/>
    <w:p>
      <w:pPr>
        <w:pStyle w:val="Heading2"/>
      </w:pPr>
      <w:r>
        <w:t xml:space="preserve">The problem</w:t>
      </w:r>
    </w:p>
    <w:p>
      <w:pPr>
        <w:pStyle w:val="FirstParagraph"/>
      </w:pPr>
      <w:r>
        <w:t xml:space="preserve">Hire, transfer, and separation are recorded as business events in the HR system before any administrator hears about them. In most estates the directory learns about those events by ticket, by email, by quarterly review or by audit finding — days to months late, or never. Bespoke, vendor-specific HR-to-directory pipelines make account management, identifier management, and authenticator management hard to verify continuously. And Federal HR 2.0 is consolidating Core HCM systems, which changes the feed shapes agencies integrate against today.</w:t>
      </w:r>
    </w:p>
    <w:bookmarkEnd w:id="14"/>
    <w:bookmarkStart w:id="15" w:name="the-architecture-in-one-paragraph"/>
    <w:p>
      <w:pPr>
        <w:pStyle w:val="Heading2"/>
      </w:pPr>
      <w:r>
        <w:t xml:space="preserve">The architecture in one paragraph</w:t>
      </w:r>
    </w:p>
    <w:p>
      <w:pPr>
        <w:pStyle w:val="FirstParagraph"/>
      </w:pPr>
      <w:r>
        <w:t xml:space="preserve">An HR-agnostic architecture: any HR source feeds a per-source adapter, which produces one canonical schema, which flows through middleware to Microsoft Entra ID’s API-driven inbound provisioning endpoint. Joiner, mover, and leaver workflows, governance-attribute population, drift detection, and evidence are produced as byproducts. The integration path works with any HR source, not only the awarded platform; joiner/mover/leaver workflows are driven by HR events, not by directory-side changes; and the attributes policy depends on are populated from the HR feed so that targeting stays deterministic.</w:t>
      </w:r>
    </w:p>
    <w:bookmarkEnd w:id="15"/>
    <w:bookmarkStart w:id="16" w:name="the-ask"/>
    <w:p>
      <w:pPr>
        <w:pStyle w:val="Heading2"/>
      </w:pPr>
      <w:r>
        <w:t xml:space="preserve">The ask</w:t>
      </w:r>
    </w:p>
    <w:p>
      <w:pPr>
        <w:pStyle w:val="FirstParagraph"/>
      </w:pPr>
      <w:r>
        <w:t xml:space="preserve">Build the HR-to-directory path against a canonical schema and a single provisioning interface, not against a vendor-specific connector. Treat the HR system as the source of truth for joiner, mover, and leaver events.</w:t>
      </w:r>
    </w:p>
    <w:bookmarkEnd w:id="16"/>
    <w:bookmarkStart w:id="17" w:name="where-this-series-applies"/>
    <w:p>
      <w:pPr>
        <w:pStyle w:val="Heading2"/>
      </w:pPr>
      <w:r>
        <w:t xml:space="preserve">Where this series applies</w:t>
      </w:r>
    </w:p>
    <w:p>
      <w:pPr>
        <w:pStyle w:val="Compact"/>
        <w:numPr>
          <w:ilvl w:val="0"/>
          <w:numId w:val="1002"/>
        </w:numPr>
      </w:pPr>
      <w:r>
        <w:rPr>
          <w:b/>
          <w:bCs/>
        </w:rPr>
        <w:t xml:space="preserve">Cloud:</w:t>
      </w:r>
      <w:r>
        <w:t xml:space="preserve"> </w:t>
      </w:r>
      <w:r>
        <w:t xml:space="preserve">the commercial Microsoft cloud — Microsoft 365 GCC (GCC-Moderate) and Entra ID in the commercial cloud, with commercial Azure services where the middleware needs them — under a FedRAMP Moderate authorization.</w:t>
      </w:r>
    </w:p>
    <w:p>
      <w:pPr>
        <w:pStyle w:val="Compact"/>
        <w:numPr>
          <w:ilvl w:val="0"/>
          <w:numId w:val="1002"/>
        </w:numPr>
      </w:pPr>
      <w:r>
        <w:rPr>
          <w:b/>
          <w:bCs/>
        </w:rPr>
        <w:t xml:space="preserve">HR source:</w:t>
      </w:r>
      <w:r>
        <w:t xml:space="preserve"> </w:t>
      </w:r>
      <w:r>
        <w:t xml:space="preserve">an Executive Branch civilian agency onboarding to the Federal HR 2.0 Core HCM platform (Oracle Fusion Cloud HCM). The architecture also works for any HR source that can produce an extract or an event feed.</w:t>
      </w:r>
    </w:p>
    <w:p>
      <w:pPr>
        <w:pStyle w:val="Compact"/>
        <w:numPr>
          <w:ilvl w:val="0"/>
          <w:numId w:val="1002"/>
        </w:numPr>
      </w:pPr>
      <w:r>
        <w:rPr>
          <w:b/>
          <w:bCs/>
        </w:rPr>
        <w:t xml:space="preserve">Directories:</w:t>
      </w:r>
      <w:r>
        <w:t xml:space="preserve"> </w:t>
      </w:r>
      <w:r>
        <w:t xml:space="preserve">hybrid estates where accounts are still mastered in on-premises Active Directory, and cloud-native populations mastered in Entra ID. Both are covered, because most agencies run both during coexistence.</w:t>
      </w:r>
    </w:p>
    <w:bookmarkEnd w:id="17"/>
    <w:bookmarkStart w:id="18" w:name="where-it-doesnt-apply-as-written"/>
    <w:p>
      <w:pPr>
        <w:pStyle w:val="Heading2"/>
      </w:pPr>
      <w:r>
        <w:t xml:space="preserve">Where it doesn’t apply as written</w:t>
      </w:r>
    </w:p>
    <w:p>
      <w:pPr>
        <w:pStyle w:val="Compact"/>
        <w:numPr>
          <w:ilvl w:val="0"/>
          <w:numId w:val="1003"/>
        </w:numPr>
      </w:pPr>
      <w:r>
        <w:t xml:space="preserve">GCC High and DoD tenants, which use different endpoints and service availability.</w:t>
      </w:r>
    </w:p>
    <w:p>
      <w:pPr>
        <w:pStyle w:val="Compact"/>
        <w:numPr>
          <w:ilvl w:val="0"/>
          <w:numId w:val="1003"/>
        </w:numPr>
      </w:pPr>
      <w:r>
        <w:t xml:space="preserve">Military personnel and Intelligence Community agencies, which the Federal HR 2.0 memo initially excludes.</w:t>
      </w:r>
    </w:p>
    <w:p>
      <w:pPr>
        <w:pStyle w:val="Compact"/>
        <w:numPr>
          <w:ilvl w:val="0"/>
          <w:numId w:val="1003"/>
        </w:numPr>
      </w:pPr>
      <w:r>
        <w:t xml:space="preserve">Directory migration itself (moving objects from AD to Entra ID), which is the companion AD → Entra ID Identity Modernization Guide.</w:t>
      </w:r>
    </w:p>
    <w:bookmarkEnd w:id="18"/>
    <w:bookmarkStart w:id="19" w:name="one-caution-stated-up-front"/>
    <w:p>
      <w:pPr>
        <w:pStyle w:val="Heading2"/>
      </w:pPr>
      <w:r>
        <w:t xml:space="preserve">One caution, stated up front</w:t>
      </w:r>
    </w:p>
    <w:p>
      <w:pPr>
        <w:pStyle w:val="FirstParagraph"/>
      </w:pPr>
      <w:r>
        <w:rPr>
          <w:b/>
          <w:bCs/>
        </w:rPr>
        <w:t xml:space="preserve">No OPM document mandates or specifies Entra ID integration.</w:t>
      </w:r>
      <w:r>
        <w:t xml:space="preserve"> </w:t>
      </w:r>
      <w:r>
        <w:t xml:space="preserve">Federal guidance is deliberately product-neutral: OMB M-19-17 makes HR systems authoritative for identity, and the GSA/FICAM Identity Lifecycle Management Playbook — best practice, explicitly not policy — supplies the joiner-mover-leaver doctrine. The Entra specifics in this series come from Microsoft’s own integration guidance and from the agency’s implementation decisions. Don’t cite this series as OPM guidance for the Entra leg.</w:t>
      </w:r>
    </w:p>
    <w:bookmarkEnd w:id="19"/>
    <w:bookmarkEnd w:id="20"/>
    <w:bookmarkStart w:id="29" w:name="X7b0fa2e8e014e6bd5dca6083aecda120822390c"/>
    <w:p>
      <w:pPr>
        <w:pStyle w:val="Heading1"/>
      </w:pPr>
      <w:r>
        <w:t xml:space="preserve">Chapter 01 — Why HR Is the Source of Authority</w:t>
      </w:r>
    </w:p>
    <w:p>
      <w:pPr>
        <w:pStyle w:val="FirstParagraph"/>
      </w:pPr>
      <w:r>
        <w:rPr>
          <w:i/>
          <w:iCs/>
        </w:rPr>
        <w:t xml:space="preserve">A token proves that an assertion was signed. It can’t prove the assertion describes a real, current employee with a real, current role.</w:t>
      </w:r>
    </w:p>
    <w:bookmarkStart w:id="21" w:name="in-this-chapter-1"/>
    <w:p>
      <w:pPr>
        <w:pStyle w:val="Heading2"/>
      </w:pPr>
      <w:r>
        <w:t xml:space="preserve">In this chapter</w:t>
      </w:r>
    </w:p>
    <w:p>
      <w:pPr>
        <w:pStyle w:val="FirstParagraph"/>
      </w:pPr>
      <w:r>
        <w:t xml:space="preserve">Where identity truth lives today and why it contradicts itself. Why orphaned accounts are the guaranteed output of that design rather than an operational lapse. The federal frames that require a designated source. Why cleanup, directory mastery, and reviews can’t substitute for one. What HR provides and what identity architecture has to add.</w:t>
      </w:r>
    </w:p>
    <w:bookmarkEnd w:id="21"/>
    <w:bookmarkStart w:id="22" w:name="what-the-claims-in-a-token-assert"/>
    <w:p>
      <w:pPr>
        <w:pStyle w:val="Heading2"/>
      </w:pPr>
      <w:r>
        <w:t xml:space="preserve">What the claims in a token assert</w:t>
      </w:r>
    </w:p>
    <w:p>
      <w:pPr>
        <w:pStyle w:val="FirstParagraph"/>
      </w:pPr>
      <w:r>
        <w:t xml:space="preserve">An access token carries claims: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bookmarkEnd w:id="22"/>
    <w:bookmarkStart w:id="25" w:name="the-fragmented-truth-problem"/>
    <w:p>
      <w:pPr>
        <w:pStyle w:val="Heading2"/>
      </w:pPr>
      <w:r>
        <w:t xml:space="preserve">The fragmented truth problem</w:t>
      </w:r>
    </w:p>
    <w:bookmarkStart w:id="23" w:name="where-identity-truth-lives-today"/>
    <w:p>
      <w:pPr>
        <w:pStyle w:val="Heading3"/>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04"/>
        </w:numPr>
      </w:pPr>
      <w:r>
        <w:rPr>
          <w:b/>
          <w:bCs/>
        </w:rPr>
        <w:t xml:space="preserve">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04"/>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04"/>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04"/>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23"/>
    <w:bookmarkStart w:id="24" w:name="the-visible-symptom-orphaned-accounts"/>
    <w:p>
      <w:pPr>
        <w:pStyle w:val="Heading3"/>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PS-5 exists to stop), the contractor converted to staff who now has two identities, the rehired annuitant with three.</w:t>
      </w:r>
    </w:p>
    <w:bookmarkEnd w:id="24"/>
    <w:bookmarkEnd w:id="25"/>
    <w:bookmarkStart w:id="26" w:name="the-statutory-frame"/>
    <w:p>
      <w:pPr>
        <w:pStyle w:val="Heading2"/>
      </w:pPr>
      <w:r>
        <w:t xml:space="preserve">The statutory frame</w:t>
      </w:r>
    </w:p>
    <w:p>
      <w:pPr>
        <w:pStyle w:val="FirstParagraph"/>
      </w:pPr>
      <w:r>
        <w:t xml:space="preserve">Two federal frames make the fix a mandate rather than a preference. The</w:t>
      </w:r>
      <w:r>
        <w:t xml:space="preserve"> </w:t>
      </w:r>
      <w:r>
        <w:rPr>
          <w:b/>
          <w:bCs/>
        </w:rPr>
        <w:t xml:space="preserve">Evidence Act (2018)</w:t>
      </w:r>
      <w:r>
        <w:t xml:space="preserve"> </w:t>
      </w:r>
      <w:r>
        <w:t xml:space="preserve">and the Federal Data Strategy require that agency data trace to a single authoritative system of record for each data type, with documented lineage from source to decision. The</w:t>
      </w:r>
      <w:r>
        <w:t xml:space="preserve"> </w:t>
      </w:r>
      <w:r>
        <w:rPr>
          <w:b/>
          <w:bCs/>
        </w:rPr>
        <w:t xml:space="preserve">FICAM Architecture</w:t>
      </w:r>
      <w:r>
        <w:t xml:space="preserve"> </w:t>
      </w:r>
      <w:r>
        <w:t xml:space="preserve">requires that every governed identity carry a complete, authoritative set of identity attributes</w:t>
      </w:r>
      <w:r>
        <w:t xml:space="preserve"> </w:t>
      </w:r>
      <w:r>
        <w:rPr>
          <w:i/>
          <w:iCs/>
        </w:rPr>
        <w:t xml:space="preserve">derived from authoritative sources such as HR systems</w:t>
      </w:r>
      <w:r>
        <w:t xml:space="preserve">. Neither frame is satisfied by cleaning the fragments. Both are satisfied only by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26"/>
    <w:bookmarkStart w:id="27" w:name="why-this-cant-be-patched"/>
    <w:p>
      <w:pPr>
        <w:pStyle w:val="Heading2"/>
      </w:pPr>
      <w:r>
        <w:t xml:space="preserve">Why this can’t be patched</w:t>
      </w:r>
    </w:p>
    <w:p>
      <w:pPr>
        <w:pStyle w:val="FirstParagraph"/>
      </w:pPr>
      <w:r>
        <w:t xml:space="preserve">Three remediation strategies are regularly proposed to fix fragmented identity truth without designating a source. Each fails for a structural reason:</w:t>
      </w:r>
    </w:p>
    <w:p>
      <w:pPr>
        <w:pStyle w:val="Compact"/>
        <w:numPr>
          <w:ilvl w:val="0"/>
          <w:numId w:val="1005"/>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w:t>
      </w:r>
    </w:p>
    <w:p>
      <w:pPr>
        <w:pStyle w:val="Compact"/>
        <w:numPr>
          <w:ilvl w:val="0"/>
          <w:numId w:val="1005"/>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05"/>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AC-2(j)’s verification layer and this architecture keeps them, sharper (Chapter 08);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27"/>
    <w:bookmarkStart w:id="28" w:name="X355c4f0e11de6c09e8ad84a660f994093450f78"/>
    <w:p>
      <w:pPr>
        <w:pStyle w:val="Heading2"/>
      </w:pPr>
      <w:r>
        <w:t xml:space="preserve">What HR provides, and what identity architecture must add</w:t>
      </w:r>
    </w:p>
    <w:p>
      <w:pPr>
        <w:pStyle w:val="FirstParagraph"/>
      </w:pPr>
      <w:r>
        <w:t xml:space="preserve">The HR system of record supplies the authoritative origin:</w:t>
      </w:r>
    </w:p>
    <w:p>
      <w:pPr>
        <w:pStyle w:val="Compact"/>
        <w:numPr>
          <w:ilvl w:val="0"/>
          <w:numId w:val="1006"/>
        </w:numPr>
      </w:pPr>
      <w:r>
        <w:t xml:space="preserve">Authoritative employment status (joiner, mover, leaver)</w:t>
      </w:r>
    </w:p>
    <w:p>
      <w:pPr>
        <w:pStyle w:val="Compact"/>
        <w:numPr>
          <w:ilvl w:val="0"/>
          <w:numId w:val="1006"/>
        </w:numPr>
      </w:pPr>
      <w:r>
        <w:t xml:space="preserve">Organizational attributes (department, division, location, employee type)</w:t>
      </w:r>
    </w:p>
    <w:p>
      <w:pPr>
        <w:pStyle w:val="Compact"/>
        <w:numPr>
          <w:ilvl w:val="0"/>
          <w:numId w:val="1006"/>
        </w:numPr>
      </w:pPr>
      <w:r>
        <w:t xml:space="preserve">A consistent feed shape across agencies once Federal HR 2.0 consolidation completes</w:t>
      </w:r>
    </w:p>
    <w:p>
      <w:pPr>
        <w:pStyle w:val="FirstParagraph"/>
      </w:pPr>
      <w:r>
        <w:t xml:space="preserve">Identity architecture supplies everything that turns that origin into access:</w:t>
      </w:r>
    </w:p>
    <w:p>
      <w:pPr>
        <w:pStyle w:val="Compact"/>
        <w:numPr>
          <w:ilvl w:val="0"/>
          <w:numId w:val="1007"/>
        </w:numPr>
      </w:pPr>
      <w:r>
        <w:t xml:space="preserve">A canonical schema that normalizes HR attributes for directory consumption (Chapter 05)</w:t>
      </w:r>
    </w:p>
    <w:p>
      <w:pPr>
        <w:pStyle w:val="Compact"/>
        <w:numPr>
          <w:ilvl w:val="0"/>
          <w:numId w:val="1007"/>
        </w:numPr>
      </w:pPr>
      <w:r>
        <w:t xml:space="preserve">Joiner/mover/leaver workflows that act only on HR events (Chapter 06)</w:t>
      </w:r>
    </w:p>
    <w:p>
      <w:pPr>
        <w:pStyle w:val="Compact"/>
        <w:numPr>
          <w:ilvl w:val="0"/>
          <w:numId w:val="1007"/>
        </w:numPr>
      </w:pPr>
      <w:r>
        <w:t xml:space="preserve">Credential and certificate lifecycle tied to the same events (Chapter 07)</w:t>
      </w:r>
    </w:p>
    <w:p>
      <w:pPr>
        <w:pStyle w:val="Compact"/>
        <w:numPr>
          <w:ilvl w:val="0"/>
          <w:numId w:val="1007"/>
        </w:numPr>
      </w:pPr>
      <w:r>
        <w:t xml:space="preserve">Population of the attributes policy reads, so that targeting stays deterministic (Chapter 08)</w:t>
      </w:r>
    </w:p>
    <w:p>
      <w:pPr>
        <w:pStyle w:val="Compact"/>
        <w:numPr>
          <w:ilvl w:val="0"/>
          <w:numId w:val="1007"/>
        </w:numPr>
      </w:pPr>
      <w:r>
        <w:t xml:space="preserve">Drift detection between HR state and directory state, and evidence that account-management controls can be continuously verified (Chapter 09)</w:t>
      </w:r>
    </w:p>
    <w:p>
      <w:pPr>
        <w:pStyle w:val="FirstParagraph"/>
      </w:pPr>
      <w:r>
        <w:t xml:space="preserve">The identity architecture doesn’t depend on the platform being Oracle Fusion Cloud HCM. It depends on the HR system remaining the authoritative source and on the feed being normalizable to a canonical schema. Neither half is sufficient alone.</w:t>
      </w:r>
    </w:p>
    <w:bookmarkEnd w:id="28"/>
    <w:bookmarkEnd w:id="29"/>
    <w:bookmarkStart w:id="37" w:name="X6970205eae02be7dd5c96f0a3a6d201c6470838"/>
    <w:p>
      <w:pPr>
        <w:pStyle w:val="Heading1"/>
      </w:pPr>
      <w:r>
        <w:t xml:space="preserve">Chapter 02 — Federal HR 2.0 and the Core HCM Platform</w:t>
      </w:r>
    </w:p>
    <w:p>
      <w:pPr>
        <w:pStyle w:val="FirstParagraph"/>
      </w:pPr>
      <w:r>
        <w:rPr>
          <w:i/>
          <w:iCs/>
        </w:rPr>
        <w:t xml:space="preserve">The deadline isn’t the agency’s to set. The provisioning feed has to be ready when the agency’s onboarding reaches its interconnection slot.</w:t>
      </w:r>
    </w:p>
    <w:bookmarkStart w:id="30" w:name="in-this-chapter-2"/>
    <w:p>
      <w:pPr>
        <w:pStyle w:val="Heading2"/>
      </w:pPr>
      <w:r>
        <w:t xml:space="preserve">In this chapter</w:t>
      </w:r>
    </w:p>
    <w:p>
      <w:pPr>
        <w:pStyle w:val="FirstParagraph"/>
      </w:pPr>
      <w:r>
        <w:t xml:space="preserve">What OPM HRIT is and who OPM is in this story. Five decades of federal HR consolidation. The Federal HR 2.0 program facts and the wave clock. Why integrations built against EHRI and eOPF have an expiry date. What OPM requires of the identity leg, and what it leaves to the agency.</w:t>
      </w:r>
    </w:p>
    <w:bookmarkEnd w:id="30"/>
    <w:bookmarkStart w:id="31" w:name="opm-hrit-and-federal-hr-2.0"/>
    <w:p>
      <w:pPr>
        <w:pStyle w:val="Heading2"/>
      </w:pPr>
      <w:r>
        <w:t xml:space="preserve">OPM HRIT and Federal HR 2.0</w:t>
      </w:r>
    </w:p>
    <w:p>
      <w:pPr>
        <w:pStyle w:val="FirstParagraph"/>
      </w:pP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bookmarkEnd w:id="31"/>
    <w:bookmarkStart w:id="32"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architecture in this series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series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bookmarkEnd w:id="32"/>
    <w:bookmarkStart w:id="35" w:name="the-program-facts"/>
    <w:p>
      <w:pPr>
        <w:pStyle w:val="Heading2"/>
      </w:pPr>
      <w:r>
        <w:t xml:space="preserve">The program facts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p>
        </w:tc>
        <w:tc>
          <w:tcPr/>
          <w:p>
            <w:pPr>
              <w:pStyle w:val="Compact"/>
            </w:pPr>
            <w:r>
              <w:t xml:space="preserve">Dec 10, 2025 (Vought/Kupor)</w:t>
            </w:r>
          </w:p>
        </w:tc>
      </w:tr>
      <w:tr>
        <w:tc>
          <w:tcPr/>
          <w:p>
            <w:pPr>
              <w:pStyle w:val="Compact"/>
            </w:pPr>
            <w:r>
              <w:t xml:space="preserve">Platform</w:t>
            </w:r>
          </w:p>
        </w:tc>
        <w:tc>
          <w:tcPr/>
          <w:p>
            <w:pPr>
              <w:pStyle w:val="Compact"/>
            </w:pPr>
            <w:r>
              <w:rPr>
                <w:b/>
                <w:bCs/>
              </w:rPr>
              <w:t xml:space="preserve">Oracle Fusion Cloud HCM</w:t>
            </w:r>
            <w:r>
              <w:t xml:space="preserve"> </w:t>
            </w:r>
            <w:r>
              <w:t xml:space="preserve">(SaaS)</w:t>
            </w:r>
          </w:p>
        </w:tc>
        <w:tc>
          <w:tcPr/>
          <w:p>
            <w:pPr>
              <w:pStyle w:val="Compact"/>
            </w:pPr>
            <w:r>
              <w:t xml:space="preserve">Award announced Jun 11, 2026</w:t>
            </w:r>
          </w:p>
        </w:tc>
      </w:tr>
      <w:tr>
        <w:tc>
          <w:tcPr/>
          <w:p>
            <w:pPr>
              <w:pStyle w:val="Compact"/>
            </w:pPr>
            <w:r>
              <w:t xml:space="preserve">Wave 1 (begins FY26, concludes FY27)</w:t>
            </w:r>
          </w:p>
        </w:tc>
        <w:tc>
          <w:tcPr/>
          <w:p>
            <w:pPr>
              <w:pStyle w:val="Compact"/>
            </w:pPr>
            <w:r>
              <w:t xml:space="preserve">DHS, USDA, HHS, DOI, OPM, DOT, VA, EPA (~900K FTE)</w:t>
            </w:r>
          </w:p>
        </w:tc>
        <w:tc>
          <w:tcPr/>
          <w:p>
            <w:pPr>
              <w:pStyle w:val="Compact"/>
            </w:pPr>
            <w:r>
              <w:t xml:space="preserve">Memo, Appendix A</w:t>
            </w:r>
          </w:p>
        </w:tc>
      </w:tr>
      <w:tr>
        <w:tc>
          <w:tcPr/>
          <w:p>
            <w:pPr>
              <w:pStyle w:val="Compact"/>
            </w:pPr>
            <w:r>
              <w:t xml:space="preserve">Wave 2 (fully in FY27)</w:t>
            </w:r>
          </w:p>
        </w:tc>
        <w:tc>
          <w:tcPr/>
          <w:p>
            <w:pPr>
              <w:pStyle w:val="Compact"/>
            </w:pPr>
            <w:r>
              <w:t xml:space="preserve">SSA, DOC, ED, HUD, DOL, SBA, State, DOE, DoW, NASA, GSA, DOJ, Treasury, other (~1.1M FTE)</w:t>
            </w:r>
          </w:p>
        </w:tc>
        <w:tc>
          <w:tcPr/>
          <w:p>
            <w:pPr>
              <w:pStyle w:val="Compact"/>
            </w:pPr>
            <w:r>
              <w:t xml:space="preserve">Memo, Appendix A</w:t>
            </w:r>
          </w:p>
        </w:tc>
      </w:tr>
      <w:tr>
        <w:tc>
          <w:tcPr/>
          <w:p>
            <w:pPr>
              <w:pStyle w:val="Compact"/>
            </w:pPr>
            <w:r>
              <w:t xml:space="preserve">First go-lives</w:t>
            </w:r>
          </w:p>
        </w:tc>
        <w:tc>
          <w:tcPr/>
          <w:p>
            <w:pPr>
              <w:pStyle w:val="Compact"/>
            </w:pPr>
            <w:r>
              <w:t xml:space="preserve">Initial deployments slated to go live</w:t>
            </w:r>
            <w:r>
              <w:t xml:space="preserve"> </w:t>
            </w:r>
            <w:r>
              <w:rPr>
                <w:b/>
                <w:bCs/>
              </w:rPr>
              <w:t xml:space="preserve">January–March 2027</w:t>
            </w:r>
            <w:r>
              <w:t xml:space="preserve">, with the first agencies starting onboarding as FY27 begins</w:t>
            </w:r>
          </w:p>
        </w:tc>
        <w:tc>
          <w:tcPr/>
          <w:p>
            <w:pPr>
              <w:pStyle w:val="Compact"/>
            </w:pPr>
            <w:r>
              <w:t xml:space="preserve">OPM Director, reported Sep 1, 2026</w:t>
            </w:r>
            <w:r>
              <w:rPr>
                <w:rStyle w:val="FootnoteReference"/>
              </w:rPr>
              <w:footnoteReference w:id="33"/>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 month 5</w:t>
            </w:r>
            <w:r>
              <w:t xml:space="preserve">; legacy systems discontinued at cutover</w:t>
            </w:r>
          </w:p>
        </w:tc>
        <w:tc>
          <w:tcPr/>
          <w:p>
            <w:pPr>
              <w:pStyle w:val="Compact"/>
            </w:pPr>
            <w:r>
              <w:t xml:space="preserve">Memo, Appendix B</w:t>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p>
        </w:tc>
      </w:tr>
      <w:tr>
        <w:tc>
          <w:tcPr/>
          <w:p>
            <w:pPr>
              <w:pStyle w:val="Compact"/>
            </w:pPr>
            <w:r>
              <w:t xml:space="preserve">Standing systems</w:t>
            </w:r>
          </w:p>
        </w:tc>
        <w:tc>
          <w:tcPr/>
          <w:p>
            <w:pPr>
              <w:pStyle w:val="Compact"/>
            </w:pPr>
            <w:r>
              <w:t xml:space="preserve">eOPF and EHRI continue near-term, then are made</w:t>
            </w:r>
            <w:r>
              <w:t xml:space="preserve"> </w:t>
            </w:r>
            <w:r>
              <w:rPr>
                <w:b/>
                <w:bCs/>
              </w:rPr>
              <w:t xml:space="preserve">redundant and decommissioned</w:t>
            </w:r>
            <w:r>
              <w:t xml:space="preserve"> </w:t>
            </w:r>
            <w:r>
              <w:t xml:space="preserve">by Core HCM</w:t>
            </w:r>
          </w:p>
        </w:tc>
        <w:tc>
          <w:tcPr/>
          <w:p>
            <w:pPr>
              <w:pStyle w:val="Compact"/>
            </w:pPr>
            <w:r>
              <w:t xml:space="preserve">Memo</w:t>
            </w:r>
          </w:p>
        </w:tc>
      </w:tr>
      <w:tr>
        <w:tc>
          <w:tcPr/>
          <w:p>
            <w:pPr>
              <w:pStyle w:val="Compact"/>
            </w:pPr>
            <w:r>
              <w:t xml:space="preserve">Agency obligation now</w:t>
            </w:r>
          </w:p>
        </w:tc>
        <w:tc>
          <w:tcPr/>
          <w:p>
            <w:pPr>
              <w:pStyle w:val="Compact"/>
            </w:pPr>
            <w:r>
              <w:rPr>
                <w:b/>
                <w:bCs/>
              </w:rPr>
              <w:t xml:space="preserve">Pause own Core HCM modernization</w:t>
            </w:r>
            <w:r>
              <w:t xml:space="preserve">; execute the Appendix C preparation actions</w:t>
            </w:r>
          </w:p>
        </w:tc>
        <w:tc>
          <w:tcPr/>
          <w:p>
            <w:pPr>
              <w:pStyle w:val="Compact"/>
            </w:pPr>
            <w:r>
              <w:t xml:space="preserve">Memo, §II</w:t>
            </w:r>
          </w:p>
        </w:tc>
      </w:tr>
      <w:tr>
        <w:tc>
          <w:tcPr/>
          <w:p>
            <w:pPr>
              <w:pStyle w:val="Compact"/>
            </w:pPr>
            <w:r>
              <w:t xml:space="preserve">Interface requirement (procurement)</w:t>
            </w:r>
          </w:p>
        </w:tc>
        <w:tc>
          <w:tcPr/>
          <w:p>
            <w:pPr>
              <w:pStyle w:val="Compact"/>
            </w:pPr>
            <w:r>
              <w:t xml:space="preserve">PWS Appendix A Requirements Checklist Req #5:</w:t>
            </w:r>
            <w:r>
              <w:t xml:space="preserve"> </w:t>
            </w:r>
            <w:r>
              <w:rPr>
                <w:b/>
                <w:bCs/>
              </w:rPr>
              <w:t xml:space="preserve">SCIM 2.0 near-real-time provisioning</w:t>
            </w:r>
          </w:p>
        </w:tc>
        <w:tc>
          <w:tcPr/>
          <w:p>
            <w:pPr>
              <w:pStyle w:val="Compact"/>
            </w:pPr>
            <w:r>
              <w:t xml:space="preserve">Solicitation 24322626R0007 (verified 2026-04-30)</w:t>
            </w:r>
          </w:p>
        </w:tc>
      </w:tr>
    </w:tbl>
    <w:p>
      <w:pPr>
        <w:pStyle w:val="BodyText"/>
      </w:pPr>
      <w:r>
        <w:t xml:space="preserve">Two planning consequences follow directly:</w:t>
      </w:r>
    </w:p>
    <w:p>
      <w:pPr>
        <w:pStyle w:val="Compact"/>
        <w:numPr>
          <w:ilvl w:val="0"/>
          <w:numId w:val="1008"/>
        </w:numPr>
      </w:pPr>
      <w:r>
        <w:rPr>
          <w:b/>
          <w:bCs/>
        </w:rPr>
        <w:t xml:space="preserve">The deadline is not the agency’s to set.</w:t>
      </w:r>
      <w:r>
        <w:t xml:space="preserve"> </w:t>
      </w:r>
      <w:r>
        <w:t xml:space="preserve">The first Wave 1 agencies go live</w:t>
      </w:r>
      <w:r>
        <w:t xml:space="preserve"> </w:t>
      </w:r>
      <w:r>
        <w:t xml:space="preserve">between January and March 2027. For a Wave 2 agency the provisioning feed</w:t>
      </w:r>
      <w:r>
        <w:t xml:space="preserve"> </w:t>
      </w:r>
      <w:r>
        <w:t xml:space="preserve">must be integration-ready when the agency’s onboarding reaches its</w:t>
      </w:r>
      <w:r>
        <w:t xml:space="preserve"> </w:t>
      </w:r>
      <w:r>
        <w:t xml:space="preserve">interconnection slot (~month 5 of the wave window). Build backward from that.</w:t>
      </w:r>
    </w:p>
    <w:p>
      <w:pPr>
        <w:pStyle w:val="Compact"/>
        <w:numPr>
          <w:ilvl w:val="0"/>
          <w:numId w:val="1008"/>
        </w:numPr>
      </w:pPr>
      <w:r>
        <w:rPr>
          <w:b/>
          <w:bCs/>
        </w:rPr>
        <w:t xml:space="preserve">EHRI-shaped thinking has an expiry date.</w:t>
      </w:r>
      <w:r>
        <w:t xml:space="preserve"> </w:t>
      </w:r>
      <w:r>
        <w:t xml:space="preserve">Anything that treats the EHRI/eOPF</w:t>
      </w:r>
      <w:r>
        <w:t xml:space="preserve"> </w:t>
      </w:r>
      <w:r>
        <w:t xml:space="preserve">feeds as the durable HR data interface is building against a system the memo</w:t>
      </w:r>
      <w:r>
        <w:t xml:space="preserve"> </w:t>
      </w:r>
      <w:r>
        <w:t xml:space="preserve">has already scheduled for decommissioning. The durable interface is the Core</w:t>
      </w:r>
      <w:r>
        <w:t xml:space="preserve"> </w:t>
      </w:r>
      <w:r>
        <w:t xml:space="preserve">HCM platform’s own surface: HCM Extracts, ATOM feeds, REST/SCIM.</w:t>
      </w:r>
    </w:p>
    <w:bookmarkEnd w:id="35"/>
    <w:bookmarkStart w:id="36" w:name="Xdfea6ac0b1f1de37ca247e26f309fe6bd1ceb66"/>
    <w:p>
      <w:pPr>
        <w:pStyle w:val="Heading2"/>
      </w:pPr>
      <w:r>
        <w:t xml:space="preserve">What OPM requires, and what it leaves to the agency</w:t>
      </w:r>
    </w:p>
    <w:p>
      <w:pPr>
        <w:pStyle w:val="FirstParagraph"/>
      </w:pPr>
      <w:r>
        <w:t xml:space="preserve">No OPM document mandates or specifies Entra ID integration. The program fixes the HR side — the platform, the waves, the interface requirements in the solicitation — and leaves the identity side to each agency. The Entra-specific design in Chapters 04–08 is an agency implementation decision built on Microsoft’s own Oracle HCM integration guidance. Until mid-2026 the HR side of this architecture had to be planned agnostically, because the government-wide vendor was undecided. The award removed that uncertainty without changing the architecture: the pipe is source-shaped, not source-bound, so if the program changes again the adapter changes and nothing else does.</w:t>
      </w:r>
    </w:p>
    <w:bookmarkEnd w:id="36"/>
    <w:bookmarkEnd w:id="37"/>
    <w:bookmarkStart w:id="46" w:name="chapter-03-attribute-authority"/>
    <w:p>
      <w:pPr>
        <w:pStyle w:val="Heading1"/>
      </w:pPr>
      <w:r>
        <w:t xml:space="preserve">Chapter 03 — Attribute Authority</w:t>
      </w:r>
    </w:p>
    <w:p>
      <w:pPr>
        <w:pStyle w:val="FirstParagraph"/>
      </w:pPr>
      <w:r>
        <w:rPr>
          <w:i/>
          <w:iCs/>
        </w:rPr>
        <w:t xml:space="preserve">Every attribute has exactly one master. The rest of the series depends on writing that down.</w:t>
      </w:r>
    </w:p>
    <w:bookmarkStart w:id="38" w:name="in-this-chapter-3"/>
    <w:p>
      <w:pPr>
        <w:pStyle w:val="Heading2"/>
      </w:pPr>
      <w:r>
        <w:t xml:space="preserve">In this chapter</w:t>
      </w:r>
    </w:p>
    <w:p>
      <w:pPr>
        <w:pStyle w:val="FirstParagraph"/>
      </w:pPr>
      <w:r>
        <w:t xml:space="preserve">The four record families only the HR system can originate. The split between system of record and identity provider. Why effective dating makes proactive automation possible. The attribute authority map. One person, one identifier. Worker type as the attribute policy hangs from. The operating rules.</w:t>
      </w:r>
    </w:p>
    <w:bookmarkEnd w:id="38"/>
    <w:bookmarkStart w:id="39" w:name="Xa1873eb4a1167556c476690d08b815773990656"/>
    <w:p>
      <w:pPr>
        <w:pStyle w:val="Heading2"/>
      </w:pPr>
      <w:r>
        <w:t xml:space="preserve">What a human capital system actually owns</w:t>
      </w:r>
    </w:p>
    <w:p>
      <w:pPr>
        <w:pStyle w:val="FirstParagraph"/>
      </w:pPr>
      <w:r>
        <w:t xml:space="preserve">The human capital system of record — Oracle Fusion Cloud HCM for agencies on Federal HR 2.0, delivered as SaaS under the provider’s own authorization — isn’t</w:t>
      </w:r>
      <w:r>
        <w:t xml:space="preserve"> </w:t>
      </w:r>
      <w:r>
        <w:t xml:space="preserve">“the payroll system.”</w:t>
      </w:r>
      <w:r>
        <w:t xml:space="preserve"> </w:t>
      </w:r>
      <w:r>
        <w:t xml:space="preserve">It is the system where four categories of fact are</w:t>
      </w:r>
      <w:r>
        <w:t xml:space="preserve"> </w:t>
      </w:r>
      <w:r>
        <w:rPr>
          <w:i/>
          <w:iCs/>
        </w:rPr>
        <w:t xml:space="preserve">created</w:t>
      </w:r>
      <w:r>
        <w:t xml:space="preserve"> </w:t>
      </w:r>
      <w:r>
        <w:t xml:space="preserve">rather than copied:</w:t>
      </w:r>
    </w:p>
    <w:p>
      <w:pPr>
        <w:pStyle w:val="TableCaption"/>
      </w:pPr>
      <w:r>
        <w:t xml:space="preserve">The four record families the system of record owns</w:t>
      </w:r>
    </w:p>
    <w:tbl>
      <w:tblPr>
        <w:tblStyle w:val="Table"/>
        <w:tblW w:type="pct" w:w="5000"/>
        <w:tblLayout w:type="fixed"/>
        <w:tblLook w:firstRow="1" w:lastRow="0" w:firstColumn="0" w:lastColumn="0" w:noHBand="0" w:noVBand="0" w:val="0020"/>
        <w:tblCaption w:val="The four record families the system of record owns"/>
      </w:tblPr>
      <w:tblGrid>
        <w:gridCol w:w="2640"/>
        <w:gridCol w:w="2640"/>
        <w:gridCol w:w="2640"/>
      </w:tblGrid>
      <w:tr>
        <w:trPr>
          <w:tblHeader w:val="on"/>
        </w:trPr>
        <w:tc>
          <w:tcPr/>
          <w:p>
            <w:pPr>
              <w:pStyle w:val="Compact"/>
            </w:pPr>
            <w:r>
              <w:t xml:space="preserve">Record</w:t>
            </w:r>
          </w:p>
        </w:tc>
        <w:tc>
          <w:tcPr/>
          <w:p>
            <w:pPr>
              <w:pStyle w:val="Compact"/>
            </w:pPr>
            <w:r>
              <w:t xml:space="preserve">What It Asserts</w:t>
            </w:r>
          </w:p>
        </w:tc>
        <w:tc>
          <w:tcPr/>
          <w:p>
            <w:pPr>
              <w:pStyle w:val="Compact"/>
            </w:pPr>
            <w:r>
              <w:t xml:space="preserve">Why It Cannot Originate Anywhere Else</w:t>
            </w:r>
          </w:p>
        </w:tc>
      </w:tr>
      <w:tr>
        <w:tc>
          <w:tcPr/>
          <w:p>
            <w:pPr>
              <w:pStyle w:val="Compact"/>
            </w:pPr>
            <w:r>
              <w:rPr>
                <w:b/>
                <w:bCs/>
              </w:rPr>
              <w:t xml:space="preserve">Worker record</w:t>
            </w:r>
          </w:p>
        </w:tc>
        <w:tc>
          <w:tcPr/>
          <w:p>
            <w:pPr>
              <w:pStyle w:val="Compact"/>
            </w:pPr>
            <w:r>
              <w:t xml:space="preserve">A person exists as a worker: identifier, legal name, worker type (employee, contractor, intern), employment status</w:t>
            </w:r>
          </w:p>
        </w:tc>
        <w:tc>
          <w:tcPr/>
          <w:p>
            <w:pPr>
              <w:pStyle w:val="Compact"/>
            </w:pPr>
            <w:r>
              <w:t xml:space="preserve">Hiring is an HR business act; the record is created</w:t>
            </w:r>
            <w:r>
              <w:t xml:space="preserve"> </w:t>
            </w:r>
            <w:r>
              <w:rPr>
                <w:i/>
                <w:iCs/>
              </w:rPr>
              <w:t xml:space="preserve">by</w:t>
            </w:r>
            <w:r>
              <w:t xml:space="preserve"> </w:t>
            </w:r>
            <w:r>
              <w:t xml:space="preserve">the act, not in response to it</w:t>
            </w:r>
          </w:p>
        </w:tc>
      </w:tr>
      <w:tr>
        <w:tc>
          <w:tcPr/>
          <w:p>
            <w:pPr>
              <w:pStyle w:val="Compact"/>
            </w:pPr>
            <w:r>
              <w:rPr>
                <w:b/>
                <w:bCs/>
              </w:rPr>
              <w:t xml:space="preserve">Position</w:t>
            </w:r>
          </w:p>
        </w:tc>
        <w:tc>
          <w:tcPr/>
          <w:p>
            <w:pPr>
              <w:pStyle w:val="Compact"/>
            </w:pPr>
            <w:r>
              <w:t xml:space="preserve">A seat exists in the organization with a title, grade, and organizational placement — independent of any incumbent</w:t>
            </w:r>
          </w:p>
        </w:tc>
        <w:tc>
          <w:tcPr/>
          <w:p>
            <w:pPr>
              <w:pStyle w:val="Compact"/>
            </w:pPr>
            <w:r>
              <w:t xml:space="preserve">Positions are established and abolished by organizational authority; a vacancy is a real, recorded state</w:t>
            </w:r>
          </w:p>
        </w:tc>
      </w:tr>
      <w:tr>
        <w:tc>
          <w:tcPr/>
          <w:p>
            <w:pPr>
              <w:pStyle w:val="Compact"/>
            </w:pPr>
            <w:r>
              <w:rPr>
                <w:b/>
                <w:bCs/>
              </w:rPr>
              <w:t xml:space="preserve">Assignment</w:t>
            </w:r>
          </w:p>
        </w:tc>
        <w:tc>
          <w:tcPr/>
          <w:p>
            <w:pPr>
              <w:pStyle w:val="Compact"/>
            </w:pPr>
            <w:r>
              <w:t xml:space="preserve">A worker holds a position, in an organization, at a location, under a supervisor, effective on a date</w:t>
            </w:r>
          </w:p>
        </w:tc>
        <w:tc>
          <w:tcPr/>
          <w:p>
            <w:pPr>
              <w:pStyle w:val="Compact"/>
            </w:pPr>
            <w:r>
              <w:t xml:space="preserve">The assignment</w:t>
            </w:r>
            <w:r>
              <w:t xml:space="preserve"> </w:t>
            </w:r>
            <w:r>
              <w:rPr>
                <w:i/>
                <w:iCs/>
              </w:rPr>
              <w:t xml:space="preserve">is</w:t>
            </w:r>
            <w:r>
              <w:t xml:space="preserve"> </w:t>
            </w:r>
            <w:r>
              <w:t xml:space="preserve">the employment relationship; every downstream access decision is a projection of it</w:t>
            </w:r>
          </w:p>
        </w:tc>
      </w:tr>
      <w:tr>
        <w:tc>
          <w:tcPr/>
          <w:p>
            <w:pPr>
              <w:pStyle w:val="Compact"/>
            </w:pPr>
            <w:r>
              <w:rPr>
                <w:b/>
                <w:bCs/>
              </w:rPr>
              <w:t xml:space="preserve">Supervisory hierarchy</w:t>
            </w:r>
          </w:p>
        </w:tc>
        <w:tc>
          <w:tcPr/>
          <w:p>
            <w:pPr>
              <w:pStyle w:val="Compact"/>
            </w:pPr>
            <w:r>
              <w:t xml:space="preserve">Who reports to whom — the reporting line from any worker to the head of the agency</w:t>
            </w:r>
          </w:p>
        </w:tc>
        <w:tc>
          <w:tcPr/>
          <w:p>
            <w:pPr>
              <w:pStyle w:val="Compact"/>
            </w:pPr>
            <w:r>
              <w:t xml:space="preserve">Reporting relationships are established by the same business acts that create assignments; the directory’s</w:t>
            </w:r>
            <w:r>
              <w:t xml:space="preserve"> </w:t>
            </w:r>
            <w:r>
              <w:rPr>
                <w:rStyle w:val="VerbatimChar"/>
              </w:rPr>
              <w:t xml:space="preserve">manager</w:t>
            </w:r>
            <w:r>
              <w:t xml:space="preserve"> </w:t>
            </w:r>
            <w:r>
              <w:t xml:space="preserve">field is at best a copy</w:t>
            </w:r>
          </w:p>
        </w:tc>
      </w:tr>
    </w:tbl>
    <w:bookmarkEnd w:id="39"/>
    <w:bookmarkStart w:id="40" w:name="X17bf277d61e417a8e524d3b739426d6661fbac8"/>
    <w:p>
      <w:pPr>
        <w:pStyle w:val="Heading2"/>
      </w:pPr>
      <w:r>
        <w:t xml:space="preserve">System of record versus identity provider</w:t>
      </w:r>
    </w:p>
    <w:p>
      <w:pPr>
        <w:pStyle w:val="FirstParagraph"/>
      </w:pPr>
      <w:r>
        <w:t xml:space="preserve">Naming the HCM as the source of authority for identity invites a predictable misreading — that it competes with the identity platform. It does not, and the boundary between them is worth stating precisely, because each is authoritative for a different category of fact:</w:t>
      </w:r>
    </w:p>
    <w:p>
      <w:pPr>
        <w:pStyle w:val="TableCaption"/>
      </w:pPr>
      <w:r>
        <w:t xml:space="preserve">The division of labor between the system of record and the identity platform</w:t>
      </w:r>
    </w:p>
    <w:tbl>
      <w:tblPr>
        <w:tblStyle w:val="Table"/>
        <w:tblW w:type="pct" w:w="5000"/>
        <w:tblLayout w:type="fixed"/>
        <w:tblLook w:firstRow="1" w:lastRow="0" w:firstColumn="0" w:lastColumn="0" w:noHBand="0" w:noVBand="0" w:val="0020"/>
        <w:tblCaption w:val="The division of labor between the system of record and the identity platform"/>
      </w:tblPr>
      <w:tblGrid>
        <w:gridCol w:w="2640"/>
        <w:gridCol w:w="2640"/>
        <w:gridCol w:w="2640"/>
      </w:tblGrid>
      <w:tr>
        <w:trPr>
          <w:tblHeader w:val="on"/>
        </w:trPr>
        <w:tc>
          <w:tcPr/>
          <w:p>
            <w:pPr>
              <w:pStyle w:val="Compact"/>
            </w:pPr>
            <w:r>
              <w:t xml:space="preserve">Function</w:t>
            </w:r>
          </w:p>
        </w:tc>
        <w:tc>
          <w:tcPr/>
          <w:p>
            <w:pPr>
              <w:pStyle w:val="Compact"/>
            </w:pPr>
            <w:r>
              <w:t xml:space="preserve">System of Record (HCM)</w:t>
            </w:r>
          </w:p>
        </w:tc>
        <w:tc>
          <w:tcPr/>
          <w:p>
            <w:pPr>
              <w:pStyle w:val="Compact"/>
            </w:pPr>
            <w:r>
              <w:t xml:space="preserve">Identity Platform (Entra ID)</w:t>
            </w:r>
          </w:p>
        </w:tc>
      </w:tr>
      <w:tr>
        <w:tc>
          <w:tcPr/>
          <w:p>
            <w:pPr>
              <w:pStyle w:val="Compact"/>
            </w:pPr>
            <w:r>
              <w:t xml:space="preserve">Who a worker</w:t>
            </w:r>
            <w:r>
              <w:t xml:space="preserve"> </w:t>
            </w:r>
            <w:r>
              <w:rPr>
                <w:i/>
                <w:iCs/>
              </w:rPr>
              <w:t xml:space="preserve">is</w:t>
            </w:r>
            <w:r>
              <w:t xml:space="preserve"> </w:t>
            </w:r>
            <w:r>
              <w:t xml:space="preserve">— existence, status, type</w:t>
            </w:r>
          </w:p>
        </w:tc>
        <w:tc>
          <w:tcPr/>
          <w:p>
            <w:pPr>
              <w:pStyle w:val="Compact"/>
            </w:pPr>
            <w:r>
              <w:rPr>
                <w:b/>
                <w:bCs/>
              </w:rPr>
              <w:t xml:space="preserve">Authoritative</w:t>
            </w:r>
          </w:p>
        </w:tc>
        <w:tc>
          <w:tcPr/>
          <w:p>
            <w:pPr>
              <w:pStyle w:val="Compact"/>
            </w:pPr>
            <w:r>
              <w:t xml:space="preserve">Derived: account state follows the record</w:t>
            </w:r>
          </w:p>
        </w:tc>
      </w:tr>
      <w:tr>
        <w:tc>
          <w:tcPr/>
          <w:p>
            <w:pPr>
              <w:pStyle w:val="Compact"/>
            </w:pPr>
            <w:r>
              <w:t xml:space="preserve">Where a worker</w:t>
            </w:r>
            <w:r>
              <w:t xml:space="preserve"> </w:t>
            </w:r>
            <w:r>
              <w:rPr>
                <w:i/>
                <w:iCs/>
              </w:rPr>
              <w:t xml:space="preserve">sits</w:t>
            </w:r>
            <w:r>
              <w:t xml:space="preserve"> </w:t>
            </w:r>
            <w:r>
              <w:t xml:space="preserve">— position, org, supervisor</w:t>
            </w:r>
          </w:p>
        </w:tc>
        <w:tc>
          <w:tcPr/>
          <w:p>
            <w:pPr>
              <w:pStyle w:val="Compact"/>
            </w:pPr>
            <w:r>
              <w:rPr>
                <w:b/>
                <w:bCs/>
              </w:rPr>
              <w:t xml:space="preserve">Authoritative</w:t>
            </w:r>
          </w:p>
        </w:tc>
        <w:tc>
          <w:tcPr/>
          <w:p>
            <w:pPr>
              <w:pStyle w:val="Compact"/>
            </w:pPr>
            <w:r>
              <w:t xml:space="preserve">Derived: attributes stamped, memberships computed</w:t>
            </w:r>
          </w:p>
        </w:tc>
      </w:tr>
      <w:tr>
        <w:tc>
          <w:tcPr/>
          <w:p>
            <w:pPr>
              <w:pStyle w:val="Compact"/>
            </w:pPr>
            <w:r>
              <w:t xml:space="preserve">How identity is</w:t>
            </w:r>
            <w:r>
              <w:t xml:space="preserve"> </w:t>
            </w:r>
            <w:r>
              <w:rPr>
                <w:i/>
                <w:iCs/>
              </w:rPr>
              <w:t xml:space="preserve">proven</w:t>
            </w:r>
            <w:r>
              <w:t xml:space="preserve"> </w:t>
            </w:r>
            <w:r>
              <w:t xml:space="preserve">— credentials, MFA, device binding</w:t>
            </w:r>
          </w:p>
        </w:tc>
        <w:tc>
          <w:tcPr/>
          <w:p>
            <w:pPr>
              <w:pStyle w:val="Compact"/>
            </w:pPr>
            <w:r>
              <w:t xml:space="preserve">—</w:t>
            </w:r>
          </w:p>
        </w:tc>
        <w:tc>
          <w:tcPr/>
          <w:p>
            <w:pPr>
              <w:pStyle w:val="Compact"/>
            </w:pPr>
            <w:r>
              <w:rPr>
                <w:b/>
                <w:bCs/>
              </w:rPr>
              <w:t xml:space="preserve">Authoritative</w:t>
            </w:r>
          </w:p>
        </w:tc>
      </w:tr>
      <w:tr>
        <w:tc>
          <w:tcPr/>
          <w:p>
            <w:pPr>
              <w:pStyle w:val="Compact"/>
            </w:pPr>
            <w:r>
              <w:t xml:space="preserve">Whether a request is</w:t>
            </w:r>
            <w:r>
              <w:t xml:space="preserve"> </w:t>
            </w:r>
            <w:r>
              <w:rPr>
                <w:i/>
                <w:iCs/>
              </w:rPr>
              <w:t xml:space="preserve">permitted now</w:t>
            </w:r>
            <w:r>
              <w:t xml:space="preserve"> </w:t>
            </w:r>
            <w:r>
              <w:t xml:space="preserve">— conditional access, sessions</w:t>
            </w:r>
          </w:p>
        </w:tc>
        <w:tc>
          <w:tcPr/>
          <w:p>
            <w:pPr>
              <w:pStyle w:val="Compact"/>
            </w:pPr>
            <w:r>
              <w:t xml:space="preserve">—</w:t>
            </w:r>
          </w:p>
        </w:tc>
        <w:tc>
          <w:tcPr/>
          <w:p>
            <w:pPr>
              <w:pStyle w:val="Compact"/>
            </w:pPr>
            <w:r>
              <w:rPr>
                <w:b/>
                <w:bCs/>
              </w:rPr>
              <w:t xml:space="preserve">Authoritative</w:t>
            </w:r>
            <w:r>
              <w:t xml:space="preserve"> </w:t>
            </w:r>
            <w:r>
              <w:t xml:space="preserve">(policy enforcement)</w:t>
            </w:r>
          </w:p>
        </w:tc>
      </w:tr>
      <w:tr>
        <w:tc>
          <w:tcPr/>
          <w:p>
            <w:pPr>
              <w:pStyle w:val="Compact"/>
            </w:pPr>
            <w:r>
              <w:t xml:space="preserve">Token issuance and claims format</w:t>
            </w:r>
          </w:p>
        </w:tc>
        <w:tc>
          <w:tcPr/>
          <w:p>
            <w:pPr>
              <w:pStyle w:val="Compact"/>
            </w:pPr>
            <w:r>
              <w:t xml:space="preserve">—</w:t>
            </w:r>
          </w:p>
        </w:tc>
        <w:tc>
          <w:tcPr/>
          <w:p>
            <w:pPr>
              <w:pStyle w:val="Compact"/>
            </w:pPr>
            <w:r>
              <w:rPr>
                <w:b/>
                <w:bCs/>
              </w:rPr>
              <w:t xml:space="preserve">Authoritative</w:t>
            </w:r>
            <w:r>
              <w:t xml:space="preserve">; claim</w:t>
            </w:r>
            <w:r>
              <w:t xml:space="preserve"> </w:t>
            </w:r>
            <w:r>
              <w:rPr>
                <w:i/>
                <w:iCs/>
              </w:rPr>
              <w:t xml:space="preserve">values</w:t>
            </w:r>
            <w:r>
              <w:t xml:space="preserve"> </w:t>
            </w:r>
            <w:r>
              <w:t xml:space="preserve">trace upstream</w:t>
            </w:r>
          </w:p>
        </w:tc>
      </w:tr>
    </w:tbl>
    <w:bookmarkEnd w:id="40"/>
    <w:bookmarkStart w:id="41" w:name="effective-dating-truth-with-a-timeline"/>
    <w:p>
      <w:pPr>
        <w:pStyle w:val="Heading2"/>
      </w:pPr>
      <w:r>
        <w:t xml:space="preserve">Effective dating: truth with a timeline</w:t>
      </w:r>
    </w:p>
    <w:p>
      <w:pPr>
        <w:pStyle w:val="FirstParagraph"/>
      </w:pPr>
      <w:r>
        <w:t xml:space="preserve">The property that separates a system of record from a directory is</w:t>
      </w:r>
      <w:r>
        <w:t xml:space="preserve"> </w:t>
      </w:r>
      <w:r>
        <w:rPr>
          <w:b/>
          <w:bCs/>
        </w:rPr>
        <w:t xml:space="preserve">effective dating</w:t>
      </w:r>
      <w:r>
        <w:t xml:space="preserve">. An HCM record does not say</w:t>
      </w:r>
      <w:r>
        <w:t xml:space="preserve"> </w:t>
      </w:r>
      <w:r>
        <w:t xml:space="preserve">“Jane is in the Program Integrity division”</w:t>
      </w:r>
      <w:r>
        <w:t xml:space="preserve">; it says</w:t>
      </w:r>
      <w:r>
        <w:t xml:space="preserve"> </w:t>
      </w:r>
      <w:r>
        <w:t xml:space="preserve">“Jane’s assignment to Program Integrity is effective 2026-08-03, superseding her prior assignment, which ended 2026-08-02.”</w:t>
      </w:r>
      <w:r>
        <w:t xml:space="preserve"> </w:t>
      </w:r>
      <w:r>
        <w:t xml:space="preserve">Future-dated hires, transfers, and separations exist in the system</w:t>
      </w:r>
      <w:r>
        <w:t xml:space="preserve"> </w:t>
      </w:r>
      <w:r>
        <w:rPr>
          <w:i/>
          <w:iCs/>
        </w:rPr>
        <w:t xml:space="preserve">before they are true</w:t>
      </w:r>
      <w:r>
        <w:t xml:space="preserve">, with the date on which they become true.</w:t>
      </w:r>
    </w:p>
    <w:p>
      <w:pPr>
        <w:pStyle w:val="BodyText"/>
      </w:pPr>
      <w:r>
        <w:t xml:space="preserve">This is not a bookkeeping nicety — it is what makes proactive automation possible. Day-one readiness (account, licenses, and group memberships waiting when a new hire badges in) requires knowing the hire</w:t>
      </w:r>
      <w:r>
        <w:t xml:space="preserve"> </w:t>
      </w:r>
      <w:r>
        <w:rPr>
          <w:i/>
          <w:iCs/>
        </w:rPr>
        <w:t xml:space="preserve">before</w:t>
      </w:r>
      <w:r>
        <w:t xml:space="preserve"> </w:t>
      </w:r>
      <w:r>
        <w:t xml:space="preserve">the start date. Same-day revocation requires knowing the separation</w:t>
      </w:r>
      <w:r>
        <w:t xml:space="preserve"> </w:t>
      </w:r>
      <w:r>
        <w:rPr>
          <w:i/>
          <w:iCs/>
        </w:rPr>
        <w:t xml:space="preserve">on</w:t>
      </w:r>
      <w:r>
        <w:t xml:space="preserve"> </w:t>
      </w:r>
      <w:r>
        <w:t xml:space="preserve">its effective date, not when the paperwork finishes circulating. A directory records state; the system of record records</w:t>
      </w:r>
      <w:r>
        <w:t xml:space="preserve"> </w:t>
      </w:r>
      <w:r>
        <w:rPr>
          <w:b/>
          <w:bCs/>
        </w:rPr>
        <w:t xml:space="preserve">state transitions with timestamps</w:t>
      </w:r>
      <w:r>
        <w:t xml:space="preserve">, which is exactly the shape an event-driven lifecycle consumes.</w:t>
      </w:r>
    </w:p>
    <w:bookmarkEnd w:id="41"/>
    <w:bookmarkStart w:id="42" w:name="authoritative-versus-derived-attributes"/>
    <w:p>
      <w:pPr>
        <w:pStyle w:val="Heading2"/>
      </w:pPr>
      <w:r>
        <w:t xml:space="preserve">Authoritative versus derived attributes</w:t>
      </w:r>
    </w:p>
    <w:p>
      <w:pPr>
        <w:pStyle w:val="FirstParagraph"/>
      </w:pPr>
      <w:r>
        <w:t xml:space="preserve">The discipline that makes the source of authority operable is a written, governed answer to one question per attribute:</w:t>
      </w:r>
      <w:r>
        <w:t xml:space="preserve"> </w:t>
      </w:r>
      <w:r>
        <w:rPr>
          <w:i/>
          <w:iCs/>
        </w:rPr>
        <w:t xml:space="preserve">which system owns this?</w:t>
      </w:r>
      <w:r>
        <w:t xml:space="preserve"> </w:t>
      </w:r>
      <w:r>
        <w:t xml:space="preserve">An attribute is</w:t>
      </w:r>
      <w:r>
        <w:t xml:space="preserve"> </w:t>
      </w:r>
      <w:r>
        <w:rPr>
          <w:b/>
          <w:bCs/>
        </w:rPr>
        <w:t xml:space="preserve">authoritative</w:t>
      </w:r>
      <w:r>
        <w:t xml:space="preserve"> </w:t>
      </w:r>
      <w:r>
        <w:t xml:space="preserve">where it is created by a business act, and</w:t>
      </w:r>
      <w:r>
        <w:t xml:space="preserve"> </w:t>
      </w:r>
      <w:r>
        <w:rPr>
          <w:b/>
          <w:bCs/>
        </w:rPr>
        <w:t xml:space="preserve">derived</w:t>
      </w:r>
      <w:r>
        <w:t xml:space="preserve"> </w:t>
      </w:r>
      <w:r>
        <w:t xml:space="preserve">everywhere else. Derived attributes are computed, stamped, and read — never edited in place.</w:t>
      </w:r>
    </w:p>
    <w:p>
      <w:pPr>
        <w:pStyle w:val="TableCaption"/>
      </w:pPr>
      <w:r>
        <w:t xml:space="preserve">The attribute authority map — which system owns which fact</w:t>
      </w:r>
    </w:p>
    <w:tbl>
      <w:tblPr>
        <w:tblStyle w:val="Table"/>
        <w:tblW w:type="pct" w:w="5000"/>
        <w:tblLayout w:type="fixed"/>
        <w:tblLook w:firstRow="1" w:lastRow="0" w:firstColumn="0" w:lastColumn="0" w:noHBand="0" w:noVBand="0" w:val="0020"/>
        <w:tblCaption w:val="The attribute authority map — which system owns which fact"/>
      </w:tblPr>
      <w:tblGrid>
        <w:gridCol w:w="2640"/>
        <w:gridCol w:w="2640"/>
        <w:gridCol w:w="2640"/>
      </w:tblGrid>
      <w:tr>
        <w:trPr>
          <w:tblHeader w:val="on"/>
        </w:trPr>
        <w:tc>
          <w:tcPr/>
          <w:p>
            <w:pPr>
              <w:pStyle w:val="Compact"/>
            </w:pPr>
            <w:r>
              <w:t xml:space="preserve">Attribute</w:t>
            </w:r>
          </w:p>
        </w:tc>
        <w:tc>
          <w:tcPr/>
          <w:p>
            <w:pPr>
              <w:pStyle w:val="Compact"/>
            </w:pPr>
            <w:r>
              <w:t xml:space="preserve">Authoritative system</w:t>
            </w:r>
          </w:p>
        </w:tc>
        <w:tc>
          <w:tcPr/>
          <w:p>
            <w:pPr>
              <w:pStyle w:val="Compact"/>
            </w:pPr>
            <w:r>
              <w:t xml:space="preserve">Derived consumers</w:t>
            </w:r>
          </w:p>
        </w:tc>
      </w:tr>
      <w:tr>
        <w:tc>
          <w:tcPr/>
          <w:p>
            <w:pPr>
              <w:pStyle w:val="Compact"/>
            </w:pPr>
            <w:r>
              <w:t xml:space="preserve">Worker identifier (</w:t>
            </w:r>
            <w:r>
              <w:rPr>
                <w:rStyle w:val="VerbatimChar"/>
              </w:rPr>
              <w:t xml:space="preserve">employeeId</w:t>
            </w:r>
            <w:r>
              <w:t xml:space="preserve">)</w:t>
            </w:r>
          </w:p>
        </w:tc>
        <w:tc>
          <w:tcPr/>
          <w:p>
            <w:pPr>
              <w:pStyle w:val="Compact"/>
            </w:pPr>
            <w:r>
              <w:t xml:space="preserve">HR system of record — the immutable correlation anchor, assigned at first affiliation</w:t>
            </w:r>
          </w:p>
        </w:tc>
        <w:tc>
          <w:tcPr/>
          <w:p>
            <w:pPr>
              <w:pStyle w:val="Compact"/>
            </w:pPr>
            <w:r>
              <w:t xml:space="preserve">Directory correlation key, audit joins, per-system account linkage</w:t>
            </w:r>
          </w:p>
        </w:tc>
      </w:tr>
      <w:tr>
        <w:tc>
          <w:tcPr/>
          <w:p>
            <w:pPr>
              <w:pStyle w:val="Compact"/>
            </w:pPr>
            <w:r>
              <w:t xml:space="preserve">Legal name, worker type, employment status</w:t>
            </w:r>
          </w:p>
        </w:tc>
        <w:tc>
          <w:tcPr/>
          <w:p>
            <w:pPr>
              <w:pStyle w:val="Compact"/>
            </w:pPr>
            <w:r>
              <w:t xml:space="preserve">HR system of record</w:t>
            </w:r>
          </w:p>
        </w:tc>
        <w:tc>
          <w:tcPr/>
          <w:p>
            <w:pPr>
              <w:pStyle w:val="Compact"/>
            </w:pPr>
            <w:r>
              <w:t xml:space="preserve">Display name, account enable/disable state, guest-versus-member classification</w:t>
            </w:r>
          </w:p>
        </w:tc>
      </w:tr>
      <w:tr>
        <w:tc>
          <w:tcPr/>
          <w:p>
            <w:pPr>
              <w:pStyle w:val="Compact"/>
            </w:pPr>
            <w:r>
              <w:t xml:space="preserve">Position, title, grade</w:t>
            </w:r>
          </w:p>
        </w:tc>
        <w:tc>
          <w:tcPr/>
          <w:p>
            <w:pPr>
              <w:pStyle w:val="Compact"/>
            </w:pPr>
            <w:r>
              <w:t xml:space="preserve">HR system of record</w:t>
            </w:r>
          </w:p>
        </w:tc>
        <w:tc>
          <w:tcPr/>
          <w:p>
            <w:pPr>
              <w:pStyle w:val="Compact"/>
            </w:pPr>
            <w:r>
              <w:t xml:space="preserve">Role-eligible access packages, approval routing</w:t>
            </w:r>
          </w:p>
        </w:tc>
      </w:tr>
      <w:tr>
        <w:tc>
          <w:tcPr/>
          <w:p>
            <w:pPr>
              <w:pStyle w:val="Compact"/>
            </w:pPr>
            <w:r>
              <w:t xml:space="preserve">Organizational placement (department, org code, cost center)</w:t>
            </w:r>
          </w:p>
        </w:tc>
        <w:tc>
          <w:tcPr/>
          <w:p>
            <w:pPr>
              <w:pStyle w:val="Compact"/>
            </w:pPr>
            <w:r>
              <w:t xml:space="preserve">HR system of record</w:t>
            </w:r>
          </w:p>
        </w:tc>
        <w:tc>
          <w:tcPr/>
          <w:p>
            <w:pPr>
              <w:pStyle w:val="Compact"/>
            </w:pPr>
            <w:r>
              <w:t xml:space="preserve">Dynamic group membership, ABAC attributes, chargeback</w:t>
            </w:r>
          </w:p>
        </w:tc>
      </w:tr>
      <w:tr>
        <w:tc>
          <w:tcPr/>
          <w:p>
            <w:pPr>
              <w:pStyle w:val="Compact"/>
            </w:pPr>
            <w:r>
              <w:t xml:space="preserve">Supervisor / reporting line</w:t>
            </w:r>
          </w:p>
        </w:tc>
        <w:tc>
          <w:tcPr/>
          <w:p>
            <w:pPr>
              <w:pStyle w:val="Compact"/>
            </w:pPr>
            <w:r>
              <w:t xml:space="preserve">HR system of record</w:t>
            </w:r>
          </w:p>
        </w:tc>
        <w:tc>
          <w:tcPr/>
          <w:p>
            <w:pPr>
              <w:pStyle w:val="Compact"/>
            </w:pPr>
            <w:r>
              <w:rPr>
                <w:rStyle w:val="VerbatimChar"/>
              </w:rPr>
              <w:t xml:space="preserve">manager</w:t>
            </w:r>
            <w:r>
              <w:t xml:space="preserve"> </w:t>
            </w:r>
            <w:r>
              <w:t xml:space="preserve">attribute, access-package approval routing, attestation campaigns</w:t>
            </w:r>
          </w:p>
        </w:tc>
      </w:tr>
      <w:tr>
        <w:tc>
          <w:tcPr/>
          <w:p>
            <w:pPr>
              <w:pStyle w:val="Compact"/>
            </w:pPr>
            <w:r>
              <w:t xml:space="preserve">Duty location</w:t>
            </w:r>
          </w:p>
        </w:tc>
        <w:tc>
          <w:tcPr/>
          <w:p>
            <w:pPr>
              <w:pStyle w:val="Compact"/>
            </w:pPr>
            <w:r>
              <w:t xml:space="preserve">HR system of record</w:t>
            </w:r>
          </w:p>
        </w:tc>
        <w:tc>
          <w:tcPr/>
          <w:p>
            <w:pPr>
              <w:pStyle w:val="Compact"/>
            </w:pPr>
            <w:r>
              <w:t xml:space="preserve">Conditional access named-location context, E911 records</w:t>
            </w:r>
          </w:p>
        </w:tc>
      </w:tr>
      <w:tr>
        <w:tc>
          <w:tcPr/>
          <w:p>
            <w:pPr>
              <w:pStyle w:val="Compact"/>
            </w:pPr>
            <w:r>
              <w:t xml:space="preserve">User principal name, mail, group memberships</w:t>
            </w:r>
          </w:p>
        </w:tc>
        <w:tc>
          <w:tcPr/>
          <w:p>
            <w:pPr>
              <w:pStyle w:val="Compact"/>
            </w:pPr>
            <w:r>
              <w:t xml:space="preserve">Identity platform —</w:t>
            </w:r>
            <w:r>
              <w:t xml:space="preserve"> </w:t>
            </w:r>
            <w:r>
              <w:rPr>
                <w:i/>
                <w:iCs/>
              </w:rPr>
              <w:t xml:space="preserve">derived</w:t>
            </w:r>
            <w:r>
              <w:t xml:space="preserve"> </w:t>
            </w:r>
            <w:r>
              <w:t xml:space="preserve">from HR attributes by rule</w:t>
            </w:r>
          </w:p>
        </w:tc>
        <w:tc>
          <w:tcPr/>
          <w:p>
            <w:pPr>
              <w:pStyle w:val="Compact"/>
            </w:pPr>
            <w:r>
              <w:t xml:space="preserve">Applications, token claims</w:t>
            </w:r>
          </w:p>
        </w:tc>
      </w:tr>
      <w:tr>
        <w:tc>
          <w:tcPr/>
          <w:p>
            <w:pPr>
              <w:pStyle w:val="Compact"/>
            </w:pPr>
            <w:r>
              <w:t xml:space="preserve">Device identity and certificates</w:t>
            </w:r>
          </w:p>
        </w:tc>
        <w:tc>
          <w:tcPr/>
          <w:p>
            <w:pPr>
              <w:pStyle w:val="Compact"/>
            </w:pPr>
            <w:r>
              <w:t xml:space="preserve">Device management and PKI (Chapter 07)</w:t>
            </w:r>
          </w:p>
        </w:tc>
        <w:tc>
          <w:tcPr/>
          <w:p>
            <w:pPr>
              <w:pStyle w:val="Compact"/>
            </w:pPr>
            <w:r>
              <w:t xml:space="preserve">Network admission, workload identity, TLS</w:t>
            </w:r>
          </w:p>
        </w:tc>
      </w:tr>
      <w:tr>
        <w:tc>
          <w:tcPr/>
          <w:p>
            <w:pPr>
              <w:pStyle w:val="Compact"/>
            </w:pPr>
            <w:r>
              <w:t xml:space="preserve">Credential strength, token claims format</w:t>
            </w:r>
          </w:p>
        </w:tc>
        <w:tc>
          <w:tcPr/>
          <w:p>
            <w:pPr>
              <w:pStyle w:val="Compact"/>
            </w:pPr>
            <w:r>
              <w:t xml:space="preserve">Identity platform</w:t>
            </w:r>
          </w:p>
        </w:tc>
        <w:tc>
          <w:tcPr/>
          <w:p>
            <w:pPr>
              <w:pStyle w:val="Compact"/>
            </w:pPr>
            <w:r>
              <w:t xml:space="preserve">Conditional Access, applications</w:t>
            </w:r>
          </w:p>
        </w:tc>
      </w:tr>
    </w:tbl>
    <w:p>
      <w:pPr>
        <w:pStyle w:val="BodyText"/>
      </w:pPr>
      <w:r>
        <w:t xml:space="preserve">The map has one rule with no exceptions:</w:t>
      </w:r>
      <w:r>
        <w:t xml:space="preserve"> </w:t>
      </w:r>
      <w:r>
        <w:rPr>
          <w:b/>
          <w:bCs/>
        </w:rPr>
        <w:t xml:space="preserve">corrections flow upstream.</w:t>
      </w:r>
      <w:r>
        <w:t xml:space="preserve"> </w:t>
      </w:r>
      <w:r>
        <w:t xml:space="preserve">When a token carries a wrong department, the fix is a correction to the HR record (or to the derivation rule) — never a hand-edit of the directory attribute, because a hand-edited projection is a new fragment (Chapter 01).</w:t>
      </w:r>
    </w:p>
    <w:bookmarkEnd w:id="42"/>
    <w:bookmarkStart w:id="43" w:name="one-person-one-identifier"/>
    <w:p>
      <w:pPr>
        <w:pStyle w:val="Heading2"/>
      </w:pPr>
      <w:r>
        <w:t xml:space="preserve">One person, one identifier</w:t>
      </w:r>
    </w:p>
    <w:p>
      <w:pPr>
        <w:pStyle w:val="FirstParagraph"/>
      </w:pPr>
      <w:r>
        <w:t xml:space="preserve">IA-4 requires managing identifiers by receiving authorization to assign them, selecting and assigning them to the intended entity, and</w:t>
      </w:r>
      <w:r>
        <w:t xml:space="preserve"> </w:t>
      </w:r>
      <w:r>
        <w:rPr>
          <w:b/>
          <w:bCs/>
        </w:rPr>
        <w:t xml:space="preserve">preventing their reuse</w:t>
      </w:r>
      <w:r>
        <w:t xml:space="preserve"> </w:t>
      </w:r>
      <w:r>
        <w:t xml:space="preserve">for a defined period. The enterprise discipline this architecture implements is stricter and simpler:</w:t>
      </w:r>
      <w:r>
        <w:t xml:space="preserve"> </w:t>
      </w:r>
      <w:r>
        <w:rPr>
          <w:b/>
          <w:bCs/>
        </w:rPr>
        <w:t xml:space="preserve">one person, one identifier, for the life of the affiliation — across every account, system, rehire, and conversion.</w:t>
      </w:r>
    </w:p>
    <w:p>
      <w:pPr>
        <w:pStyle w:val="BodyText"/>
      </w:pPr>
      <w:r>
        <w:t xml:space="preserve">The</w:t>
      </w:r>
      <w:r>
        <w:t xml:space="preserve"> </w:t>
      </w:r>
      <w:r>
        <w:rPr>
          <w:rStyle w:val="VerbatimChar"/>
        </w:rPr>
        <w:t xml:space="preserve">employeeId</w:t>
      </w:r>
      <w:r>
        <w:t xml:space="preserve"> </w:t>
      </w:r>
      <w:r>
        <w:t xml:space="preserve">assigned at first affiliation is the immutable correlation anchor. It never changes with name, position, region, or worker type; every account in every system that belongs to the person carries it; and when the person returns after a break in service, the rehire event re-links the</w:t>
      </w:r>
      <w:r>
        <w:t xml:space="preserve"> </w:t>
      </w:r>
      <w:r>
        <w:rPr>
          <w:i/>
          <w:iCs/>
        </w:rPr>
        <w:t xml:space="preserve">same</w:t>
      </w:r>
      <w:r>
        <w:t xml:space="preserve"> </w:t>
      </w:r>
      <w:r>
        <w:t xml:space="preserve">identifier rather than minting a fresh identity. This is only possible where the</w:t>
      </w:r>
      <w:r>
        <w:t xml:space="preserve"> </w:t>
      </w:r>
      <w:r>
        <w:rPr>
          <w:i/>
          <w:iCs/>
        </w:rPr>
        <w:t xml:space="preserve">person</w:t>
      </w:r>
      <w:r>
        <w:t xml:space="preserve"> </w:t>
      </w:r>
      <w:r>
        <w:t xml:space="preserve">— not the account — is the tracked entity. A directory cannot do it: directories track accounts, and an account deleted at separation takes its history with it. The worker record persists across affiliations, which is why identifier non-reuse and rehire correlation are properties of the HR system, projected downward.</w:t>
      </w:r>
    </w:p>
    <w:p>
      <w:pPr>
        <w:pStyle w:val="BodyText"/>
      </w:pPr>
      <w:r>
        <w:t xml:space="preserve">The same anchor is what makes audit joins possible at all: the token event in the SIEM, the database login, the badge swipe, and the personnel action resolve to one person only because one identifier threads them.</w:t>
      </w:r>
    </w:p>
    <w:bookmarkEnd w:id="43"/>
    <w:bookmarkStart w:id="44" w:name="the-worker-type-boundary"/>
    <w:p>
      <w:pPr>
        <w:pStyle w:val="Heading2"/>
      </w:pPr>
      <w:r>
        <w:t xml:space="preserve">The worker-type boundary</w:t>
      </w:r>
    </w:p>
    <w:p>
      <w:pPr>
        <w:pStyle w:val="FirstParagraph"/>
      </w:pPr>
      <w:r>
        <w:t xml:space="preserve">One authoritative attribute deserves special notice because entire policy families hang from it:</w:t>
      </w:r>
      <w:r>
        <w:t xml:space="preserve"> </w:t>
      </w:r>
      <w:r>
        <w:rPr>
          <w:b/>
          <w:bCs/>
        </w:rPr>
        <w:t xml:space="preserve">worker type.</w:t>
      </w:r>
      <w:r>
        <w:t xml:space="preserve"> </w:t>
      </w:r>
      <w:r>
        <w:t xml:space="preserve">Employee, contractor, intern, volunteer — the classification determines member-versus-guest treatment in the tenant, license assignment, access ceilings, and which conditional-access baseline applies. When worker type is a directory field someone sets at account creation, it is wrong exactly as often as staffing paperwork is ambiguous, and the errors are invisible because nothing reconciles them. When it is derived from the worker record, the contractor whose engagement ends loses access on the engagement’s end date (a leaver event for a non-employee), and the conversion seam — contractor on Friday, employee on Monday — is a re-derivation on the same identifier rather than a second identity with a second, forgotten first account. IA-4(4)’s status characterization (identifying each individual as, for example, a contractor) falls out of the same attribute for free: the characteristic is asserted by the system that classifies workers as a business act, not annotated by an administrator who heard about it.</w:t>
      </w:r>
    </w:p>
    <w:bookmarkEnd w:id="44"/>
    <w:bookmarkStart w:id="45" w:name="operating-rules"/>
    <w:p>
      <w:pPr>
        <w:pStyle w:val="Heading2"/>
      </w:pPr>
      <w:r>
        <w:t xml:space="preserve">Operating rules</w:t>
      </w:r>
    </w:p>
    <w:p>
      <w:pPr>
        <w:pStyle w:val="Compact"/>
        <w:numPr>
          <w:ilvl w:val="0"/>
          <w:numId w:val="1009"/>
        </w:numPr>
      </w:pPr>
      <w:r>
        <w:rPr>
          <w:b/>
          <w:bCs/>
        </w:rPr>
        <w:t xml:space="preserve">One master per attribute.</w:t>
      </w:r>
      <w:r>
        <w:t xml:space="preserve"> </w:t>
      </w:r>
      <w:r>
        <w:t xml:space="preserve">An attribute is authoritative in exactly one system. Writeback, if used, carries only identity-platform-mastered values (username, work email, work phone) to HR for display; it never touches an HR-mastered fact, and no attribute is writable in both directions.</w:t>
      </w:r>
    </w:p>
    <w:p>
      <w:pPr>
        <w:pStyle w:val="Compact"/>
        <w:numPr>
          <w:ilvl w:val="0"/>
          <w:numId w:val="1009"/>
        </w:numPr>
      </w:pPr>
      <w:r>
        <w:rPr>
          <w:b/>
          <w:bCs/>
        </w:rPr>
        <w:t xml:space="preserve">No manual edits to HR-derived attributes.</w:t>
      </w:r>
      <w:r>
        <w:t xml:space="preserve"> </w:t>
      </w:r>
      <w:r>
        <w:t xml:space="preserve">Any IT-originated write to an attribute the HR feed owns is a drift event (Chapter 09).</w:t>
      </w:r>
    </w:p>
    <w:p>
      <w:pPr>
        <w:pStyle w:val="Compact"/>
        <w:numPr>
          <w:ilvl w:val="0"/>
          <w:numId w:val="1009"/>
        </w:numPr>
      </w:pPr>
      <w:r>
        <w:rPr>
          <w:b/>
          <w:bCs/>
        </w:rPr>
        <w:t xml:space="preserve">Corrections flow upstream.</w:t>
      </w:r>
      <w:r>
        <w:t xml:space="preserve"> </w:t>
      </w:r>
      <w:r>
        <w:t xml:space="preserve">A wrong value is fixed in the HR record or in the mapping rule, never in the directory.</w:t>
      </w:r>
    </w:p>
    <w:p>
      <w:pPr>
        <w:pStyle w:val="Compact"/>
        <w:numPr>
          <w:ilvl w:val="0"/>
          <w:numId w:val="1009"/>
        </w:numPr>
      </w:pPr>
      <w:r>
        <w:rPr>
          <w:b/>
          <w:bCs/>
        </w:rPr>
        <w:t xml:space="preserve">Every event produces a provenance record.</w:t>
      </w:r>
      <w:r>
        <w:t xml:space="preserve"> </w:t>
      </w:r>
      <w:r>
        <w:t xml:space="preserve">No record, no closure.</w:t>
      </w:r>
    </w:p>
    <w:bookmarkEnd w:id="45"/>
    <w:bookmarkEnd w:id="46"/>
    <w:bookmarkStart w:id="81" w:name="chapter-04-the-provisioning-pipeline"/>
    <w:p>
      <w:pPr>
        <w:pStyle w:val="Heading1"/>
      </w:pPr>
      <w:r>
        <w:t xml:space="preserve">Chapter 04 — The Provisioning Pipeline</w:t>
      </w:r>
    </w:p>
    <w:p>
      <w:pPr>
        <w:pStyle w:val="FirstParagraph"/>
      </w:pPr>
      <w:r>
        <w:rPr>
          <w:i/>
          <w:iCs/>
        </w:rPr>
        <w:t xml:space="preserve">One door into the directory, so there is exactly one door to instrument.</w:t>
      </w:r>
    </w:p>
    <w:bookmarkStart w:id="47" w:name="in-this-chapter-4"/>
    <w:p>
      <w:pPr>
        <w:pStyle w:val="Heading2"/>
      </w:pPr>
      <w:r>
        <w:t xml:space="preserve">In this chapter</w:t>
      </w:r>
    </w:p>
    <w:p>
      <w:pPr>
        <w:pStyle w:val="FirstParagraph"/>
      </w:pPr>
      <w:r>
        <w:t xml:space="preserve">Why the canonical path is API-driven inbound provisioning. The Oracle HCM source surfaces. What the middleware must do for every event. The</w:t>
      </w:r>
      <w:r>
        <w:t xml:space="preserve"> </w:t>
      </w:r>
      <w:r>
        <w:rPr>
          <w:rStyle w:val="VerbatimChar"/>
        </w:rPr>
        <w:t xml:space="preserve">bulkUpload</w:t>
      </w:r>
      <w:r>
        <w:t xml:space="preserve"> </w:t>
      </w:r>
      <w:r>
        <w:t xml:space="preserve">contract and its limits. The two landing zones and what each one does with structure. Native connectors and writeback.</w:t>
      </w:r>
    </w:p>
    <w:bookmarkEnd w:id="47"/>
    <w:bookmarkStart w:id="50" w:name="the-shape"/>
    <w:p>
      <w:pPr>
        <w:pStyle w:val="Heading2"/>
      </w:pPr>
      <w:r>
        <w:t xml:space="preserve">The shape</w:t>
      </w:r>
    </w:p>
    <w:p>
      <w:pPr>
        <w:pStyle w:val="BlockText"/>
      </w:pPr>
      <w:r>
        <w:rPr>
          <w:b/>
          <w:bCs/>
        </w:rPr>
        <w:t xml:space="preserve">HR system of record → integration middleware → Microsoft Graph</w:t>
      </w:r>
      <w:r>
        <w:rPr>
          <w:b/>
          <w:bCs/>
        </w:rPr>
        <w:t xml:space="preserve"> </w:t>
      </w:r>
      <w:r>
        <w:rPr>
          <w:rStyle w:val="VerbatimChar"/>
          <w:b/>
          <w:bCs/>
        </w:rPr>
        <w:t xml:space="preserve">/bulkUpload</w:t>
      </w:r>
      <w:r>
        <w:rPr>
          <w:b/>
          <w:bCs/>
        </w:rPr>
        <w:t xml:space="preserve"> </w:t>
      </w:r>
      <w:r>
        <w:rPr>
          <w:b/>
          <w:bCs/>
        </w:rPr>
        <w:t xml:space="preserve">→ Entra provisioning service → Entra ID or on-premises Active Directory</w:t>
      </w:r>
    </w:p>
    <w:p>
      <w:pPr>
        <w:pStyle w:val="FirstParagraph"/>
      </w:pPr>
      <w:r>
        <w:t xml:space="preserve">The API client reads identity data from the authoritative source and posts it to the provisioning app’s</w:t>
      </w:r>
      <w:r>
        <w:t xml:space="preserve"> </w:t>
      </w:r>
      <w:r>
        <w:rPr>
          <w:rStyle w:val="VerbatimChar"/>
        </w:rPr>
        <w:t xml:space="preserve">/bulkUpload</w:t>
      </w:r>
      <w:r>
        <w:t xml:space="preserve"> </w:t>
      </w:r>
      <w:r>
        <w:t xml:space="preserve">endpoint as a SCIM bulk request. It doesn’t compare source and target values to decide whether to create, update, enable or disable; the provisioning service does that, applies the attribute mappings the administrator configured, and writes the user to on-premises AD (hybrid users) or to Entra ID (cloud-only users). The endpoint answers</w:t>
      </w:r>
      <w:r>
        <w:t xml:space="preserve"> </w:t>
      </w:r>
      <w:r>
        <w:rPr>
          <w:rStyle w:val="VerbatimChar"/>
        </w:rPr>
        <w:t xml:space="preserve">202 Accepted</w:t>
      </w:r>
      <w:r>
        <w:t xml:space="preserve"> </w:t>
      </w:r>
      <w:r>
        <w:t xml:space="preserve">and processes asynchronously; the client reads the provisioning logs API for the per-record result and resubmits failures.</w:t>
      </w:r>
      <w:r>
        <w:rPr>
          <w:rStyle w:val="FootnoteReference"/>
        </w:rPr>
        <w:footnoteReference w:id="48"/>
      </w:r>
    </w:p>
    <w:bookmarkEnd w:id="50"/>
    <w:bookmarkStart w:id="53" w:name="why-this-path-and-no-other"/>
    <w:p>
      <w:pPr>
        <w:pStyle w:val="Heading2"/>
      </w:pPr>
      <w:r>
        <w:t xml:space="preserve">Why this path and no other</w:t>
      </w:r>
    </w:p>
    <w:p>
      <w:pPr>
        <w:pStyle w:val="Compact"/>
        <w:numPr>
          <w:ilvl w:val="0"/>
          <w:numId w:val="1010"/>
        </w:numPr>
      </w:pPr>
      <w:r>
        <w:rPr>
          <w:b/>
          <w:bCs/>
        </w:rPr>
        <w:t xml:space="preserve">Oracle Fusion Cloud HCM has no native Entra connector.</w:t>
      </w:r>
      <w:r>
        <w:t xml:space="preserve"> </w:t>
      </w:r>
      <w:r>
        <w:t xml:space="preserve">Entra’s prebuilt HR connectors are for Workday and SAP SuccessFactors. Microsoft’s own Oracle HCM integration guidance</w:t>
      </w:r>
      <w:r>
        <w:t xml:space="preserve"> </w:t>
      </w:r>
      <w:r>
        <w:rPr>
          <w:i/>
          <w:iCs/>
        </w:rPr>
        <w:t xml:space="preserve">is</w:t>
      </w:r>
      <w:r>
        <w:t xml:space="preserve"> </w:t>
      </w:r>
      <w:r>
        <w:t xml:space="preserve">the API-driven pattern: CSV extracts for the initial load, ATOM feeds or HCM Extracts for deltas, and optional writeback through Oracle’s SCIM APIs.</w:t>
      </w:r>
      <w:r>
        <w:rPr>
          <w:rStyle w:val="FootnoteReference"/>
        </w:rPr>
        <w:footnoteReference w:id="51"/>
      </w:r>
    </w:p>
    <w:p>
      <w:pPr>
        <w:pStyle w:val="Compact"/>
        <w:numPr>
          <w:ilvl w:val="0"/>
          <w:numId w:val="1010"/>
        </w:numPr>
      </w:pPr>
      <w:r>
        <w:rPr>
          <w:b/>
          <w:bCs/>
        </w:rPr>
        <w:t xml:space="preserve">The architecture is source-agnostic; the deployed source is configuration.</w:t>
      </w:r>
      <w:r>
        <w:t xml:space="preserve"> </w:t>
      </w:r>
      <w:r>
        <w:t xml:space="preserve">The middleware normalizes any HR export into the same SCIM payload, so the</w:t>
      </w:r>
      <w:r>
        <w:t xml:space="preserve"> </w:t>
      </w:r>
      <w:r>
        <w:rPr>
          <w:rStyle w:val="VerbatimChar"/>
        </w:rPr>
        <w:t xml:space="preserve">/bulkUpload</w:t>
      </w:r>
      <w:r>
        <w:t xml:space="preserve"> </w:t>
      </w:r>
      <w:r>
        <w:t xml:space="preserve">call is identical whatever the source. If the source changes, the adapter changes; the pipeline and everything downstream don’t.</w:t>
      </w:r>
    </w:p>
    <w:p>
      <w:pPr>
        <w:pStyle w:val="Compact"/>
        <w:numPr>
          <w:ilvl w:val="0"/>
          <w:numId w:val="1010"/>
        </w:numPr>
      </w:pPr>
      <w:r>
        <w:rPr>
          <w:b/>
          <w:bCs/>
        </w:rPr>
        <w:t xml:space="preserve">One entry point gives one provenance stream.</w:t>
      </w:r>
      <w:r>
        <w:t xml:space="preserve"> </w:t>
      </w:r>
      <w:r>
        <w:t xml:space="preserve">All inbound identity writes pass through a single provisioning surface, which is what makes lineage and drift detection tractable (Chapter 09).</w:t>
      </w:r>
    </w:p>
    <w:p>
      <w:pPr>
        <w:pStyle w:val="Compact"/>
        <w:numPr>
          <w:ilvl w:val="0"/>
          <w:numId w:val="1010"/>
        </w:numPr>
      </w:pPr>
      <w:r>
        <w:rPr>
          <w:b/>
          <w:bCs/>
        </w:rPr>
        <w:t xml:space="preserve">The procurement points the same way.</w:t>
      </w:r>
      <w:r>
        <w:t xml:space="preserve"> </w:t>
      </w:r>
      <w:r>
        <w:t xml:space="preserve">The Core HCM solicitation’s requirements checklist asks for SCIM 2.0 near-real-time provisioning, the protocol this pipe speaks (Chapter 02).</w:t>
      </w:r>
    </w:p>
    <w:p>
      <w:pPr>
        <w:pStyle w:val="FirstParagraph"/>
      </w:pPr>
      <w:r>
        <w:t xml:space="preserve">If Microsoft later ships a native Oracle HCM connector, it becomes an optimization inside this architecture, not a replacement for it.</w:t>
      </w:r>
    </w:p>
    <w:bookmarkEnd w:id="53"/>
    <w:bookmarkStart w:id="54" w:name="the-source-oracle-fusion-cloud-hcm"/>
    <w:p>
      <w:pPr>
        <w:pStyle w:val="Heading2"/>
      </w:pPr>
      <w:r>
        <w:t xml:space="preserve">The source: Oracle Fusion Cloud HCM</w:t>
      </w:r>
    </w:p>
    <w:p>
      <w:pPr>
        <w:pStyle w:val="TableCaption"/>
      </w:pPr>
      <w:r>
        <w:t xml:space="preserve">Oracle HCM source surfaces</w:t>
      </w:r>
    </w:p>
    <w:tbl>
      <w:tblPr>
        <w:tblStyle w:val="Table"/>
        <w:tblW w:type="pct" w:w="5000"/>
        <w:tblLayout w:type="fixed"/>
        <w:tblLook w:firstRow="1" w:lastRow="0" w:firstColumn="0" w:lastColumn="0" w:noHBand="0" w:noVBand="0" w:val="0020"/>
        <w:tblCaption w:val="Oracle HCM source surfaces"/>
      </w:tblPr>
      <w:tblGrid>
        <w:gridCol w:w="2640"/>
        <w:gridCol w:w="2640"/>
        <w:gridCol w:w="2640"/>
      </w:tblGrid>
      <w:tr>
        <w:trPr>
          <w:tblHeader w:val="on"/>
        </w:trPr>
        <w:tc>
          <w:tcPr/>
          <w:p>
            <w:pPr>
              <w:pStyle w:val="Compact"/>
            </w:pPr>
            <w:r>
              <w:t xml:space="preserve">Sync</w:t>
            </w:r>
          </w:p>
        </w:tc>
        <w:tc>
          <w:tcPr/>
          <w:p>
            <w:pPr>
              <w:pStyle w:val="Compact"/>
            </w:pPr>
            <w:r>
              <w:t xml:space="preserve">Mechanism</w:t>
            </w:r>
          </w:p>
        </w:tc>
        <w:tc>
          <w:tcPr/>
          <w:p>
            <w:pPr>
              <w:pStyle w:val="Compact"/>
            </w:pPr>
            <w:r>
              <w:t xml:space="preserve">Notes</w:t>
            </w:r>
          </w:p>
        </w:tc>
      </w:tr>
      <w:tr>
        <w:tc>
          <w:tcPr/>
          <w:p>
            <w:pPr>
              <w:pStyle w:val="Compact"/>
            </w:pPr>
            <w:r>
              <w:t xml:space="preserve">Initial / full</w:t>
            </w:r>
          </w:p>
        </w:tc>
        <w:tc>
          <w:tcPr/>
          <w:p>
            <w:pPr>
              <w:pStyle w:val="Compact"/>
            </w:pPr>
            <w:r>
              <w:t xml:space="preserve">HCM Extracts (or BI Publisher) to CSV</w:t>
            </w:r>
          </w:p>
        </w:tc>
        <w:tc>
          <w:tcPr/>
          <w:p>
            <w:pPr>
              <w:pStyle w:val="Compact"/>
            </w:pPr>
            <w:r>
              <w:t xml:space="preserve">Full worker population, scoped by the filter rules of Chapter 10, Phase 1</w:t>
            </w:r>
          </w:p>
        </w:tc>
      </w:tr>
      <w:tr>
        <w:tc>
          <w:tcPr/>
          <w:p>
            <w:pPr>
              <w:pStyle w:val="Compact"/>
            </w:pPr>
            <w:r>
              <w:t xml:space="preserve">Delta</w:t>
            </w:r>
          </w:p>
        </w:tc>
        <w:tc>
          <w:tcPr/>
          <w:p>
            <w:pPr>
              <w:pStyle w:val="Compact"/>
            </w:pPr>
            <w:r>
              <w:t xml:space="preserve">ATOM feeds:</w:t>
            </w:r>
            <w:r>
              <w:t xml:space="preserve"> </w:t>
            </w:r>
            <w:r>
              <w:rPr>
                <w:rStyle w:val="VerbatimChar"/>
              </w:rPr>
              <w:t xml:space="preserve">newhire</w:t>
            </w:r>
            <w:r>
              <w:t xml:space="preserve">,</w:t>
            </w:r>
            <w:r>
              <w:t xml:space="preserve"> </w:t>
            </w:r>
            <w:r>
              <w:rPr>
                <w:rStyle w:val="VerbatimChar"/>
              </w:rPr>
              <w:t xml:space="preserve">empassignment</w:t>
            </w:r>
            <w:r>
              <w:t xml:space="preserve">,</w:t>
            </w:r>
            <w:r>
              <w:t xml:space="preserve"> </w:t>
            </w:r>
            <w:r>
              <w:rPr>
                <w:rStyle w:val="VerbatimChar"/>
              </w:rPr>
              <w:t xml:space="preserve">empupdate</w:t>
            </w:r>
            <w:r>
              <w:t xml:space="preserve">,</w:t>
            </w:r>
            <w:r>
              <w:t xml:space="preserve"> </w:t>
            </w:r>
            <w:r>
              <w:rPr>
                <w:rStyle w:val="VerbatimChar"/>
              </w:rPr>
              <w:t xml:space="preserve">termination</w:t>
            </w:r>
            <w:r>
              <w:t xml:space="preserve">,</w:t>
            </w:r>
            <w:r>
              <w:t xml:space="preserve"> </w:t>
            </w:r>
            <w:r>
              <w:rPr>
                <w:rStyle w:val="VerbatimChar"/>
              </w:rPr>
              <w:t xml:space="preserve">cancelworkrelship</w:t>
            </w:r>
            <w:r>
              <w:t xml:space="preserve">,</w:t>
            </w:r>
            <w:r>
              <w:t xml:space="preserve"> </w:t>
            </w:r>
            <w:r>
              <w:rPr>
                <w:rStyle w:val="VerbatimChar"/>
              </w:rPr>
              <w:t xml:space="preserve">workrelshipupdate</w:t>
            </w:r>
          </w:p>
        </w:tc>
        <w:tc>
          <w:tcPr/>
          <w:p>
            <w:pPr>
              <w:pStyle w:val="Compact"/>
            </w:pPr>
            <w:r>
              <w:t xml:space="preserve">Turn on immediately after the initial sync; a gap loses changes</w:t>
            </w:r>
          </w:p>
        </w:tc>
      </w:tr>
      <w:tr>
        <w:tc>
          <w:tcPr/>
          <w:p>
            <w:pPr>
              <w:pStyle w:val="Compact"/>
            </w:pPr>
            <w:r>
              <w:t xml:space="preserve">Delta (alternative)</w:t>
            </w:r>
          </w:p>
        </w:tc>
        <w:tc>
          <w:tcPr/>
          <w:p>
            <w:pPr>
              <w:pStyle w:val="Compact"/>
            </w:pPr>
            <w:r>
              <w:t xml:space="preserve">Periodic HCM Extract deltas</w:t>
            </w:r>
          </w:p>
        </w:tc>
        <w:tc>
          <w:tcPr/>
          <w:p>
            <w:pPr>
              <w:pStyle w:val="Compact"/>
            </w:pPr>
            <w:r>
              <w:t xml:space="preserve">Simpler; latency equals the extract cadence</w:t>
            </w:r>
          </w:p>
        </w:tc>
      </w:tr>
      <w:tr>
        <w:tc>
          <w:tcPr/>
          <w:p>
            <w:pPr>
              <w:pStyle w:val="Compact"/>
            </w:pPr>
            <w:r>
              <w:t xml:space="preserve">Enrichment</w:t>
            </w:r>
          </w:p>
        </w:tc>
        <w:tc>
          <w:tcPr/>
          <w:p>
            <w:pPr>
              <w:pStyle w:val="Compact"/>
            </w:pPr>
            <w:r>
              <w:rPr>
                <w:rStyle w:val="VerbatimChar"/>
              </w:rPr>
              <w:t xml:space="preserve">workers</w:t>
            </w:r>
            <w:r>
              <w:t xml:space="preserve"> </w:t>
            </w:r>
            <w:r>
              <w:t xml:space="preserve">/</w:t>
            </w:r>
            <w:r>
              <w:t xml:space="preserve"> </w:t>
            </w:r>
            <w:r>
              <w:rPr>
                <w:rStyle w:val="VerbatimChar"/>
              </w:rPr>
              <w:t xml:space="preserve">employees</w:t>
            </w:r>
            <w:r>
              <w:t xml:space="preserve"> </w:t>
            </w:r>
            <w:r>
              <w:t xml:space="preserve">REST endpoints</w:t>
            </w:r>
          </w:p>
        </w:tc>
        <w:tc>
          <w:tcPr/>
          <w:p>
            <w:pPr>
              <w:pStyle w:val="Compact"/>
            </w:pPr>
            <w:r>
              <w:t xml:space="preserve">When a feed event doesn’t carry an attribute the payload needs</w:t>
            </w:r>
          </w:p>
        </w:tc>
      </w:tr>
    </w:tbl>
    <w:p>
      <w:pPr>
        <w:pStyle w:val="BodyText"/>
      </w:pPr>
      <w:r>
        <w:rPr>
          <w:b/>
          <w:bCs/>
        </w:rPr>
        <w:t xml:space="preserve">Match key:</w:t>
      </w:r>
      <w:r>
        <w:t xml:space="preserve"> </w:t>
      </w:r>
      <w:r>
        <w:t xml:space="preserve">Oracle</w:t>
      </w:r>
      <w:r>
        <w:t xml:space="preserve"> </w:t>
      </w:r>
      <w:r>
        <w:rPr>
          <w:rStyle w:val="VerbatimChar"/>
        </w:rPr>
        <w:t xml:space="preserve">PersonNumber</w:t>
      </w:r>
      <w:r>
        <w:t xml:space="preserve"> </w:t>
      </w:r>
      <w:r>
        <w:t xml:space="preserve">to</w:t>
      </w:r>
      <w:r>
        <w:t xml:space="preserve"> </w:t>
      </w:r>
      <w:r>
        <w:rPr>
          <w:rStyle w:val="VerbatimChar"/>
        </w:rPr>
        <w:t xml:space="preserve">employeeId</w:t>
      </w:r>
      <w:r>
        <w:t xml:space="preserve"> </w:t>
      </w:r>
      <w:r>
        <w:t xml:space="preserve">in Entra ID and AD. The employee ID must be populated on existing accounts</w:t>
      </w:r>
      <w:r>
        <w:t xml:space="preserve"> </w:t>
      </w:r>
      <w:r>
        <w:rPr>
          <w:b/>
          <w:bCs/>
        </w:rPr>
        <w:t xml:space="preserve">before</w:t>
      </w:r>
      <w:r>
        <w:t xml:space="preserve"> </w:t>
      </w:r>
      <w:r>
        <w:t xml:space="preserve">the first full sync; matching is what prevents duplicate identities at go-live.</w:t>
      </w:r>
    </w:p>
    <w:bookmarkEnd w:id="54"/>
    <w:bookmarkStart w:id="57" w:name="the-middleware-four-duties-per-event"/>
    <w:p>
      <w:pPr>
        <w:pStyle w:val="Heading2"/>
      </w:pPr>
      <w:r>
        <w:t xml:space="preserve">The middleware: four duties per event</w:t>
      </w:r>
    </w:p>
    <w:p>
      <w:pPr>
        <w:pStyle w:val="FirstParagraph"/>
      </w:pPr>
      <w:r>
        <w:t xml:space="preserve">Azure Functions or Logic Apps, inside the agency’s authorization boundary, doing four things for every event:</w:t>
      </w:r>
    </w:p>
    <w:p>
      <w:pPr>
        <w:pStyle w:val="Compact"/>
        <w:numPr>
          <w:ilvl w:val="0"/>
          <w:numId w:val="1011"/>
        </w:numPr>
      </w:pPr>
      <w:r>
        <w:rPr>
          <w:b/>
          <w:bCs/>
        </w:rPr>
        <w:t xml:space="preserve">Validate.</w:t>
      </w:r>
      <w:r>
        <w:t xml:space="preserve"> </w:t>
      </w:r>
      <w:r>
        <w:t xml:space="preserve">Required attributes present; unknown worker types refused. Fail closed.</w:t>
      </w:r>
    </w:p>
    <w:p>
      <w:pPr>
        <w:pStyle w:val="Compact"/>
        <w:numPr>
          <w:ilvl w:val="0"/>
          <w:numId w:val="1011"/>
        </w:numPr>
      </w:pPr>
      <w:r>
        <w:rPr>
          <w:b/>
          <w:bCs/>
        </w:rPr>
        <w:t xml:space="preserve">Sequence and retry.</w:t>
      </w:r>
      <w:r>
        <w:t xml:space="preserve"> </w:t>
      </w:r>
      <w:r>
        <w:t xml:space="preserve">Apply feed events in order and handle failures explicitly. An out-of-order mover/leaver pair is a correctness bug and a dropped event is a silent drift source. A failed transform retries and is recorded, never skipped.</w:t>
      </w:r>
    </w:p>
    <w:p>
      <w:pPr>
        <w:pStyle w:val="Compact"/>
        <w:numPr>
          <w:ilvl w:val="0"/>
          <w:numId w:val="1011"/>
        </w:numPr>
      </w:pPr>
      <w:r>
        <w:rPr>
          <w:b/>
          <w:bCs/>
        </w:rPr>
        <w:t xml:space="preserve">Normalize to SCIM.</w:t>
      </w:r>
      <w:r>
        <w:t xml:space="preserve"> </w:t>
      </w:r>
      <w:r>
        <w:t xml:space="preserve">Build the bulk request (</w:t>
      </w:r>
      <w:r>
        <w:rPr>
          <w:rStyle w:val="VerbatimChar"/>
        </w:rPr>
        <w:t xml:space="preserve">urn:ietf:params:scim:api:messages:2.0:BulkRequest</w:t>
      </w:r>
      <w:r>
        <w:t xml:space="preserve">) with the core and enterprise user schemas, plus a schema extension for any attribute the core schemas don’t carry.</w:t>
      </w:r>
      <w:r>
        <w:rPr>
          <w:rStyle w:val="FootnoteReference"/>
        </w:rPr>
        <w:footnoteReference w:id="55"/>
      </w:r>
      <w:r>
        <w:t xml:space="preserve"> </w:t>
      </w:r>
      <w:r>
        <w:t xml:space="preserve">The canonical payload is defined in Chapter 05.</w:t>
      </w:r>
    </w:p>
    <w:p>
      <w:pPr>
        <w:pStyle w:val="Compact"/>
        <w:numPr>
          <w:ilvl w:val="0"/>
          <w:numId w:val="1011"/>
        </w:numPr>
      </w:pPr>
      <w:r>
        <w:rPr>
          <w:b/>
          <w:bCs/>
        </w:rPr>
        <w:t xml:space="preserve">Write provenance.</w:t>
      </w:r>
      <w:r>
        <w:t xml:space="preserve"> </w:t>
      </w:r>
      <w:r>
        <w:t xml:space="preserve">One record per event (source event ID, payload hash, derivation inputs, outcome) to the agency’s evidence store, before the Graph call returns. No record, no closure.</w:t>
      </w:r>
    </w:p>
    <w:p>
      <w:pPr>
        <w:pStyle w:val="FirstParagraph"/>
      </w:pPr>
      <w:r>
        <w:t xml:space="preserve">The middleware never writes back to the HR system’s HR-mastered facts. Send the complete user record in every request, for full and delta syncs alike: if clearing attribute values is enabled, an omitted or null mapped attribute can clear the target value.</w:t>
      </w:r>
      <w:r>
        <w:rPr>
          <w:rStyle w:val="FootnoteReference"/>
        </w:rPr>
        <w:footnoteReference w:id="56"/>
      </w:r>
    </w:p>
    <w:bookmarkEnd w:id="57"/>
    <w:bookmarkStart w:id="64" w:name="the-bulkupload-contract"/>
    <w:p>
      <w:pPr>
        <w:pStyle w:val="Heading2"/>
      </w:pPr>
      <w:r>
        <w:t xml:space="preserve">The</w:t>
      </w:r>
      <w:r>
        <w:t xml:space="preserve"> </w:t>
      </w:r>
      <w:r>
        <w:rPr>
          <w:rStyle w:val="VerbatimChar"/>
        </w:rPr>
        <w:t xml:space="preserve">/bulkUpload</w:t>
      </w:r>
      <w:r>
        <w:t xml:space="preserve"> </w:t>
      </w:r>
      <w:r>
        <w:t xml:space="preserve">contract</w:t>
      </w:r>
    </w:p>
    <w:p>
      <w:pPr>
        <w:pStyle w:val="TableCaption"/>
      </w:pPr>
      <w:r>
        <w:t xml:space="preserve">The</w:t>
      </w:r>
      <w:r>
        <w:t xml:space="preserve"> </w:t>
      </w:r>
      <w:r>
        <w:rPr>
          <w:rStyle w:val="VerbatimChar"/>
        </w:rPr>
        <w:t xml:space="preserve">/bulkUpload</w:t>
      </w:r>
      <w:r>
        <w:t xml:space="preserve"> </w:t>
      </w:r>
      <w:r>
        <w:t xml:space="preserve">envelope</w:t>
      </w:r>
      <w:r>
        <w:rPr>
          <w:rStyle w:val="FootnoteReference"/>
        </w:rPr>
        <w:footnoteReference w:id="58"/>
      </w:r>
    </w:p>
    <w:tbl>
      <w:tblPr>
        <w:tblStyle w:val="Table"/>
        <w:tblW w:type="pct" w:w="5000"/>
        <w:tblLayout w:type="fixed"/>
        <w:tblLook w:firstRow="1" w:lastRow="0" w:firstColumn="0" w:lastColumn="0" w:noHBand="0" w:noVBand="0" w:val="0020"/>
        <w:tblCaption w:val="The /bulkUpload envelope"/>
      </w:tblPr>
      <w:tblGrid>
        <w:gridCol w:w="3960"/>
        <w:gridCol w:w="3960"/>
      </w:tblGrid>
      <w:tr>
        <w:trPr>
          <w:tblHeader w:val="on"/>
        </w:trPr>
        <w:tc>
          <w:tcPr/>
          <w:p>
            <w:pPr>
              <w:pStyle w:val="Compact"/>
            </w:pPr>
            <w:r>
              <w:t xml:space="preserve">Property</w:t>
            </w:r>
          </w:p>
        </w:tc>
        <w:tc>
          <w:tcPr/>
          <w:p>
            <w:pPr>
              <w:pStyle w:val="Compact"/>
            </w:pPr>
            <w:r>
              <w:t xml:space="preserve">Value</w:t>
            </w:r>
          </w:p>
        </w:tc>
      </w:tr>
      <w:tr>
        <w:tc>
          <w:tcPr/>
          <w:p>
            <w:pPr>
              <w:pStyle w:val="Compact"/>
            </w:pPr>
            <w:r>
              <w:t xml:space="preserve">Endpoint</w:t>
            </w:r>
          </w:p>
        </w:tc>
        <w:tc>
          <w:tcPr/>
          <w:p>
            <w:pPr>
              <w:pStyle w:val="Compact"/>
            </w:pPr>
            <w:r>
              <w:t xml:space="preserve">Microsoft Graph, worldwide endpoint</w:t>
            </w:r>
            <w:r>
              <w:t xml:space="preserve"> </w:t>
            </w:r>
            <w:r>
              <w:rPr>
                <w:rStyle w:val="VerbatimChar"/>
              </w:rPr>
              <w:t xml:space="preserve">graph.microsoft.com</w:t>
            </w:r>
            <w:r>
              <w:t xml:space="preserve"> </w:t>
            </w:r>
            <w:r>
              <w:t xml:space="preserve">(Microsoft 365 GCC tenants use the worldwide endpoints)</w:t>
            </w:r>
            <w:r>
              <w:rPr>
                <w:rStyle w:val="FootnoteReference"/>
              </w:rPr>
              <w:footnoteReference w:id="59"/>
            </w:r>
          </w:p>
        </w:tc>
      </w:tr>
      <w:tr>
        <w:tc>
          <w:tcPr/>
          <w:p>
            <w:pPr>
              <w:pStyle w:val="Compact"/>
            </w:pPr>
            <w:r>
              <w:t xml:space="preserve">Payload</w:t>
            </w:r>
          </w:p>
        </w:tc>
        <w:tc>
          <w:tcPr/>
          <w:p>
            <w:pPr>
              <w:pStyle w:val="Compact"/>
            </w:pPr>
            <w:r>
              <w:t xml:space="preserve">SCIM bulk request; up to 50 operations per call</w:t>
            </w:r>
          </w:p>
        </w:tc>
      </w:tr>
      <w:tr>
        <w:tc>
          <w:tcPr/>
          <w:p>
            <w:pPr>
              <w:pStyle w:val="Compact"/>
            </w:pPr>
            <w:r>
              <w:t xml:space="preserve">Throttling</w:t>
            </w:r>
          </w:p>
        </w:tc>
        <w:tc>
          <w:tcPr/>
          <w:p>
            <w:pPr>
              <w:pStyle w:val="Compact"/>
            </w:pPr>
            <w:r>
              <w:t xml:space="preserve">40 calls in any 5-second window; HTTP 429 beyond it</w:t>
            </w:r>
          </w:p>
        </w:tc>
      </w:tr>
      <w:tr>
        <w:tc>
          <w:tcPr/>
          <w:p>
            <w:pPr>
              <w:pStyle w:val="Compact"/>
            </w:pPr>
            <w:r>
              <w:t xml:space="preserve">Tenant daily cap</w:t>
            </w:r>
          </w:p>
        </w:tc>
        <w:tc>
          <w:tcPr/>
          <w:p>
            <w:pPr>
              <w:pStyle w:val="Compact"/>
            </w:pPr>
            <w:r>
              <w:t xml:space="preserve">2,000 calls per 24 hours with Entra ID P1/P2; 6,000 with Entra ID Governance</w:t>
            </w:r>
          </w:p>
        </w:tc>
      </w:tr>
      <w:tr>
        <w:tc>
          <w:tcPr/>
          <w:p>
            <w:pPr>
              <w:pStyle w:val="Compact"/>
            </w:pPr>
            <w:r>
              <w:t xml:space="preserve">Graph permissions for the client</w:t>
            </w:r>
          </w:p>
        </w:tc>
        <w:tc>
          <w:tcPr/>
          <w:p>
            <w:pPr>
              <w:pStyle w:val="Compact"/>
            </w:pPr>
            <w:r>
              <w:rPr>
                <w:rStyle w:val="VerbatimChar"/>
              </w:rPr>
              <w:t xml:space="preserve">SynchronizationData-User.Upload</w:t>
            </w:r>
            <w:r>
              <w:t xml:space="preserve"> </w:t>
            </w:r>
            <w:r>
              <w:t xml:space="preserve">and</w:t>
            </w:r>
            <w:r>
              <w:t xml:space="preserve"> </w:t>
            </w:r>
            <w:r>
              <w:rPr>
                <w:rStyle w:val="VerbatimChar"/>
              </w:rPr>
              <w:t xml:space="preserve">ProvisioningLog.Read.All</w:t>
            </w:r>
          </w:p>
        </w:tc>
      </w:tr>
      <w:tr>
        <w:tc>
          <w:tcPr/>
          <w:p>
            <w:pPr>
              <w:pStyle w:val="Compact"/>
            </w:pPr>
            <w:r>
              <w:t xml:space="preserve">Licensing floor</w:t>
            </w:r>
          </w:p>
        </w:tc>
        <w:tc>
          <w:tcPr/>
          <w:p>
            <w:pPr>
              <w:pStyle w:val="Compact"/>
            </w:pPr>
            <w:r>
              <w:t xml:space="preserve">Entra ID P1; Entra ID Governance for Lifecycle Workflows</w:t>
            </w:r>
          </w:p>
        </w:tc>
      </w:tr>
    </w:tbl>
    <w:p>
      <w:pPr>
        <w:pStyle w:val="BodyText"/>
      </w:pPr>
      <w:r>
        <w:t xml:space="preserve">Each endpoint belongs to one provisioning app, and an agency with several sources (HR for employees, a contractor system, a badging system that only updates attributes) creates one app per source.</w:t>
      </w:r>
      <w:r>
        <w:rPr>
          <w:rStyle w:val="FootnoteReference"/>
        </w:rPr>
        <w:footnoteReference w:id="61"/>
      </w:r>
      <w:r>
        <w:rPr>
          <w:rStyle w:val="FootnoteReference"/>
        </w:rPr>
        <w:footnoteReference w:id="62"/>
      </w:r>
    </w:p>
    <w:bookmarkEnd w:id="64"/>
    <w:bookmarkStart w:id="77" w:name="two-landing-zones"/>
    <w:p>
      <w:pPr>
        <w:pStyle w:val="Heading2"/>
      </w:pPr>
      <w:r>
        <w:t xml:space="preserve">Two landing zones</w:t>
      </w:r>
    </w:p>
    <w:p>
      <w:pPr>
        <w:pStyle w:val="FirstParagraph"/>
      </w:pPr>
      <w:r>
        <w:t xml:space="preserve">The same HR feed can land in two places, separately or at the same time:</w:t>
      </w:r>
    </w:p>
    <w:p>
      <w:pPr>
        <w:pStyle w:val="Compact"/>
        <w:numPr>
          <w:ilvl w:val="0"/>
          <w:numId w:val="1012"/>
        </w:numPr>
      </w:pPr>
      <w:r>
        <w:rPr>
          <w:b/>
          <w:bCs/>
        </w:rPr>
        <w:t xml:space="preserve">API-driven inbound provisioning to Microsoft Entra ID</w:t>
      </w:r>
      <w:r>
        <w:t xml:space="preserve"> </w:t>
      </w:r>
      <w:r>
        <w:t xml:space="preserve">creates cloud-only users directly.</w:t>
      </w:r>
    </w:p>
    <w:p>
      <w:pPr>
        <w:pStyle w:val="Compact"/>
        <w:numPr>
          <w:ilvl w:val="0"/>
          <w:numId w:val="1012"/>
        </w:numPr>
      </w:pPr>
      <w:r>
        <w:rPr>
          <w:b/>
          <w:bCs/>
        </w:rPr>
        <w:t xml:space="preserve">API-driven inbound provisioning to on-premises Active Directory</w:t>
      </w:r>
      <w:r>
        <w:t xml:space="preserve"> </w:t>
      </w:r>
      <w:r>
        <w:t xml:space="preserve">delivers the same payloads through the Microsoft Entra provisioning agent, which writes to AD DS from inside the agency network; Entra Connect then projects the user to the cloud.</w:t>
      </w:r>
      <w:r>
        <w:rPr>
          <w:rStyle w:val="FootnoteReference"/>
        </w:rPr>
        <w:footnoteReference w:id="65"/>
      </w:r>
      <w:r>
        <w:rPr>
          <w:rStyle w:val="FootnoteReference"/>
        </w:rPr>
        <w:footnoteReference w:id="66"/>
      </w:r>
    </w:p>
    <w:bookmarkStart w:id="75" w:name="landing-in-active-directory"/>
    <w:p>
      <w:pPr>
        <w:pStyle w:val="Heading3"/>
      </w:pPr>
      <w:r>
        <w:t xml:space="preserve">Landing in Active Directory</w:t>
      </w:r>
    </w:p>
    <w:p>
      <w:pPr>
        <w:pStyle w:val="Compact"/>
        <w:numPr>
          <w:ilvl w:val="0"/>
          <w:numId w:val="1013"/>
        </w:numPr>
      </w:pPr>
      <w:r>
        <w:rPr>
          <w:b/>
          <w:bCs/>
        </w:rPr>
        <w:t xml:space="preserve">The OU is computed, not hand-picked.</w:t>
      </w:r>
      <w:r>
        <w:t xml:space="preserve"> </w:t>
      </w:r>
      <w:r>
        <w:t xml:space="preserve">An expression mapping on</w:t>
      </w:r>
      <w:r>
        <w:t xml:space="preserve"> </w:t>
      </w:r>
      <w:r>
        <w:rPr>
          <w:rStyle w:val="VerbatimChar"/>
        </w:rPr>
        <w:t xml:space="preserve">parentDistinguishedName</w:t>
      </w:r>
      <w:r>
        <w:t xml:space="preserve"> </w:t>
      </w:r>
      <w:r>
        <w:t xml:space="preserve">derives the destination domain and OU from HR attributes.</w:t>
      </w:r>
      <w:r>
        <w:rPr>
          <w:rStyle w:val="FootnoteReference"/>
        </w:rPr>
        <w:footnoteReference w:id="67"/>
      </w:r>
    </w:p>
    <w:p>
      <w:pPr>
        <w:pStyle w:val="Compact"/>
        <w:numPr>
          <w:ilvl w:val="0"/>
          <w:numId w:val="1013"/>
        </w:numPr>
      </w:pPr>
      <w:r>
        <w:rPr>
          <w:b/>
          <w:bCs/>
        </w:rPr>
        <w:t xml:space="preserve">The reporting line becomes a reference.</w:t>
      </w:r>
      <w:r>
        <w:t xml:space="preserve"> </w:t>
      </w:r>
      <w:r>
        <w:t xml:space="preserve">The provisioning service writes AD’s</w:t>
      </w:r>
      <w:r>
        <w:t xml:space="preserve"> </w:t>
      </w:r>
      <w:r>
        <w:rPr>
          <w:rStyle w:val="VerbatimChar"/>
        </w:rPr>
        <w:t xml:space="preserve">manager</w:t>
      </w:r>
      <w:r>
        <w:t xml:space="preserve"> </w:t>
      </w:r>
      <w:r>
        <w:t xml:space="preserve">attribute as a DN reference to the already-provisioned supervisor; for cross-domain managers Microsoft recommends a separate app that updates only</w:t>
      </w:r>
      <w:r>
        <w:t xml:space="preserve"> </w:t>
      </w:r>
      <w:r>
        <w:rPr>
          <w:rStyle w:val="VerbatimChar"/>
        </w:rPr>
        <w:t xml:space="preserve">manager</w:t>
      </w:r>
      <w:r>
        <w:t xml:space="preserve">.</w:t>
      </w:r>
      <w:r>
        <w:rPr>
          <w:rStyle w:val="FootnoteReference"/>
        </w:rPr>
        <w:footnoteReference w:id="69"/>
      </w:r>
    </w:p>
    <w:p>
      <w:pPr>
        <w:pStyle w:val="Compact"/>
        <w:numPr>
          <w:ilvl w:val="0"/>
          <w:numId w:val="1013"/>
        </w:numPr>
      </w:pPr>
      <w:r>
        <w:rPr>
          <w:b/>
          <w:bCs/>
        </w:rPr>
        <w:t xml:space="preserve">High availability.</w:t>
      </w:r>
      <w:r>
        <w:t xml:space="preserve"> </w:t>
      </w:r>
      <w:r>
        <w:t xml:space="preserve">Deploy at least two provisioning agents, on servers with line of sight to the domain controllers.</w:t>
      </w:r>
      <w:r>
        <w:rPr>
          <w:rStyle w:val="FootnoteReference"/>
        </w:rPr>
        <w:footnoteReference w:id="70"/>
      </w:r>
      <w:r>
        <w:t xml:space="preserve"> </w:t>
      </w:r>
      <w:r>
        <w:t xml:space="preserve">The agent service runs as a group managed service account (gMSA); Domain or Enterprise Administrator credentials are needed once, to create it, not to run the agent.</w:t>
      </w:r>
      <w:r>
        <w:rPr>
          <w:rStyle w:val="FootnoteReference"/>
        </w:rPr>
        <w:footnoteReference w:id="71"/>
      </w:r>
      <w:r>
        <w:t xml:space="preserve"> </w:t>
      </w:r>
      <w:r>
        <w:t xml:space="preserve">Delegate the gMSA rights to the target OUs only.</w:t>
      </w:r>
    </w:p>
    <w:p>
      <w:pPr>
        <w:pStyle w:val="Compact"/>
        <w:numPr>
          <w:ilvl w:val="0"/>
          <w:numId w:val="1013"/>
        </w:numPr>
      </w:pPr>
      <w:r>
        <w:rPr>
          <w:b/>
          <w:bCs/>
        </w:rPr>
        <w:t xml:space="preserve">Termination reaches the domain controller.</w:t>
      </w:r>
      <w:r>
        <w:t xml:space="preserve"> </w:t>
      </w:r>
      <w:r>
        <w:t xml:space="preserve">The SCIM</w:t>
      </w:r>
      <w:r>
        <w:t xml:space="preserve"> </w:t>
      </w:r>
      <w:r>
        <w:rPr>
          <w:rStyle w:val="VerbatimChar"/>
        </w:rPr>
        <w:t xml:space="preserve">active</w:t>
      </w:r>
      <w:r>
        <w:t xml:space="preserve"> </w:t>
      </w:r>
      <w:r>
        <w:t xml:space="preserve">value maps to AD’s</w:t>
      </w:r>
      <w:r>
        <w:t xml:space="preserve"> </w:t>
      </w:r>
      <w:r>
        <w:rPr>
          <w:rStyle w:val="VerbatimChar"/>
        </w:rPr>
        <w:t xml:space="preserve">accountDisabled</w:t>
      </w:r>
      <w:r>
        <w:t xml:space="preserve">, so an HR termination disables the AD account, and Entra Connect carries that state to the cloud.</w:t>
      </w:r>
      <w:r>
        <w:rPr>
          <w:rStyle w:val="FootnoteReference"/>
        </w:rPr>
        <w:footnoteReference w:id="73"/>
      </w:r>
      <w:r>
        <w:rPr>
          <w:rStyle w:val="FootnoteReference"/>
        </w:rPr>
        <w:footnoteReference w:id="74"/>
      </w:r>
    </w:p>
    <w:p>
      <w:pPr>
        <w:pStyle w:val="FirstParagraph"/>
      </w:pPr>
      <w:r>
        <w:t xml:space="preserve">The caveat:</w:t>
      </w:r>
      <w:r>
        <w:t xml:space="preserve"> </w:t>
      </w:r>
      <w:r>
        <w:rPr>
          <w:b/>
          <w:bCs/>
        </w:rPr>
        <w:t xml:space="preserve">AD stores structure as place.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can’t make AD attribute-native.</w:t>
      </w:r>
    </w:p>
    <w:bookmarkEnd w:id="75"/>
    <w:bookmarkStart w:id="76" w:name="landing-in-entra-id"/>
    <w:p>
      <w:pPr>
        <w:pStyle w:val="Heading3"/>
      </w:pPr>
      <w:r>
        <w:t xml:space="preserve">Landing in Entra ID</w:t>
      </w:r>
    </w:p>
    <w:p>
      <w:pPr>
        <w:pStyle w:val="FirstParagraph"/>
      </w:pPr>
      <w:r>
        <w:t xml:space="preserve">Entra ID has no OUs. The worker record lands as attributes, and structure becomes data:</w:t>
      </w:r>
      <w:r>
        <w:t xml:space="preserve"> </w:t>
      </w:r>
      <w:r>
        <w:rPr>
          <w:rStyle w:val="VerbatimChar"/>
        </w:rPr>
        <w:t xml:space="preserve">manager</w:t>
      </w:r>
      <w:r>
        <w:t xml:space="preserve"> </w:t>
      </w:r>
      <w:r>
        <w:t xml:space="preserve">(a directory relationship that drives the org chart in Teams and Outlook and approval routing),</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t>
      </w:r>
      <w:r>
        <w:rPr>
          <w:rStyle w:val="VerbatimChar"/>
        </w:rPr>
        <w:t xml:space="preserve">division</w:t>
      </w:r>
      <w:r>
        <w:t xml:space="preserve">,</w:t>
      </w:r>
      <w:r>
        <w:t xml:space="preserve"> </w:t>
      </w:r>
      <w:r>
        <w:rPr>
          <w:rStyle w:val="VerbatimChar"/>
        </w:rPr>
        <w:t xml:space="preserve">costCenter</w:t>
      </w:r>
      <w:r>
        <w:t xml:space="preserve">). Chapter 05 fixes which of these the agency uses and for what; Chapter 08 shows how they become access.</w:t>
      </w:r>
    </w:p>
    <w:p>
      <w:pPr>
        <w:pStyle w:val="TableCaption"/>
      </w:pPr>
      <w:r>
        <w:t xml:space="preserve">How each directory absorbs organizational structure</w:t>
      </w:r>
    </w:p>
    <w:tbl>
      <w:tblPr>
        <w:tblStyle w:val="Table"/>
        <w:tblW w:type="pct" w:w="5000"/>
        <w:tblLayout w:type="fixed"/>
        <w:tblLook w:firstRow="1" w:lastRow="0" w:firstColumn="0" w:lastColumn="0" w:noHBand="0" w:noVBand="0" w:val="0020"/>
        <w:tblCaption w:val="How each directory absorbs organizational structur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structure as place, which GPO reads</w:t>
            </w:r>
          </w:p>
        </w:tc>
        <w:tc>
          <w:tcPr/>
          <w:p>
            <w:pPr>
              <w:pStyle w:val="Compact"/>
            </w:pPr>
            <w:r>
              <w:t xml:space="preserve">None: structure as attributes, which policy reads through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w:t>
            </w:r>
          </w:p>
        </w:tc>
        <w:tc>
          <w:tcPr/>
          <w:p>
            <w:pPr>
              <w:pStyle w:val="Compact"/>
            </w:pPr>
            <w:r>
              <w:rPr>
                <w:rStyle w:val="VerbatimChar"/>
              </w:rPr>
              <w:t xml:space="preserve">manager</w:t>
            </w:r>
            <w:r>
              <w:t xml:space="preserve"> </w:t>
            </w:r>
            <w:r>
              <w:t xml:space="preserve">relationship</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department</w:t>
            </w:r>
            <w:r>
              <w:t xml:space="preserve">,</w:t>
            </w:r>
            <w:r>
              <w:t xml:space="preserve"> </w:t>
            </w:r>
            <w:r>
              <w:rPr>
                <w:rStyle w:val="VerbatimChar"/>
              </w:rPr>
              <w:t xml:space="preserve">employeeOrgData</w:t>
            </w:r>
            <w:r>
              <w:t xml:space="preserve">, stamped</w:t>
            </w:r>
          </w:p>
        </w:tc>
      </w:tr>
      <w:tr>
        <w:tc>
          <w:tcPr/>
          <w:p>
            <w:pPr>
              <w:pStyle w:val="Compact"/>
            </w:pPr>
            <w:r>
              <w:t xml:space="preserve">Membership</w:t>
            </w:r>
          </w:p>
        </w:tc>
        <w:tc>
          <w:tcPr/>
          <w:p>
            <w:pPr>
              <w:pStyle w:val="Compact"/>
            </w:pPr>
            <w:r>
              <w:t xml:space="preserve">Static groups, manual or scripted</w:t>
            </w:r>
          </w:p>
        </w:tc>
        <w:tc>
          <w:tcPr/>
          <w:p>
            <w:pPr>
              <w:pStyle w:val="Compact"/>
            </w:pPr>
            <w:r>
              <w:t xml:space="preserve">Rules for dynamic membership, evaluated by the service</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w:t>
            </w:r>
          </w:p>
        </w:tc>
      </w:tr>
      <w:tr>
        <w:tc>
          <w:tcPr/>
          <w:p>
            <w:pPr>
              <w:pStyle w:val="Compact"/>
            </w:pPr>
            <w:r>
              <w:t xml:space="preserve">Reorganization cost</w:t>
            </w:r>
          </w:p>
        </w:tc>
        <w:tc>
          <w:tcPr/>
          <w:p>
            <w:pPr>
              <w:pStyle w:val="Compact"/>
            </w:pPr>
            <w:r>
              <w:t xml:space="preserve">OU restructure and GPO re-link: a project</w:t>
            </w:r>
          </w:p>
        </w:tc>
        <w:tc>
          <w:tcPr/>
          <w:p>
            <w:pPr>
              <w:pStyle w:val="Compact"/>
            </w:pPr>
            <w:r>
              <w:t xml:space="preserve">Attribute re-stamp and rule re-evaluation: a data change</w:t>
            </w:r>
          </w:p>
        </w:tc>
      </w:tr>
    </w:tbl>
    <w:p>
      <w:pPr>
        <w:pStyle w:val="BodyText"/>
      </w:pPr>
      <w:r>
        <w:t xml:space="preserve">During coexistence, provision both zones, read structure from attributes, and retire OU-bound policy deliberately (Chapter 10, Phase 5).</w:t>
      </w:r>
    </w:p>
    <w:bookmarkEnd w:id="76"/>
    <w:bookmarkEnd w:id="77"/>
    <w:bookmarkStart w:id="78" w:name="native-connectors"/>
    <w:p>
      <w:pPr>
        <w:pStyle w:val="Heading2"/>
      </w:pPr>
      <w:r>
        <w:t xml:space="preserve">Native connectors</w:t>
      </w:r>
    </w:p>
    <w:p>
      <w:pPr>
        <w:pStyle w:val="FirstParagraph"/>
      </w:pPr>
      <w:r>
        <w:t xml:space="preserve">Where an HR source has a native connector (Workday, SAP SuccessFactors), it’s an acceptable accelerator. The API-driven path stays canonical because it works for any source and because its middleware is where validation and provenance happen before the identity platform sees the record.</w:t>
      </w:r>
    </w:p>
    <w:bookmarkEnd w:id="78"/>
    <w:bookmarkStart w:id="80" w:name="X266d4d5a9494795d71b36e2d275e4c6bbec543b"/>
    <w:p>
      <w:pPr>
        <w:pStyle w:val="Heading2"/>
      </w:pPr>
      <w:r>
        <w:t xml:space="preserve">Writeback: optional and one-way per attribute</w:t>
      </w:r>
    </w:p>
    <w:p>
      <w:pPr>
        <w:pStyle w:val="FirstParagraph"/>
      </w:pPr>
      <w:r>
        <w:t xml:space="preserve">Once inbound provisioning is proven, an optional outbound job can write identity-platform-mastered attributes the HR system wants to display (username, work email, work phone) back to Oracle HCM through its SCIM APIs.</w:t>
      </w:r>
      <w:r>
        <w:rPr>
          <w:rStyle w:val="FootnoteReference"/>
        </w:rPr>
        <w:footnoteReference w:id="79"/>
      </w:r>
      <w:r>
        <w:t xml:space="preserve"> </w:t>
      </w:r>
      <w:r>
        <w:t xml:space="preserve">Two rules keep it safe: no attribute is writable in both directions (Chapter 03), and nothing in the plan depends on writeback.</w:t>
      </w:r>
    </w:p>
    <w:bookmarkEnd w:id="80"/>
    <w:bookmarkEnd w:id="81"/>
    <w:bookmarkStart w:id="101" w:name="X919ebcc598e4f2130dc65987112868ddf99d32c"/>
    <w:p>
      <w:pPr>
        <w:pStyle w:val="Heading1"/>
      </w:pPr>
      <w:r>
        <w:t xml:space="preserve">Chapter 05 — The Canonical Attribute Schema</w:t>
      </w:r>
    </w:p>
    <w:p>
      <w:pPr>
        <w:pStyle w:val="FirstParagraph"/>
      </w:pPr>
      <w:r>
        <w:rPr>
          <w:i/>
          <w:iCs/>
        </w:rPr>
        <w:t xml:space="preserve">Native attributes first. A small, coded set of extension attributes for access. Nothing hand-edited.</w:t>
      </w:r>
    </w:p>
    <w:bookmarkStart w:id="82" w:name="in-this-chapter-5"/>
    <w:p>
      <w:pPr>
        <w:pStyle w:val="Heading2"/>
      </w:pPr>
      <w:r>
        <w:t xml:space="preserve">In this chapter</w:t>
      </w:r>
    </w:p>
    <w:p>
      <w:pPr>
        <w:pStyle w:val="FirstParagraph"/>
      </w:pPr>
      <w:r>
        <w:t xml:space="preserve">The design rules behind the schema. The schema table itself, which every other page on this site links to instead of repeating. Why three extension attributes, and why they hold codes. How the hire and leave dates reach Entra ID from each landing zone. Who is allowed to write any of it.</w:t>
      </w:r>
    </w:p>
    <w:bookmarkEnd w:id="82"/>
    <w:bookmarkStart w:id="87" w:name="design-rules"/>
    <w:p>
      <w:pPr>
        <w:pStyle w:val="Heading2"/>
      </w:pPr>
      <w:r>
        <w:t xml:space="preserve">Design rules</w:t>
      </w:r>
    </w:p>
    <w:p>
      <w:pPr>
        <w:pStyle w:val="Compact"/>
        <w:numPr>
          <w:ilvl w:val="0"/>
          <w:numId w:val="1014"/>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14"/>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83"/>
      </w:r>
      <w:r>
        <w:t xml:space="preserve"> </w:t>
      </w:r>
      <w:r>
        <w:t xml:space="preserve">Three attributes cover the gap.</w:t>
      </w:r>
    </w:p>
    <w:p>
      <w:pPr>
        <w:pStyle w:val="Compact"/>
        <w:numPr>
          <w:ilvl w:val="0"/>
          <w:numId w:val="1014"/>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14"/>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85"/>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14"/>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87"/>
    <w:bookmarkStart w:id="97" w:name="the-schema"/>
    <w:p>
      <w:pPr>
        <w:pStyle w:val="Heading2"/>
      </w:pPr>
      <w:r>
        <w:t xml:space="preserve">The schema</w:t>
      </w:r>
    </w:p>
    <w:p>
      <w:pPr>
        <w:pStyle w:val="TableCaption"/>
      </w:pPr>
      <w:r>
        <w:t xml:space="preserve">The canonical attribute schema — the only attribute crosswalk on this site</w:t>
      </w:r>
    </w:p>
    <w:tbl>
      <w:tblPr>
        <w:tblStyle w:val="Table"/>
        <w:tblW w:type="pct" w:w="5000"/>
        <w:tblLayout w:type="fixed"/>
        <w:tblLook w:firstRow="1" w:lastRow="0" w:firstColumn="0" w:lastColumn="0" w:noHBand="0" w:noVBand="0" w:val="0020"/>
        <w:tblCaption w:val="The canonical attribute schema — the only attribute crosswalk on this site"/>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Match key</w:t>
            </w:r>
            <w:r>
              <w:t xml:space="preserve">, identifier for life (Chapter 03)</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15"/>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88"/>
      </w:r>
      <w:r>
        <w:rPr>
          <w:rStyle w:val="FootnoteReference"/>
        </w:rPr>
        <w:footnoteReference w:id="89"/>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91"/>
      </w:r>
    </w:p>
    <w:p>
      <w:pPr>
        <w:pStyle w:val="Compact"/>
        <w:numPr>
          <w:ilvl w:val="0"/>
          <w:numId w:val="1015"/>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92"/>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93"/>
      </w:r>
    </w:p>
    <w:p>
      <w:pPr>
        <w:pStyle w:val="Compact"/>
        <w:numPr>
          <w:ilvl w:val="0"/>
          <w:numId w:val="1015"/>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series’ decision</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95"/>
      </w:r>
    </w:p>
    <w:p>
      <w:pPr>
        <w:pStyle w:val="Compact"/>
        <w:numPr>
          <w:ilvl w:val="0"/>
          <w:numId w:val="1015"/>
        </w:numPr>
      </w:pPr>
      <w:r>
        <w:t xml:space="preserve">Rules can’t use multi-value extension properties.</w:t>
      </w:r>
      <w:r>
        <w:rPr>
          <w:rStyle w:val="FootnoteReference"/>
        </w:rPr>
        <w:footnoteReference w:id="96"/>
      </w:r>
      <w:r>
        <w:t xml:space="preserve"> </w:t>
      </w:r>
      <w:r>
        <w:t xml:space="preserve">All three access attributes hold one code.</w:t>
      </w:r>
    </w:p>
    <w:bookmarkEnd w:id="97"/>
    <w:bookmarkStart w:id="99" w:name="writers"/>
    <w:p>
      <w:pPr>
        <w:pStyle w:val="Heading2"/>
      </w:pPr>
      <w:r>
        <w:t xml:space="preserve">Writers</w:t>
      </w:r>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98"/>
      </w:r>
      <w:r>
        <w:t xml:space="preserve"> </w:t>
      </w:r>
      <w:r>
        <w:t xml:space="preserve">For this schema that means:</w:t>
      </w:r>
    </w:p>
    <w:p>
      <w:pPr>
        <w:pStyle w:val="Compact"/>
        <w:numPr>
          <w:ilvl w:val="0"/>
          <w:numId w:val="1016"/>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16"/>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16"/>
        </w:numPr>
      </w:pPr>
      <w:r>
        <w:t xml:space="preserve">Any write by another principal is a drift event (Chapter 09).</w:t>
      </w:r>
    </w:p>
    <w:bookmarkEnd w:id="99"/>
    <w:bookmarkStart w:id="100" w:name="how-other-pages-use-this-schema"/>
    <w:p>
      <w:pPr>
        <w:pStyle w:val="Heading2"/>
      </w:pPr>
      <w:r>
        <w:t xml:space="preserve">How other pages use this schema</w:t>
      </w:r>
    </w:p>
    <w:p>
      <w:pPr>
        <w:pStyle w:val="FirstParagraph"/>
      </w:pPr>
      <w:r>
        <w:t xml:space="preserve">The SQL Server Identity Transformation series, Book 07 applies the same attribute-to-access discipline to SQL Server logins and database roles. The AD → Entra ID Identity Modernization Guide and the Conditional Access library link here rather than carrying their own attribute map.</w:t>
      </w:r>
    </w:p>
    <w:bookmarkEnd w:id="100"/>
    <w:bookmarkEnd w:id="101"/>
    <w:bookmarkStart w:id="130" w:name="chapter-06-joiner-mover-leaver"/>
    <w:p>
      <w:pPr>
        <w:pStyle w:val="Heading1"/>
      </w:pPr>
      <w:r>
        <w:t xml:space="preserve">Chapter 06 — Joiner, Mover, Leaver</w:t>
      </w:r>
    </w:p>
    <w:p>
      <w:pPr>
        <w:pStyle w:val="FirstParagraph"/>
      </w:pPr>
      <w:r>
        <w:rPr>
          <w:i/>
          <w:iCs/>
        </w:rPr>
        <w:t xml:space="preserve">Nobody requests an account for a new hire. The hire causes it.</w:t>
      </w:r>
    </w:p>
    <w:bookmarkStart w:id="102" w:name="in-this-chapter-6"/>
    <w:p>
      <w:pPr>
        <w:pStyle w:val="Heading2"/>
      </w:pPr>
      <w:r>
        <w:t xml:space="preserve">In this chapter</w:t>
      </w:r>
    </w:p>
    <w:p>
      <w:pPr>
        <w:pStyle w:val="FirstParagraph"/>
      </w:pPr>
      <w:r>
        <w:t xml:space="preserve">The five events a worker record goes through and what each one causes in the directory. The division of labor between inbound provisioning and Lifecycle Workflows. Triggers, schedules and built-in tasks. Emergency termination, rehire, conversion and deletion. The leaver sequence itself, including credentials, is in Chapter 07.</w:t>
      </w:r>
    </w:p>
    <w:bookmarkEnd w:id="102"/>
    <w:bookmarkStart w:id="103" w:name="the-lifecycle-is-an-event-stream"/>
    <w:p>
      <w:pPr>
        <w:pStyle w:val="Heading2"/>
      </w:pPr>
      <w:r>
        <w:t xml:space="preserve">The lifecycle is an event stream</w:t>
      </w:r>
    </w:p>
    <w:p>
      <w:pPr>
        <w:pStyle w:val="FirstParagraph"/>
      </w:pPr>
      <w:r>
        <w:t xml:space="preserve">Joiner, mover and leaver, plus the two transitions estates forget until they hurt,</w:t>
      </w:r>
      <w:r>
        <w:t xml:space="preserve"> </w:t>
      </w:r>
      <w:r>
        <w:rPr>
          <w:b/>
          <w:bCs/>
        </w:rPr>
        <w:t xml:space="preserve">rehire</w:t>
      </w:r>
      <w:r>
        <w:t xml:space="preserve"> </w:t>
      </w:r>
      <w:r>
        <w:t xml:space="preserve">and</w:t>
      </w:r>
      <w:r>
        <w:t xml:space="preserve"> </w:t>
      </w:r>
      <w:r>
        <w:rPr>
          <w:b/>
          <w:bCs/>
        </w:rPr>
        <w:t xml:space="preserve">conversion</w:t>
      </w:r>
      <w:r>
        <w:t xml:space="preserve"> </w:t>
      </w:r>
      <w:r>
        <w:t xml:space="preserve">(contractor to employee), are the five state changes a worker record goes through. Each is recorded in the HR system as an effective-dated event, and each maps to a fixed set of identity actions:</w:t>
      </w:r>
    </w:p>
    <w:p>
      <w:pPr>
        <w:pStyle w:val="TableCaption"/>
      </w:pPr>
      <w:r>
        <w:t xml:space="preserve">The five lifecycle events and the identity actions they cause</w:t>
      </w:r>
    </w:p>
    <w:tbl>
      <w:tblPr>
        <w:tblStyle w:val="Table"/>
        <w:tblW w:type="pct" w:w="5000"/>
        <w:tblLayout w:type="fixed"/>
        <w:tblLook w:firstRow="1" w:lastRow="0" w:firstColumn="0" w:lastColumn="0" w:noHBand="0" w:noVBand="0" w:val="0020"/>
        <w:tblCaption w:val="The five lifecycle events and the identity actions they cause"/>
      </w:tblPr>
      <w:tblGrid>
        <w:gridCol w:w="2640"/>
        <w:gridCol w:w="2640"/>
        <w:gridCol w:w="2640"/>
      </w:tblGrid>
      <w:tr>
        <w:trPr>
          <w:tblHeader w:val="on"/>
        </w:trPr>
        <w:tc>
          <w:tcPr/>
          <w:p>
            <w:pPr>
              <w:pStyle w:val="Compact"/>
            </w:pPr>
            <w:r>
              <w:t xml:space="preserve">HR event</w:t>
            </w:r>
          </w:p>
        </w:tc>
        <w:tc>
          <w:tcPr/>
          <w:p>
            <w:pPr>
              <w:pStyle w:val="Compact"/>
            </w:pPr>
            <w:r>
              <w:t xml:space="preserve">Recorded fact</w:t>
            </w:r>
          </w:p>
        </w:tc>
        <w:tc>
          <w:tcPr/>
          <w:p>
            <w:pPr>
              <w:pStyle w:val="Compact"/>
            </w:pPr>
            <w:r>
              <w:t xml:space="preserve">Identity actions derived from it</w:t>
            </w:r>
          </w:p>
        </w:tc>
      </w:tr>
      <w:tr>
        <w:tc>
          <w:tcPr/>
          <w:p>
            <w:pPr>
              <w:pStyle w:val="Compact"/>
            </w:pPr>
            <w:r>
              <w:rPr>
                <w:b/>
                <w:bCs/>
              </w:rPr>
              <w:t xml:space="preserve">Joiner</w:t>
            </w:r>
          </w:p>
        </w:tc>
        <w:tc>
          <w:tcPr/>
          <w:p>
            <w:pPr>
              <w:pStyle w:val="Compact"/>
            </w:pPr>
            <w:r>
              <w:t xml:space="preserve">Future-dated hire: worker record and assignment created</w:t>
            </w:r>
          </w:p>
        </w:tc>
        <w:tc>
          <w:tcPr/>
          <w:p>
            <w:pPr>
              <w:pStyle w:val="Compact"/>
            </w:pPr>
            <w:r>
              <w:t xml:space="preserve">Account created ahead of the start date by provisioning; licenses and baseline access derived from attributes; credential enrollment queued for day one (Chapter 07)</w:t>
            </w:r>
          </w:p>
        </w:tc>
      </w:tr>
      <w:tr>
        <w:tc>
          <w:tcPr/>
          <w:p>
            <w:pPr>
              <w:pStyle w:val="Compact"/>
            </w:pPr>
            <w:r>
              <w:rPr>
                <w:b/>
                <w:bCs/>
              </w:rPr>
              <w:t xml:space="preserve">Mover</w:t>
            </w:r>
          </w:p>
        </w:tc>
        <w:tc>
          <w:tcPr/>
          <w:p>
            <w:pPr>
              <w:pStyle w:val="Compact"/>
            </w:pPr>
            <w:r>
              <w:t xml:space="preserve">Assignment change: new position, organization, location or supervisor</w:t>
            </w:r>
          </w:p>
        </w:tc>
        <w:tc>
          <w:tcPr/>
          <w:p>
            <w:pPr>
              <w:pStyle w:val="Compact"/>
            </w:pPr>
            <w:r>
              <w:t xml:space="preserve">Attributes re-stamped; dynamic memberships re-evaluated, so the old organization’s access leaves as the new one’s arrives; access review on what remains (PS-5); approvals follow the new supervisor of record</w:t>
            </w:r>
          </w:p>
        </w:tc>
      </w:tr>
      <w:tr>
        <w:tc>
          <w:tcPr/>
          <w:p>
            <w:pPr>
              <w:pStyle w:val="Compact"/>
            </w:pPr>
            <w:r>
              <w:rPr>
                <w:b/>
                <w:bCs/>
              </w:rPr>
              <w:t xml:space="preserve">Leaver</w:t>
            </w:r>
          </w:p>
        </w:tc>
        <w:tc>
          <w:tcPr/>
          <w:p>
            <w:pPr>
              <w:pStyle w:val="Compact"/>
            </w:pPr>
            <w:r>
              <w:t xml:space="preserve">Effective-dated separation</w:t>
            </w:r>
          </w:p>
        </w:tc>
        <w:tc>
          <w:tcPr/>
          <w:p>
            <w:pPr>
              <w:pStyle w:val="Compact"/>
            </w:pPr>
            <w:r>
              <w:t xml:space="preserve">The leaver sequence of Chapter 07: devices, PIV, sessions, disable, delete after retention — one workflow, one evidence trail (PS-4)</w:t>
            </w:r>
          </w:p>
        </w:tc>
      </w:tr>
      <w:tr>
        <w:tc>
          <w:tcPr/>
          <w:p>
            <w:pPr>
              <w:pStyle w:val="Compact"/>
            </w:pPr>
            <w:r>
              <w:rPr>
                <w:b/>
                <w:bCs/>
              </w:rPr>
              <w:t xml:space="preserve">Rehire</w:t>
            </w:r>
          </w:p>
        </w:tc>
        <w:tc>
          <w:tcPr/>
          <w:p>
            <w:pPr>
              <w:pStyle w:val="Compact"/>
            </w:pPr>
            <w:r>
              <w:t xml:space="preserve">Returning worker matched to the prior worker record</w:t>
            </w:r>
          </w:p>
        </w:tc>
        <w:tc>
          <w:tcPr/>
          <w:p>
            <w:pPr>
              <w:pStyle w:val="Compact"/>
            </w:pPr>
            <w:r>
              <w:t xml:space="preserve">Prior identifier re-linked; the person resumes an identity rather than getting a second one (IA-4)</w:t>
            </w:r>
          </w:p>
        </w:tc>
      </w:tr>
      <w:tr>
        <w:tc>
          <w:tcPr/>
          <w:p>
            <w:pPr>
              <w:pStyle w:val="Compact"/>
            </w:pPr>
            <w:r>
              <w:rPr>
                <w:b/>
                <w:bCs/>
              </w:rPr>
              <w:t xml:space="preserve">Conversion</w:t>
            </w:r>
          </w:p>
        </w:tc>
        <w:tc>
          <w:tcPr/>
          <w:p>
            <w:pPr>
              <w:pStyle w:val="Compact"/>
            </w:pPr>
            <w:r>
              <w:t xml:space="preserve">Worker type changes; affiliation continuous</w:t>
            </w:r>
          </w:p>
        </w:tc>
        <w:tc>
          <w:tcPr/>
          <w:p>
            <w:pPr>
              <w:pStyle w:val="Compact"/>
            </w:pPr>
            <w:r>
              <w:t xml:space="preserve">Same identifier, access re-derived from the new worker type; no duplicate identity</w:t>
            </w:r>
          </w:p>
        </w:tc>
      </w:tr>
    </w:tbl>
    <w:p>
      <w:pPr>
        <w:pStyle w:val="BodyText"/>
      </w:pPr>
      <w:r>
        <w:t xml:space="preserve">The property that matters is the direction of causation. Nobody</w:t>
      </w:r>
      <w:r>
        <w:t xml:space="preserve"> </w:t>
      </w:r>
      <w:r>
        <w:rPr>
          <w:i/>
          <w:iCs/>
        </w:rPr>
        <w:t xml:space="preserve">remembers</w:t>
      </w:r>
      <w:r>
        <w:t xml:space="preserve"> </w:t>
      </w:r>
      <w:r>
        <w:t xml:space="preserve">to disable a leaver; the separation record causes the disablement, on the effective date. Tickets survive only for exceptions, and every exception is visible as a deviation from a computed baseline.</w:t>
      </w:r>
    </w:p>
    <w:bookmarkEnd w:id="103"/>
    <w:bookmarkStart w:id="118" w:name="X50111b289b1c8eab2d65f5e342a11d2e51a9787"/>
    <w:p>
      <w:pPr>
        <w:pStyle w:val="Heading2"/>
      </w:pPr>
      <w:r>
        <w:t xml:space="preserve">Who does what: provisioning and Lifecycle Workflows</w:t>
      </w:r>
    </w:p>
    <w:p>
      <w:pPr>
        <w:pStyle w:val="FirstParagraph"/>
      </w:pPr>
      <w:r>
        <w:t xml:space="preserve">Two Microsoft services share the work, and the boundary between them is easy to blur:</w:t>
      </w:r>
    </w:p>
    <w:p>
      <w:pPr>
        <w:pStyle w:val="Compact"/>
        <w:numPr>
          <w:ilvl w:val="0"/>
          <w:numId w:val="1017"/>
        </w:numPr>
      </w:pPr>
      <w:r>
        <w:rPr>
          <w:b/>
          <w:bCs/>
        </w:rPr>
        <w:t xml:space="preserve">Inbound provisioning creates and updates accounts.</w:t>
      </w:r>
      <w:r>
        <w:t xml:space="preserve"> </w:t>
      </w:r>
      <w:r>
        <w:t xml:space="preserve">It creates the user, keeps attributes current, and enables or disables the account from the HR status (Chapter 04).</w:t>
      </w:r>
      <w:r>
        <w:rPr>
          <w:rStyle w:val="FootnoteReference"/>
        </w:rPr>
        <w:footnoteReference w:id="104"/>
      </w:r>
    </w:p>
    <w:p>
      <w:pPr>
        <w:pStyle w:val="Compact"/>
        <w:numPr>
          <w:ilvl w:val="0"/>
          <w:numId w:val="1017"/>
        </w:numPr>
      </w:pPr>
      <w:r>
        <w:rPr>
          <w:b/>
          <w:bCs/>
        </w:rPr>
        <w:t xml:space="preserve">Lifecycle Workflows act on users who already exist.</w:t>
      </w:r>
      <w:r>
        <w:t xml:space="preserve"> </w:t>
      </w:r>
      <w:r>
        <w:t xml:space="preserve">Microsoft describes them as automating the routine processes</w:t>
      </w:r>
      <w:r>
        <w:t xml:space="preserve"> </w:t>
      </w:r>
      <w:r>
        <w:rPr>
          <w:i/>
          <w:iCs/>
        </w:rPr>
        <w:t xml:space="preserve">around</w:t>
      </w:r>
      <w:r>
        <w:t xml:space="preserve"> </w:t>
      </w:r>
      <w:r>
        <w:t xml:space="preserve">HR-driven provisioning: while HR provisioning manages creation and attribute updates, workflows run additional tasks.</w:t>
      </w:r>
      <w:r>
        <w:rPr>
          <w:rStyle w:val="FootnoteReference"/>
        </w:rPr>
        <w:footnoteReference w:id="106"/>
      </w:r>
      <w:r>
        <w:t xml:space="preserve"> </w:t>
      </w:r>
      <w:r>
        <w:t xml:space="preserve">A workflow is a set of tasks plus execution conditions: a scope (who) and a trigger (when).</w:t>
      </w:r>
      <w:r>
        <w:rPr>
          <w:rStyle w:val="FootnoteReference"/>
        </w:rPr>
        <w:footnoteReference w:id="107"/>
      </w:r>
    </w:p>
    <w:p>
      <w:pPr>
        <w:pStyle w:val="FirstParagraph"/>
      </w:pPr>
      <w:r>
        <w:t xml:space="preserve">A workflow never creates the account. A page that says</w:t>
      </w:r>
      <w:r>
        <w:t xml:space="preserve"> </w:t>
      </w:r>
      <w:r>
        <w:t xml:space="preserve">“Lifecycle Workflows provision the new hire”</w:t>
      </w:r>
      <w:r>
        <w:t xml:space="preserve"> </w:t>
      </w:r>
      <w:r>
        <w:t xml:space="preserve">has the boundary wrong.</w:t>
      </w:r>
    </w:p>
    <w:bookmarkStart w:id="115" w:name="triggers-and-schedule"/>
    <w:p>
      <w:pPr>
        <w:pStyle w:val="Heading3"/>
      </w:pPr>
      <w:r>
        <w:t xml:space="preserve">Triggers and schedule</w:t>
      </w:r>
    </w:p>
    <w:p>
      <w:pPr>
        <w:pStyle w:val="FirstParagraph"/>
      </w:pPr>
      <w:r>
        <w:t xml:space="preserve">Lifecycle Workflows support four scheduled trigger types — time-based attribute, attribute change, group membership change, and sign-in inactivity — plus on-demand only.</w:t>
      </w:r>
      <w:r>
        <w:rPr>
          <w:rStyle w:val="FootnoteReference"/>
        </w:rPr>
        <w:footnoteReference w:id="109"/>
      </w:r>
      <w:r>
        <w:t xml:space="preserve"> </w:t>
      </w:r>
      <w:r>
        <w:t xml:space="preserve">The time-based trigger reads</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or</w:t>
      </w:r>
      <w:r>
        <w:t xml:space="preserve"> </w:t>
      </w:r>
      <w:r>
        <w:rPr>
          <w:rStyle w:val="VerbatimChar"/>
        </w:rPr>
        <w:t xml:space="preserve">createdDateTime</w:t>
      </w:r>
      <w:r>
        <w:t xml:space="preserve">, with an offset of up to 365 days before or after.</w:t>
      </w:r>
      <w:r>
        <w:rPr>
          <w:rStyle w:val="FootnoteReference"/>
        </w:rPr>
        <w:footnoteReference w:id="111"/>
      </w:r>
      <w:r>
        <w:t xml:space="preserve"> </w:t>
      </w:r>
      <w:r>
        <w:t xml:space="preserve">Scheduled workflows run every 3 hours by default; the interval can be set from 1 to 24 hours.</w:t>
      </w:r>
      <w:r>
        <w:rPr>
          <w:rStyle w:val="FootnoteReference"/>
        </w:rPr>
        <w:footnoteReference w:id="112"/>
      </w:r>
      <w:r>
        <w:t xml:space="preserve"> </w:t>
      </w:r>
      <w:r>
        <w:t xml:space="preserve">Just before processing, the engine re-evaluates each user and skips anyone who no longer meets the conditions.</w:t>
      </w:r>
      <w:r>
        <w:rPr>
          <w:rStyle w:val="FootnoteReference"/>
        </w:rPr>
        <w:footnoteReference w:id="114"/>
      </w:r>
    </w:p>
    <w:p>
      <w:pPr>
        <w:pStyle w:val="BodyText"/>
      </w:pPr>
      <w:r>
        <w:t xml:space="preserve">That schedule matters for evidence: a leaver workflow keyed to</w:t>
      </w:r>
      <w:r>
        <w:t xml:space="preserve"> </w:t>
      </w:r>
      <w:r>
        <w:rPr>
          <w:rStyle w:val="VerbatimChar"/>
        </w:rPr>
        <w:t xml:space="preserve">employeeLeaveDateTime</w:t>
      </w:r>
      <w:r>
        <w:t xml:space="preserve"> </w:t>
      </w:r>
      <w:r>
        <w:t xml:space="preserve">runs at the first scheduled pass after the date, so the separation-to-revocation interval (Chapter 09) includes the schedule interval. Set the leaver workflow’s interval with that in mind.</w:t>
      </w:r>
    </w:p>
    <w:bookmarkEnd w:id="115"/>
    <w:bookmarkStart w:id="117" w:name="built-in-tasks-by-stage"/>
    <w:p>
      <w:pPr>
        <w:pStyle w:val="Heading3"/>
      </w:pPr>
      <w:r>
        <w:t xml:space="preserve">Built-in tasks by stage</w:t>
      </w:r>
    </w:p>
    <w:p>
      <w:pPr>
        <w:pStyle w:val="TableCaption"/>
      </w:pPr>
      <w:r>
        <w:t xml:space="preserve">Lifecycle Workflows built-in tasks by stage</w:t>
      </w:r>
      <w:r>
        <w:rPr>
          <w:rStyle w:val="FootnoteReference"/>
        </w:rPr>
        <w:footnoteReference w:id="116"/>
      </w:r>
    </w:p>
    <w:tbl>
      <w:tblPr>
        <w:tblStyle w:val="Table"/>
        <w:tblW w:type="pct" w:w="5000"/>
        <w:tblLayout w:type="fixed"/>
        <w:tblLook w:firstRow="1" w:lastRow="0" w:firstColumn="0" w:lastColumn="0" w:noHBand="0" w:noVBand="0" w:val="0020"/>
        <w:tblCaption w:val="Lifecycle Workflows built-in tasks by stage"/>
      </w:tblPr>
      <w:tblGrid>
        <w:gridCol w:w="3960"/>
        <w:gridCol w:w="3960"/>
      </w:tblGrid>
      <w:tr>
        <w:trPr>
          <w:tblHeader w:val="on"/>
        </w:trPr>
        <w:tc>
          <w:tcPr/>
          <w:p>
            <w:pPr>
              <w:pStyle w:val="Compact"/>
            </w:pPr>
            <w:r>
              <w:t xml:space="preserve">Stage</w:t>
            </w:r>
          </w:p>
        </w:tc>
        <w:tc>
          <w:tcPr/>
          <w:p>
            <w:pPr>
              <w:pStyle w:val="Compact"/>
            </w:pPr>
            <w:r>
              <w:t xml:space="preserve">Built-in tasks (selection)</w:t>
            </w:r>
          </w:p>
        </w:tc>
      </w:tr>
      <w:tr>
        <w:tc>
          <w:tcPr/>
          <w:p>
            <w:pPr>
              <w:pStyle w:val="Compact"/>
            </w:pPr>
            <w:r>
              <w:t xml:space="preserve">Joiner</w:t>
            </w:r>
          </w:p>
        </w:tc>
        <w:tc>
          <w:tcPr/>
          <w:p>
            <w:pPr>
              <w:pStyle w:val="Compact"/>
            </w:pPr>
            <w:r>
              <w:t xml:space="preserve">Send welcome email; generate a Temporary Access Pass and send it to the manager; request an access package assignment; assign licenses; add to groups and Teams; enable the account</w:t>
            </w:r>
          </w:p>
        </w:tc>
      </w:tr>
      <w:tr>
        <w:tc>
          <w:tcPr/>
          <w:p>
            <w:pPr>
              <w:pStyle w:val="Compact"/>
            </w:pPr>
            <w:r>
              <w:t xml:space="preserve">Mover</w:t>
            </w:r>
          </w:p>
        </w:tc>
        <w:tc>
          <w:tcPr/>
          <w:p>
            <w:pPr>
              <w:pStyle w:val="Compact"/>
            </w:pPr>
            <w:r>
              <w:t xml:space="preserve">Notify the manager of the move; request or remove access package assignments; add to or remove from selected groups; update user attributes</w:t>
            </w:r>
          </w:p>
        </w:tc>
      </w:tr>
      <w:tr>
        <w:tc>
          <w:tcPr/>
          <w:p>
            <w:pPr>
              <w:pStyle w:val="Compact"/>
            </w:pPr>
            <w:r>
              <w:t xml:space="preserve">Leaver</w:t>
            </w:r>
          </w:p>
        </w:tc>
        <w:tc>
          <w:tcPr/>
          <w:p>
            <w:pPr>
              <w:pStyle w:val="Compact"/>
            </w:pPr>
            <w:r>
              <w:t xml:space="preserve">Disable the account; remove from all groups and all Teams; remove all access package assignments and cancel pending requests; remove licenses;</w:t>
            </w:r>
            <w:r>
              <w:t xml:space="preserve"> </w:t>
            </w:r>
            <w:r>
              <w:rPr>
                <w:b/>
                <w:bCs/>
              </w:rPr>
              <w:t xml:space="preserve">revoke all refresh tokens</w:t>
            </w:r>
            <w:r>
              <w:t xml:space="preserve">; delete the user</w:t>
            </w:r>
          </w:p>
        </w:tc>
      </w:tr>
      <w:tr>
        <w:tc>
          <w:tcPr/>
          <w:p>
            <w:pPr>
              <w:pStyle w:val="Compact"/>
            </w:pPr>
            <w:r>
              <w:t xml:space="preserve">Any stage</w:t>
            </w:r>
          </w:p>
        </w:tc>
        <w:tc>
          <w:tcPr/>
          <w:p>
            <w:pPr>
              <w:pStyle w:val="Compact"/>
            </w:pPr>
            <w:r>
              <w:t xml:space="preserve">Run a custom task extension (a call out to an Azure Logic App)</w:t>
            </w:r>
          </w:p>
        </w:tc>
      </w:tr>
    </w:tbl>
    <w:p>
      <w:pPr>
        <w:pStyle w:val="BodyText"/>
      </w:pPr>
      <w:r>
        <w:t xml:space="preserve">No built-in task revokes a certificate or a PIV credential, or retires a device. Those steps go through a custom task extension or a separate process (Chapter 07).</w:t>
      </w:r>
    </w:p>
    <w:bookmarkEnd w:id="117"/>
    <w:bookmarkEnd w:id="118"/>
    <w:bookmarkStart w:id="120" w:name="joiner"/>
    <w:p>
      <w:pPr>
        <w:pStyle w:val="Heading2"/>
      </w:pPr>
      <w:r>
        <w:t xml:space="preserve">Joiner</w:t>
      </w:r>
    </w:p>
    <w:p>
      <w:pPr>
        <w:pStyle w:val="FirstParagraph"/>
      </w:pPr>
      <w:r>
        <w:t xml:space="preserve">Provisioning creates the account ahead of the start date from the future-dated hire. A pre-hire workflow runs a set number of days before</w:t>
      </w:r>
      <w:r>
        <w:t xml:space="preserve"> </w:t>
      </w:r>
      <w:r>
        <w:rPr>
          <w:rStyle w:val="VerbatimChar"/>
        </w:rPr>
        <w:t xml:space="preserve">employeeHireDate</w:t>
      </w:r>
      <w:r>
        <w:t xml:space="preserve"> </w:t>
      </w:r>
      <w:r>
        <w:t xml:space="preserve">(for example, generate a Temporary Access Pass and send it to the manager), and a day-one workflow runs on the date (enable the account, assign licenses, add baseline groups). Microsoft recommends a 24-hour maximum lifetime for a Temporary Access Pass sent to a new hire, so that it hasn’t expired in another time zone.</w:t>
      </w:r>
      <w:r>
        <w:rPr>
          <w:rStyle w:val="FootnoteReference"/>
        </w:rPr>
        <w:footnoteReference w:id="119"/>
      </w:r>
      <w:r>
        <w:t xml:space="preserve"> </w:t>
      </w:r>
      <w:r>
        <w:t xml:space="preserve">Day-one readiness (account, licenses and baseline access in place at start of day) is a metric, not a hope (Chapter 09).</w:t>
      </w:r>
    </w:p>
    <w:bookmarkEnd w:id="120"/>
    <w:bookmarkStart w:id="121" w:name="mover"/>
    <w:p>
      <w:pPr>
        <w:pStyle w:val="Heading2"/>
      </w:pPr>
      <w:r>
        <w:t xml:space="preserve">Mover</w:t>
      </w:r>
    </w:p>
    <w:p>
      <w:pPr>
        <w:pStyle w:val="FirstParagraph"/>
      </w:pPr>
      <w:r>
        <w:t xml:space="preserve">The mover event re-stamps attributes through provisioning; dynamic memberships re-evaluate on their own (Chapter 08). An attribute-change workflow scoped to</w:t>
      </w:r>
      <w:r>
        <w:t xml:space="preserve"> </w:t>
      </w:r>
      <w:r>
        <w:rPr>
          <w:rStyle w:val="VerbatimChar"/>
        </w:rPr>
        <w:t xml:space="preserve">department</w:t>
      </w:r>
      <w:r>
        <w:t xml:space="preserve"> </w:t>
      </w:r>
      <w:r>
        <w:t xml:space="preserve">or the organization code can notify the manager and start a review of what’s left. Old access that came from a dynamic group goes away when the rule stops matching; old access that came from an access package or a direct assignment doesn’t, which is why the review on the residual is a control, not a courtesy.</w:t>
      </w:r>
    </w:p>
    <w:bookmarkEnd w:id="121"/>
    <w:bookmarkStart w:id="125" w:name="leaver"/>
    <w:p>
      <w:pPr>
        <w:pStyle w:val="Heading2"/>
      </w:pPr>
      <w:r>
        <w:t xml:space="preserve">Leaver</w:t>
      </w:r>
    </w:p>
    <w:p>
      <w:pPr>
        <w:pStyle w:val="FirstParagraph"/>
      </w:pPr>
      <w:r>
        <w:t xml:space="preserve">The separation record sets</w:t>
      </w:r>
      <w:r>
        <w:t xml:space="preserve"> </w:t>
      </w:r>
      <w:r>
        <w:rPr>
          <w:rStyle w:val="VerbatimChar"/>
        </w:rPr>
        <w:t xml:space="preserve">employeeLeaveDateTime</w:t>
      </w:r>
      <w:r>
        <w:t xml:space="preserve"> </w:t>
      </w:r>
      <w:r>
        <w:t xml:space="preserve">through provisioning, and the leaver workflows run against it: a pre-separation workflow (notify the manager), a last-day workflow, and a post-separation workflow that deletes the user after the retention period. The order of the steps, and the credential and device steps that the built-in tasks don’t cover, are Chapter 07’s subject.</w:t>
      </w:r>
    </w:p>
    <w:bookmarkStart w:id="124" w:name="emergency-termination"/>
    <w:p>
      <w:pPr>
        <w:pStyle w:val="Heading3"/>
      </w:pPr>
      <w:r>
        <w:t xml:space="preserve">Emergency termination</w:t>
      </w:r>
    </w:p>
    <w:p>
      <w:pPr>
        <w:pStyle w:val="FirstParagraph"/>
      </w:pPr>
      <w:r>
        <w:t xml:space="preserve">Some separations can’t wait for the schedule. Microsoft’s</w:t>
      </w:r>
      <w:r>
        <w:t xml:space="preserve"> </w:t>
      </w:r>
      <w:r>
        <w:rPr>
          <w:b/>
          <w:bCs/>
        </w:rPr>
        <w:t xml:space="preserve">Real-time employee termination</w:t>
      </w:r>
      <w:r>
        <w:t xml:space="preserve"> </w:t>
      </w:r>
      <w:r>
        <w:t xml:space="preserve">template is an on-demand workflow; its tutorial removes the user from all groups and all Teams and deletes the account.</w:t>
      </w:r>
      <w:r>
        <w:rPr>
          <w:rStyle w:val="FootnoteReference"/>
        </w:rPr>
        <w:footnoteReference w:id="122"/>
      </w:r>
      <w:r>
        <w:t xml:space="preserve"> </w:t>
      </w:r>
      <w:r>
        <w:t xml:space="preserve">For an agency, use the template as the starting point for an on-demand workflow that runs the</w:t>
      </w:r>
      <w:r>
        <w:t xml:space="preserve"> </w:t>
      </w:r>
      <w:r>
        <w:rPr>
          <w:i/>
          <w:iCs/>
        </w:rPr>
        <w:t xml:space="preserve">same</w:t>
      </w:r>
      <w:r>
        <w:t xml:space="preserve"> </w:t>
      </w:r>
      <w:r>
        <w:t xml:space="preserve">sequence as the scheduled leaver workflow (Chapter 07), not a shorter one. The trigger is human; the execution and the evidence are identical.</w:t>
      </w:r>
    </w:p>
    <w:bookmarkEnd w:id="124"/>
    <w:bookmarkEnd w:id="125"/>
    <w:bookmarkStart w:id="126" w:name="rehire-and-conversion"/>
    <w:p>
      <w:pPr>
        <w:pStyle w:val="Heading2"/>
      </w:pPr>
      <w:r>
        <w:t xml:space="preserve">Rehire and conversion</w:t>
      </w:r>
    </w:p>
    <w:p>
      <w:pPr>
        <w:pStyle w:val="Compact"/>
        <w:numPr>
          <w:ilvl w:val="0"/>
          <w:numId w:val="1018"/>
        </w:numPr>
      </w:pPr>
      <w:r>
        <w:rPr>
          <w:b/>
          <w:bCs/>
        </w:rPr>
        <w:t xml:space="preserve">Rehire.</w:t>
      </w:r>
      <w:r>
        <w:t xml:space="preserve"> </w:t>
      </w:r>
      <w:r>
        <w:t xml:space="preserve">The returning worker is matched to the prior worker record by person number, and the provisioning match on</w:t>
      </w:r>
      <w:r>
        <w:t xml:space="preserve"> </w:t>
      </w:r>
      <w:r>
        <w:rPr>
          <w:rStyle w:val="VerbatimChar"/>
        </w:rPr>
        <w:t xml:space="preserve">employeeId</w:t>
      </w:r>
      <w:r>
        <w:t xml:space="preserve"> </w:t>
      </w:r>
      <w:r>
        <w:t xml:space="preserve">re-links the existing account if it still exists. If the account was deleted, the new account carries the same</w:t>
      </w:r>
      <w:r>
        <w:t xml:space="preserve"> </w:t>
      </w:r>
      <w:r>
        <w:rPr>
          <w:rStyle w:val="VerbatimChar"/>
        </w:rPr>
        <w:t xml:space="preserve">employeeId</w:t>
      </w:r>
      <w:r>
        <w:t xml:space="preserve">; the identifier history lives in the HR record, not the directory.</w:t>
      </w:r>
    </w:p>
    <w:p>
      <w:pPr>
        <w:pStyle w:val="Compact"/>
        <w:numPr>
          <w:ilvl w:val="0"/>
          <w:numId w:val="1018"/>
        </w:numPr>
      </w:pPr>
      <w:r>
        <w:rPr>
          <w:b/>
          <w:bCs/>
        </w:rPr>
        <w:t xml:space="preserve">Conversion.</w:t>
      </w:r>
      <w:r>
        <w:t xml:space="preserve"> </w:t>
      </w:r>
      <w:r>
        <w:t xml:space="preserve">A contractor-to-employee change is an attribute change on the same person, not a leaver plus a joiner.</w:t>
      </w:r>
      <w:r>
        <w:t xml:space="preserve"> </w:t>
      </w:r>
      <w:r>
        <w:rPr>
          <w:rStyle w:val="VerbatimChar"/>
        </w:rPr>
        <w:t xml:space="preserve">employeeType</w:t>
      </w:r>
      <w:r>
        <w:t xml:space="preserve"> </w:t>
      </w:r>
      <w:r>
        <w:t xml:space="preserve">and the worker-type code change; access re-derives; the identifier stays.</w:t>
      </w:r>
    </w:p>
    <w:bookmarkEnd w:id="126"/>
    <w:bookmarkStart w:id="129" w:name="deletion"/>
    <w:p>
      <w:pPr>
        <w:pStyle w:val="Heading2"/>
      </w:pPr>
      <w:r>
        <w:t xml:space="preserve">Deletion</w:t>
      </w:r>
    </w:p>
    <w:p>
      <w:pPr>
        <w:pStyle w:val="FirstParagraph"/>
      </w:pPr>
      <w:r>
        <w:t xml:space="preserve">Disable on the separation date; delete only after the retention period the agency’s records schedule sets, from a post-separation workflow. A deleted Entra user can be restored for 30 days, after which it is permanently deleted;</w:t>
      </w:r>
      <w:r>
        <w:rPr>
          <w:rStyle w:val="FootnoteReference"/>
        </w:rPr>
        <w:footnoteReference w:id="127"/>
      </w:r>
      <w:r>
        <w:t xml:space="preserve"> </w:t>
      </w:r>
      <w:r>
        <w:t xml:space="preserve">retention for audit and records purposes has to be met by the logs and the HR record, not by keeping the account.</w:t>
      </w:r>
    </w:p>
    <w:bookmarkEnd w:id="129"/>
    <w:bookmarkEnd w:id="130"/>
    <w:bookmarkStart w:id="206" w:name="X2d3f22417254c6543a7204c0fb46db46a003249"/>
    <w:p>
      <w:pPr>
        <w:pStyle w:val="Heading1"/>
      </w:pPr>
      <w:r>
        <w:t xml:space="preserve">Chapter 07 — Credentials and Certificates Across Joiner, Mover, Leaver</w:t>
      </w:r>
    </w:p>
    <w:p>
      <w:pPr>
        <w:pStyle w:val="FirstParagraph"/>
      </w:pPr>
      <w:r>
        <w:rPr>
          <w:i/>
          <w:iCs/>
        </w:rPr>
        <w:t xml:space="preserve">Disabling an account doesn’t revoke a certificate. Deleting a user doesn’t either.</w:t>
      </w:r>
    </w:p>
    <w:bookmarkStart w:id="131" w:name="in-this-chapter-7"/>
    <w:p>
      <w:pPr>
        <w:pStyle w:val="Heading2"/>
      </w:pPr>
      <w:r>
        <w:t xml:space="preserve">In this chapter</w:t>
      </w:r>
    </w:p>
    <w:p>
      <w:pPr>
        <w:pStyle w:val="FirstParagraph"/>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bookmarkEnd w:id="131"/>
    <w:bookmarkStart w:id="135" w:name="why-certificates-need-their-own-chapter"/>
    <w:p>
      <w:pPr>
        <w:pStyle w:val="Heading2"/>
      </w:pPr>
      <w:r>
        <w:t xml:space="preserve">Why certificates need their own chapter</w:t>
      </w:r>
    </w:p>
    <w:p>
      <w:pPr>
        <w:pStyle w:val="FirstParagraph"/>
      </w:pPr>
      <w:r>
        <w:t xml:space="preserve">Chapters 04–06 make the account a consequence of the HR record. Certificates don’t automatically follow. A PIV authentication certificate is issued by the agency’s card management system (CMS) under the Federal PKI and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132"/>
      </w:r>
      <w:r>
        <w:t xml:space="preserve"> </w:t>
      </w:r>
      <w:r>
        <w:t xml:space="preserve">The playbook is best practice, not policy.</w:t>
      </w:r>
      <w:r>
        <w:rPr>
          <w:rStyle w:val="FootnoteReference"/>
        </w:rPr>
        <w:footnoteReference w:id="134"/>
      </w:r>
      <w:r>
        <w:t xml:space="preserve"> </w:t>
      </w:r>
      <w:r>
        <w:t xml:space="preserve">In this series the HR record and Entra ID together play the Master User Record’s role for the Microsoft estate, and the CMS remains the system of record for the PIV card.</w:t>
      </w:r>
    </w:p>
    <w:bookmarkEnd w:id="135"/>
    <w:bookmarkStart w:id="175" w:name="joiner-proofing-issuance-binding"/>
    <w:p>
      <w:pPr>
        <w:pStyle w:val="Heading2"/>
      </w:pPr>
      <w:r>
        <w:t xml:space="preserve">Joiner: proofing, issuance, binding</w:t>
      </w:r>
    </w:p>
    <w:bookmarkStart w:id="142"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136"/>
      </w:r>
      <w:r>
        <w:t xml:space="preserve"> </w:t>
      </w:r>
      <w:r>
        <w:t xml:space="preserve">The PIV card itself is governed by FIPS 201-3, which establishes the PIV system for federal employees and contractors under HSPD-12.</w:t>
      </w:r>
      <w:r>
        <w:rPr>
          <w:rStyle w:val="FootnoteReference"/>
        </w:rPr>
        <w:footnoteReference w:id="137"/>
      </w:r>
      <w:r>
        <w:t xml:space="preserve"> </w:t>
      </w:r>
      <w:r>
        <w:t xml:space="preserve">NIST SP 800-63-4 (July 2025, superseding SP 800-63-3) is the current revision of the Digital Identity Guidelines covering proofing, authentication and federation.</w:t>
      </w:r>
      <w:r>
        <w:rPr>
          <w:rStyle w:val="FootnoteReference"/>
        </w:rPr>
        <w:footnoteReference w:id="139"/>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141"/>
      </w:r>
    </w:p>
    <w:p>
      <w:pPr>
        <w:pStyle w:val="BodyText"/>
      </w:pPr>
      <w:r>
        <w:t xml:space="preserve">The gap between account creation and card issuance is normal: provisioning creates the account ahead of day one (Chapter 06), and the card follows proofing and adjudication. Bridge it with a Temporary Access Pass sent through the joiner workflow (Chapter 06), not with a password.</w:t>
      </w:r>
    </w:p>
    <w:bookmarkEnd w:id="142"/>
    <w:bookmarkStart w:id="159"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143"/>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145"/>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146"/>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147"/>
      </w:r>
      <w:r>
        <w:t xml:space="preserve"> </w:t>
      </w:r>
      <w:r>
        <w:t xml:space="preserve">If the tenant requires high-affinity binding, Entra drops the low-affinity bindings from evaluation.</w:t>
      </w:r>
      <w:r>
        <w:rPr>
          <w:rStyle w:val="FootnoteReference"/>
        </w:rPr>
        <w:footnoteReference w:id="148"/>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Every card reissue or certificate renewal produces a new SKI, key hash or serial number, so the binding must be rewritten as part of the CMS’s issuance event, and the old value removed. The binding is lifecycle data, and it needs a writer.</w:t>
      </w:r>
    </w:p>
    <w:p>
      <w:pPr>
        <w:pStyle w:val="BodyText"/>
      </w:pPr>
      <w:r>
        <w:t xml:space="preserve">How the value gets written depends on where the user is mastered:</w:t>
      </w:r>
    </w:p>
    <w:p>
      <w:pPr>
        <w:pStyle w:val="Compact"/>
        <w:numPr>
          <w:ilvl w:val="0"/>
          <w:numId w:val="1019"/>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149"/>
      </w:r>
      <w:r>
        <w:rPr>
          <w:rStyle w:val="FootnoteReference"/>
        </w:rPr>
        <w:footnoteReference w:id="151"/>
      </w:r>
      <w:r>
        <w:t xml:space="preserve"> </w:t>
      </w:r>
      <w:r>
        <w:t xml:space="preserve">An admin center user can hold up to four values of up to 120 characters each.</w:t>
      </w:r>
      <w:r>
        <w:rPr>
          <w:rStyle w:val="FootnoteReference"/>
        </w:rPr>
        <w:footnoteReference w:id="153"/>
      </w:r>
      <w:r>
        <w:t xml:space="preserve"> </w:t>
      </w:r>
      <w:r>
        <w:t xml:space="preserve">Microsoft’s CertificateBasedAuthentication PowerShell module computes the correct</w:t>
      </w:r>
      <w:r>
        <w:t xml:space="preserve"> </w:t>
      </w:r>
      <w:r>
        <w:rPr>
          <w:rStyle w:val="VerbatimChar"/>
        </w:rPr>
        <w:t xml:space="preserve">certificateUserIds</w:t>
      </w:r>
      <w:r>
        <w:t xml:space="preserve"> </w:t>
      </w:r>
      <w:r>
        <w:t xml:space="preserve">value from a certificate.</w:t>
      </w:r>
      <w:r>
        <w:rPr>
          <w:rStyle w:val="FootnoteReference"/>
        </w:rPr>
        <w:footnoteReference w:id="154"/>
      </w:r>
    </w:p>
    <w:p>
      <w:pPr>
        <w:pStyle w:val="Compact"/>
        <w:numPr>
          <w:ilvl w:val="0"/>
          <w:numId w:val="1019"/>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155"/>
      </w:r>
      <w:r>
        <w:rPr>
          <w:rStyle w:val="FootnoteReference"/>
        </w:rPr>
        <w:footnoteReference w:id="156"/>
      </w:r>
      <w:r>
        <w:rPr>
          <w:rStyle w:val="FootnoteReference"/>
        </w:rPr>
        <w:footnoteReference w:id="157"/>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158"/>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05: one automated writer (the CMS integration), no help-desk or self-service path, and any other write is drift (Chapter 09).</w:t>
      </w:r>
    </w:p>
    <w:bookmarkEnd w:id="159"/>
    <w:bookmarkStart w:id="168" w:name="revocation-checking"/>
    <w:p>
      <w:pPr>
        <w:pStyle w:val="Heading3"/>
      </w:pPr>
      <w:r>
        <w:t xml:space="preserve">Revocation checking</w:t>
      </w:r>
    </w:p>
    <w:p>
      <w:pPr>
        <w:pStyle w:val="FirstParagraph"/>
      </w:pPr>
      <w:r>
        <w:t xml:space="preserve">Entra ID checks the CRL of the issuing CA during CBA sign-in.</w:t>
      </w:r>
      <w:r>
        <w:rPr>
          <w:rStyle w:val="FootnoteReference"/>
        </w:rPr>
        <w:footnoteReference w:id="160"/>
      </w:r>
      <w:r>
        <w:t xml:space="preserve"> </w:t>
      </w:r>
      <w:r>
        <w:t xml:space="preserve">Three properties shape how fast a PIV revocation takes effect in Entra:</w:t>
      </w:r>
    </w:p>
    <w:p>
      <w:pPr>
        <w:pStyle w:val="Compact"/>
        <w:numPr>
          <w:ilvl w:val="0"/>
          <w:numId w:val="1020"/>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161"/>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162"/>
      </w:r>
    </w:p>
    <w:p>
      <w:pPr>
        <w:pStyle w:val="Compact"/>
        <w:numPr>
          <w:ilvl w:val="0"/>
          <w:numId w:val="1020"/>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164"/>
      </w:r>
      <w:r>
        <w:t xml:space="preserve"> </w:t>
      </w:r>
      <w:r>
        <w:t xml:space="preserve">Microsoft advises revoking tokens manually when immediate revocation is critical.</w:t>
      </w:r>
      <w:r>
        <w:rPr>
          <w:rStyle w:val="FootnoteReference"/>
        </w:rPr>
        <w:footnoteReference w:id="165"/>
      </w:r>
    </w:p>
    <w:p>
      <w:pPr>
        <w:pStyle w:val="Compact"/>
        <w:numPr>
          <w:ilvl w:val="0"/>
          <w:numId w:val="1020"/>
        </w:numPr>
      </w:pPr>
      <w:r>
        <w:rPr>
          <w:b/>
          <w:bCs/>
        </w:rPr>
        <w:t xml:space="preserve">Size limits.</w:t>
      </w:r>
      <w:r>
        <w:t xml:space="preserve"> </w:t>
      </w:r>
      <w:r>
        <w:t xml:space="preserve">In Azure Global, which includes GCC, the CRL download limits are 20 MB for interactive sign-in and 65 MB for the service.</w:t>
      </w:r>
      <w:r>
        <w:rPr>
          <w:rStyle w:val="FootnoteReference"/>
        </w:rPr>
        <w:footnoteReference w:id="166"/>
      </w:r>
      <w:r>
        <w:t xml:space="preserve"> </w:t>
      </w:r>
      <w:r>
        <w:t xml:space="preserve">Check the issuing CAs’ CRL sizes against those limits during Phase 1. If Entra can’t reach a configured CRL endpoint, CBA fails.</w:t>
      </w:r>
      <w:r>
        <w:rPr>
          <w:rStyle w:val="FootnoteReference"/>
        </w:rPr>
        <w:footnoteReference w:id="167"/>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168"/>
    <w:bookmarkStart w:id="174"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w:t>
      </w:r>
      <w:r>
        <w:rPr>
          <w:rStyle w:val="FootnoteReference"/>
        </w:rPr>
        <w:footnoteReference w:id="169"/>
      </w:r>
      <w:r>
        <w:t xml:space="preserve"> </w:t>
      </w:r>
      <w:r>
        <w:t xml:space="preserve">NIST SP 800-157 (December 2014) is the current final guideline; SP 800-157 Revision 1 is a final public draft (November 2024) that widens derived PIV credentials to include non-PKI authenticators verified by the home agency.</w:t>
      </w:r>
      <w:r>
        <w:rPr>
          <w:rStyle w:val="FootnoteReference"/>
        </w:rPr>
        <w:footnoteReference w:id="170"/>
      </w:r>
      <w:r>
        <w:rPr>
          <w:rStyle w:val="FootnoteReference"/>
        </w:rPr>
        <w:footnoteReference w:id="172"/>
      </w:r>
      <w:r>
        <w:t xml:space="preserve"> </w:t>
      </w:r>
      <w:r>
        <w:t xml:space="preserve">Plan for both forms in the Master User Record: a derived credential is an authenticator to revoke, and the leaver sequence has to find it.</w:t>
      </w:r>
    </w:p>
    <w:bookmarkEnd w:id="174"/>
    <w:bookmarkEnd w:id="175"/>
    <w:bookmarkStart w:id="177" w:name="X94296ff6e6513d4753c25cabb29212bdcd367df"/>
    <w:p>
      <w:pPr>
        <w:pStyle w:val="Heading2"/>
      </w:pPr>
      <w:r>
        <w:t xml:space="preserve">Mover: usually nothing, sometimes a reissue</w:t>
      </w:r>
    </w:p>
    <w:p>
      <w:pPr>
        <w:pStyle w:val="FirstParagraph"/>
      </w:pPr>
      <w:r>
        <w:t xml:space="preserve">Most moves don’t touch credentials: the person, the identifier and the PIV identity account stay the same (Chapter 03). Two exceptions:</w:t>
      </w:r>
    </w:p>
    <w:p>
      <w:pPr>
        <w:pStyle w:val="Compact"/>
        <w:numPr>
          <w:ilvl w:val="0"/>
          <w:numId w:val="1021"/>
        </w:numPr>
      </w:pPr>
      <w:r>
        <w:rPr>
          <w:b/>
          <w:bCs/>
        </w:rPr>
        <w:t xml:space="preserve">A change that reissues the card</w:t>
      </w:r>
      <w:r>
        <w:t xml:space="preserve"> </w:t>
      </w:r>
      <w:r>
        <w:t xml:space="preserve">(a legal name change, a contractor whose engagement changes) produces new certificates, and the high-affinity binding must be rewritten.</w:t>
      </w:r>
    </w:p>
    <w:p>
      <w:pPr>
        <w:pStyle w:val="Compact"/>
        <w:numPr>
          <w:ilvl w:val="0"/>
          <w:numId w:val="1021"/>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176"/>
      </w:r>
      <w:r>
        <w:t xml:space="preserve"> </w:t>
      </w:r>
      <w:r>
        <w:t xml:space="preserve">That is a mover in HR and a leaver for the credential.</w:t>
      </w:r>
    </w:p>
    <w:bookmarkEnd w:id="177"/>
    <w:bookmarkStart w:id="184" w:name="X81ae425e60662faa234921fdd19f20af4c2f099"/>
    <w:p>
      <w:pPr>
        <w:pStyle w:val="Heading2"/>
      </w:pPr>
      <w:r>
        <w:t xml:space="preserve">Device certificates: Intune and Microsoft Cloud PKI</w:t>
      </w:r>
    </w:p>
    <w:p>
      <w:pPr>
        <w:pStyle w:val="FirstParagraph"/>
      </w:pPr>
      <w:r>
        <w:t xml:space="preserve">Devices get their own certificates, for Wi-Fi, VPN and other authentication, through Intune SCEP or PKCS certificate profiles; Microsoft Cloud PKI can be the issuing CA for SCEP. The SQL Server series, Book 10 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178"/>
      </w:r>
    </w:p>
    <w:p>
      <w:pPr>
        <w:pStyle w:val="TableCaption"/>
      </w:pPr>
      <w:r>
        <w:t xml:space="preserve">When Intune revokes a SCEP certificate on a Windows device</w:t>
      </w:r>
      <w:r>
        <w:rPr>
          <w:rStyle w:val="FootnoteReference"/>
        </w:rPr>
        <w:footnoteReference w:id="180"/>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Two more caveats from the same source: SCEP certificates from a third-party CA are removed but not revoked, and PKCS certificates are revoked and removed on unenroll, wipe or retire.</w:t>
      </w:r>
      <w:r>
        <w:rPr>
          <w:rStyle w:val="FootnoteReference"/>
        </w:rPr>
        <w:footnoteReference w:id="181"/>
      </w:r>
    </w:p>
    <w:p>
      <w:pPr>
        <w:pStyle w:val="BodyText"/>
      </w:pPr>
      <w:r>
        <w:rPr>
          <w:b/>
          <w:bCs/>
        </w:rPr>
        <w:t xml:space="preserve">The rule that follows: retire or wipe the leaver’s devices before deleting the user.</w:t>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182"/>
      </w:r>
    </w:p>
    <w:bookmarkEnd w:id="184"/>
    <w:bookmarkStart w:id="204" w:name="the-canonical-leaver-sequence"/>
    <w:p>
      <w:pPr>
        <w:pStyle w:val="Heading2"/>
      </w:pPr>
      <w:r>
        <w:t xml:space="preserve">The canonical leaver sequence</w:t>
      </w:r>
    </w:p>
    <w:p>
      <w:pPr>
        <w:pStyle w:val="CaptionedFigure"/>
      </w:pPr>
      <w:r>
        <w:drawing>
          <wp:inline>
            <wp:extent cx="5334000" cy="4383091"/>
            <wp:effectExtent b="0" l="0" r="0" t="0"/>
            <wp:docPr descr="The leaver sequence: retire or wipe devices, revoke the PIV credential through the card management system, disable the account and revoke sessions, then delete after the retention period." title="" id="186" name="Picture"/>
            <a:graphic>
              <a:graphicData uri="http://schemas.openxmlformats.org/drawingml/2006/picture">
                <pic:pic>
                  <pic:nvPicPr>
                    <pic:cNvPr descr="/home/runner/work/modernization-workbook/modernization-workbook/docs/images/diagrams/hr-driven-iam/png/ch07-leaver-sequence.png" id="187" name="Picture"/>
                    <pic:cNvPicPr>
                      <a:picLocks noChangeArrowheads="1" noChangeAspect="1"/>
                    </pic:cNvPicPr>
                  </pic:nvPicPr>
                  <pic:blipFill>
                    <a:blip r:embed="rId185"/>
                    <a:stretch>
                      <a:fillRect/>
                    </a:stretch>
                  </pic:blipFill>
                  <pic:spPr bwMode="auto">
                    <a:xfrm>
                      <a:off x="0" y="0"/>
                      <a:ext cx="5334000" cy="4383091"/>
                    </a:xfrm>
                    <a:prstGeom prst="rect">
                      <a:avLst/>
                    </a:prstGeom>
                    <a:noFill/>
                    <a:ln w="9525">
                      <a:noFill/>
                      <a:headEnd/>
                      <a:tailEnd/>
                    </a:ln>
                  </pic:spPr>
                </pic:pic>
              </a:graphicData>
            </a:graphic>
          </wp:inline>
        </w:drawing>
      </w:r>
    </w:p>
    <w:p>
      <w:pPr>
        <w:pStyle w:val="ImageCaption"/>
      </w:pPr>
      <w:r>
        <w:t xml:space="preserve">The leaver sequence: retire or wipe devices, revoke the PIV credential through the card management system, disable the account and revoke sessions, then delete after the retention period.</w:t>
      </w:r>
    </w:p>
    <w:p>
      <w:pPr>
        <w:pStyle w:val="Compact"/>
        <w:numPr>
          <w:ilvl w:val="0"/>
          <w:numId w:val="1022"/>
        </w:numPr>
      </w:pPr>
      <w:r>
        <w:rPr>
          <w:b/>
          <w:bCs/>
        </w:rPr>
        <w:t xml:space="preserve">Retire or wipe every managed device</w:t>
      </w:r>
      <w:r>
        <w:t xml:space="preserve"> </w:t>
      </w:r>
      <w:r>
        <w:t xml:space="preserve">assigned to the leaver. This revokes and removes Intune SCEP and PKCS certificates.</w:t>
      </w:r>
      <w:r>
        <w:rPr>
          <w:rStyle w:val="FootnoteReference"/>
        </w:rPr>
        <w:footnoteReference w:id="188"/>
      </w:r>
      <w:r>
        <w:t xml:space="preserve"> </w:t>
      </w:r>
      <w:r>
        <w:t xml:space="preserve">Wipe needs the device online.</w:t>
      </w:r>
      <w:r>
        <w:rPr>
          <w:rStyle w:val="FootnoteReference"/>
        </w:rPr>
        <w:footnoteReference w:id="189"/>
      </w:r>
    </w:p>
    <w:p>
      <w:pPr>
        <w:pStyle w:val="Compact"/>
        <w:numPr>
          <w:ilvl w:val="0"/>
          <w:numId w:val="1022"/>
        </w:numPr>
      </w:pPr>
      <w:r>
        <w:rPr>
          <w:b/>
          <w:bCs/>
        </w:rPr>
        <w:t xml:space="preserve">Revoke the PIV credential through the CMS.</w:t>
      </w:r>
      <w:r>
        <w:t xml:space="preserve"> </w:t>
      </w:r>
      <w:r>
        <w:t xml:space="preserve">Collect and destroy the card where possible; otherwise revoke the PIV authentication and card authentication certificates, and the signature and key management certificates if present. Update the CMS, and invalidate all derived PIV credentials. For a card that can’t be collected, FIPS 201-3 requires the normal termination procedures to be completed within 18 hours of notification.</w:t>
      </w:r>
      <w:r>
        <w:rPr>
          <w:rStyle w:val="FootnoteReference"/>
        </w:rPr>
        <w:footnoteReference w:id="191"/>
      </w:r>
    </w:p>
    <w:p>
      <w:pPr>
        <w:pStyle w:val="Compact"/>
        <w:numPr>
          <w:ilvl w:val="0"/>
          <w:numId w:val="1022"/>
        </w:numPr>
      </w:pPr>
      <w:r>
        <w:rPr>
          <w:b/>
          <w:bCs/>
        </w:rPr>
        <w:t xml:space="preserve">Disable the account</w:t>
      </w:r>
      <w:r>
        <w:t xml:space="preserve"> </w:t>
      </w:r>
      <w:r>
        <w:t xml:space="preserve">in Entra ID, and in AD for synced users.</w:t>
      </w:r>
      <w:r>
        <w:rPr>
          <w:rStyle w:val="FootnoteReference"/>
        </w:rPr>
        <w:footnoteReference w:id="192"/>
      </w:r>
    </w:p>
    <w:p>
      <w:pPr>
        <w:pStyle w:val="Compact"/>
        <w:numPr>
          <w:ilvl w:val="0"/>
          <w:numId w:val="1022"/>
        </w:numPr>
      </w:pPr>
      <w:r>
        <w:rPr>
          <w:b/>
          <w:bCs/>
        </w:rPr>
        <w:t xml:space="preserve">Revoke sessions and refresh tokens.</w:t>
      </w:r>
      <w:r>
        <w:t xml:space="preserve"> </w:t>
      </w:r>
      <w:r>
        <w:t xml:space="preserve">Microsoft’s emergency-revocation procedure disables the user and then revokes refresh tokens, so no new token can be issued after the revocation.</w:t>
      </w:r>
      <w:r>
        <w:rPr>
          <w:rStyle w:val="FootnoteReference"/>
        </w:rPr>
        <w:footnoteReference w:id="193"/>
      </w:r>
      <w:r>
        <w:t xml:space="preserve"> </w:t>
      </w:r>
      <w:r>
        <w:t xml:space="preserve">This is also the step that closes CBA immediately rather than at the next CRL refresh.</w:t>
      </w:r>
      <w:r>
        <w:rPr>
          <w:rStyle w:val="FootnoteReference"/>
        </w:rPr>
        <w:footnoteReference w:id="194"/>
      </w:r>
    </w:p>
    <w:p>
      <w:pPr>
        <w:pStyle w:val="Compact"/>
        <w:numPr>
          <w:ilvl w:val="0"/>
          <w:numId w:val="1022"/>
        </w:numPr>
      </w:pPr>
      <w:r>
        <w:rPr>
          <w:b/>
          <w:bCs/>
        </w:rPr>
        <w:t xml:space="preserve">Delete the user after the retention period</w:t>
      </w:r>
      <w:r>
        <w:t xml:space="preserve"> </w:t>
      </w:r>
      <w:r>
        <w:t xml:space="preserve">(Chapter 06).</w:t>
      </w:r>
    </w:p>
    <w:p>
      <w:pPr>
        <w:pStyle w:val="FirstParagraph"/>
      </w:pPr>
      <w:r>
        <w:t xml:space="preserve">Steps 3 and 4 run back to back. Disabling first, then revoking, follows Microsoft’s documented order;</w:t>
      </w:r>
      <w:r>
        <w:rPr>
          <w:rStyle w:val="FootnoteReference"/>
        </w:rPr>
        <w:footnoteReference w:id="195"/>
      </w:r>
      <w:r>
        <w:t xml:space="preserve"> </w:t>
      </w:r>
      <w:r>
        <w:t xml:space="preserve">revoking first would leave a window in which a still-enabled account could get a new token.</w:t>
      </w:r>
    </w:p>
    <w:bookmarkStart w:id="203"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196"/>
      </w:r>
      <w:r>
        <w:t xml:space="preserve"> </w:t>
      </w:r>
      <w:r>
        <w:t xml:space="preserve">Microsoft’s real-time termination tutorial, for example, removes the user from all groups and Teams and deletes the account.</w:t>
      </w:r>
      <w:r>
        <w:rPr>
          <w:rStyle w:val="FootnoteReference"/>
        </w:rPr>
        <w:footnoteReference w:id="197"/>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198"/>
      </w:r>
    </w:p>
    <w:p>
      <w:pPr>
        <w:pStyle w:val="Compact"/>
        <w:numPr>
          <w:ilvl w:val="0"/>
          <w:numId w:val="1023"/>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200"/>
      </w:r>
      <w:r>
        <w:t xml:space="preserve"> </w:t>
      </w:r>
      <w:r>
        <w:t xml:space="preserve">A third-party system such as the CMS integration can send the response if the Logic App only acts as an intermediary.</w:t>
      </w:r>
      <w:r>
        <w:rPr>
          <w:rStyle w:val="FootnoteReference"/>
        </w:rPr>
        <w:footnoteReference w:id="201"/>
      </w:r>
    </w:p>
    <w:p>
      <w:pPr>
        <w:pStyle w:val="Compact"/>
        <w:numPr>
          <w:ilvl w:val="0"/>
          <w:numId w:val="1023"/>
        </w:numPr>
      </w:pPr>
      <w:r>
        <w:t xml:space="preserve">Authorize the response with the Logic App’s system-assigned managed identity, the default.</w:t>
      </w:r>
      <w:r>
        <w:rPr>
          <w:rStyle w:val="FootnoteReference"/>
        </w:rPr>
        <w:footnoteReference w:id="202"/>
      </w:r>
    </w:p>
    <w:p>
      <w:pPr>
        <w:pStyle w:val="Compact"/>
        <w:numPr>
          <w:ilvl w:val="0"/>
          <w:numId w:val="1023"/>
        </w:numPr>
      </w:pPr>
      <w:r>
        <w:t xml:space="preserve">Order the workflow as the sequence above: custom task (retire or wipe devices through Intune), custom task (CMS revocation),</w:t>
      </w:r>
      <w:r>
        <w:t xml:space="preserve"> </w:t>
      </w:r>
      <w:r>
        <w:rPr>
          <w:i/>
          <w:iCs/>
        </w:rPr>
        <w:t xml:space="preserve">Disable user account</w:t>
      </w:r>
      <w:r>
        <w:t xml:space="preserve">,</w:t>
      </w:r>
      <w:r>
        <w:t xml:space="preserve"> </w:t>
      </w:r>
      <w:r>
        <w:rPr>
          <w:i/>
          <w:iCs/>
        </w:rPr>
        <w:t xml:space="preserve">Revoke all refresh tokens for user</w:t>
      </w:r>
      <w:r>
        <w:t xml:space="preserve">, then the group, Teams, access package and license removals. Put</w:t>
      </w:r>
      <w:r>
        <w:t xml:space="preserve"> </w:t>
      </w:r>
      <w:r>
        <w:rPr>
          <w:i/>
          <w:iCs/>
        </w:rPr>
        <w:t xml:space="preserve">Delete user</w:t>
      </w:r>
      <w:r>
        <w:t xml:space="preserve"> </w:t>
      </w:r>
      <w:r>
        <w:t xml:space="preserve">in a separate post-offboarding workflow keyed to the retention period.</w:t>
      </w:r>
    </w:p>
    <w:p>
      <w:pPr>
        <w:pStyle w:val="FirstParagraph"/>
      </w:pPr>
      <w:r>
        <w:t xml:space="preserve">A failed custom task is a finding, not a retry loop: route it to the service desk and the ISSO, and carry it in the separation-to-revocation metric (Chapter 09).</w:t>
      </w:r>
    </w:p>
    <w:bookmarkEnd w:id="203"/>
    <w:bookmarkEnd w:id="204"/>
    <w:bookmarkStart w:id="205" w:name="what-the-evidence-must-show"/>
    <w:p>
      <w:pPr>
        <w:pStyle w:val="Heading2"/>
      </w:pPr>
      <w:r>
        <w:t xml:space="preserve">What the evidence must show</w:t>
      </w:r>
    </w:p>
    <w:p>
      <w:pPr>
        <w:pStyle w:val="FirstParagraph"/>
      </w:pPr>
      <w:r>
        <w:t xml:space="preserve">For each leaver: the HR effective date; the device actions and their completion; the CMS revocation record and the CRL that published it; the disable and token-revocation timestamps; and the deletion date. The interval from the HR effective date to the last of those steps is the number an assessor asks for under PS-4 (Chapter 09).</w:t>
      </w:r>
    </w:p>
    <w:bookmarkEnd w:id="205"/>
    <w:bookmarkEnd w:id="206"/>
    <w:bookmarkStart w:id="236" w:name="chapter-08-from-attributes-to-access"/>
    <w:p>
      <w:pPr>
        <w:pStyle w:val="Heading1"/>
      </w:pPr>
      <w:r>
        <w:t xml:space="preserve">Chapter 08 — From Attributes to Access</w:t>
      </w:r>
    </w:p>
    <w:p>
      <w:pPr>
        <w:pStyle w:val="FirstParagraph"/>
      </w:pPr>
      <w:r>
        <w:rPr>
          <w:i/>
          <w:iCs/>
        </w:rPr>
        <w:t xml:space="preserve">In a dynamic group, whoever writes the attribute controls access.</w:t>
      </w:r>
    </w:p>
    <w:bookmarkStart w:id="207" w:name="in-this-chapter-8"/>
    <w:p>
      <w:pPr>
        <w:pStyle w:val="Heading2"/>
      </w:pPr>
      <w:r>
        <w:t xml:space="preserve">In this chapter</w:t>
      </w:r>
    </w:p>
    <w:p>
      <w:pPr>
        <w:pStyle w:val="FirstParagraph"/>
      </w:pPr>
      <w:r>
        <w:t xml:space="preserve">The derivation chain. Valid rule patterns against the canonical schema, with Microsoft’s limits. Administrative units. Access packages and access reviews that route to the supervisor of record. Where dynamic membership stops: privileged roles, PIM and break-glass.</w:t>
      </w:r>
    </w:p>
    <w:bookmarkEnd w:id="207"/>
    <w:bookmarkStart w:id="209" w:name="the-derivation-chain"/>
    <w:p>
      <w:pPr>
        <w:pStyle w:val="Heading2"/>
      </w:pPr>
      <w:r>
        <w:t xml:space="preserve">The derivation chain</w:t>
      </w:r>
    </w:p>
    <w:p>
      <w:pPr>
        <w:pStyle w:val="FirstParagraph"/>
      </w:pPr>
      <w:r>
        <w:rPr>
          <w:b/>
          <w:bCs/>
        </w:rPr>
        <w:t xml:space="preserve">Worker record → stamped attributes → dynamic groups → entitlements.</w:t>
      </w:r>
    </w:p>
    <w:p>
      <w:pPr>
        <w:pStyle w:val="BodyText"/>
      </w:pPr>
      <w:r>
        <w:t xml:space="preserve">Rules for dynamic membership evaluate HR-derived attributes, so nobody joins these groups and nobody forgets to leave one. Access packages bundle entitlements behind eligibility rules and approvals that route to the supervisor of record. Conditional Access and application roles consume the same groups. Three properties follow:</w:t>
      </w:r>
    </w:p>
    <w:p>
      <w:pPr>
        <w:pStyle w:val="Compact"/>
        <w:numPr>
          <w:ilvl w:val="0"/>
          <w:numId w:val="1024"/>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24"/>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is the access authorization record AC-2 asks for, and it can be queried end to end.</w:t>
      </w:r>
    </w:p>
    <w:p>
      <w:pPr>
        <w:pStyle w:val="Compact"/>
        <w:numPr>
          <w:ilvl w:val="0"/>
          <w:numId w:val="1024"/>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208"/>
      </w:r>
      <w:r>
        <w:t xml:space="preserve"> </w:t>
      </w:r>
      <w:r>
        <w:t xml:space="preserve">Chapter 05 sets the only writer of the access attributes: the provisioning service.</w:t>
      </w:r>
    </w:p>
    <w:bookmarkEnd w:id="209"/>
    <w:bookmarkStart w:id="220" w:name="rule-patterns"/>
    <w:p>
      <w:pPr>
        <w:pStyle w:val="Heading2"/>
      </w:pPr>
      <w:r>
        <w:t xml:space="preserve">Rule patterns</w:t>
      </w:r>
    </w:p>
    <w:p>
      <w:pPr>
        <w:pStyle w:val="FirstParagraph"/>
      </w:pPr>
      <w:r>
        <w:t xml:space="preserve">Write rules against the canonical schema of Chapter 05: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210"/>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The</w:t>
      </w:r>
      <w:r>
        <w:t xml:space="preserve"> </w:t>
      </w:r>
      <w:r>
        <w:rPr>
          <w:rStyle w:val="VerbatimChar"/>
        </w:rPr>
        <w:t xml:space="preserve">-in</w:t>
      </w:r>
      <w:r>
        <w:t xml:space="preserve"> </w:t>
      </w:r>
      <w:r>
        <w:t xml:space="preserve">operator takes a bracketed list.</w:t>
      </w:r>
      <w:r>
        <w:rPr>
          <w:rStyle w:val="FootnoteReference"/>
        </w:rPr>
        <w:footnoteReference w:id="211"/>
      </w:r>
      <w:r>
        <w:t xml:space="preserve"> </w:t>
      </w:r>
      <w:r>
        <w:t xml:space="preserve">The direct-reports rule uses the manager’s object ID, and the manager is also added to the group.</w:t>
      </w:r>
      <w:r>
        <w:rPr>
          <w:rStyle w:val="FootnoteReference"/>
        </w:rPr>
        <w:footnoteReference w:id="212"/>
      </w:r>
      <w:r>
        <w:t xml:space="preserve"> </w:t>
      </w:r>
      <w:r>
        <w:t xml:space="preserve">Rules can’t read</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which is why worker type and organization have coded carriers.</w:t>
      </w:r>
      <w:r>
        <w:rPr>
          <w:rStyle w:val="FootnoteReference"/>
        </w:rPr>
        <w:footnoteReference w:id="213"/>
      </w:r>
    </w:p>
    <w:bookmarkStart w:id="218" w:name="limits-and-efficiency"/>
    <w:p>
      <w:pPr>
        <w:pStyle w:val="Heading3"/>
      </w:pPr>
      <w:r>
        <w:t xml:space="preserve">Limits and efficiency</w:t>
      </w:r>
    </w:p>
    <w:p>
      <w:pPr>
        <w:pStyle w:val="Compact"/>
        <w:numPr>
          <w:ilvl w:val="0"/>
          <w:numId w:val="1025"/>
        </w:numPr>
      </w:pPr>
      <w:r>
        <w:t xml:space="preserve">A rule body can’t exceed 3,072 characters, and a tenant can have at most 15,000 dynamic membership groups.</w:t>
      </w:r>
      <w:r>
        <w:rPr>
          <w:rStyle w:val="FootnoteReference"/>
        </w:rPr>
        <w:footnoteReference w:id="214"/>
      </w:r>
    </w:p>
    <w:p>
      <w:pPr>
        <w:pStyle w:val="Compact"/>
        <w:numPr>
          <w:ilvl w:val="0"/>
          <w:numId w:val="1025"/>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215"/>
      </w:r>
    </w:p>
    <w:p>
      <w:pPr>
        <w:pStyle w:val="Compact"/>
        <w:numPr>
          <w:ilvl w:val="0"/>
          <w:numId w:val="1025"/>
        </w:numPr>
      </w:pPr>
      <w:r>
        <w:t xml:space="preserve">Dynamic membership needs an Entra ID P1 license for each unique user who is a member of one or more dynamic groups.</w:t>
      </w:r>
      <w:r>
        <w:rPr>
          <w:rStyle w:val="FootnoteReference"/>
        </w:rPr>
        <w:footnoteReference w:id="217"/>
      </w:r>
    </w:p>
    <w:bookmarkEnd w:id="218"/>
    <w:bookmarkStart w:id="219" w:name="governance-of-the-rules-themselves"/>
    <w:p>
      <w:pPr>
        <w:pStyle w:val="Heading3"/>
      </w:pPr>
      <w:r>
        <w:t xml:space="preserve">Governance of the rules themselves</w:t>
      </w:r>
    </w:p>
    <w:p>
      <w:pPr>
        <w:pStyle w:val="Compact"/>
        <w:numPr>
          <w:ilvl w:val="0"/>
          <w:numId w:val="1026"/>
        </w:numPr>
      </w:pPr>
      <w:r>
        <w:t xml:space="preserve">Code lists are controlled vocabularies owned by HR. A value that isn’t on the list is a drift event (Chapter 09).</w:t>
      </w:r>
    </w:p>
    <w:p>
      <w:pPr>
        <w:pStyle w:val="Compact"/>
        <w:numPr>
          <w:ilvl w:val="0"/>
          <w:numId w:val="1026"/>
        </w:numPr>
      </w:pPr>
      <w:r>
        <w:t xml:space="preserve">Every rule that grants access is validated, run in shadow against the group it replaces, and gated on a verified pilot cohort before it’s attached to a resource.</w:t>
      </w:r>
    </w:p>
    <w:p>
      <w:pPr>
        <w:pStyle w:val="Compact"/>
        <w:numPr>
          <w:ilvl w:val="0"/>
          <w:numId w:val="1026"/>
        </w:numPr>
      </w:pPr>
      <w:r>
        <w:t xml:space="preserve">A group’s membership must be explainable from attributes alone. A manual addition to a dynamic group isn’t possible; a manual change to an attribute is drift.</w:t>
      </w:r>
    </w:p>
    <w:bookmarkEnd w:id="219"/>
    <w:bookmarkEnd w:id="220"/>
    <w:bookmarkStart w:id="226" w:name="administrative-units"/>
    <w:p>
      <w:pPr>
        <w:pStyle w:val="Heading2"/>
      </w:pPr>
      <w:r>
        <w:t xml:space="preserve">Administrative units</w:t>
      </w:r>
    </w:p>
    <w:p>
      <w:pPr>
        <w:pStyle w:val="FirstParagraph"/>
      </w:pPr>
      <w:r>
        <w:t xml:space="preserve">Administrative units scope delegated administration (for example, a help desk that may reset passwords only for one component) without making policy read a container path. An administrative unit’s user membership can itself be a dynamic rule, using the same canonical attributes; such units hold users or devices, not both, and not groups. Each administrative-unit administrator and member needs Entra ID P1, and the feature is available in the global Azure cloud, which is where GCC tenants run.</w:t>
      </w:r>
      <w:r>
        <w:rPr>
          <w:rStyle w:val="FootnoteReference"/>
        </w:rPr>
        <w:footnoteReference w:id="221"/>
      </w:r>
      <w:r>
        <w:rPr>
          <w:rStyle w:val="FootnoteReference"/>
        </w:rPr>
        <w:footnoteReference w:id="223"/>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224"/>
      </w:r>
    </w:p>
    <w:bookmarkEnd w:id="226"/>
    <w:bookmarkStart w:id="231" w:name="access-packages-and-access-reviews"/>
    <w:p>
      <w:pPr>
        <w:pStyle w:val="Heading2"/>
      </w:pPr>
      <w:r>
        <w:t xml:space="preserve">Access packages and access reviews</w:t>
      </w:r>
    </w:p>
    <w:p>
      <w:pPr>
        <w:pStyle w:val="Compact"/>
        <w:numPr>
          <w:ilvl w:val="0"/>
          <w:numId w:val="1027"/>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227"/>
      </w:r>
      <w:r>
        <w:t xml:space="preserve"> </w:t>
      </w:r>
      <w:r>
        <w:t xml:space="preserve">which resolves to the</w:t>
      </w:r>
      <w:r>
        <w:t xml:space="preserve"> </w:t>
      </w:r>
      <w:r>
        <w:rPr>
          <w:rStyle w:val="VerbatimChar"/>
        </w:rPr>
        <w:t xml:space="preserve">manager</w:t>
      </w:r>
      <w:r>
        <w:t xml:space="preserve"> </w:t>
      </w:r>
      <w:r>
        <w:t xml:space="preserve">relationship the HR feed maintains.</w:t>
      </w:r>
    </w:p>
    <w:p>
      <w:pPr>
        <w:pStyle w:val="Compact"/>
        <w:numPr>
          <w:ilvl w:val="0"/>
          <w:numId w:val="1027"/>
        </w:numPr>
      </w:pPr>
      <w:r>
        <w:rPr>
          <w:b/>
          <w:bCs/>
        </w:rPr>
        <w:t xml:space="preserve">Access reviews</w:t>
      </w:r>
      <w:r>
        <w:t xml:space="preserve"> </w:t>
      </w:r>
      <w:r>
        <w:t xml:space="preserve">verify what remains. Reviews can be assigned to managers,</w:t>
      </w:r>
      <w:r>
        <w:rPr>
          <w:rStyle w:val="FootnoteReference"/>
        </w:rPr>
        <w:footnoteReference w:id="229"/>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27"/>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w:t>
      </w:r>
    </w:p>
    <w:bookmarkEnd w:id="231"/>
    <w:bookmarkStart w:id="235" w:name="where-dynamic-membership-stops"/>
    <w:p>
      <w:pPr>
        <w:pStyle w:val="Heading2"/>
      </w:pPr>
      <w:r>
        <w:t xml:space="preserve">Where dynamic membership stops</w:t>
      </w:r>
    </w:p>
    <w:p>
      <w:pPr>
        <w:pStyle w:val="Compact"/>
        <w:numPr>
          <w:ilvl w:val="0"/>
          <w:numId w:val="1028"/>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232"/>
      </w:r>
    </w:p>
    <w:p>
      <w:pPr>
        <w:pStyle w:val="Compact"/>
        <w:numPr>
          <w:ilvl w:val="0"/>
          <w:numId w:val="1028"/>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233"/>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28"/>
        </w:numPr>
      </w:pPr>
      <w:r>
        <w:rPr>
          <w:b/>
          <w:bCs/>
        </w:rPr>
        <w:t xml:space="preserve">Break-glass accounts depend on none of this.</w:t>
      </w:r>
      <w:r>
        <w:t xml:space="preserve"> </w:t>
      </w:r>
      <w:r>
        <w:t xml:space="preserve">Emergency access accounts are cloud-only, excluded from HR-driven rules and lifecycle workflows, and monitored.</w:t>
      </w:r>
    </w:p>
    <w:p>
      <w:pPr>
        <w:pStyle w:val="FirstParagraph"/>
      </w:pPr>
      <w:r>
        <w:t xml:space="preserve">The SQL Server Identity Transformation series, Book 07 applies this chapter to SQL Server logins and database roles, including naming, shadow testing and rollout gates.</w:t>
      </w:r>
    </w:p>
    <w:bookmarkEnd w:id="235"/>
    <w:bookmarkEnd w:id="236"/>
    <w:bookmarkStart w:id="242" w:name="chapter-09-drift-metrics-and-evidence"/>
    <w:p>
      <w:pPr>
        <w:pStyle w:val="Heading1"/>
      </w:pPr>
      <w:r>
        <w:t xml:space="preserve">Chapter 09 — Drift, Metrics and Evidence</w:t>
      </w:r>
    </w:p>
    <w:p>
      <w:pPr>
        <w:pStyle w:val="FirstParagraph"/>
      </w:pPr>
      <w:r>
        <w:rPr>
          <w:i/>
          <w:iCs/>
        </w:rPr>
        <w:t xml:space="preserve">An architecture that can’t measure its own revocation latency is asserting PS-4 on faith.</w:t>
      </w:r>
    </w:p>
    <w:bookmarkStart w:id="237" w:name="in-this-chapter-9"/>
    <w:p>
      <w:pPr>
        <w:pStyle w:val="Heading2"/>
      </w:pPr>
      <w:r>
        <w:t xml:space="preserve">In this chapter</w:t>
      </w:r>
    </w:p>
    <w:p>
      <w:pPr>
        <w:pStyle w:val="FirstParagraph"/>
      </w:pPr>
      <w:r>
        <w:t xml:space="preserve">Five lifecycle metrics. The drift classes between the HR record and the directory, and the signal for each. What evidence each event leaves. The control-closure argument for AC-2, PS-4, PS-5, IA-4 and SI-12.</w:t>
      </w:r>
    </w:p>
    <w:bookmarkEnd w:id="237"/>
    <w:bookmarkStart w:id="238" w:name="the-measured-lifecycle"/>
    <w:p>
      <w:pPr>
        <w:pStyle w:val="Heading2"/>
      </w:pPr>
      <w:r>
        <w:t xml:space="preserve">The measured lifecycle</w:t>
      </w:r>
    </w:p>
    <w:p>
      <w:pPr>
        <w:pStyle w:val="FirstParagraph"/>
      </w:pPr>
      <w:r>
        <w:t xml:space="preserve">An event-driven lifecycle is also a measured one: every interval from event to action is a number.</w:t>
      </w:r>
    </w:p>
    <w:p>
      <w:pPr>
        <w:pStyle w:val="TableCaption"/>
      </w:pPr>
      <w:r>
        <w:t xml:space="preserve">Lifecycle metrics</w:t>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 and time → last step of the leaver sequence (Chapter 07)</w:t>
            </w:r>
          </w:p>
        </w:tc>
        <w:tc>
          <w:tcPr/>
          <w:p>
            <w:pPr>
              <w:pStyle w:val="Compact"/>
            </w:pPr>
            <w:r>
              <w:t xml:space="preserve">PS-4: access disabled within the defined period, continuously</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review initiated within the 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w:t>
            </w:r>
            <w:r>
              <w:t xml:space="preserve"> </w:t>
            </w:r>
            <w:r>
              <w:rPr>
                <w:rStyle w:val="VerbatimChar"/>
              </w:rPr>
              <w:t xml:space="preserve">employeeId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06) and the CRL publication interval of the PIV issuing CA (Chapter 07).</w:t>
      </w:r>
    </w:p>
    <w:bookmarkEnd w:id="238"/>
    <w:bookmarkStart w:id="239" w:name="drift-between-hr-and-the-directory"/>
    <w:p>
      <w:pPr>
        <w:pStyle w:val="Heading2"/>
      </w:pPr>
      <w:r>
        <w:t xml:space="preserve">Drift between HR and the directory</w:t>
      </w:r>
    </w:p>
    <w:p>
      <w:pPr>
        <w:pStyle w:val="FirstParagraph"/>
      </w:pPr>
      <w:r>
        <w:t xml:space="preserve">Drift is any difference between what the HR record says and what the directory holds. Each class has a detection signal and a default severity:</w:t>
      </w:r>
    </w:p>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05)</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05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04)</w:t>
            </w:r>
          </w:p>
        </w:tc>
        <w:tc>
          <w:tcPr/>
          <w:p>
            <w:pPr>
              <w:pStyle w:val="Compact"/>
            </w:pPr>
            <w:r>
              <w:t xml:space="preserve">Medium</w:t>
            </w:r>
          </w:p>
        </w:tc>
      </w:tr>
    </w:tbl>
    <w:p>
      <w:pPr>
        <w:pStyle w:val="BodyText"/>
      </w:pPr>
      <w:r>
        <w:t xml:space="preserve">The provisioning logs are the first source for most of these: the API client already reads them for each record’s result (Chapter 04). The rest are joins between the HR extract, the directory and the CMS, on the one identifier they share.</w:t>
      </w:r>
    </w:p>
    <w:p>
      <w:pPr>
        <w:pStyle w:val="BodyText"/>
      </w:pPr>
      <w:r>
        <w:t xml:space="preserve">In the first month of a new pipeline, expect a burst of high-severity findings: leavers the old manual process hadn’t caught up with, and orphan accounts from earlier connectors that the canonical pipeline can now see. That burst is the measurement working, not the pipeline failing.</w:t>
      </w:r>
    </w:p>
    <w:bookmarkEnd w:id="239"/>
    <w:bookmarkStart w:id="240" w:name="the-evidence-each-event-leaves"/>
    <w:p>
      <w:pPr>
        <w:pStyle w:val="Heading2"/>
      </w:pPr>
      <w:r>
        <w:t xml:space="preserve">The evidence each event leaves</w:t>
      </w:r>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3960"/>
        <w:gridCol w:w="3960"/>
      </w:tblGrid>
      <w:tr>
        <w:trPr>
          <w:tblHeader w:val="on"/>
        </w:trPr>
        <w:tc>
          <w:tcPr/>
          <w:p>
            <w:pPr>
              <w:pStyle w:val="Compact"/>
            </w:pPr>
            <w:r>
              <w:t xml:space="preserve">Event</w:t>
            </w:r>
          </w:p>
        </w:tc>
        <w:tc>
          <w:tcPr/>
          <w:p>
            <w:pPr>
              <w:pStyle w:val="Compact"/>
            </w:pPr>
            <w:r>
              <w:t xml:space="preserve">Evidence</w:t>
            </w:r>
          </w:p>
        </w:tc>
      </w:tr>
      <w:tr>
        <w:tc>
          <w:tcPr/>
          <w:p>
            <w:pPr>
              <w:pStyle w:val="Compact"/>
            </w:pPr>
            <w:r>
              <w:t xml:space="preserve">Any HR event</w:t>
            </w:r>
          </w:p>
        </w:tc>
        <w:tc>
          <w:tcPr/>
          <w:p>
            <w:pPr>
              <w:pStyle w:val="Compact"/>
            </w:pPr>
            <w:r>
              <w:t xml:space="preserve">The middleware’s provenance record: source event ID, payload hash, derivation inputs, outcome (Chapter 04)</w:t>
            </w:r>
          </w:p>
        </w:tc>
      </w:tr>
      <w:tr>
        <w:tc>
          <w:tcPr/>
          <w:p>
            <w:pPr>
              <w:pStyle w:val="Compact"/>
            </w:pPr>
            <w:r>
              <w:t xml:space="preserve">Provisioning</w:t>
            </w:r>
          </w:p>
        </w:tc>
        <w:tc>
          <w:tcPr/>
          <w:p>
            <w:pPr>
              <w:pStyle w:val="Compact"/>
            </w:pPr>
            <w:r>
              <w:t xml:space="preserve">The provisioning log entry for the record</w:t>
            </w:r>
          </w:p>
        </w:tc>
      </w:tr>
      <w:tr>
        <w:tc>
          <w:tcPr/>
          <w:p>
            <w:pPr>
              <w:pStyle w:val="Compact"/>
            </w:pPr>
            <w:r>
              <w:t xml:space="preserve">Joiner, mover, leaver</w:t>
            </w:r>
          </w:p>
        </w:tc>
        <w:tc>
          <w:tcPr/>
          <w:p>
            <w:pPr>
              <w:pStyle w:val="Compact"/>
            </w:pPr>
            <w:r>
              <w:t xml:space="preserve">Lifecycle Workflows run history, per task</w:t>
            </w:r>
          </w:p>
        </w:tc>
      </w:tr>
      <w:tr>
        <w:tc>
          <w:tcPr/>
          <w:p>
            <w:pPr>
              <w:pStyle w:val="Compact"/>
            </w:pPr>
            <w:r>
              <w:t xml:space="preserve">Leaver credentials</w:t>
            </w:r>
          </w:p>
        </w:tc>
        <w:tc>
          <w:tcPr/>
          <w:p>
            <w:pPr>
              <w:pStyle w:val="Compact"/>
            </w:pPr>
            <w:r>
              <w:t xml:space="preserve">Intune device action records; the CMS revocation record and the CRL that published it (Chapter 07)</w:t>
            </w:r>
          </w:p>
        </w:tc>
      </w:tr>
      <w:tr>
        <w:tc>
          <w:tcPr/>
          <w:p>
            <w:pPr>
              <w:pStyle w:val="Compact"/>
            </w:pPr>
            <w:r>
              <w:t xml:space="preserve">Access</w:t>
            </w:r>
          </w:p>
        </w:tc>
        <w:tc>
          <w:tcPr/>
          <w:p>
            <w:pPr>
              <w:pStyle w:val="Compact"/>
            </w:pPr>
            <w:r>
              <w:t xml:space="preserve">Group membership changes and the rule that produced them; access-review decisions</w:t>
            </w:r>
          </w:p>
        </w:tc>
      </w:tr>
    </w:tbl>
    <w:p>
      <w:pPr>
        <w:pStyle w:val="BodyText"/>
      </w:pPr>
      <w:r>
        <w:t xml:space="preserve">Keep the evidence outside the directory, in the agency’s log store, for the retention period the records schedule sets: the account itself is deleted after retention (Chapter 06), and the evidence has to outlive it.</w:t>
      </w:r>
    </w:p>
    <w:bookmarkEnd w:id="240"/>
    <w:bookmarkStart w:id="241" w:name="control-closure-nist-sp-800-53-rev-5"/>
    <w:p>
      <w:pPr>
        <w:pStyle w:val="Heading2"/>
      </w:pPr>
      <w:r>
        <w:t xml:space="preserve">Control closure: NIST SP 800-53 Rev 5</w:t>
      </w:r>
    </w:p>
    <w:p>
      <w:pPr>
        <w:pStyle w:val="TableCaption"/>
      </w:pPr>
      <w:r>
        <w:t xml:space="preserve">How the architecture closes the account-management controls</w:t>
      </w:r>
    </w:p>
    <w:tbl>
      <w:tblPr>
        <w:tblStyle w:val="Table"/>
        <w:tblW w:type="pct" w:w="5000"/>
        <w:tblLayout w:type="fixed"/>
        <w:tblLook w:firstRow="1" w:lastRow="0" w:firstColumn="0" w:lastColumn="0" w:noHBand="0" w:noVBand="0" w:val="0020"/>
        <w:tblCaption w:val="How the architecture closes the account-management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Without this architecture</w:t>
            </w:r>
          </w:p>
        </w:tc>
        <w:tc>
          <w:tcPr/>
          <w:p>
            <w:pPr>
              <w:pStyle w:val="Compact"/>
            </w:pPr>
            <w:r>
              <w:t xml:space="preserve">With it</w:t>
            </w:r>
          </w:p>
        </w:tc>
        <w:tc>
          <w:tcPr/>
          <w:p>
            <w:pPr>
              <w:pStyle w:val="Compact"/>
            </w:pPr>
            <w:r>
              <w:t xml:space="preserve">Why nothing else closes it</w:t>
            </w:r>
          </w:p>
        </w:tc>
      </w:tr>
      <w:tr>
        <w:tc>
          <w:tcPr/>
          <w:p>
            <w:pPr>
              <w:pStyle w:val="Compact"/>
            </w:pPr>
            <w:r>
              <w:rPr>
                <w:b/>
                <w:bCs/>
              </w:rPr>
              <w:t xml:space="preserve">AC-2</w:t>
            </w:r>
            <w:r>
              <w:t xml:space="preserve"> </w:t>
            </w:r>
            <w:r>
              <w:t xml:space="preserve">Account Management</w:t>
            </w:r>
          </w:p>
        </w:tc>
        <w:tc>
          <w:tcPr/>
          <w:p>
            <w:pPr>
              <w:pStyle w:val="Compact"/>
            </w:pPr>
            <w:r>
              <w:t xml:space="preserve">Accounts created, changed and disabled by ticket; authorizations undocumented or encoded in group names; alignment with personnel processes exists as a memo</w:t>
            </w:r>
          </w:p>
        </w:tc>
        <w:tc>
          <w:tcPr/>
          <w:p>
            <w:pPr>
              <w:pStyle w:val="Compact"/>
            </w:pPr>
            <w:r>
              <w:t xml:space="preserve">Every account traces to a worker record; creation, change and disablement follow hire, transfer and separation events; authorizations resolve to attribute, rule and record</w:t>
            </w:r>
          </w:p>
        </w:tc>
        <w:tc>
          <w:tcPr/>
          <w:p>
            <w:pPr>
              <w:pStyle w:val="Compact"/>
            </w:pPr>
            <w:r>
              <w:t xml:space="preserve">Alignment with personnel processes presumes a machine-readable personnel record to align to. Employment facts originate in HR; nothing downstream can generate them, only copy them late</w:t>
            </w:r>
          </w:p>
        </w:tc>
      </w:tr>
      <w:tr>
        <w:tc>
          <w:tcPr/>
          <w:p>
            <w:pPr>
              <w:pStyle w:val="Compact"/>
            </w:pPr>
            <w:r>
              <w:rPr>
                <w:b/>
                <w:bCs/>
              </w:rPr>
              <w:t xml:space="preserve">AC-2(1)</w:t>
            </w:r>
            <w:r>
              <w:t xml:space="preserve"> </w:t>
            </w:r>
            <w:r>
              <w:t xml:space="preserve">Automated System Account Management</w:t>
            </w:r>
          </w:p>
        </w:tc>
        <w:tc>
          <w:tcPr/>
          <w:p>
            <w:pPr>
              <w:pStyle w:val="Compact"/>
            </w:pPr>
            <w:r>
              <w:t xml:space="preserve">No automation, or automation wired to the directory, which automates stale data</w:t>
            </w:r>
          </w:p>
        </w:tc>
        <w:tc>
          <w:tcPr/>
          <w:p>
            <w:pPr>
              <w:pStyle w:val="Compact"/>
            </w:pPr>
            <w:r>
              <w:t xml:space="preserve">Provisioning and Lifecycle Workflows run the account lifecycle from effective-dated HR events, with provenance per action</w:t>
            </w:r>
          </w:p>
        </w:tc>
        <w:tc>
          <w:tcPr/>
          <w:p>
            <w:pPr>
              <w:pStyle w:val="Compact"/>
            </w:pPr>
            <w:r>
              <w:t xml:space="preserve">Automation is as correct as its input. The only authoritative input for existence, status and placement is the system of record</w:t>
            </w:r>
          </w:p>
        </w:tc>
      </w:tr>
      <w:tr>
        <w:tc>
          <w:tcPr/>
          <w:p>
            <w:pPr>
              <w:pStyle w:val="Compact"/>
            </w:pPr>
            <w:r>
              <w:rPr>
                <w:b/>
                <w:bCs/>
              </w:rPr>
              <w:t xml:space="preserve">PS-4</w:t>
            </w:r>
            <w:r>
              <w:t xml:space="preserve"> </w:t>
            </w:r>
            <w:r>
              <w:t xml:space="preserve">Personnel Termination</w:t>
            </w:r>
          </w:p>
        </w:tc>
        <w:tc>
          <w:tcPr/>
          <w:p>
            <w:pPr>
              <w:pStyle w:val="Compact"/>
            </w:pPr>
            <w:r>
              <w:t xml:space="preserve">Termination by email and checklist; access removed days or weeks late, system by system</w:t>
            </w:r>
          </w:p>
        </w:tc>
        <w:tc>
          <w:tcPr/>
          <w:p>
            <w:pPr>
              <w:pStyle w:val="Compact"/>
            </w:pPr>
            <w:r>
              <w:t xml:space="preserve">The separation record starts the leaver sequence on the effective date, with a timestamp per step; the separation-to-revocation interval is a reported metric</w:t>
            </w:r>
          </w:p>
        </w:tc>
        <w:tc>
          <w:tcPr/>
          <w:p>
            <w:pPr>
              <w:pStyle w:val="Compact"/>
            </w:pPr>
            <w:r>
              <w:t xml:space="preserve">The clock starts at an event only HR records. Termination isn’t visible on the network, and an absence of sign-ins looks like leave</w:t>
            </w:r>
          </w:p>
        </w:tc>
      </w:tr>
      <w:tr>
        <w:tc>
          <w:tcPr/>
          <w:p>
            <w:pPr>
              <w:pStyle w:val="Compact"/>
            </w:pPr>
            <w:r>
              <w:rPr>
                <w:b/>
                <w:bCs/>
              </w:rPr>
              <w:t xml:space="preserve">PS-5</w:t>
            </w:r>
            <w:r>
              <w:t xml:space="preserve"> </w:t>
            </w:r>
            <w:r>
              <w:t xml:space="preserve">Personnel Transfer</w:t>
            </w:r>
          </w:p>
        </w:tc>
        <w:tc>
          <w:tcPr/>
          <w:p>
            <w:pPr>
              <w:pStyle w:val="Compact"/>
            </w:pPr>
            <w:r>
              <w:t xml:space="preserve">Transfers invisible to the directory; access accumulates across reassignments</w:t>
            </w:r>
          </w:p>
        </w:tc>
        <w:tc>
          <w:tcPr/>
          <w:p>
            <w:pPr>
              <w:pStyle w:val="Compact"/>
            </w:pPr>
            <w:r>
              <w:t xml:space="preserve">The mover event re-derives access and starts a review of the residual within the defined period</w:t>
            </w:r>
          </w:p>
        </w:tc>
        <w:tc>
          <w:tcPr/>
          <w:p>
            <w:pPr>
              <w:pStyle w:val="Compact"/>
            </w:pPr>
            <w:r>
              <w:t xml:space="preserve">The formal transfer action is an HR record. To the directory, the transferred person is the same account on the same laptop</w:t>
            </w:r>
          </w:p>
        </w:tc>
      </w:tr>
      <w:tr>
        <w:tc>
          <w:tcPr/>
          <w:p>
            <w:pPr>
              <w:pStyle w:val="Compact"/>
            </w:pPr>
            <w:r>
              <w:rPr>
                <w:b/>
                <w:bCs/>
              </w:rPr>
              <w:t xml:space="preserve">IA-4</w:t>
            </w:r>
            <w:r>
              <w:t xml:space="preserve"> </w:t>
            </w:r>
            <w:r>
              <w:t xml:space="preserve">Identifier Management</w:t>
            </w:r>
          </w:p>
        </w:tc>
        <w:tc>
          <w:tcPr/>
          <w:p>
            <w:pPr>
              <w:pStyle w:val="Compact"/>
            </w:pPr>
            <w:r>
              <w:t xml:space="preserve">Identifiers minted per system; conversions and rehires create duplicates; reuse prevention unenforceable</w:t>
            </w:r>
          </w:p>
        </w:tc>
        <w:tc>
          <w:tcPr/>
          <w:p>
            <w:pPr>
              <w:pStyle w:val="Compact"/>
            </w:pPr>
            <w:r>
              <w:t xml:space="preserve">One identifier per person from the worker record, carried by every account and preserved across rehire and conversion; worker type available as the IA-4(4) status characteristic</w:t>
            </w:r>
          </w:p>
        </w:tc>
        <w:tc>
          <w:tcPr/>
          <w:p>
            <w:pPr>
              <w:pStyle w:val="Compact"/>
            </w:pPr>
            <w:r>
              <w:t xml:space="preserve">Non-reuse and rehire correlation need durable memory of persons. Directories track accounts and forget them at deletion</w:t>
            </w:r>
          </w:p>
        </w:tc>
      </w:tr>
      <w:tr>
        <w:tc>
          <w:tcPr/>
          <w:p>
            <w:pPr>
              <w:pStyle w:val="Compact"/>
            </w:pPr>
            <w:r>
              <w:rPr>
                <w:b/>
                <w:bCs/>
              </w:rPr>
              <w:t xml:space="preserve">SI-12</w:t>
            </w:r>
            <w:r>
              <w:t xml:space="preserve"> </w:t>
            </w:r>
            <w:r>
              <w:t xml:space="preserve">Information Management and Retention</w:t>
            </w:r>
          </w:p>
        </w:tc>
        <w:tc>
          <w:tcPr/>
          <w:p>
            <w:pPr>
              <w:pStyle w:val="Compact"/>
            </w:pPr>
            <w:r>
              <w:t xml:space="preserve">The same fact in five stores with five values and no lineage</w:t>
            </w:r>
          </w:p>
        </w:tc>
        <w:tc>
          <w:tcPr/>
          <w:p>
            <w:pPr>
              <w:pStyle w:val="Compact"/>
            </w:pPr>
            <w:r>
              <w:t xml:space="preserve">One authoritative source per data type, with lineage from the HR record through middleware provenance to each consumer</w:t>
            </w:r>
          </w:p>
        </w:tc>
        <w:tc>
          <w:tcPr/>
          <w:p>
            <w:pPr>
              <w:pStyle w:val="Compact"/>
            </w:pPr>
            <w:r>
              <w:t xml:space="preserve">Lineage can’t be reconstructed from copies; it has to be emitted where the data originates and flows</w:t>
            </w:r>
          </w:p>
        </w:tc>
      </w:tr>
    </w:tbl>
    <w:p>
      <w:pPr>
        <w:pStyle w:val="BodyText"/>
      </w:pPr>
      <w:r>
        <w:t xml:space="preserve">The full requirements mapping, including OMB M-19-17, the FICAM ILM Playbook and CISA’s Zero Trust Maturity Model, is Appendix A. The compliance treatment of the same controls is in Federal Compliance Vol I Book 04.</w:t>
      </w:r>
    </w:p>
    <w:bookmarkEnd w:id="241"/>
    <w:bookmarkEnd w:id="242"/>
    <w:bookmarkStart w:id="258" w:name="chapter-10-execution-plan"/>
    <w:p>
      <w:pPr>
        <w:pStyle w:val="Heading1"/>
      </w:pPr>
      <w:r>
        <w:t xml:space="preserve">Chapter 10 — Execution Plan</w:t>
      </w:r>
    </w:p>
    <w:p>
      <w:pPr>
        <w:pStyle w:val="FirstParagraph"/>
      </w:pPr>
      <w:r>
        <w:rPr>
          <w:i/>
          <w:iCs/>
        </w:rPr>
        <w:t xml:space="preserve">Designate the source, prove the pipe, automate the lifecycle, then derive access.</w:t>
      </w:r>
    </w:p>
    <w:bookmarkStart w:id="243" w:name="in-this-chapter-10"/>
    <w:p>
      <w:pPr>
        <w:pStyle w:val="Heading2"/>
      </w:pPr>
      <w:r>
        <w:t xml:space="preserve">In this chapter</w:t>
      </w:r>
    </w:p>
    <w:p>
      <w:pPr>
        <w:pStyle w:val="FirstParagraph"/>
      </w:pPr>
      <w:r>
        <w:t xml:space="preserve">The one phase model this site uses, 0 to 6, with each phase’s work and exit gate. The program at a glance. Roles. The open verification register.</w:t>
      </w:r>
    </w:p>
    <w:bookmarkEnd w:id="243"/>
    <w:bookmarkStart w:id="244" w:name="sequencing-principle"/>
    <w:p>
      <w:pPr>
        <w:pStyle w:val="Heading2"/>
      </w:pPr>
      <w:r>
        <w:t xml:space="preserve">Sequencing principle</w:t>
      </w:r>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bookmarkEnd w:id="244"/>
    <w:bookmarkStart w:id="245" w:name="phase-0-program-alignment"/>
    <w:p>
      <w:pPr>
        <w:pStyle w:val="Heading2"/>
      </w:pPr>
      <w:r>
        <w:t xml:space="preserve">Phase 0 — Program alignment</w:t>
      </w:r>
    </w:p>
    <w:p>
      <w:pPr>
        <w:pStyle w:val="FirstParagraph"/>
      </w:pPr>
      <w:r>
        <w:rPr>
          <w:i/>
          <w:iCs/>
        </w:rPr>
        <w:t xml:space="preserve">Directed by the Federal HR 2.0 memo’s preparation actions: executing it is compliance, not overhead (Chapter 02).</w:t>
      </w:r>
    </w:p>
    <w:p>
      <w:pPr>
        <w:pStyle w:val="Compact"/>
        <w:numPr>
          <w:ilvl w:val="0"/>
          <w:numId w:val="1029"/>
        </w:numPr>
      </w:pPr>
      <w:r>
        <w:t xml:space="preserve">Name the agency’s integrated project team point of contact and the working-group points of contact.</w:t>
      </w:r>
    </w:p>
    <w:p>
      <w:pPr>
        <w:pStyle w:val="Compact"/>
        <w:numPr>
          <w:ilvl w:val="0"/>
          <w:numId w:val="1029"/>
        </w:numPr>
      </w:pPr>
      <w:r>
        <w:t xml:space="preserve">Inventory integration points, interfacing systems and data flows. The identity provisioning feed is one of them.</w:t>
      </w:r>
    </w:p>
    <w:p>
      <w:pPr>
        <w:pStyle w:val="Compact"/>
        <w:numPr>
          <w:ilvl w:val="0"/>
          <w:numId w:val="1029"/>
        </w:numPr>
      </w:pPr>
      <w:r>
        <w:t xml:space="preserve">Identify legacy identity-relevant data to retain, and define how to preserve what doesn’t migrate.</w:t>
      </w:r>
    </w:p>
    <w:p>
      <w:pPr>
        <w:pStyle w:val="Compact"/>
        <w:numPr>
          <w:ilvl w:val="0"/>
          <w:numId w:val="1029"/>
        </w:numPr>
      </w:pPr>
      <w:r>
        <w:t xml:space="preserve">Confirm the pause on any competing Core HCM modernization.</w:t>
      </w:r>
    </w:p>
    <w:p>
      <w:pPr>
        <w:pStyle w:val="FirstParagraph"/>
      </w:pPr>
      <w:r>
        <w:rPr>
          <w:b/>
          <w:bCs/>
        </w:rPr>
        <w:t xml:space="preserve">Gate:</w:t>
      </w:r>
      <w:r>
        <w:t xml:space="preserve"> </w:t>
      </w:r>
      <w:r>
        <w:t xml:space="preserve">the integration-point inventory is signed by the ISSO and submitted to the agency’s HR 2.0 team.</w:t>
      </w:r>
    </w:p>
    <w:bookmarkEnd w:id="245"/>
    <w:bookmarkStart w:id="246" w:name="phase-1-attribute-authority-and-schema"/>
    <w:p>
      <w:pPr>
        <w:pStyle w:val="Heading2"/>
      </w:pPr>
      <w:r>
        <w:t xml:space="preserve">Phase 1 — Attribute authority and schema</w:t>
      </w:r>
    </w:p>
    <w:p>
      <w:pPr>
        <w:pStyle w:val="Compact"/>
        <w:numPr>
          <w:ilvl w:val="0"/>
          <w:numId w:val="1030"/>
        </w:numPr>
      </w:pPr>
      <w:r>
        <w:t xml:space="preserve">Sign the attribute authority map (Chapter 03): every attribute any access decision reads, its authoritative system, its derivation rule if derived, and its data-quality owner.</w:t>
      </w:r>
    </w:p>
    <w:p>
      <w:pPr>
        <w:pStyle w:val="Compact"/>
        <w:numPr>
          <w:ilvl w:val="0"/>
          <w:numId w:val="1030"/>
        </w:numPr>
      </w:pPr>
      <w:r>
        <w:t xml:space="preserve">Finalize the canonical schema (Chapter 05) against Oracle HCM field names, and validate the crosswalk against a sandbox extract. Confirm the extension-attribute carriers are free and in the provisioning apps’ target lists.</w:t>
      </w:r>
    </w:p>
    <w:p>
      <w:pPr>
        <w:pStyle w:val="Compact"/>
        <w:numPr>
          <w:ilvl w:val="0"/>
          <w:numId w:val="1030"/>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30"/>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30"/>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30"/>
        </w:numPr>
      </w:pPr>
      <w:r>
        <w:t xml:space="preserve">Inventory the PIV issuing CAs’ CRL distribution points and sizes against Entra’s limits (Chapter 07).</w:t>
      </w:r>
    </w:p>
    <w:p>
      <w:pPr>
        <w:pStyle w:val="FirstParagraph"/>
      </w:pPr>
      <w:r>
        <w:rPr>
          <w:b/>
          <w:bCs/>
        </w:rPr>
        <w:t xml:space="preserve">Gate:</w:t>
      </w:r>
      <w:r>
        <w:t xml:space="preserve"> </w:t>
      </w:r>
      <w:r>
        <w:t xml:space="preserve">the authority map and schema are signed; match-key population is at least 99% on the pilot cohort; every enabled account is correlated to a worker record or on a dated exception list.</w:t>
      </w:r>
    </w:p>
    <w:bookmarkEnd w:id="246"/>
    <w:bookmarkStart w:id="247" w:name="phase-2-pipeline-build-and-test"/>
    <w:p>
      <w:pPr>
        <w:pStyle w:val="Heading2"/>
      </w:pPr>
      <w:r>
        <w:t xml:space="preserve">Phase 2 — Pipeline build and test</w:t>
      </w:r>
    </w:p>
    <w:p>
      <w:pPr>
        <w:pStyle w:val="Compact"/>
        <w:numPr>
          <w:ilvl w:val="0"/>
          <w:numId w:val="1031"/>
        </w:numPr>
      </w:pPr>
      <w:r>
        <w:t xml:space="preserve">Build the middleware: transform, validation, sequencing and the provenance writer, hosted in-boundary (Chapter 04).</w:t>
      </w:r>
    </w:p>
    <w:p>
      <w:pPr>
        <w:pStyle w:val="Compact"/>
        <w:numPr>
          <w:ilvl w:val="0"/>
          <w:numId w:val="1031"/>
        </w:numPr>
      </w:pPr>
      <w:r>
        <w:t xml:space="preserve">Configure the API-driven provisioning apps and grant the client only</w:t>
      </w:r>
      <w:r>
        <w:t xml:space="preserve"> </w:t>
      </w:r>
      <w:r>
        <w:rPr>
          <w:rStyle w:val="VerbatimChar"/>
        </w:rPr>
        <w:t xml:space="preserve">SynchronizationData-User.Upload</w:t>
      </w:r>
      <w:r>
        <w:t xml:space="preserve"> </w:t>
      </w:r>
      <w:r>
        <w:t xml:space="preserve">and</w:t>
      </w:r>
      <w:r>
        <w:t xml:space="preserve"> </w:t>
      </w:r>
      <w:r>
        <w:rPr>
          <w:rStyle w:val="VerbatimChar"/>
        </w:rPr>
        <w:t xml:space="preserve">ProvisioningLog.Read.All</w:t>
      </w:r>
      <w:r>
        <w:t xml:space="preserve">.</w:t>
      </w:r>
    </w:p>
    <w:p>
      <w:pPr>
        <w:pStyle w:val="Compact"/>
        <w:numPr>
          <w:ilvl w:val="0"/>
          <w:numId w:val="1031"/>
        </w:numPr>
      </w:pPr>
      <w:r>
        <w:t xml:space="preserve">Define the joiner, mover and leaver workflows and their triggers (Chapter 06), including the custom task extensions for device retirement and CMS revocation (Chapter 07).</w:t>
      </w:r>
    </w:p>
    <w:p>
      <w:pPr>
        <w:pStyle w:val="Compact"/>
        <w:numPr>
          <w:ilvl w:val="0"/>
          <w:numId w:val="1031"/>
        </w:numPr>
      </w:pPr>
      <w:r>
        <w:t xml:space="preserve">Prove the chain end to end in a test tenant with canned feed payloads and a sandbox extract.</w:t>
      </w:r>
    </w:p>
    <w:p>
      <w:pPr>
        <w:pStyle w:val="Compact"/>
        <w:numPr>
          <w:ilvl w:val="0"/>
          <w:numId w:val="1031"/>
        </w:numPr>
      </w:pPr>
      <w:r>
        <w:t xml:space="preserve">Size the throttling envelope: batches toward 50 operations per call, the daily call budget against the tenant cap.</w:t>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247"/>
    <w:bookmarkStart w:id="248" w:name="phase-3-hybrid-go-live-pilot"/>
    <w:p>
      <w:pPr>
        <w:pStyle w:val="Heading2"/>
      </w:pPr>
      <w:r>
        <w:t xml:space="preserve">Phase 3 — Hybrid go-live (pilot)</w:t>
      </w:r>
    </w:p>
    <w:p>
      <w:pPr>
        <w:pStyle w:val="Compact"/>
        <w:numPr>
          <w:ilvl w:val="0"/>
          <w:numId w:val="1032"/>
        </w:numPr>
      </w:pPr>
      <w:r>
        <w:t xml:space="preserve">Deploy at least two provisioning agents under a gMSA with OU-scoped rights (Chapter 04) and map SCIM to AD attributes.</w:t>
      </w:r>
    </w:p>
    <w:p>
      <w:pPr>
        <w:pStyle w:val="Compact"/>
        <w:numPr>
          <w:ilvl w:val="0"/>
          <w:numId w:val="1032"/>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32"/>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thirty days in which every pipeline-versus-directory difference is explained and fixed at the right end; a full joiner/mover/leaver cycle on the pilot cohort closes with evidence; zero unmatched-record creations.</w:t>
      </w:r>
    </w:p>
    <w:bookmarkEnd w:id="248"/>
    <w:bookmarkStart w:id="249" w:name="X25c74bcba0750231a7aafbe790166dda90a3f25"/>
    <w:p>
      <w:pPr>
        <w:pStyle w:val="Heading2"/>
      </w:pPr>
      <w:r>
        <w:t xml:space="preserve">Phase 4 — Lifecycle automation and attribute-derived access</w:t>
      </w:r>
    </w:p>
    <w:p>
      <w:pPr>
        <w:pStyle w:val="Compact"/>
        <w:numPr>
          <w:ilvl w:val="0"/>
          <w:numId w:val="1033"/>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separation-to-revocation interval from day one (Chapter 09).</w:t>
      </w:r>
    </w:p>
    <w:p>
      <w:pPr>
        <w:pStyle w:val="Compact"/>
        <w:numPr>
          <w:ilvl w:val="0"/>
          <w:numId w:val="1033"/>
        </w:numPr>
      </w:pPr>
      <w:r>
        <w:t xml:space="preserve">Route exceptions (emergency terminations, litigation holds) through defined manual entries into the same workflows and the same evidence.</w:t>
      </w:r>
    </w:p>
    <w:p>
      <w:pPr>
        <w:pStyle w:val="Compact"/>
        <w:numPr>
          <w:ilvl w:val="0"/>
          <w:numId w:val="1033"/>
        </w:numPr>
      </w:pPr>
      <w:r>
        <w:t xml:space="preserve">Validate rehire and conversion matching against history before it acts.</w:t>
      </w:r>
    </w:p>
    <w:p>
      <w:pPr>
        <w:pStyle w:val="Compact"/>
        <w:numPr>
          <w:ilvl w:val="0"/>
          <w:numId w:val="1033"/>
        </w:numPr>
      </w:pPr>
      <w:r>
        <w:t xml:space="preserve">Convert hand-maintained groups to rules for dynamic membership, group by group, with a shadow comparison before each cutover (Chapter 08). Re-base access packages so approvals route to the supervisor of record.</w:t>
      </w:r>
    </w:p>
    <w:p>
      <w:pPr>
        <w:pStyle w:val="Compact"/>
        <w:numPr>
          <w:ilvl w:val="0"/>
          <w:numId w:val="1033"/>
        </w:numPr>
      </w:pPr>
      <w:r>
        <w:t xml:space="preserve">Inventory OU-bound policy for retirement in Phase 5.</w:t>
      </w:r>
    </w:p>
    <w:p>
      <w:pPr>
        <w:pStyle w:val="FirstParagraph"/>
      </w:pPr>
      <w:r>
        <w:rPr>
          <w:b/>
          <w:bCs/>
        </w:rPr>
        <w:t xml:space="preserve">Gate:</w:t>
      </w:r>
      <w:r>
        <w:t xml:space="preserve"> </w:t>
      </w:r>
      <w:r>
        <w:t xml:space="preserve">zero missed leavers across a full pay-period cycle, with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249"/>
    <w:bookmarkStart w:id="250" w:name="X8ccd518e8d9fd51bc29e43815b89798889e7cf4"/>
    <w:p>
      <w:pPr>
        <w:pStyle w:val="Heading2"/>
      </w:pPr>
      <w:r>
        <w:t xml:space="preserve">Phase 5 — Cutover to cloud-mastered populations</w:t>
      </w:r>
    </w:p>
    <w:p>
      <w:pPr>
        <w:pStyle w:val="Compact"/>
        <w:numPr>
          <w:ilvl w:val="0"/>
          <w:numId w:val="1034"/>
        </w:numPr>
      </w:pPr>
      <w:r>
        <w:t xml:space="preserve">Align the cutover with the agency’s Core HCM onboarding: the provisioning feed must be ready when the agency’s interconnections go live (Chapter 02).</w:t>
      </w:r>
    </w:p>
    <w:p>
      <w:pPr>
        <w:pStyle w:val="Compact"/>
        <w:numPr>
          <w:ilvl w:val="0"/>
          <w:numId w:val="1034"/>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34"/>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250"/>
    <w:bookmarkStart w:id="251" w:name="phase-6-sustained-posture"/>
    <w:p>
      <w:pPr>
        <w:pStyle w:val="Heading2"/>
      </w:pPr>
      <w:r>
        <w:t xml:space="preserve">Phase 6 — Sustained posture</w:t>
      </w:r>
    </w:p>
    <w:p>
      <w:pPr>
        <w:pStyle w:val="Compact"/>
        <w:numPr>
          <w:ilvl w:val="0"/>
          <w:numId w:val="1035"/>
        </w:numPr>
      </w:pPr>
      <w:r>
        <w:t xml:space="preserve">Drift detection runs continuously (Chapter 09); the five lifecycle metrics are reported on the ConMon cadence.</w:t>
      </w:r>
    </w:p>
    <w:p>
      <w:pPr>
        <w:pStyle w:val="Compact"/>
        <w:numPr>
          <w:ilvl w:val="0"/>
          <w:numId w:val="1035"/>
        </w:numPr>
      </w:pPr>
      <w:r>
        <w:t xml:space="preserve">Code lists, rules and workflows change only through change control, with the same shadow-then-act discipline.</w:t>
      </w:r>
    </w:p>
    <w:p>
      <w:pPr>
        <w:pStyle w:val="Compact"/>
        <w:numPr>
          <w:ilvl w:val="0"/>
          <w:numId w:val="1035"/>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251"/>
    <w:bookmarkStart w:id="252" w:name="the-program-at-a-glance"/>
    <w:p>
      <w:pPr>
        <w:pStyle w:val="Heading2"/>
      </w:pPr>
      <w:r>
        <w:t xml:space="preserve">The program at a glance</w:t>
      </w:r>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 99% match key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30 days of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Zero missed leavers;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252"/>
    <w:bookmarkStart w:id="253" w:name="roles"/>
    <w:p>
      <w:pPr>
        <w:pStyle w:val="Heading2"/>
      </w:pPr>
      <w:r>
        <w:t xml:space="preserve">Roles</w:t>
      </w:r>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253"/>
    <w:bookmarkStart w:id="257" w:name="open-verification-register"/>
    <w:p>
      <w:pPr>
        <w:pStyle w:val="Heading2"/>
      </w:pPr>
      <w:r>
        <w:t xml:space="preserve">Open verification register</w:t>
      </w:r>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w:t>
            </w:r>
            <w:r>
              <w:t xml:space="preserve"> </w:t>
            </w:r>
            <w:r>
              <w:t xml:space="preserve">“eventually”</w:t>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07)</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254"/>
            </w:r>
            <w:r>
              <w:t xml:space="preserve"> </w:t>
            </w:r>
            <w:r>
              <w:t xml:space="preserve">GCC tenants run in Azure Global, the worldwide Entra service.</w:t>
            </w:r>
            <w:r>
              <w:rPr>
                <w:rStyle w:val="FootnoteReference"/>
              </w:rPr>
              <w:footnoteReference w:id="256"/>
            </w:r>
            <w:r>
              <w:t xml:space="preserve"> </w:t>
            </w:r>
            <w:r>
              <w:t xml:space="preserve">Confirm licenses in-tenant as usual</w:t>
            </w:r>
          </w:p>
        </w:tc>
      </w:tr>
    </w:tbl>
    <w:bookmarkEnd w:id="257"/>
    <w:bookmarkEnd w:id="258"/>
    <w:bookmarkStart w:id="266" w:name="X2c6c2a4d8b5e0dec429b7087c2e18f22d88ae2f"/>
    <w:p>
      <w:pPr>
        <w:pStyle w:val="Heading1"/>
      </w:pPr>
      <w:r>
        <w:t xml:space="preserve">Chapter 11 — Reference Deployment (Illustrative)</w:t>
      </w:r>
    </w:p>
    <w:p>
      <w:pPr>
        <w:pStyle w:val="FirstParagraph"/>
      </w:pPr>
      <w:r>
        <w:rPr>
          <w:i/>
          <w:iCs/>
        </w:rPr>
        <w:t xml:space="preserve">What the series looks like when one agency runs it end to end.</w:t>
      </w:r>
    </w:p>
    <w:bookmarkStart w:id="259" w:name="in-this-chapter-11"/>
    <w:p>
      <w:pPr>
        <w:pStyle w:val="Heading2"/>
      </w:pPr>
      <w:r>
        <w:t xml:space="preserve">In this chapter</w:t>
      </w:r>
    </w:p>
    <w:p>
      <w:pPr>
        <w:pStyle w:val="FirstParagraph"/>
      </w:pPr>
      <w:r>
        <w:t xml:space="preserve">The agency archetype and its starting estate. What each phase of Chapter 10 does and typically finds. The evidence package. What survives the engagement.</w:t>
      </w:r>
    </w:p>
    <w:bookmarkEnd w:id="259"/>
    <w:bookmarkStart w:id="260" w:name="illustrative-not-an-engagement-record"/>
    <w:p>
      <w:pPr>
        <w:pStyle w:val="Heading2"/>
      </w:pPr>
      <w:r>
        <w:t xml:space="preserve">Illustrative, not an engagement record</w:t>
      </w:r>
    </w:p>
    <w:p>
      <w:pPr>
        <w:pStyle w:val="FirstParagraph"/>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bookmarkEnd w:id="260"/>
    <w:bookmarkStart w:id="261" w:name="the-agency"/>
    <w:p>
      <w:pPr>
        <w:pStyle w:val="Heading2"/>
      </w:pPr>
      <w:r>
        <w:t xml:space="preserve">The agency</w:t>
      </w:r>
    </w:p>
    <w:p>
      <w:pPr>
        <w:pStyle w:val="FirstParagraph"/>
      </w:pPr>
      <w:r>
        <w:t xml:space="preserve">A federal civilian agency of about fifty thousand employees and several thousand active contractors, in Federal HR 2.0 Wave 2, with a Microsoft 365 GCC tenant and Entra ID in the commercial cloud under a FedRAMP Moderate authorization.</w:t>
      </w:r>
    </w:p>
    <w:p>
      <w:pPr>
        <w:pStyle w:val="BodyText"/>
      </w:pPr>
      <w:r>
        <w:t xml:space="preserve">Its HR data exchange today is typical:</w:t>
      </w:r>
    </w:p>
    <w:p>
      <w:pPr>
        <w:pStyle w:val="Compact"/>
        <w:numPr>
          <w:ilvl w:val="0"/>
          <w:numId w:val="1036"/>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02).</w:t>
      </w:r>
    </w:p>
    <w:p>
      <w:pPr>
        <w:pStyle w:val="Compact"/>
        <w:numPr>
          <w:ilvl w:val="0"/>
          <w:numId w:val="1036"/>
        </w:numPr>
      </w:pPr>
      <w:r>
        <w:t xml:space="preserve">USA Staffing is the upstream hire trigger; new-hire data flows from USA Staffing to the HR system of record.</w:t>
      </w:r>
    </w:p>
    <w:p>
      <w:pPr>
        <w:pStyle w:val="Compact"/>
        <w:numPr>
          <w:ilvl w:val="0"/>
          <w:numId w:val="1036"/>
        </w:numPr>
      </w:pPr>
      <w:r>
        <w:t xml:space="preserve">PIV cards are issued through a shared-service PIV issuer and its card management system.</w:t>
      </w:r>
    </w:p>
    <w:p>
      <w:pPr>
        <w:pStyle w:val="Compact"/>
        <w:numPr>
          <w:ilvl w:val="0"/>
          <w:numId w:val="1036"/>
        </w:numPr>
      </w:pPr>
      <w:r>
        <w:t xml:space="preserve">A bespoke HR-to-AD connector built for an earlier modernization creates accounts; organizational assignments are handled by hand; there’s no drift detection between HR and Entra ID and no provisioning evidence.</w:t>
      </w:r>
    </w:p>
    <w:p>
      <w:pPr>
        <w:pStyle w:val="Compact"/>
        <w:numPr>
          <w:ilvl w:val="0"/>
          <w:numId w:val="1036"/>
        </w:numPr>
      </w:pPr>
      <w:r>
        <w:t xml:space="preserve">About two-thirds of users are still mastered in on-premises AD.</w:t>
      </w:r>
    </w:p>
    <w:bookmarkEnd w:id="261"/>
    <w:bookmarkStart w:id="262" w:name="phase-by-phase"/>
    <w:p>
      <w:pPr>
        <w:pStyle w:val="Heading2"/>
      </w:pPr>
      <w:r>
        <w:t xml:space="preserve">Phase by phase</w:t>
      </w:r>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05)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The adapter is the only part that differs.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the old connector is switched off for the pilot population. Thirty days of shadow mode surface the differences between what HR says and what AD holds: stale departments, managers who left years ago, and accounts the old connector created for records HR had already cancelled.</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from the old connector that the canonical pipeline can now see (Chapter 09).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adapter switches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five lifecycle metrics go into the monthly ConMon report. The separation-to-revocation interval, measured for the first time, becomes a number the agency can defend.</w:t>
      </w:r>
    </w:p>
    <w:bookmarkEnd w:id="262"/>
    <w:bookmarkStart w:id="263" w:name="the-evidence-package"/>
    <w:p>
      <w:pPr>
        <w:pStyle w:val="Heading2"/>
      </w:pPr>
      <w:r>
        <w:t xml:space="preserve">The evidence package</w:t>
      </w:r>
    </w:p>
    <w:p>
      <w:pPr>
        <w:pStyle w:val="FirstParagraph"/>
      </w:pPr>
      <w:r>
        <w:t xml:space="preserve">At any point after Phase 2, the agency can hand an assessor:</w:t>
      </w:r>
    </w:p>
    <w:p>
      <w:pPr>
        <w:pStyle w:val="Compact"/>
        <w:numPr>
          <w:ilvl w:val="0"/>
          <w:numId w:val="1037"/>
        </w:numPr>
      </w:pPr>
      <w:r>
        <w:t xml:space="preserve">the signed attribute authority map, canonical schema and code lists;</w:t>
      </w:r>
    </w:p>
    <w:p>
      <w:pPr>
        <w:pStyle w:val="Compact"/>
        <w:numPr>
          <w:ilvl w:val="0"/>
          <w:numId w:val="1037"/>
        </w:numPr>
      </w:pPr>
      <w:r>
        <w:t xml:space="preserve">the adapter and middleware configuration, under change control;</w:t>
      </w:r>
    </w:p>
    <w:p>
      <w:pPr>
        <w:pStyle w:val="Compact"/>
        <w:numPr>
          <w:ilvl w:val="0"/>
          <w:numId w:val="1037"/>
        </w:numPr>
      </w:pPr>
      <w:r>
        <w:t xml:space="preserve">the provenance records and provisioning logs for every HR event in the period;</w:t>
      </w:r>
    </w:p>
    <w:p>
      <w:pPr>
        <w:pStyle w:val="Compact"/>
        <w:numPr>
          <w:ilvl w:val="0"/>
          <w:numId w:val="1037"/>
        </w:numPr>
      </w:pPr>
      <w:r>
        <w:t xml:space="preserve">Lifecycle Workflows run history, including the device and CMS steps for every leaver;</w:t>
      </w:r>
    </w:p>
    <w:p>
      <w:pPr>
        <w:pStyle w:val="Compact"/>
        <w:numPr>
          <w:ilvl w:val="0"/>
          <w:numId w:val="1037"/>
        </w:numPr>
      </w:pPr>
      <w:r>
        <w:t xml:space="preserve">drift findings with severity, class and remediation;</w:t>
      </w:r>
    </w:p>
    <w:p>
      <w:pPr>
        <w:pStyle w:val="Compact"/>
        <w:numPr>
          <w:ilvl w:val="0"/>
          <w:numId w:val="1037"/>
        </w:numPr>
      </w:pPr>
      <w:r>
        <w:t xml:space="preserve">the five lifecycle metrics for the period.</w:t>
      </w:r>
    </w:p>
    <w:p>
      <w:pPr>
        <w:pStyle w:val="FirstParagraph"/>
      </w:pPr>
      <w:r>
        <w:t xml:space="preserve">It’s produced by operating the pipeline, not assembled before the assessment.</w:t>
      </w:r>
    </w:p>
    <w:bookmarkEnd w:id="263"/>
    <w:bookmarkStart w:id="264" w:name="what-survives-the-engagement"/>
    <w:p>
      <w:pPr>
        <w:pStyle w:val="Heading2"/>
      </w:pPr>
      <w:r>
        <w:t xml:space="preserve">What survives the engagement</w:t>
      </w:r>
    </w:p>
    <w:p>
      <w:pPr>
        <w:pStyle w:val="FirstParagraph"/>
      </w:pPr>
      <w:r>
        <w:t xml:space="preserve">The schema, the code lists, the workflows, the rules and the evidence belong to the agency, not to whichever integrator delivered the work. The next assessment reads the same records; the Core HCM cutover plugs a new adapter into the same schema; the next reorganization is a set of mover events against the same pipeline.</w:t>
      </w:r>
    </w:p>
    <w:bookmarkEnd w:id="264"/>
    <w:bookmarkStart w:id="265" w:name="companion"/>
    <w:p>
      <w:pPr>
        <w:pStyle w:val="Heading2"/>
      </w:pPr>
      <w:r>
        <w:t xml:space="preserve">Companion</w:t>
      </w:r>
    </w:p>
    <w:p>
      <w:pPr>
        <w:pStyle w:val="FirstParagraph"/>
      </w:pPr>
      <w:r>
        <w:t xml:space="preserve">The AD → Entra ID Identity Modernization Guide covers directory migration, the companion dimension to inbound provisioning. An agency usually runs both programs at once.</w:t>
      </w:r>
    </w:p>
    <w:bookmarkEnd w:id="265"/>
    <w:bookmarkEnd w:id="2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3">
    <w:p>
      <w:pPr>
        <w:pStyle w:val="FootnoteText"/>
      </w:pPr>
      <w:r>
        <w:rPr>
          <w:rStyle w:val="FootnoteReference"/>
        </w:rPr>
        <w:footnoteRef/>
      </w:r>
      <w:r>
        <w:t xml:space="preserve"> </w:t>
      </w:r>
      <w:r>
        <w:rPr>
          <w:b/>
          <w:bCs/>
        </w:rPr>
        <w:t xml:space="preserve">Third-party source (trade press).</w:t>
      </w:r>
      <w:r>
        <w:t xml:space="preserve"> </w:t>
      </w:r>
      <w:r>
        <w:t xml:space="preserve">MeriTalk,</w:t>
      </w:r>
      <w:r>
        <w:t xml:space="preserve"> </w:t>
      </w:r>
      <w:r>
        <w:t xml:space="preserve">“OPM Eyes $40M Annual Cost for Governmentwide HR Platform,”</w:t>
      </w:r>
      <w:r>
        <w:t xml:space="preserve"> </w:t>
      </w:r>
      <w:r>
        <w:t xml:space="preserve">Sep 1, 2026,</w:t>
      </w:r>
      <w:r>
        <w:t xml:space="preserve"> </w:t>
      </w:r>
      <w:hyperlink r:id="rId34">
        <w:r>
          <w:rPr>
            <w:rStyle w:val="Hyperlink"/>
          </w:rPr>
          <w:t xml:space="preserve">https://www.meritalk.com/articles/opm-eyes-40m-annual-cost-for-governmentwide-hr-platform/</w:t>
        </w:r>
      </w:hyperlink>
      <w:r>
        <w:t xml:space="preserve"> </w:t>
      </w:r>
      <w:r>
        <w:t xml:space="preserve">(accessed Oct 19, 2026). Reports OPM Director Scott Kupor’s statement that initial deployments are slated to go live between January and March.</w:t>
      </w:r>
    </w:p>
  </w:footnote>
  <w:footnote w:id="4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5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5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56">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5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59">
    <w:p>
      <w:pPr>
        <w:pStyle w:val="FootnoteText"/>
      </w:pPr>
      <w:r>
        <w:rPr>
          <w:rStyle w:val="FootnoteReference"/>
        </w:rPr>
        <w:footnoteRef/>
      </w:r>
      <w:r>
        <w:t xml:space="preserve"> </w:t>
      </w:r>
      <w:r>
        <w:t xml:space="preserve">Microsoft Learn,</w:t>
      </w:r>
      <w:r>
        <w:t xml:space="preserve"> </w:t>
      </w:r>
      <w:r>
        <w:t xml:space="preserve">“National cloud deployments”</w:t>
      </w:r>
      <w:r>
        <w:t xml:space="preserve"> </w:t>
      </w:r>
      <w:r>
        <w:t xml:space="preserve">(Microsoft Graph):</w:t>
      </w:r>
      <w:r>
        <w:t xml:space="preserve"> </w:t>
      </w:r>
      <w:r>
        <w:t xml:space="preserve">“If you’re working in a Microsoft 365 GCC environment, continue using the worldwide endpoints,”</w:t>
      </w:r>
      <w:r>
        <w:t xml:space="preserve"> </w:t>
      </w:r>
      <w:hyperlink r:id="rId60">
        <w:r>
          <w:rPr>
            <w:rStyle w:val="Hyperlink"/>
          </w:rPr>
          <w:t xml:space="preserve">https://learn.microsoft.com/en-us/graph/deployments</w:t>
        </w:r>
      </w:hyperlink>
      <w:r>
        <w:t xml:space="preserve"> </w:t>
      </w:r>
      <w:r>
        <w:t xml:space="preserve">(accessed Oct 19, 2026).</w:t>
      </w:r>
    </w:p>
  </w:footnote>
  <w:footnote w:id="61">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62">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63">
        <w:r>
          <w:rPr>
            <w:rStyle w:val="Hyperlink"/>
          </w:rPr>
          <w:t xml:space="preserve">https://learn.microsoft.com/en-us/entra/identity/app-provisioning/inbound-provisioning-api-faqs</w:t>
        </w:r>
      </w:hyperlink>
      <w:r>
        <w:t xml:space="preserve"> </w:t>
      </w:r>
      <w:r>
        <w:t xml:space="preserve">(accessed Oct 19, 2026).</w:t>
      </w:r>
    </w:p>
  </w:footnote>
  <w:footnote w:id="6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49">
        <w:r>
          <w:rPr>
            <w:rStyle w:val="Hyperlink"/>
          </w:rPr>
          <w:t xml:space="preserve">https://learn.microsoft.com/en-us/entra/identity/app-provisioning/inbound-provisioning-api-concepts</w:t>
        </w:r>
      </w:hyperlink>
      <w:r>
        <w:t xml:space="preserve"> </w:t>
      </w:r>
      <w:r>
        <w:t xml:space="preserve">(accessed Oct 19, 2026).</w:t>
      </w:r>
    </w:p>
  </w:footnote>
  <w:footnote w:id="66">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67">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68">
        <w:r>
          <w:rPr>
            <w:rStyle w:val="Hyperlink"/>
          </w:rPr>
          <w:t xml:space="preserve">https://learn.microsoft.com/en-us/entra/identity/app-provisioning/plan-cloud-hr-provision</w:t>
        </w:r>
      </w:hyperlink>
      <w:r>
        <w:t xml:space="preserve"> </w:t>
      </w:r>
      <w:r>
        <w:t xml:space="preserve">(accessed Oct 19, 2026).</w:t>
      </w:r>
    </w:p>
  </w:footnote>
  <w:footnote w:id="69">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68">
        <w:r>
          <w:rPr>
            <w:rStyle w:val="Hyperlink"/>
          </w:rPr>
          <w:t xml:space="preserve">https://learn.microsoft.com/en-us/entra/identity/app-provisioning/plan-cloud-hr-provision</w:t>
        </w:r>
      </w:hyperlink>
      <w:r>
        <w:t xml:space="preserve"> </w:t>
      </w:r>
      <w:r>
        <w:t xml:space="preserve">(accessed Oct 19, 2026).</w:t>
      </w:r>
    </w:p>
  </w:footnote>
  <w:footnote w:id="70">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68">
        <w:r>
          <w:rPr>
            <w:rStyle w:val="Hyperlink"/>
          </w:rPr>
          <w:t xml:space="preserve">https://learn.microsoft.com/en-us/entra/identity/app-provisioning/plan-cloud-hr-provision</w:t>
        </w:r>
      </w:hyperlink>
      <w:r>
        <w:t xml:space="preserve"> </w:t>
      </w:r>
      <w:r>
        <w:t xml:space="preserve">(accessed Oct 19, 2026).</w:t>
      </w:r>
    </w:p>
  </w:footnote>
  <w:footnote w:id="71">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(provisioning agent and gMSA requirements),</w:t>
      </w:r>
      <w:r>
        <w:t xml:space="preserve"> </w:t>
      </w:r>
      <w:hyperlink r:id="rId72">
        <w:r>
          <w:rPr>
            <w:rStyle w:val="Hyperlink"/>
          </w:rPr>
          <w:t xml:space="preserve">https://learn.microsoft.com/en-us/entra/identity/hybrid/cloud-sync/how-to-prerequisites</w:t>
        </w:r>
      </w:hyperlink>
      <w:r>
        <w:t xml:space="preserve"> </w:t>
      </w:r>
      <w:r>
        <w:t xml:space="preserve">(accessed Oct 19, 2026).</w:t>
      </w:r>
    </w:p>
  </w:footnote>
  <w:footnote w:id="7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74">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68">
        <w:r>
          <w:rPr>
            <w:rStyle w:val="Hyperlink"/>
          </w:rPr>
          <w:t xml:space="preserve">https://learn.microsoft.com/en-us/entra/identity/app-provisioning/plan-cloud-hr-provision</w:t>
        </w:r>
      </w:hyperlink>
      <w:r>
        <w:t xml:space="preserve"> </w:t>
      </w:r>
      <w:r>
        <w:t xml:space="preserve">(accessed Oct 19, 2026).</w:t>
      </w:r>
    </w:p>
  </w:footnote>
  <w:footnote w:id="79">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8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85">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86">
        <w:r>
          <w:rPr>
            <w:rStyle w:val="Hyperlink"/>
          </w:rPr>
          <w:t xml:space="preserve">https://learn.microsoft.com/en-us/graph/api/resources/onpremisesextensionattributes</w:t>
        </w:r>
      </w:hyperlink>
      <w:r>
        <w:t xml:space="preserve"> </w:t>
      </w:r>
      <w:r>
        <w:t xml:space="preserve">(accessed Oct 19, 2026).</w:t>
      </w:r>
    </w:p>
  </w:footnote>
  <w:footnote w:id="88">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89">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90">
        <w:r>
          <w:rPr>
            <w:rStyle w:val="Hyperlink"/>
          </w:rPr>
          <w:t xml:space="preserve">https://learn.microsoft.com/en-us/entra/identity/app-provisioning/inbound-provisioning-api-custom-attributes</w:t>
        </w:r>
      </w:hyperlink>
      <w:r>
        <w:t xml:space="preserve"> </w:t>
      </w:r>
      <w:r>
        <w:t xml:space="preserve">(accessed Oct 19, 2026).</w:t>
      </w:r>
    </w:p>
  </w:footnote>
  <w:footnote w:id="9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92">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52">
        <w:r>
          <w:rPr>
            <w:rStyle w:val="Hyperlink"/>
          </w:rPr>
          <w:t xml:space="preserve">https://learn.microsoft.com/en-us/entra/identity/saas-apps/oracle-hcm-provisioning-tutorial</w:t>
        </w:r>
      </w:hyperlink>
      <w:r>
        <w:t xml:space="preserve"> </w:t>
      </w:r>
      <w:r>
        <w:t xml:space="preserve">(accessed Oct 19, 2026).</w:t>
      </w:r>
    </w:p>
  </w:footnote>
  <w:footnote w:id="93">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94">
        <w:r>
          <w:rPr>
            <w:rStyle w:val="Hyperlink"/>
          </w:rPr>
          <w:t xml:space="preserve">https://learn.microsoft.com/en-us/entra/id-governance/how-to-lifecycle-workflow-sync-attributes</w:t>
        </w:r>
      </w:hyperlink>
      <w:r>
        <w:t xml:space="preserve"> </w:t>
      </w:r>
      <w:r>
        <w:t xml:space="preserve">(accessed Oct 19, 2026).</w:t>
      </w:r>
    </w:p>
  </w:footnote>
  <w:footnote w:id="95">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86">
        <w:r>
          <w:rPr>
            <w:rStyle w:val="Hyperlink"/>
          </w:rPr>
          <w:t xml:space="preserve">https://learn.microsoft.com/en-us/graph/api/resources/onpremisesextensionattributes</w:t>
        </w:r>
      </w:hyperlink>
      <w:r>
        <w:t xml:space="preserve"> </w:t>
      </w:r>
      <w:r>
        <w:t xml:space="preserve">(accessed Oct 19, 2026).</w:t>
      </w:r>
    </w:p>
  </w:footnote>
  <w:footnote w:id="9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9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104">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105">
        <w:r>
          <w:rPr>
            <w:rStyle w:val="Hyperlink"/>
          </w:rPr>
          <w:t xml:space="preserve">https://learn.microsoft.com/en-us/entra/id-governance/lifecycle-workflow-tasks</w:t>
        </w:r>
      </w:hyperlink>
      <w:r>
        <w:t xml:space="preserve"> </w:t>
      </w:r>
      <w:r>
        <w:t xml:space="preserve">(accessed Oct 19, 2026).</w:t>
      </w:r>
    </w:p>
  </w:footnote>
  <w:footnote w:id="106">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105">
        <w:r>
          <w:rPr>
            <w:rStyle w:val="Hyperlink"/>
          </w:rPr>
          <w:t xml:space="preserve">https://learn.microsoft.com/en-us/entra/id-governance/lifecycle-workflow-tasks</w:t>
        </w:r>
      </w:hyperlink>
      <w:r>
        <w:t xml:space="preserve"> </w:t>
      </w:r>
      <w:r>
        <w:t xml:space="preserve">(accessed Oct 19, 2026).</w:t>
      </w:r>
    </w:p>
  </w:footnote>
  <w:footnote w:id="107">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hyperlink r:id="rId108">
        <w:r>
          <w:rPr>
            <w:rStyle w:val="Hyperlink"/>
          </w:rPr>
          <w:t xml:space="preserve">https://learn.microsoft.com/en-us/entra/id-governance/what-are-lifecycle-workflows</w:t>
        </w:r>
      </w:hyperlink>
      <w:r>
        <w:t xml:space="preserve"> </w:t>
      </w:r>
      <w:r>
        <w:t xml:space="preserve">(accessed Oct 19, 2026).</w:t>
      </w:r>
    </w:p>
  </w:footnote>
  <w:footnote w:id="109">
    <w:p>
      <w:pPr>
        <w:pStyle w:val="FootnoteText"/>
      </w:pPr>
      <w:r>
        <w:rPr>
          <w:rStyle w:val="FootnoteReference"/>
        </w:rPr>
        <w:footnoteRef/>
      </w:r>
      <w:r>
        <w:t xml:space="preserve"> </w:t>
      </w:r>
      <w:r>
        <w:t xml:space="preserve">Microsoft Learn,</w:t>
      </w:r>
      <w:r>
        <w:t xml:space="preserve"> </w:t>
      </w:r>
      <w:r>
        <w:t xml:space="preserve">“Lifecycle workflow execution conditions and scheduling,”</w:t>
      </w:r>
      <w:r>
        <w:t xml:space="preserve"> </w:t>
      </w:r>
      <w:hyperlink r:id="rId110">
        <w:r>
          <w:rPr>
            <w:rStyle w:val="Hyperlink"/>
          </w:rPr>
          <w:t xml:space="preserve">https://learn.microsoft.com/en-us/entra/id-governance/lifecycle-workflow-execution-conditions</w:t>
        </w:r>
      </w:hyperlink>
      <w:r>
        <w:t xml:space="preserve"> </w:t>
      </w:r>
      <w:r>
        <w:t xml:space="preserve">(accessed Oct 19, 2026).</w:t>
      </w:r>
    </w:p>
  </w:footnote>
  <w:footnote w:id="111">
    <w:p>
      <w:pPr>
        <w:pStyle w:val="FootnoteText"/>
      </w:pPr>
      <w:r>
        <w:rPr>
          <w:rStyle w:val="FootnoteReference"/>
        </w:rPr>
        <w:footnoteRef/>
      </w:r>
      <w:r>
        <w:t xml:space="preserve"> </w:t>
      </w:r>
      <w:r>
        <w:t xml:space="preserve">Microsoft Learn,</w:t>
      </w:r>
      <w:r>
        <w:t xml:space="preserve"> </w:t>
      </w:r>
      <w:r>
        <w:t xml:space="preserve">“Lifecycle workflow execution conditions and scheduling,”</w:t>
      </w:r>
      <w:r>
        <w:t xml:space="preserve"> </w:t>
      </w:r>
      <w:hyperlink r:id="rId110">
        <w:r>
          <w:rPr>
            <w:rStyle w:val="Hyperlink"/>
          </w:rPr>
          <w:t xml:space="preserve">https://learn.microsoft.com/en-us/entra/id-governance/lifecycle-workflow-execution-conditions</w:t>
        </w:r>
      </w:hyperlink>
      <w:r>
        <w:t xml:space="preserve"> </w:t>
      </w:r>
      <w:r>
        <w:t xml:space="preserve">(accessed Oct 19, 2026).</w:t>
      </w:r>
    </w:p>
  </w:footnote>
  <w:footnote w:id="112">
    <w:p>
      <w:pPr>
        <w:pStyle w:val="FootnoteText"/>
      </w:pPr>
      <w:r>
        <w:rPr>
          <w:rStyle w:val="FootnoteReference"/>
        </w:rPr>
        <w:footnoteRef/>
      </w:r>
      <w:r>
        <w:t xml:space="preserve"> </w:t>
      </w:r>
      <w:r>
        <w:t xml:space="preserve">Microsoft Learn,</w:t>
      </w:r>
      <w:r>
        <w:t xml:space="preserve"> </w:t>
      </w:r>
      <w:r>
        <w:t xml:space="preserve">“Customize a workflow schedule,”</w:t>
      </w:r>
      <w:r>
        <w:t xml:space="preserve"> </w:t>
      </w:r>
      <w:hyperlink r:id="rId113">
        <w:r>
          <w:rPr>
            <w:rStyle w:val="Hyperlink"/>
          </w:rPr>
          <w:t xml:space="preserve">https://learn.microsoft.com/en-us/entra/id-governance/customize-workflow-schedule</w:t>
        </w:r>
      </w:hyperlink>
      <w:r>
        <w:t xml:space="preserve"> </w:t>
      </w:r>
      <w:r>
        <w:t xml:space="preserve">(accessed Oct 19, 2026).</w:t>
      </w:r>
    </w:p>
  </w:footnote>
  <w:footnote w:id="114">
    <w:p>
      <w:pPr>
        <w:pStyle w:val="FootnoteText"/>
      </w:pPr>
      <w:r>
        <w:rPr>
          <w:rStyle w:val="FootnoteReference"/>
        </w:rPr>
        <w:footnoteRef/>
      </w:r>
      <w:r>
        <w:t xml:space="preserve"> </w:t>
      </w:r>
      <w:r>
        <w:t xml:space="preserve">Microsoft Learn,</w:t>
      </w:r>
      <w:r>
        <w:t xml:space="preserve"> </w:t>
      </w:r>
      <w:r>
        <w:t xml:space="preserve">“Lifecycle workflow execution conditions and scheduling,”</w:t>
      </w:r>
      <w:r>
        <w:t xml:space="preserve"> </w:t>
      </w:r>
      <w:hyperlink r:id="rId110">
        <w:r>
          <w:rPr>
            <w:rStyle w:val="Hyperlink"/>
          </w:rPr>
          <w:t xml:space="preserve">https://learn.microsoft.com/en-us/entra/id-governance/lifecycle-workflow-execution-conditions</w:t>
        </w:r>
      </w:hyperlink>
      <w:r>
        <w:t xml:space="preserve"> </w:t>
      </w:r>
      <w:r>
        <w:t xml:space="preserve">(accessed Oct 19, 2026).</w:t>
      </w:r>
    </w:p>
  </w:footnote>
  <w:footnote w:id="116">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105">
        <w:r>
          <w:rPr>
            <w:rStyle w:val="Hyperlink"/>
          </w:rPr>
          <w:t xml:space="preserve">https://learn.microsoft.com/en-us/entra/id-governance/lifecycle-workflow-tasks</w:t>
        </w:r>
      </w:hyperlink>
      <w:r>
        <w:t xml:space="preserve"> </w:t>
      </w:r>
      <w:r>
        <w:t xml:space="preserve">(accessed Oct 19, 2026).</w:t>
      </w:r>
    </w:p>
  </w:footnote>
  <w:footnote w:id="119">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94">
        <w:r>
          <w:rPr>
            <w:rStyle w:val="Hyperlink"/>
          </w:rPr>
          <w:t xml:space="preserve">https://learn.microsoft.com/en-us/entra/id-governance/how-to-lifecycle-workflow-sync-attributes</w:t>
        </w:r>
      </w:hyperlink>
      <w:r>
        <w:t xml:space="preserve"> </w:t>
      </w:r>
      <w:r>
        <w:t xml:space="preserve">(accessed Oct 19, 2026).</w:t>
      </w:r>
    </w:p>
  </w:footnote>
  <w:footnote w:id="122">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r>
        <w:t xml:space="preserve">(the Real-time employee termination template),</w:t>
      </w:r>
      <w:r>
        <w:t xml:space="preserve"> </w:t>
      </w:r>
      <w:hyperlink r:id="rId123">
        <w:r>
          <w:rPr>
            <w:rStyle w:val="Hyperlink"/>
          </w:rPr>
          <w:t xml:space="preserve">https://learn.microsoft.com/en-us/entra/id-governance/tutorial-offboard-custom-workflow-portal</w:t>
        </w:r>
      </w:hyperlink>
      <w:r>
        <w:t xml:space="preserve"> </w:t>
      </w:r>
      <w:r>
        <w:t xml:space="preserve">(accessed Oct 19, 2026).</w:t>
      </w:r>
    </w:p>
  </w:footnote>
  <w:footnote w:id="127">
    <w:p>
      <w:pPr>
        <w:pStyle w:val="FootnoteText"/>
      </w:pPr>
      <w:r>
        <w:rPr>
          <w:rStyle w:val="FootnoteReference"/>
        </w:rPr>
        <w:footnoteRef/>
      </w:r>
      <w:r>
        <w:t xml:space="preserve"> </w:t>
      </w:r>
      <w:r>
        <w:t xml:space="preserve">Microsoft Learn,</w:t>
      </w:r>
      <w:r>
        <w:t xml:space="preserve"> </w:t>
      </w:r>
      <w:r>
        <w:t xml:space="preserve">“Restore or remove a recently deleted user,”</w:t>
      </w:r>
      <w:r>
        <w:t xml:space="preserve"> </w:t>
      </w:r>
      <w:hyperlink r:id="rId128">
        <w:r>
          <w:rPr>
            <w:rStyle w:val="Hyperlink"/>
          </w:rPr>
          <w:t xml:space="preserve">https://learn.microsoft.com/en-us/entra/fundamentals/users-restore</w:t>
        </w:r>
      </w:hyperlink>
      <w:r>
        <w:t xml:space="preserve"> </w:t>
      </w:r>
      <w:r>
        <w:t xml:space="preserve">(accessed Oct 19, 2026).</w:t>
      </w:r>
    </w:p>
  </w:footnote>
  <w:footnote w:id="132">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3">
        <w:r>
          <w:rPr>
            <w:rStyle w:val="Hyperlink"/>
          </w:rPr>
          <w:t xml:space="preserve">https://www.idmanagement.gov/playbooks/ilm/</w:t>
        </w:r>
      </w:hyperlink>
      <w:r>
        <w:t xml:space="preserve"> </w:t>
      </w:r>
      <w:r>
        <w:t xml:space="preserve">(accessed Oct 19, 2026).</w:t>
      </w:r>
    </w:p>
  </w:footnote>
  <w:footnote w:id="134">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3">
        <w:r>
          <w:rPr>
            <w:rStyle w:val="Hyperlink"/>
          </w:rPr>
          <w:t xml:space="preserve">https://www.idmanagement.gov/playbooks/ilm/</w:t>
        </w:r>
      </w:hyperlink>
      <w:r>
        <w:t xml:space="preserve"> </w:t>
      </w:r>
      <w:r>
        <w:t xml:space="preserve">(accessed Oct 19, 2026).</w:t>
      </w:r>
    </w:p>
  </w:footnote>
  <w:footnote w:id="136">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3">
        <w:r>
          <w:rPr>
            <w:rStyle w:val="Hyperlink"/>
          </w:rPr>
          <w:t xml:space="preserve">https://www.idmanagement.gov/playbooks/ilm/</w:t>
        </w:r>
      </w:hyperlink>
      <w:r>
        <w:t xml:space="preserve"> </w:t>
      </w:r>
      <w:r>
        <w:t xml:space="preserve">(accessed Oct 19, 2026).</w:t>
      </w:r>
    </w:p>
  </w:footnote>
  <w:footnote w:id="13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38">
        <w:r>
          <w:rPr>
            <w:rStyle w:val="Hyperlink"/>
          </w:rPr>
          <w:t xml:space="preserve">https://csrc.nist.gov/pubs/fips/201-3/final</w:t>
        </w:r>
      </w:hyperlink>
      <w:r>
        <w:t xml:space="preserve"> </w:t>
      </w:r>
      <w:r>
        <w:t xml:space="preserve">(accessed Oct 19, 2026).</w:t>
      </w:r>
    </w:p>
  </w:footnote>
  <w:footnote w:id="139">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140">
        <w:r>
          <w:rPr>
            <w:rStyle w:val="Hyperlink"/>
          </w:rPr>
          <w:t xml:space="preserve">https://csrc.nist.gov/pubs/sp/800/63/4/final</w:t>
        </w:r>
      </w:hyperlink>
      <w:r>
        <w:t xml:space="preserve"> </w:t>
      </w:r>
      <w:r>
        <w:t xml:space="preserve">(accessed Oct 19, 2026).</w:t>
      </w:r>
    </w:p>
  </w:footnote>
  <w:footnote w:id="141">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3">
        <w:r>
          <w:rPr>
            <w:rStyle w:val="Hyperlink"/>
          </w:rPr>
          <w:t xml:space="preserve">https://www.idmanagement.gov/playbooks/ilm/</w:t>
        </w:r>
      </w:hyperlink>
      <w:r>
        <w:t xml:space="preserve"> </w:t>
      </w:r>
      <w:r>
        <w:t xml:space="preserve">(accessed Oct 19, 2026).</w:t>
      </w:r>
    </w:p>
  </w:footnote>
  <w:footnote w:id="143">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45">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46">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47">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48">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49">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15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151">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152">
        <w:r>
          <w:rPr>
            <w:rStyle w:val="Hyperlink"/>
          </w:rPr>
          <w:t xml:space="preserve">https://learn.microsoft.com/en-us/entra/identity/authentication/how-to-certificate-based-authentication</w:t>
        </w:r>
      </w:hyperlink>
      <w:r>
        <w:t xml:space="preserve"> </w:t>
      </w:r>
      <w:r>
        <w:t xml:space="preserve">(accessed Oct 19, 2026).</w:t>
      </w:r>
    </w:p>
  </w:footnote>
  <w:footnote w:id="153">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15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154">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55">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15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156">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152">
        <w:r>
          <w:rPr>
            <w:rStyle w:val="Hyperlink"/>
          </w:rPr>
          <w:t xml:space="preserve">https://learn.microsoft.com/en-us/entra/identity/authentication/how-to-certificate-based-authentication</w:t>
        </w:r>
      </w:hyperlink>
      <w:r>
        <w:t xml:space="preserve"> </w:t>
      </w:r>
      <w:r>
        <w:t xml:space="preserve">(accessed Oct 19, 2026).</w:t>
      </w:r>
    </w:p>
  </w:footnote>
  <w:footnote w:id="157">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58">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15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160">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14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161">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152">
        <w:r>
          <w:rPr>
            <w:rStyle w:val="Hyperlink"/>
          </w:rPr>
          <w:t xml:space="preserve">https://learn.microsoft.com/en-us/entra/identity/authentication/how-to-certificate-based-authentication</w:t>
        </w:r>
      </w:hyperlink>
      <w:r>
        <w:t xml:space="preserve"> </w:t>
      </w:r>
      <w:r>
        <w:t xml:space="preserve">(accessed Oct 19, 2026).</w:t>
      </w:r>
    </w:p>
  </w:footnote>
  <w:footnote w:id="162">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6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6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66">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67">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69">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38">
        <w:r>
          <w:rPr>
            <w:rStyle w:val="Hyperlink"/>
          </w:rPr>
          <w:t xml:space="preserve">https://csrc.nist.gov/pubs/fips/201-3/final</w:t>
        </w:r>
      </w:hyperlink>
      <w:r>
        <w:t xml:space="preserve"> </w:t>
      </w:r>
      <w:r>
        <w:t xml:space="preserve">(accessed Oct 19, 2026).</w:t>
      </w:r>
    </w:p>
  </w:footnote>
  <w:footnote w:id="170">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171">
        <w:r>
          <w:rPr>
            <w:rStyle w:val="Hyperlink"/>
          </w:rPr>
          <w:t xml:space="preserve">https://csrc.nist.gov/pubs/sp/800/157/final</w:t>
        </w:r>
      </w:hyperlink>
      <w:r>
        <w:t xml:space="preserve"> </w:t>
      </w:r>
      <w:r>
        <w:t xml:space="preserve">(accessed Oct 19, 2026).</w:t>
      </w:r>
    </w:p>
  </w:footnote>
  <w:footnote w:id="172">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173">
        <w:r>
          <w:rPr>
            <w:rStyle w:val="Hyperlink"/>
          </w:rPr>
          <w:t xml:space="preserve">https://csrc.nist.gov/pubs/sp/800/157/r1/fpd</w:t>
        </w:r>
      </w:hyperlink>
      <w:r>
        <w:t xml:space="preserve"> </w:t>
      </w:r>
      <w:r>
        <w:t xml:space="preserve">(accessed Oct 19, 2026).</w:t>
      </w:r>
    </w:p>
  </w:footnote>
  <w:footnote w:id="176">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38">
        <w:r>
          <w:rPr>
            <w:rStyle w:val="Hyperlink"/>
          </w:rPr>
          <w:t xml:space="preserve">https://csrc.nist.gov/pubs/fips/201-3/final</w:t>
        </w:r>
      </w:hyperlink>
      <w:r>
        <w:t xml:space="preserve"> </w:t>
      </w:r>
      <w:r>
        <w:t xml:space="preserve">(accessed Oct 19, 2026).</w:t>
      </w:r>
    </w:p>
  </w:footnote>
  <w:footnote w:id="178">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179">
        <w:r>
          <w:rPr>
            <w:rStyle w:val="Hyperlink"/>
          </w:rPr>
          <w:t xml:space="preserve">https://learn.microsoft.com/en-us/intune/device-configuration/certificates/remove-profiles</w:t>
        </w:r>
      </w:hyperlink>
      <w:r>
        <w:t xml:space="preserve"> </w:t>
      </w:r>
      <w:r>
        <w:t xml:space="preserve">(accessed Oct 19, 2026).</w:t>
      </w:r>
    </w:p>
  </w:footnote>
  <w:footnote w:id="180">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179">
        <w:r>
          <w:rPr>
            <w:rStyle w:val="Hyperlink"/>
          </w:rPr>
          <w:t xml:space="preserve">https://learn.microsoft.com/en-us/intune/device-configuration/certificates/remove-profiles</w:t>
        </w:r>
      </w:hyperlink>
      <w:r>
        <w:t xml:space="preserve"> </w:t>
      </w:r>
      <w:r>
        <w:t xml:space="preserve">(accessed Oct 19, 2026).</w:t>
      </w:r>
    </w:p>
  </w:footnote>
  <w:footnote w:id="181">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179">
        <w:r>
          <w:rPr>
            <w:rStyle w:val="Hyperlink"/>
          </w:rPr>
          <w:t xml:space="preserve">https://learn.microsoft.com/en-us/intune/device-configuration/certificates/remove-profiles</w:t>
        </w:r>
      </w:hyperlink>
      <w:r>
        <w:t xml:space="preserve"> </w:t>
      </w:r>
      <w:r>
        <w:t xml:space="preserve">(accessed Oct 19, 2026).</w:t>
      </w:r>
    </w:p>
  </w:footnote>
  <w:footnote w:id="182">
    <w:p>
      <w:pPr>
        <w:pStyle w:val="FootnoteText"/>
      </w:pPr>
      <w:r>
        <w:rPr>
          <w:rStyle w:val="FootnoteReference"/>
        </w:rPr>
        <w:footnoteRef/>
      </w:r>
      <w:r>
        <w:t xml:space="preserve"> </w:t>
      </w:r>
      <w:r>
        <w:t xml:space="preserve">Microsoft Learn,</w:t>
      </w:r>
      <w:r>
        <w:t xml:space="preserve"> </w:t>
      </w:r>
      <w:r>
        <w:t xml:space="preserve">“Monitor issued PKI certificates with Microsoft Intune,”</w:t>
      </w:r>
      <w:r>
        <w:t xml:space="preserve"> </w:t>
      </w:r>
      <w:hyperlink r:id="rId183">
        <w:r>
          <w:rPr>
            <w:rStyle w:val="Hyperlink"/>
          </w:rPr>
          <w:t xml:space="preserve">https://learn.microsoft.com/en-us/intune/cloud-pki/monitor-certificates</w:t>
        </w:r>
      </w:hyperlink>
      <w:r>
        <w:t xml:space="preserve"> </w:t>
      </w:r>
      <w:r>
        <w:t xml:space="preserve">(accessed Oct 19, 2026).</w:t>
      </w:r>
    </w:p>
  </w:footnote>
  <w:footnote w:id="188">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179">
        <w:r>
          <w:rPr>
            <w:rStyle w:val="Hyperlink"/>
          </w:rPr>
          <w:t xml:space="preserve">https://learn.microsoft.com/en-us/intune/device-configuration/certificates/remove-profiles</w:t>
        </w:r>
      </w:hyperlink>
      <w:r>
        <w:t xml:space="preserve"> </w:t>
      </w:r>
      <w:r>
        <w:t xml:space="preserve">(accessed Oct 19, 2026).</w:t>
      </w:r>
    </w:p>
  </w:footnote>
  <w:footnote w:id="189">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190">
        <w:r>
          <w:rPr>
            <w:rStyle w:val="Hyperlink"/>
          </w:rPr>
          <w:t xml:space="preserve">https://learn.microsoft.com/en-us/entra/identity/users/users-revoke-access</w:t>
        </w:r>
      </w:hyperlink>
      <w:r>
        <w:t xml:space="preserve"> </w:t>
      </w:r>
      <w:r>
        <w:t xml:space="preserve">(accessed Oct 19, 2026).</w:t>
      </w:r>
    </w:p>
  </w:footnote>
  <w:footnote w:id="191">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38">
        <w:r>
          <w:rPr>
            <w:rStyle w:val="Hyperlink"/>
          </w:rPr>
          <w:t xml:space="preserve">https://csrc.nist.gov/pubs/fips/201-3/final</w:t>
        </w:r>
      </w:hyperlink>
      <w:r>
        <w:t xml:space="preserve"> </w:t>
      </w:r>
      <w:r>
        <w:t xml:space="preserve">(accessed Oct 19, 2026).</w:t>
      </w:r>
    </w:p>
  </w:footnote>
  <w:footnote w:id="192">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190">
        <w:r>
          <w:rPr>
            <w:rStyle w:val="Hyperlink"/>
          </w:rPr>
          <w:t xml:space="preserve">https://learn.microsoft.com/en-us/entra/identity/users/users-revoke-access</w:t>
        </w:r>
      </w:hyperlink>
      <w:r>
        <w:t xml:space="preserve"> </w:t>
      </w:r>
      <w:r>
        <w:t xml:space="preserve">(accessed Oct 19, 2026).</w:t>
      </w:r>
    </w:p>
  </w:footnote>
  <w:footnote w:id="193">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190">
        <w:r>
          <w:rPr>
            <w:rStyle w:val="Hyperlink"/>
          </w:rPr>
          <w:t xml:space="preserve">https://learn.microsoft.com/en-us/entra/identity/users/users-revoke-access</w:t>
        </w:r>
      </w:hyperlink>
      <w:r>
        <w:t xml:space="preserve"> </w:t>
      </w:r>
      <w:r>
        <w:t xml:space="preserve">(accessed Oct 19, 2026).</w:t>
      </w:r>
    </w:p>
  </w:footnote>
  <w:footnote w:id="19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195">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190">
        <w:r>
          <w:rPr>
            <w:rStyle w:val="Hyperlink"/>
          </w:rPr>
          <w:t xml:space="preserve">https://learn.microsoft.com/en-us/entra/identity/users/users-revoke-access</w:t>
        </w:r>
      </w:hyperlink>
      <w:r>
        <w:t xml:space="preserve"> </w:t>
      </w:r>
      <w:r>
        <w:t xml:space="preserve">(accessed Oct 19, 2026).</w:t>
      </w:r>
    </w:p>
  </w:footnote>
  <w:footnote w:id="196">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105">
        <w:r>
          <w:rPr>
            <w:rStyle w:val="Hyperlink"/>
          </w:rPr>
          <w:t xml:space="preserve">https://learn.microsoft.com/en-us/entra/id-governance/lifecycle-workflow-tasks</w:t>
        </w:r>
      </w:hyperlink>
      <w:r>
        <w:t xml:space="preserve"> </w:t>
      </w:r>
      <w:r>
        <w:t xml:space="preserve">(accessed Oct 19, 2026).</w:t>
      </w:r>
    </w:p>
  </w:footnote>
  <w:footnote w:id="197">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123">
        <w:r>
          <w:rPr>
            <w:rStyle w:val="Hyperlink"/>
          </w:rPr>
          <w:t xml:space="preserve">https://learn.microsoft.com/en-us/entra/id-governance/tutorial-offboard-custom-workflow-portal</w:t>
        </w:r>
      </w:hyperlink>
      <w:r>
        <w:t xml:space="preserve"> </w:t>
      </w:r>
      <w:r>
        <w:t xml:space="preserve">(accessed Oct 19, 2026).</w:t>
      </w:r>
    </w:p>
  </w:footnote>
  <w:footnote w:id="198">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199">
        <w:r>
          <w:rPr>
            <w:rStyle w:val="Hyperlink"/>
          </w:rPr>
          <w:t xml:space="preserve">https://learn.microsoft.com/en-us/entra/id-governance/lifecycle-workflow-extensibility</w:t>
        </w:r>
      </w:hyperlink>
      <w:r>
        <w:t xml:space="preserve"> </w:t>
      </w:r>
      <w:r>
        <w:t xml:space="preserve">(accessed Oct 19, 2026).</w:t>
      </w:r>
    </w:p>
  </w:footnote>
  <w:footnote w:id="200">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199">
        <w:r>
          <w:rPr>
            <w:rStyle w:val="Hyperlink"/>
          </w:rPr>
          <w:t xml:space="preserve">https://learn.microsoft.com/en-us/entra/id-governance/lifecycle-workflow-extensibility</w:t>
        </w:r>
      </w:hyperlink>
      <w:r>
        <w:t xml:space="preserve"> </w:t>
      </w:r>
      <w:r>
        <w:t xml:space="preserve">(accessed Oct 19, 2026).</w:t>
      </w:r>
    </w:p>
  </w:footnote>
  <w:footnote w:id="201">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199">
        <w:r>
          <w:rPr>
            <w:rStyle w:val="Hyperlink"/>
          </w:rPr>
          <w:t xml:space="preserve">https://learn.microsoft.com/en-us/entra/id-governance/lifecycle-workflow-extensibility</w:t>
        </w:r>
      </w:hyperlink>
      <w:r>
        <w:t xml:space="preserve"> </w:t>
      </w:r>
      <w:r>
        <w:t xml:space="preserve">(accessed Oct 19, 2026).</w:t>
      </w:r>
    </w:p>
  </w:footnote>
  <w:footnote w:id="202">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199">
        <w:r>
          <w:rPr>
            <w:rStyle w:val="Hyperlink"/>
          </w:rPr>
          <w:t xml:space="preserve">https://learn.microsoft.com/en-us/entra/id-governance/lifecycle-workflow-extensibility</w:t>
        </w:r>
      </w:hyperlink>
      <w:r>
        <w:t xml:space="preserve"> </w:t>
      </w:r>
      <w:r>
        <w:t xml:space="preserve">(accessed Oct 19, 2026).</w:t>
      </w:r>
    </w:p>
  </w:footnote>
  <w:footnote w:id="20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15">
    <w:p>
      <w:pPr>
        <w:pStyle w:val="FootnoteText"/>
      </w:pPr>
      <w:r>
        <w:rPr>
          <w:rStyle w:val="FootnoteReference"/>
        </w:rPr>
        <w:footnoteRef/>
      </w:r>
      <w:r>
        <w:t xml:space="preserve"> </w:t>
      </w:r>
      <w:r>
        <w:t xml:space="preserve">Microsoft Learn,</w:t>
      </w:r>
      <w:r>
        <w:t xml:space="preserve"> </w:t>
      </w:r>
      <w:r>
        <w:t xml:space="preserve">“Create simpler and faster rules for dynamic membership groups,”</w:t>
      </w:r>
      <w:r>
        <w:t xml:space="preserve"> </w:t>
      </w:r>
      <w:hyperlink r:id="rId216">
        <w:r>
          <w:rPr>
            <w:rStyle w:val="Hyperlink"/>
          </w:rPr>
          <w:t xml:space="preserve">https://learn.microsoft.com/en-us/entra/identity/users/groups-dynamic-rule-more-efficient</w:t>
        </w:r>
      </w:hyperlink>
      <w:r>
        <w:t xml:space="preserve"> </w:t>
      </w:r>
      <w:r>
        <w:t xml:space="preserve">(accessed Oct 19, 2026).</w:t>
      </w:r>
    </w:p>
  </w:footnote>
  <w:footnote w:id="21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21">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222">
        <w:r>
          <w:rPr>
            <w:rStyle w:val="Hyperlink"/>
          </w:rPr>
          <w:t xml:space="preserve">https://learn.microsoft.com/en-us/entra/identity/role-based-access-control/admin-units-members-dynamic</w:t>
        </w:r>
      </w:hyperlink>
      <w:r>
        <w:t xml:space="preserve"> </w:t>
      </w:r>
      <w:r>
        <w:t xml:space="preserve">(accessed Oct 19, 2026).</w:t>
      </w:r>
    </w:p>
  </w:footnote>
  <w:footnote w:id="223">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w:t>
      </w:r>
      <w:r>
        <w:t xml:space="preserve"> </w:t>
      </w:r>
      <w:r>
        <w:t xml:space="preserve">“Azure Global includes GCC”</w:t>
      </w:r>
      <w:r>
        <w:t xml:space="preserve">),</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224">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225">
        <w:r>
          <w:rPr>
            <w:rStyle w:val="Hyperlink"/>
          </w:rPr>
          <w:t xml:space="preserve">https://learn.microsoft.com/en-us/entra/identity/role-based-access-control/admin-units-restricted-management</w:t>
        </w:r>
      </w:hyperlink>
      <w:r>
        <w:t xml:space="preserve"> </w:t>
      </w:r>
      <w:r>
        <w:t xml:space="preserve">(accessed Oct 19, 2026).</w:t>
      </w:r>
    </w:p>
  </w:footnote>
  <w:footnote w:id="227">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228">
        <w:r>
          <w:rPr>
            <w:rStyle w:val="Hyperlink"/>
          </w:rPr>
          <w:t xml:space="preserve">https://learn.microsoft.com/en-us/entra/id-governance/entitlement-management-access-package-approval-policy</w:t>
        </w:r>
      </w:hyperlink>
      <w:r>
        <w:t xml:space="preserve"> </w:t>
      </w:r>
      <w:r>
        <w:t xml:space="preserve">(accessed Oct 19, 2026).</w:t>
      </w:r>
    </w:p>
  </w:footnote>
  <w:footnote w:id="229">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hyperlink r:id="rId230">
        <w:r>
          <w:rPr>
            <w:rStyle w:val="Hyperlink"/>
          </w:rPr>
          <w:t xml:space="preserve">https://learn.microsoft.com/en-us/entra/id-governance/access-reviews-overview</w:t>
        </w:r>
      </w:hyperlink>
      <w:r>
        <w:t xml:space="preserve"> </w:t>
      </w:r>
      <w:r>
        <w:t xml:space="preserve">(accessed Oct 19, 2026).</w:t>
      </w:r>
    </w:p>
  </w:footnote>
  <w:footnote w:id="23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84">
        <w:r>
          <w:rPr>
            <w:rStyle w:val="Hyperlink"/>
          </w:rPr>
          <w:t xml:space="preserve">https://learn.microsoft.com/en-us/entra/identity/users/groups-dynamic-membership</w:t>
        </w:r>
      </w:hyperlink>
      <w:r>
        <w:t xml:space="preserve"> </w:t>
      </w:r>
      <w:r>
        <w:t xml:space="preserve">(accessed Oct 19, 2026).</w:t>
      </w:r>
    </w:p>
  </w:footnote>
  <w:footnote w:id="233">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234">
        <w:r>
          <w:rPr>
            <w:rStyle w:val="Hyperlink"/>
          </w:rPr>
          <w:t xml:space="preserve">https://learn.microsoft.com/en-us/entra/id-governance/privileged-identity-management/concept-pim-for-groups</w:t>
        </w:r>
      </w:hyperlink>
      <w:r>
        <w:t xml:space="preserve"> </w:t>
      </w:r>
      <w:r>
        <w:t xml:space="preserve">(accessed Oct 19, 2026).</w:t>
      </w:r>
    </w:p>
  </w:footnote>
  <w:footnote w:id="25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55">
        <w:r>
          <w:rPr>
            <w:rStyle w:val="Hyperlink"/>
          </w:rPr>
          <w:t xml:space="preserve">https://learn.microsoft.com/en-us/entra/id-governance/licensing-fundamentals</w:t>
        </w:r>
      </w:hyperlink>
      <w:r>
        <w:t xml:space="preserve"> </w:t>
      </w:r>
      <w:r>
        <w:t xml:space="preserve">(accessed Oct 19, 2026).</w:t>
      </w:r>
    </w:p>
  </w:footnote>
  <w:footnote w:id="256">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 CRL size limits for</w:t>
      </w:r>
      <w:r>
        <w:t xml:space="preserve"> </w:t>
      </w:r>
      <w:r>
        <w:t xml:space="preserve">“Azure Global includes GCC”</w:t>
      </w:r>
      <w:r>
        <w:t xml:space="preserve">),</w:t>
      </w:r>
      <w:r>
        <w:t xml:space="preserve"> </w:t>
      </w:r>
      <w:hyperlink r:id="rId16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5" Target="media/rId185.png" /><Relationship Type="http://schemas.openxmlformats.org/officeDocument/2006/relationships/hyperlink" Id="rId138" Target="https://csrc.nist.gov/pubs/fips/201-3/final" TargetMode="External" /><Relationship Type="http://schemas.openxmlformats.org/officeDocument/2006/relationships/hyperlink" Id="rId171" Target="https://csrc.nist.gov/pubs/sp/800/157/final" TargetMode="External" /><Relationship Type="http://schemas.openxmlformats.org/officeDocument/2006/relationships/hyperlink" Id="rId173" Target="https://csrc.nist.gov/pubs/sp/800/157/r1/fpd" TargetMode="External" /><Relationship Type="http://schemas.openxmlformats.org/officeDocument/2006/relationships/hyperlink" Id="rId140" Target="https://csrc.nist.gov/pubs/sp/800/63/4/final" TargetMode="External" /><Relationship Type="http://schemas.openxmlformats.org/officeDocument/2006/relationships/hyperlink" Id="rId128" Target="https://learn.microsoft.com/en-us/entra/fundamentals/users-restore" TargetMode="External" /><Relationship Type="http://schemas.openxmlformats.org/officeDocument/2006/relationships/hyperlink" Id="rId230" Target="https://learn.microsoft.com/en-us/entra/id-governance/access-reviews-overview" TargetMode="External" /><Relationship Type="http://schemas.openxmlformats.org/officeDocument/2006/relationships/hyperlink" Id="rId113" Target="https://learn.microsoft.com/en-us/entra/id-governance/customize-workflow-schedule" TargetMode="External" /><Relationship Type="http://schemas.openxmlformats.org/officeDocument/2006/relationships/hyperlink" Id="rId228" Target="https://learn.microsoft.com/en-us/entra/id-governance/entitlement-management-access-package-approval-policy" TargetMode="External" /><Relationship Type="http://schemas.openxmlformats.org/officeDocument/2006/relationships/hyperlink" Id="rId94" Target="https://learn.microsoft.com/en-us/entra/id-governance/how-to-lifecycle-workflow-sync-attributes" TargetMode="External" /><Relationship Type="http://schemas.openxmlformats.org/officeDocument/2006/relationships/hyperlink" Id="rId255" Target="https://learn.microsoft.com/en-us/entra/id-governance/licensing-fundamentals" TargetMode="External" /><Relationship Type="http://schemas.openxmlformats.org/officeDocument/2006/relationships/hyperlink" Id="rId110" Target="https://learn.microsoft.com/en-us/entra/id-governance/lifecycle-workflow-execution-conditions" TargetMode="External" /><Relationship Type="http://schemas.openxmlformats.org/officeDocument/2006/relationships/hyperlink" Id="rId199" Target="https://learn.microsoft.com/en-us/entra/id-governance/lifecycle-workflow-extensibility" TargetMode="External" /><Relationship Type="http://schemas.openxmlformats.org/officeDocument/2006/relationships/hyperlink" Id="rId105" Target="https://learn.microsoft.com/en-us/entra/id-governance/lifecycle-workflow-tasks" TargetMode="External" /><Relationship Type="http://schemas.openxmlformats.org/officeDocument/2006/relationships/hyperlink" Id="rId234" Target="https://learn.microsoft.com/en-us/entra/id-governance/privileged-identity-management/concept-pim-for-groups" TargetMode="External" /><Relationship Type="http://schemas.openxmlformats.org/officeDocument/2006/relationships/hyperlink" Id="rId123" Target="https://learn.microsoft.com/en-us/entra/id-governance/tutorial-offboard-custom-workflow-portal" TargetMode="External" /><Relationship Type="http://schemas.openxmlformats.org/officeDocument/2006/relationships/hyperlink" Id="rId108" Target="https://learn.microsoft.com/en-us/entra/id-governance/what-are-lifecycle-workflows" TargetMode="External" /><Relationship Type="http://schemas.openxmlformats.org/officeDocument/2006/relationships/hyperlink" Id="rId49" Target="https://learn.microsoft.com/en-us/entra/identity/app-provisioning/inbound-provisioning-api-concepts" TargetMode="External" /><Relationship Type="http://schemas.openxmlformats.org/officeDocument/2006/relationships/hyperlink" Id="rId90" Target="https://learn.microsoft.com/en-us/entra/identity/app-provisioning/inbound-provisioning-api-custom-attributes" TargetMode="External" /><Relationship Type="http://schemas.openxmlformats.org/officeDocument/2006/relationships/hyperlink" Id="rId63" Target="https://learn.microsoft.com/en-us/entra/identity/app-provisioning/inbound-provisioning-api-faqs" TargetMode="External" /><Relationship Type="http://schemas.openxmlformats.org/officeDocument/2006/relationships/hyperlink" Id="rId68" Target="https://learn.microsoft.com/en-us/entra/identity/app-provisioning/plan-cloud-hr-provision" TargetMode="External" /><Relationship Type="http://schemas.openxmlformats.org/officeDocument/2006/relationships/hyperlink" Id="rId163" Target="https://learn.microsoft.com/en-us/entra/identity/authentication/concept-certificate-based-authentication-certificate-revocation-list" TargetMode="External" /><Relationship Type="http://schemas.openxmlformats.org/officeDocument/2006/relationships/hyperlink" Id="rId150" Target="https://learn.microsoft.com/en-us/entra/identity/authentication/concept-certificate-based-authentication-certificateuserids" TargetMode="External" /><Relationship Type="http://schemas.openxmlformats.org/officeDocument/2006/relationships/hyperlink" Id="rId144" Target="https://learn.microsoft.com/en-us/entra/identity/authentication/concept-certificate-based-authentication-technical-deep-dive" TargetMode="External" /><Relationship Type="http://schemas.openxmlformats.org/officeDocument/2006/relationships/hyperlink" Id="rId152" Target="https://learn.microsoft.com/en-us/entra/identity/authentication/how-to-certificate-based-authentication" TargetMode="External" /><Relationship Type="http://schemas.openxmlformats.org/officeDocument/2006/relationships/hyperlink" Id="rId72" Target="https://learn.microsoft.com/en-us/entra/identity/hybrid/cloud-sync/how-to-prerequisites" TargetMode="External" /><Relationship Type="http://schemas.openxmlformats.org/officeDocument/2006/relationships/hyperlink" Id="rId222" Target="https://learn.microsoft.com/en-us/entra/identity/role-based-access-control/admin-units-members-dynamic" TargetMode="External" /><Relationship Type="http://schemas.openxmlformats.org/officeDocument/2006/relationships/hyperlink" Id="rId225" Target="https://learn.microsoft.com/en-us/entra/identity/role-based-access-control/admin-units-restricted-management" TargetMode="External" /><Relationship Type="http://schemas.openxmlformats.org/officeDocument/2006/relationships/hyperlink" Id="rId52" Target="https://learn.microsoft.com/en-us/entra/identity/saas-apps/oracle-hcm-provisioning-tutorial" TargetMode="External" /><Relationship Type="http://schemas.openxmlformats.org/officeDocument/2006/relationships/hyperlink" Id="rId84" Target="https://learn.microsoft.com/en-us/entra/identity/users/groups-dynamic-membership" TargetMode="External" /><Relationship Type="http://schemas.openxmlformats.org/officeDocument/2006/relationships/hyperlink" Id="rId216" Target="https://learn.microsoft.com/en-us/entra/identity/users/groups-dynamic-rule-more-efficient" TargetMode="External" /><Relationship Type="http://schemas.openxmlformats.org/officeDocument/2006/relationships/hyperlink" Id="rId190" Target="https://learn.microsoft.com/en-us/entra/identity/users/users-revoke-access" TargetMode="External" /><Relationship Type="http://schemas.openxmlformats.org/officeDocument/2006/relationships/hyperlink" Id="rId86" Target="https://learn.microsoft.com/en-us/graph/api/resources/onpremisesextensionattributes" TargetMode="External" /><Relationship Type="http://schemas.openxmlformats.org/officeDocument/2006/relationships/hyperlink" Id="rId60" Target="https://learn.microsoft.com/en-us/graph/deployments" TargetMode="External" /><Relationship Type="http://schemas.openxmlformats.org/officeDocument/2006/relationships/hyperlink" Id="rId183" Target="https://learn.microsoft.com/en-us/intune/cloud-pki/monitor-certificates" TargetMode="External" /><Relationship Type="http://schemas.openxmlformats.org/officeDocument/2006/relationships/hyperlink" Id="rId179" Target="https://learn.microsoft.com/en-us/intune/device-configuration/certificates/remove-profiles" TargetMode="External" /><Relationship Type="http://schemas.openxmlformats.org/officeDocument/2006/relationships/hyperlink" Id="rId133" Target="https://www.idmanagement.gov/playbooks/ilm/" TargetMode="External" /><Relationship Type="http://schemas.openxmlformats.org/officeDocument/2006/relationships/hyperlink" Id="rId34" Target="https://www.meritalk.com/articles/opm-eyes-40m-annual-cost-for-governmentwide-hr-platform/" TargetMode="External" /></Relationships>
</file>

<file path=word/_rels/footnotes.xml.rels><?xml version="1.0" encoding="UTF-8"?><Relationships xmlns="http://schemas.openxmlformats.org/package/2006/relationships"><Relationship Type="http://schemas.openxmlformats.org/officeDocument/2006/relationships/hyperlink" Id="rId138" Target="https://csrc.nist.gov/pubs/fips/201-3/final" TargetMode="External" /><Relationship Type="http://schemas.openxmlformats.org/officeDocument/2006/relationships/hyperlink" Id="rId171" Target="https://csrc.nist.gov/pubs/sp/800/157/final" TargetMode="External" /><Relationship Type="http://schemas.openxmlformats.org/officeDocument/2006/relationships/hyperlink" Id="rId173" Target="https://csrc.nist.gov/pubs/sp/800/157/r1/fpd" TargetMode="External" /><Relationship Type="http://schemas.openxmlformats.org/officeDocument/2006/relationships/hyperlink" Id="rId140" Target="https://csrc.nist.gov/pubs/sp/800/63/4/final" TargetMode="External" /><Relationship Type="http://schemas.openxmlformats.org/officeDocument/2006/relationships/hyperlink" Id="rId128" Target="https://learn.microsoft.com/en-us/entra/fundamentals/users-restore" TargetMode="External" /><Relationship Type="http://schemas.openxmlformats.org/officeDocument/2006/relationships/hyperlink" Id="rId230" Target="https://learn.microsoft.com/en-us/entra/id-governance/access-reviews-overview" TargetMode="External" /><Relationship Type="http://schemas.openxmlformats.org/officeDocument/2006/relationships/hyperlink" Id="rId113" Target="https://learn.microsoft.com/en-us/entra/id-governance/customize-workflow-schedule" TargetMode="External" /><Relationship Type="http://schemas.openxmlformats.org/officeDocument/2006/relationships/hyperlink" Id="rId228" Target="https://learn.microsoft.com/en-us/entra/id-governance/entitlement-management-access-package-approval-policy" TargetMode="External" /><Relationship Type="http://schemas.openxmlformats.org/officeDocument/2006/relationships/hyperlink" Id="rId94" Target="https://learn.microsoft.com/en-us/entra/id-governance/how-to-lifecycle-workflow-sync-attributes" TargetMode="External" /><Relationship Type="http://schemas.openxmlformats.org/officeDocument/2006/relationships/hyperlink" Id="rId255" Target="https://learn.microsoft.com/en-us/entra/id-governance/licensing-fundamentals" TargetMode="External" /><Relationship Type="http://schemas.openxmlformats.org/officeDocument/2006/relationships/hyperlink" Id="rId110" Target="https://learn.microsoft.com/en-us/entra/id-governance/lifecycle-workflow-execution-conditions" TargetMode="External" /><Relationship Type="http://schemas.openxmlformats.org/officeDocument/2006/relationships/hyperlink" Id="rId199" Target="https://learn.microsoft.com/en-us/entra/id-governance/lifecycle-workflow-extensibility" TargetMode="External" /><Relationship Type="http://schemas.openxmlformats.org/officeDocument/2006/relationships/hyperlink" Id="rId105" Target="https://learn.microsoft.com/en-us/entra/id-governance/lifecycle-workflow-tasks" TargetMode="External" /><Relationship Type="http://schemas.openxmlformats.org/officeDocument/2006/relationships/hyperlink" Id="rId234" Target="https://learn.microsoft.com/en-us/entra/id-governance/privileged-identity-management/concept-pim-for-groups" TargetMode="External" /><Relationship Type="http://schemas.openxmlformats.org/officeDocument/2006/relationships/hyperlink" Id="rId123" Target="https://learn.microsoft.com/en-us/entra/id-governance/tutorial-offboard-custom-workflow-portal" TargetMode="External" /><Relationship Type="http://schemas.openxmlformats.org/officeDocument/2006/relationships/hyperlink" Id="rId108" Target="https://learn.microsoft.com/en-us/entra/id-governance/what-are-lifecycle-workflows" TargetMode="External" /><Relationship Type="http://schemas.openxmlformats.org/officeDocument/2006/relationships/hyperlink" Id="rId49" Target="https://learn.microsoft.com/en-us/entra/identity/app-provisioning/inbound-provisioning-api-concepts" TargetMode="External" /><Relationship Type="http://schemas.openxmlformats.org/officeDocument/2006/relationships/hyperlink" Id="rId90" Target="https://learn.microsoft.com/en-us/entra/identity/app-provisioning/inbound-provisioning-api-custom-attributes" TargetMode="External" /><Relationship Type="http://schemas.openxmlformats.org/officeDocument/2006/relationships/hyperlink" Id="rId63" Target="https://learn.microsoft.com/en-us/entra/identity/app-provisioning/inbound-provisioning-api-faqs" TargetMode="External" /><Relationship Type="http://schemas.openxmlformats.org/officeDocument/2006/relationships/hyperlink" Id="rId68" Target="https://learn.microsoft.com/en-us/entra/identity/app-provisioning/plan-cloud-hr-provision" TargetMode="External" /><Relationship Type="http://schemas.openxmlformats.org/officeDocument/2006/relationships/hyperlink" Id="rId163" Target="https://learn.microsoft.com/en-us/entra/identity/authentication/concept-certificate-based-authentication-certificate-revocation-list" TargetMode="External" /><Relationship Type="http://schemas.openxmlformats.org/officeDocument/2006/relationships/hyperlink" Id="rId150" Target="https://learn.microsoft.com/en-us/entra/identity/authentication/concept-certificate-based-authentication-certificateuserids" TargetMode="External" /><Relationship Type="http://schemas.openxmlformats.org/officeDocument/2006/relationships/hyperlink" Id="rId144" Target="https://learn.microsoft.com/en-us/entra/identity/authentication/concept-certificate-based-authentication-technical-deep-dive" TargetMode="External" /><Relationship Type="http://schemas.openxmlformats.org/officeDocument/2006/relationships/hyperlink" Id="rId152" Target="https://learn.microsoft.com/en-us/entra/identity/authentication/how-to-certificate-based-authentication" TargetMode="External" /><Relationship Type="http://schemas.openxmlformats.org/officeDocument/2006/relationships/hyperlink" Id="rId72" Target="https://learn.microsoft.com/en-us/entra/identity/hybrid/cloud-sync/how-to-prerequisites" TargetMode="External" /><Relationship Type="http://schemas.openxmlformats.org/officeDocument/2006/relationships/hyperlink" Id="rId222" Target="https://learn.microsoft.com/en-us/entra/identity/role-based-access-control/admin-units-members-dynamic" TargetMode="External" /><Relationship Type="http://schemas.openxmlformats.org/officeDocument/2006/relationships/hyperlink" Id="rId225" Target="https://learn.microsoft.com/en-us/entra/identity/role-based-access-control/admin-units-restricted-management" TargetMode="External" /><Relationship Type="http://schemas.openxmlformats.org/officeDocument/2006/relationships/hyperlink" Id="rId52" Target="https://learn.microsoft.com/en-us/entra/identity/saas-apps/oracle-hcm-provisioning-tutorial" TargetMode="External" /><Relationship Type="http://schemas.openxmlformats.org/officeDocument/2006/relationships/hyperlink" Id="rId84" Target="https://learn.microsoft.com/en-us/entra/identity/users/groups-dynamic-membership" TargetMode="External" /><Relationship Type="http://schemas.openxmlformats.org/officeDocument/2006/relationships/hyperlink" Id="rId216" Target="https://learn.microsoft.com/en-us/entra/identity/users/groups-dynamic-rule-more-efficient" TargetMode="External" /><Relationship Type="http://schemas.openxmlformats.org/officeDocument/2006/relationships/hyperlink" Id="rId190" Target="https://learn.microsoft.com/en-us/entra/identity/users/users-revoke-access" TargetMode="External" /><Relationship Type="http://schemas.openxmlformats.org/officeDocument/2006/relationships/hyperlink" Id="rId86" Target="https://learn.microsoft.com/en-us/graph/api/resources/onpremisesextensionattributes" TargetMode="External" /><Relationship Type="http://schemas.openxmlformats.org/officeDocument/2006/relationships/hyperlink" Id="rId60" Target="https://learn.microsoft.com/en-us/graph/deployments" TargetMode="External" /><Relationship Type="http://schemas.openxmlformats.org/officeDocument/2006/relationships/hyperlink" Id="rId183" Target="https://learn.microsoft.com/en-us/intune/cloud-pki/monitor-certificates" TargetMode="External" /><Relationship Type="http://schemas.openxmlformats.org/officeDocument/2006/relationships/hyperlink" Id="rId179" Target="https://learn.microsoft.com/en-us/intune/device-configuration/certificates/remove-profiles" TargetMode="External" /><Relationship Type="http://schemas.openxmlformats.org/officeDocument/2006/relationships/hyperlink" Id="rId133" Target="https://www.idmanagement.gov/playbooks/ilm/" TargetMode="External" /><Relationship Type="http://schemas.openxmlformats.org/officeDocument/2006/relationships/hyperlink" Id="rId34" Target="https://www.meritalk.com/articles/opm-eyes-40m-annual-cost-for-governmentwide-hr-platfor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HR-Driven Identity: From the HR System of Record to Entra ID</dc:title>
  <dc:creator/>
  <cp:keywords/>
  <dcterms:created xsi:type="dcterms:W3CDTF">2026-10-19T10:17:33Z</dcterms:created>
  <dcterms:modified xsi:type="dcterms:W3CDTF">2026-10-19T10:17:33Z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combined edition</vt:lpwstr>
  </property>
</Properties>
</file>