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Migration Sequence</w:t>
      </w:r>
    </w:p>
    <w:p>
      <w:pPr>
        <w:pStyle w:val="Subtitle"/>
      </w:pPr>
      <w:r>
        <w:t xml:space="preserve">Next Generation DDI — Chapter 09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14" w:name="chapter-09-the-migration-sequence"/>
    <w:p>
      <w:pPr>
        <w:pStyle w:val="Heading1"/>
      </w:pPr>
      <w:r>
        <w:t xml:space="preserve">Chapter 09 — The Migration Sequence</w:t>
      </w:r>
    </w:p>
    <w:p>
      <w:pPr>
        <w:pStyle w:val="FirstParagraph"/>
      </w:pPr>
      <w:r>
        <w:rPr>
          <w:i/>
          <w:iCs/>
        </w:rPr>
        <w:t xml:space="preserve">Six phases from AD-integrated DNS/DHCP to a unified policy plane.</w:t>
      </w:r>
    </w:p>
    <w:bookmarkStart w:id="12" w:name="phased-migration-and-cutover-sequence"/>
    <w:p>
      <w:pPr>
        <w:pStyle w:val="Heading2"/>
      </w:pPr>
      <w:r>
        <w:t xml:space="preserve">Phased Migration and Cutover Sequence</w:t>
      </w:r>
    </w:p>
    <w:p>
      <w:pPr>
        <w:pStyle w:val="CaptionedFigure"/>
      </w:pPr>
      <w:r>
        <w:drawing>
          <wp:inline>
            <wp:extent cx="4844883" cy="5572573"/>
            <wp:effectExtent b="0" l="0" r="0" t="0"/>
            <wp:docPr descr="Six-phase migration sequence." title="" id="10" name="Picture"/>
            <a:graphic>
              <a:graphicData uri="http://schemas.openxmlformats.org/drawingml/2006/picture">
                <pic:pic>
                  <pic:nvPicPr>
                    <pic:cNvPr descr="/home/runner/work/modernization-workbook/modernization-workbook/docs/images/diagrams/next-generation-ddi/png/ch09-migration-phas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883" cy="5572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Six-phase migration sequence.</w:t>
      </w:r>
    </w:p>
    <w:p>
      <w:pPr>
        <w:pStyle w:val="BodyText"/>
      </w:pPr>
      <w:r>
        <w:t xml:space="preserve">This is the book’s canonical sequence (Inventory → Coexist → Migrate authority → Federate clouds → Decommission AD DNS and DHCP → Harden and evidence), applied to the move from AD-integrated DNS and DHCP plus independent cloud DNS to a unified DDI plane while keeping services running: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1 — Inventory and baseline.</w:t>
      </w:r>
      <w:r>
        <w:t xml:space="preserve"> </w:t>
      </w:r>
      <w:r>
        <w:t xml:space="preserve">Export every AD DNS zone, SRV record, conditional forwarder and DHCP scope. Document current resolution paths, including SD-WAN redirect-dns targets, and the OCSP and CRL endpoints in use.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2 — Deploy coexistence.</w:t>
      </w:r>
      <w:r>
        <w:t xml:space="preserve"> </w:t>
      </w:r>
      <w:r>
        <w:t xml:space="preserve">Stand up the DDI platform’s resolvers and its Microsoft DNS and DHCP synchronization. Establish conditional forwarding so that both systems can answer during the transition.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3 — Migrate authority.</w:t>
      </w:r>
      <w:r>
        <w:t xml:space="preserve"> </w:t>
      </w:r>
      <w:r>
        <w:t xml:space="preserve">Move authoritative zones and DHCP scopes to the DDI platform, zone by zone. Retarget SD-WAN redirect-dns to network-addressable agency resolvers (Chapter 08, Decision 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4 — Cloud federation.</w:t>
      </w:r>
      <w:r>
        <w:t xml:space="preserve"> </w:t>
      </w:r>
      <w:r>
        <w:t xml:space="preserve">Enable cloud discovery and IPAM federation with AWS, Azure and Google Cloud, and VMware where it applies. Validate private endpoint resolution end to end from every origin.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5 — Decommission AD DNS and DHCP.</w:t>
      </w:r>
      <w:r>
        <w:t xml:space="preserve"> </w:t>
      </w:r>
      <w:r>
        <w:t xml:space="preserve">Only after full inventory reconciliation and successful failover testing. Preserve the SRV and</w:t>
      </w:r>
      <w:r>
        <w:t xml:space="preserve"> </w:t>
      </w:r>
      <w:r>
        <w:rPr>
          <w:rStyle w:val="VerbatimChar"/>
        </w:rPr>
        <w:t xml:space="preserve">_msdcs</w:t>
      </w:r>
      <w:r>
        <w:t xml:space="preserve"> </w:t>
      </w:r>
      <w:r>
        <w:t xml:space="preserve">records that remaining domain controllers and domain-joined systems still need.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Phase 6 — Policy and compliance hardening.</w:t>
      </w:r>
      <w:r>
        <w:t xml:space="preserve"> </w:t>
      </w:r>
      <w:r>
        <w:t xml:space="preserve">Enable Protective DNS forwarding, encrypted DNS, DNSSEC signing and validation where required, and continuous monitoring dashboards, and assemble the evidence in Chapter 10.</w:t>
      </w:r>
    </w:p>
    <w:p>
      <w:pPr>
        <w:pStyle w:val="FirstParagraph"/>
      </w:pPr>
      <w:r>
        <w:t xml:space="preserve">Each phase should end with a rollback point and a resolution-path consistency test (Chapter 11), not with a calendar date.</w:t>
      </w:r>
    </w:p>
    <w:bookmarkEnd w:id="12"/>
    <w:bookmarkStart w:id="13" w:name="what-this-chapter-establishes"/>
    <w:p>
      <w:pPr>
        <w:pStyle w:val="Heading2"/>
      </w:pPr>
      <w:r>
        <w:t xml:space="preserve">What this chapter establishes</w:t>
      </w:r>
    </w:p>
    <w:p>
      <w:pPr>
        <w:pStyle w:val="Compact"/>
        <w:numPr>
          <w:ilvl w:val="0"/>
          <w:numId w:val="1002"/>
        </w:numPr>
      </w:pPr>
      <w:r>
        <w:t xml:space="preserve">The migration runs in six phases: inventory, coexistence, authority, cloud federation, AD DNS decommissioning, hardening.</w:t>
      </w:r>
    </w:p>
    <w:p>
      <w:pPr>
        <w:pStyle w:val="Compact"/>
        <w:numPr>
          <w:ilvl w:val="0"/>
          <w:numId w:val="1002"/>
        </w:numPr>
      </w:pPr>
      <w:r>
        <w:t xml:space="preserve">AD DNS and DHCP are decommissioned only after reconciliation and failover testing.</w:t>
      </w:r>
    </w:p>
    <w:p>
      <w:pPr>
        <w:pStyle w:val="Compact"/>
        <w:numPr>
          <w:ilvl w:val="0"/>
          <w:numId w:val="1002"/>
        </w:numPr>
      </w:pPr>
      <w:r>
        <w:t xml:space="preserve">Each phase ends with a rollback point and a consistency test, not a date.</w:t>
      </w:r>
    </w:p>
    <w:bookmarkEnd w:id="1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Previous:</w:t>
      </w:r>
      <w:r>
        <w:t xml:space="preserve"> </w:t>
      </w:r>
      <w:r>
        <w:t xml:space="preserve">Chapter 08 — Reference Architecture and the Five Critical Decisions</w:t>
      </w:r>
      <w:r>
        <w:br/>
      </w:r>
      <w:r>
        <w:rPr>
          <w:b/>
          <w:bCs/>
        </w:rPr>
        <w:t xml:space="preserve">Next:</w:t>
      </w:r>
      <w:r>
        <w:t xml:space="preserve"> </w:t>
      </w:r>
      <w:r>
        <w:t xml:space="preserve">Chapter 10 — Operating the Control Plane: Delegation, Automation and Evidence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Migration Sequence</dc:title>
  <dc:creator/>
  <cp:keywords/>
  <dcterms:created xsi:type="dcterms:W3CDTF">2026-10-19T10:17:33Z</dcterms:created>
  <dcterms:modified xsi:type="dcterms:W3CDTF">2026-10-19T10:17:33Z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Next Generation DDI — Chapter 09</vt:lpwstr>
  </property>
</Properties>
</file>