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Platform Selection, Cost and Residual Risk</w:t>
      </w:r>
    </w:p>
    <w:p>
      <w:pPr>
        <w:pStyle w:val="Subtitle"/>
      </w:pPr>
      <w:r>
        <w:t xml:space="preserve">Next Generation DDI — Chapter 11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1" w:name="X2b6f7068010ec3667e35156cd11ab06f972a734"/>
    <w:p>
      <w:pPr>
        <w:pStyle w:val="Heading1"/>
      </w:pPr>
      <w:r>
        <w:t xml:space="preserve">Chapter 11 — Platform Selection, Cost and Residual Risk</w:t>
      </w:r>
    </w:p>
    <w:p>
      <w:pPr>
        <w:pStyle w:val="FirstParagraph"/>
      </w:pPr>
      <w:r>
        <w:rPr>
          <w:i/>
          <w:iCs/>
        </w:rPr>
        <w:t xml:space="preserve">How to choose, what it costs to run, and what risk remains.</w:t>
      </w:r>
    </w:p>
    <w:bookmarkStart w:id="9" w:name="cost-staffing-and-success-measures"/>
    <w:p>
      <w:pPr>
        <w:pStyle w:val="Heading2"/>
      </w:pPr>
      <w:r>
        <w:t xml:space="preserve">Cost, Staffing and Success Measures</w:t>
      </w:r>
    </w:p>
    <w:p>
      <w:pPr>
        <w:pStyle w:val="FirstParagraph"/>
      </w:pPr>
      <w:r>
        <w:t xml:space="preserve">Adopting a single authoritative DDI policy plane needs a view of cost, staffing and how success will be measured. Licensing and operating cost vary with the deployment model (SaaS management with local resolvers, or on-premises appliances) and with the number of resolvers and IP address objects under management. Staffing goes mainly to operating the policy plane, monitoring synchronization and the initial migration.</w:t>
      </w:r>
    </w:p>
    <w:p>
      <w:pPr>
        <w:pStyle w:val="BodyText"/>
      </w:pPr>
      <w:r>
        <w:t xml:space="preserve">The headline success measure is</w:t>
      </w:r>
      <w:r>
        <w:t xml:space="preserve"> </w:t>
      </w:r>
      <w:r>
        <w:rPr>
          <w:b/>
          <w:bCs/>
        </w:rPr>
        <w:t xml:space="preserve">resolution-path consistency</w:t>
      </w:r>
      <w:r>
        <w:t xml:space="preserve">: the percentage of tested names that return the same answer, or the intentionally different internal and external answers, from every governed origin. Baseline the current rate, set a target and report progress to the authorizing official. Secondary measures are address-block overlap incidents and the certificate and access errors traced to wrong DNS answers.</w:t>
      </w:r>
    </w:p>
    <w:bookmarkEnd w:id="9"/>
    <w:bookmarkStart w:id="12" w:name="selection-criteria"/>
    <w:p>
      <w:pPr>
        <w:pStyle w:val="Heading2"/>
      </w:pPr>
      <w:r>
        <w:t xml:space="preserve">Selection Criteria</w:t>
      </w:r>
    </w:p>
    <w:p>
      <w:pPr>
        <w:pStyle w:val="FirstParagraph"/>
      </w:pPr>
      <w:r>
        <w:t xml:space="preserve">Selection should follow the architectural requirements, not a vendor list: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single authoritative policy plane</w:t>
      </w:r>
      <w:r>
        <w:t xml:space="preserve"> </w:t>
      </w:r>
      <w:r>
        <w:t xml:space="preserve">for DNS, DHCP and IPAM across on-premises, every cloud and VMware.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Authorization status</w:t>
      </w:r>
      <w:r>
        <w:t xml:space="preserve"> </w:t>
      </w:r>
      <w:r>
        <w:t xml:space="preserve">at the impact level and in the cloud environment where it will be used (Applicability).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Consistent resolution and security policy</w:t>
      </w:r>
      <w:r>
        <w:t xml:space="preserve"> </w:t>
      </w:r>
      <w:r>
        <w:t xml:space="preserve">(response policy zones and Protective DNS forwarding, encrypted DNS, DNSSEC validation, logging) across every hybrid surface.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Support for the five configuration decisions</w:t>
      </w:r>
      <w:r>
        <w:t xml:space="preserve"> </w:t>
      </w:r>
      <w:r>
        <w:t xml:space="preserve">in Chapter 08, including network-addressable resolvers that SD-WAN redirect-dns can target at every branch.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Delegated administration, APIs and ITSM integration</w:t>
      </w:r>
      <w:r>
        <w:t xml:space="preserve"> </w:t>
      </w:r>
      <w:r>
        <w:t xml:space="preserve">as described in Chapter 10.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Scale</w:t>
      </w:r>
      <w:r>
        <w:t xml:space="preserve">: resolver sizing and policy distribution for the agency’s full branch estate.</w:t>
      </w:r>
    </w:p>
    <w:p>
      <w:pPr>
        <w:pStyle w:val="FirstParagraph"/>
      </w:pPr>
      <w:r>
        <w:t xml:space="preserve">The table turns these criteria into a decision framework. Score each candidate on the evidence it can produce, not on its marketing.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Evidence to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FedRAMP Marketplace listing for the exact offering, impact level and region; the agency ATO path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Policy-plane coverage</w:t>
            </w:r>
          </w:p>
        </w:tc>
        <w:tc>
          <w:tcPr/>
          <w:p>
            <w:pPr>
              <w:pStyle w:val="Compact"/>
            </w:pPr>
            <w:r>
              <w:t xml:space="preserve">Demonstrated management of on-premises, each cloud in use and VMware, from one system of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Edge and endpoint fit</w:t>
            </w:r>
          </w:p>
        </w:tc>
        <w:tc>
          <w:tcPr/>
          <w:p>
            <w:pPr>
              <w:pStyle w:val="Compact"/>
            </w:pPr>
            <w:r>
              <w:t xml:space="preserve">Network-addressable resolvers that redirect-dns can target; encrypted DNS termination; endpoint agent behavior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policy</w:t>
            </w:r>
          </w:p>
        </w:tc>
        <w:tc>
          <w:tcPr/>
          <w:p>
            <w:pPr>
              <w:pStyle w:val="Compact"/>
            </w:pPr>
            <w:r>
              <w:t xml:space="preserve">Response policy and Protective DNS forwarding, DNSSEC signing and validation, logging export to the SIEM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IPAM integration</w:t>
            </w:r>
          </w:p>
        </w:tc>
        <w:tc>
          <w:tcPr/>
          <w:p>
            <w:pPr>
              <w:pStyle w:val="Compact"/>
            </w:pPr>
            <w:r>
              <w:t xml:space="preserve">External-IPAM allocation where the cloud supports it; discovery and reconciliation where it does 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Delegation and automation</w:t>
            </w:r>
          </w:p>
        </w:tc>
        <w:tc>
          <w:tcPr/>
          <w:p>
            <w:pPr>
              <w:pStyle w:val="Compact"/>
            </w:pPr>
            <w:r>
              <w:t xml:space="preserve">Scoped roles, service accounts, API coverage, Terraform and ITSM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Scale and resilience</w:t>
            </w:r>
          </w:p>
        </w:tc>
        <w:tc>
          <w:tcPr/>
          <w:p>
            <w:pPr>
              <w:pStyle w:val="Compact"/>
            </w:pPr>
            <w:r>
              <w:t xml:space="preserve">Resolver sizing for the branch estate; behavior when the management plane is unreachable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 path</w:t>
            </w:r>
          </w:p>
        </w:tc>
        <w:tc>
          <w:tcPr/>
          <w:p>
            <w:pPr>
              <w:pStyle w:val="Compact"/>
            </w:pPr>
            <w:r>
              <w:t xml:space="preserve">Microsoft DNS and DHCP coexistence; support for existing automation during 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cost and skills</w:t>
            </w:r>
          </w:p>
        </w:tc>
        <w:tc>
          <w:tcPr/>
          <w:p>
            <w:pPr>
              <w:pStyle w:val="Compact"/>
            </w:pPr>
            <w:r>
              <w:t xml:space="preserve">Licensing model, staffing for operation and synchronization monitoring, training needs</w:t>
            </w:r>
          </w:p>
        </w:tc>
      </w:tr>
    </w:tbl>
    <w:p>
      <w:pPr>
        <w:pStyle w:val="BodyText"/>
      </w:pPr>
      <w:r>
        <w:t xml:space="preserve">Options to evaluate against this framework include: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Enterprise DDI platforms.</w:t>
      </w:r>
      <w:r>
        <w:t xml:space="preserve"> </w:t>
      </w:r>
      <w:r>
        <w:t xml:space="preserve">Infoblox, BlueCat and EfficientIP are the most widely deployed. Check each one’s FedRAMP Marketplace status for the specific offering and deployment model, its sovereign-cloud support, its SD-WAN and SASE integration depth, and its multi-cloud federation. As of this writing Infoblox Government Cloud is listed at FedRAMP Moderate (Chapter 03); confirm current status for every candidate on the FedRAMP Marketplace rather than relying on vendor claims.</w:t>
      </w:r>
      <w:r>
        <w:rPr>
          <w:rStyle w:val="FootnoteReference"/>
        </w:rPr>
        <w:footnoteReference w:id="10"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Cloud-native resolvers managed as code.</w:t>
      </w:r>
      <w:r>
        <w:t xml:space="preserve"> </w:t>
      </w:r>
      <w:r>
        <w:t xml:space="preserve">Route 53 Resolver, Azure DNS Private Resolver and their equivalents, managed through infrastructure as code with a CI drift gate. This path is common and reduces independent authoring, but it still needs explicit controls to prevent split-brain between clouds and to enforce consistent security policy. By itself it provides neither a single multi-cloud IPAM source of truth nor a multi-division delegation model.</w:t>
      </w:r>
    </w:p>
    <w:bookmarkEnd w:id="12"/>
    <w:bookmarkStart w:id="18" w:name="residual-risk-and-limitations"/>
    <w:p>
      <w:pPr>
        <w:pStyle w:val="Heading2"/>
      </w:pPr>
      <w:r>
        <w:t xml:space="preserve">Residual Risk and Limitations</w:t>
      </w:r>
    </w:p>
    <w:p>
      <w:pPr>
        <w:pStyle w:val="CaptionedFigure"/>
      </w:pPr>
      <w:r>
        <w:drawing>
          <wp:inline>
            <wp:extent cx="5334000" cy="1274618"/>
            <wp:effectExtent b="0" l="0" r="0" t="0"/>
            <wp:docPr descr="Residual risks of a unified policy plane." title="" id="14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next-generation-ddi/png/ch11-residual-risk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4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Residual risks of a unified policy plane.</w:t>
      </w:r>
    </w:p>
    <w:p>
      <w:pPr>
        <w:pStyle w:val="BodyText"/>
      </w:pPr>
      <w:r>
        <w:t xml:space="preserve">The residual risks are real: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Sync lag and sync failure</w:t>
      </w:r>
      <w:r>
        <w:t xml:space="preserve"> </w:t>
      </w:r>
      <w:r>
        <w:t xml:space="preserve">between the policy plane and per-cloud DNS or IPAM services become the new source of divergence. Monitor synchronization health.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Control-plane concentration.</w:t>
      </w:r>
      <w:r>
        <w:t xml:space="preserve"> </w:t>
      </w:r>
      <w:r>
        <w:t xml:space="preserve">If the management plane is unavailable, changes cannot be made, but existing resolution should continue from local resolver state. Define the operational response and any local override procedures.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Authorization scope.</w:t>
      </w:r>
      <w:r>
        <w:t xml:space="preserve"> </w:t>
      </w:r>
      <w:r>
        <w:t xml:space="preserve">A Moderate authorization does not cover High or DoD environments (Applicability).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Commercial-only optimizations.</w:t>
      </w:r>
      <w:r>
        <w:t xml:space="preserve"> </w:t>
      </w:r>
      <w:r>
        <w:t xml:space="preserve">Microsoft 365 INR is unavailable in GCC-Moderate, GCC High and DoD;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Microsoft 365 optimization there relies on local breakout and application-aware routing.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Loopback endpoint agents.</w:t>
      </w:r>
      <w:r>
        <w:t xml:space="preserve"> </w:t>
      </w:r>
      <w:r>
        <w:t xml:space="preserve">A client-side DNS agent listening on loopback cannot be a redirect-dns target; a network-addressable resolver is required.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Encrypted DNS bypass</w:t>
      </w:r>
      <w:r>
        <w:t xml:space="preserve"> </w:t>
      </w:r>
      <w:r>
        <w:t xml:space="preserve">remains possible where endpoint and network controls are incomplete.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Open engineering questions</w:t>
      </w:r>
      <w:r>
        <w:t xml:space="preserve"> </w:t>
      </w:r>
      <w:r>
        <w:t xml:space="preserve">for very large branch estates, such as resolver and forwarding-proxy sizing and source-address behavior under redirect-dns, need vendor engagement and testing.</w:t>
      </w:r>
    </w:p>
    <w:p>
      <w:pPr>
        <w:pStyle w:val="FirstParagraph"/>
      </w:pPr>
      <w:r>
        <w:t xml:space="preserve">None of these negates the architecture. They define the operational controls and vendor engagements still required.</w:t>
      </w:r>
    </w:p>
    <w:bookmarkEnd w:id="18"/>
    <w:bookmarkStart w:id="1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DNS is no longer a name-lookup utility. It is the identity substrate, the security enforcement plane and the definition of the application surface for the hybrid multi-cloud agency. Independent DNS systems produce structural split-brain that breaks private connectivity, certificate trust and Zero Trust policy. A single authoritative DDI policy plane, authorized at the right impact level, keeps DNS, DHCP and IPAM consistent across the enterprise, cloud and internet perspectives. It puts the NIST SP 800-81r3 recommendations and the M-22-09 requirements into practice, carries the AD-to-Entra and VMware transitions, and works with SD-WAN edges that are configured correctly. The five configuration decisions in Chapter 08 remain the highest-leverage actions. Governing DNS is a strategic security and architecture task, not an operations afterthought.</w:t>
      </w:r>
    </w:p>
    <w:bookmarkEnd w:id="19"/>
    <w:bookmarkStart w:id="20" w:name="what-this-chapter-establishes"/>
    <w:p>
      <w:pPr>
        <w:pStyle w:val="Heading2"/>
      </w:pPr>
      <w:r>
        <w:t xml:space="preserve">What this chapter establishes</w:t>
      </w:r>
    </w:p>
    <w:p>
      <w:pPr>
        <w:pStyle w:val="Compact"/>
        <w:numPr>
          <w:ilvl w:val="0"/>
          <w:numId w:val="1004"/>
        </w:numPr>
      </w:pPr>
      <w:r>
        <w:t xml:space="preserve">Choose a platform against the architectural requirements and evidence, not a vendor list.</w:t>
      </w:r>
    </w:p>
    <w:p>
      <w:pPr>
        <w:pStyle w:val="Compact"/>
        <w:numPr>
          <w:ilvl w:val="0"/>
          <w:numId w:val="1004"/>
        </w:numPr>
      </w:pPr>
      <w:r>
        <w:t xml:space="preserve">Resolution-path consistency is the headline success measure.</w:t>
      </w:r>
    </w:p>
    <w:p>
      <w:pPr>
        <w:pStyle w:val="Compact"/>
        <w:numPr>
          <w:ilvl w:val="0"/>
          <w:numId w:val="1004"/>
        </w:numPr>
      </w:pPr>
      <w:r>
        <w:t xml:space="preserve">Sync, concentration, authorization-scope and bypass risks remain and need operational controls.</w:t>
      </w:r>
    </w:p>
    <w:bookmarkEnd w:id="2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r>
        <w:t xml:space="preserve">Chapter 10 — Operating the Control Plane: Delegation, Automation and Evidence</w:t>
      </w:r>
      <w:r>
        <w:br/>
      </w:r>
      <w:r>
        <w:rPr>
          <w:b/>
          <w:bCs/>
        </w:rPr>
        <w:t xml:space="preserve">Next:</w:t>
      </w:r>
      <w:r>
        <w:t xml:space="preserve"> </w:t>
      </w:r>
      <w:r>
        <w:t xml:space="preserve">Appendix A — DNS Record Types and Ecosystem Integrations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FedRAMP Marketplace, Infoblox Government Cloud (package FR2017257053), authorized at Moderate since December 15, 2022.</w:t>
      </w:r>
      <w:r>
        <w:t xml:space="preserve"> </w:t>
      </w:r>
      <w:hyperlink r:id="rId11">
        <w:r>
          <w:rPr>
            <w:rStyle w:val="Hyperlink"/>
          </w:rPr>
          <w:t xml:space="preserve">https://www.fedramp.gov/marketplace/products/FR2017257053/</w:t>
        </w:r>
      </w:hyperlink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365 informed network routing”</w:t>
      </w:r>
      <w:r>
        <w:t xml:space="preserve"> </w:t>
      </w:r>
      <w:r>
        <w:t xml:space="preserve">(WW Commercial only; Cisco IOS XE SD-WAN 20.4/17.4 or later).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https://learn.microsoft.com/en-us/microsoft-365/enterprise/office-365-network-mac-perf-cpe?view=o365-worldwide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7" Target="https://learn.microsoft.com/en-us/microsoft-365/enterprise/office-365-network-mac-perf-cpe?view=o365-worldwide" TargetMode="External" /><Relationship Type="http://schemas.openxmlformats.org/officeDocument/2006/relationships/hyperlink" Id="rId11" Target="https://www.fedramp.gov/marketplace/products/FR20172570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learn.microsoft.com/en-us/microsoft-365/enterprise/office-365-network-mac-perf-cpe?view=o365-worldwide" TargetMode="External" /><Relationship Type="http://schemas.openxmlformats.org/officeDocument/2006/relationships/hyperlink" Id="rId11" Target="https://www.fedramp.gov/marketplace/products/FR20172570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Platform Selection, Cost and Residual Risk</dc:title>
  <dc:creator/>
  <cp:keywords/>
  <dcterms:created xsi:type="dcterms:W3CDTF">2026-10-19T10:17:33Z</dcterms:created>
  <dcterms:modified xsi:type="dcterms:W3CDTF">2026-10-19T10:17:33Z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Next Generation DDI — Chapter 11</vt:lpwstr>
  </property>
</Properties>
</file>