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png" ContentType="image/png"/>
  <Override PartName="/word/media/rId19.png" ContentType="image/png"/>
  <Override PartName="/word/media/rId23.png" ContentType="image/png"/>
  <Override PartName="/word/media/rId27.png" ContentType="image/png"/>
  <Override PartName="/word/media/rId47.png" ContentType="image/png"/>
  <Override PartName="/word/media/rId54.png" ContentType="image/png"/>
  <Override PartName="/word/media/rId59.png" ContentType="image/png"/>
  <Override PartName="/word/media/rId68.png" ContentType="image/png"/>
  <Override PartName="/word/media/rId79.png" ContentType="image/png"/>
  <Override PartName="/word/media/rId89.png" ContentType="image/png"/>
  <Override PartName="/word/media/rId135.png" ContentType="image/png"/>
  <Override PartName="/word/media/rId49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Modernization</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3" w:name="modernization"/>
    <w:p>
      <w:pPr>
        <w:pStyle w:val="Heading1"/>
      </w:pPr>
      <w:r>
        <w:t xml:space="preserve">Modernization</w:t>
      </w:r>
    </w:p>
    <w:p>
      <w:pPr>
        <w:pStyle w:val="FirstParagraph"/>
      </w:pPr>
      <w:r>
        <w:t xml:space="preserve">These guides are the operational home of</w:t>
      </w:r>
      <w:r>
        <w:t xml:space="preserve"> </w:t>
      </w:r>
      <w:r>
        <w:rPr>
          <w:b/>
          <w:bCs/>
        </w:rPr>
        <w:t xml:space="preserve">OrgMod — Organizational</w:t>
      </w:r>
      <w:r>
        <w:rPr>
          <w:b/>
          <w:bCs/>
        </w:rPr>
        <w:t xml:space="preserve"> </w:t>
      </w:r>
      <w:r>
        <w:rPr>
          <w:b/>
          <w:bCs/>
        </w:rPr>
        <w:t xml:space="preserve">Modernization</w:t>
      </w:r>
      <w:r>
        <w:t xml:space="preserve">, one of the operational expressions of the Federal Modernization Program</w:t>
      </w:r>
      <w:r>
        <w:t xml:space="preserve"> </w:t>
      </w:r>
      <w:r>
        <w:t xml:space="preserve">substrate (alongside Compliance, which proves</w:t>
      </w:r>
      <w:r>
        <w:t xml:space="preserve"> </w:t>
      </w:r>
      <w:r>
        <w:t xml:space="preserve">compliance, and OrgLink, which governs external interconnection) —</w:t>
      </w:r>
      <w:r>
        <w:t xml:space="preserve"> </w:t>
      </w:r>
      <w:r>
        <w:t xml:space="preserve">adoptable together or entirely independently. The</w:t>
      </w:r>
      <w:r>
        <w:t xml:space="preserve"> </w:t>
      </w:r>
      <w:r>
        <w:t xml:space="preserve">OrgMod hub is the pillar’s front door.</w:t>
      </w:r>
    </w:p>
    <w:p>
      <w:pPr>
        <w:pStyle w:val="BodyText"/>
      </w:pPr>
      <w:r>
        <w:rPr>
          <w:b/>
          <w:bCs/>
        </w:rPr>
        <w:t xml:space="preserve">One sub-section here belongs to a sibling pillar</w:t>
      </w:r>
    </w:p>
    <w:p>
      <w:pPr>
        <w:pStyle w:val="BodyText"/>
      </w:pPr>
      <w:r>
        <w:t xml:space="preserve">This directory is OrgMod’s operational home, but that is a statement about</w:t>
      </w:r>
      <w:r>
        <w:t xml:space="preserve"> </w:t>
      </w:r>
      <w:r>
        <w:t xml:space="preserve">where the pages live rather than a claim on every sub-section inside it. The</w:t>
      </w:r>
      <w:r>
        <w:t xml:space="preserve"> </w:t>
      </w:r>
      <w:r>
        <w:t xml:space="preserve">dividing question is whether a page’s deliverable exists because an estate is</w:t>
      </w:r>
      <w:r>
        <w:t xml:space="preserve"> </w:t>
      </w:r>
      <w:r>
        <w:rPr>
          <w:i/>
          <w:iCs/>
        </w:rPr>
        <w:t xml:space="preserve">moving</w:t>
      </w:r>
      <w:r>
        <w:t xml:space="preserve"> </w:t>
      </w:r>
      <w:r>
        <w:t xml:space="preserve">(OrgMod) or because a change has to be</w:t>
      </w:r>
      <w:r>
        <w:t xml:space="preserve"> </w:t>
      </w:r>
      <w:r>
        <w:rPr>
          <w:i/>
          <w:iCs/>
        </w:rPr>
        <w:t xml:space="preserve">proven</w:t>
      </w:r>
      <w:r>
        <w:t xml:space="preserve"> </w:t>
      </w:r>
      <w:r>
        <w:t xml:space="preserve">(Compliance) — a</w:t>
      </w:r>
      <w:r>
        <w:t xml:space="preserve"> </w:t>
      </w:r>
      <w:r>
        <w:t xml:space="preserve">modernization runbook such as the</w:t>
      </w:r>
      <w:r>
        <w:t xml:space="preserve"> </w:t>
      </w:r>
      <w:r>
        <w:t xml:space="preserve">Intune + Azure Arc governed path</w:t>
      </w:r>
      <w:r>
        <w:t xml:space="preserve"> </w:t>
      </w:r>
      <w:r>
        <w:t xml:space="preserve">is still OrgMod.</w:t>
      </w:r>
    </w:p>
    <w:p>
      <w:pPr>
        <w:pStyle w:val="BodyText"/>
      </w:pPr>
      <w:r>
        <w:t xml:space="preserve">One sub-section is Compliance’s and ships in the</w:t>
      </w:r>
      <w:r>
        <w:t xml:space="preserve"> </w:t>
      </w:r>
      <w:r>
        <w:t xml:space="preserve">Compliance kit:</w:t>
      </w:r>
    </w:p>
    <w:p>
      <w:pPr>
        <w:pStyle w:val="Compact"/>
        <w:numPr>
          <w:ilvl w:val="0"/>
          <w:numId w:val="1001"/>
        </w:numPr>
      </w:pPr>
      <w:r>
        <w:t xml:space="preserve">SIEM Telemetry Emission — the</w:t>
      </w:r>
      <w:r>
        <w:t xml:space="preserve"> </w:t>
      </w:r>
      <w:r>
        <w:rPr>
          <w:i/>
          <w:iCs/>
        </w:rPr>
        <w:t xml:space="preserve">emission</w:t>
      </w:r>
      <w:r>
        <w:t xml:space="preserve"> </w:t>
      </w:r>
      <w:r>
        <w:t xml:space="preserve">side of the evidence pipeline whose</w:t>
      </w:r>
      <w:r>
        <w:t xml:space="preserve"> </w:t>
      </w:r>
      <w:r>
        <w:rPr>
          <w:i/>
          <w:iCs/>
        </w:rPr>
        <w:t xml:space="preserve">consumption</w:t>
      </w:r>
      <w:r>
        <w:t xml:space="preserve"> </w:t>
      </w:r>
      <w:r>
        <w:t xml:space="preserve">side is Vol III Book 06.</w:t>
      </w:r>
    </w:p>
    <w:p>
      <w:pPr>
        <w:pStyle w:val="FirstParagraph"/>
      </w:pPr>
      <w:r>
        <w:t xml:space="preserve">Every page in this tree reaches exactly one of the two kits; the section</w:t>
      </w:r>
      <w:r>
        <w:t xml:space="preserve"> </w:t>
      </w:r>
      <w:r>
        <w:t xml:space="preserve">bundle above still carries both.</w:t>
      </w:r>
    </w:p>
    <w:p>
      <w:pPr>
        <w:pStyle w:val="BodyText"/>
      </w:pPr>
      <w:r>
        <w:t xml:space="preserve">The</w:t>
      </w:r>
      <w:r>
        <w:t xml:space="preserve"> </w:t>
      </w:r>
      <w:r>
        <w:rPr>
          <w:b/>
          <w:bCs/>
        </w:rPr>
        <w:t xml:space="preserve">what transforms, what it transforms into, and the machinery that moves</w:t>
      </w:r>
      <w:r>
        <w:rPr>
          <w:b/>
          <w:bCs/>
        </w:rPr>
        <w:t xml:space="preserve"> </w:t>
      </w:r>
      <w:r>
        <w:rPr>
          <w:b/>
          <w:bCs/>
        </w:rPr>
        <w:t xml:space="preserve">data between the two.</w:t>
      </w:r>
      <w:r>
        <w:t xml:space="preserve"> </w:t>
      </w:r>
      <w:r>
        <w:t xml:space="preserve">the Federal Modernization Program modernization retires the AD-centric</w:t>
      </w:r>
      <w:r>
        <w:t xml:space="preserve"> </w:t>
      </w:r>
      <w:r>
        <w:t xml:space="preserve">Client/Server-era estate — Active Directory, GPO, DNS, DHCP, Kerberos, ADCS,</w:t>
      </w:r>
      <w:r>
        <w:t xml:space="preserve"> </w:t>
      </w:r>
      <w:r>
        <w:t xml:space="preserve">domain-joined devices — and governs its replacement in the Hybrid-Cloud</w:t>
      </w:r>
      <w:r>
        <w:t xml:space="preserve"> </w:t>
      </w:r>
      <w:r>
        <w:t xml:space="preserve">target surface of Entra ID, Intune, Azure Arc, IPAM, SASE, and Zero Trust.</w:t>
      </w:r>
    </w:p>
    <w:p>
      <w:pPr>
        <w:pStyle w:val="BodyText"/>
      </w:pPr>
      <w:r>
        <w:rPr>
          <w:b/>
          <w:bCs/>
        </w:rPr>
        <w:t xml:space="preserve">Narrative entry point</w:t>
      </w:r>
    </w:p>
    <w:p>
      <w:pPr>
        <w:pStyle w:val="BodyText"/>
      </w:pPr>
      <w:r>
        <w:t xml:space="preserve">New here? Start with Client-Server to Hybrid-Cloud</w:t>
      </w:r>
      <w:r>
        <w:t xml:space="preserve"> </w:t>
      </w:r>
      <w:r>
        <w:t xml:space="preserve">— the 11-chapter narrative series that walks the full transformation arc,</w:t>
      </w:r>
      <w:r>
        <w:t xml:space="preserve"> </w:t>
      </w:r>
      <w:r>
        <w:t xml:space="preserve">from AD’s hidden governance surface to the Hybrid-Cloud access plane.</w:t>
      </w:r>
    </w:p>
    <w:bookmarkStart w:id="9" w:name="sub-categories"/>
    <w:p>
      <w:pPr>
        <w:pStyle w:val="Heading2"/>
      </w:pPr>
      <w:r>
        <w:t xml:space="preserve">Sub-categories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Section</w:t>
            </w:r>
          </w:p>
        </w:tc>
        <w:tc>
          <w:tcPr/>
          <w:p>
            <w:pPr>
              <w:pStyle w:val="Compact"/>
            </w:pPr>
            <w:r>
              <w:t xml:space="preserve">Scope</w:t>
            </w:r>
          </w:p>
        </w:tc>
        <w:tc>
          <w:tcPr/>
          <w:p>
            <w:pPr>
              <w:pStyle w:val="Compact"/>
            </w:pPr>
            <w:r>
              <w:t xml:space="preserve">Leaf count</w:t>
            </w:r>
          </w:p>
        </w:tc>
      </w:tr>
      <w:tr>
        <w:tc>
          <w:tcPr/>
          <w:p>
            <w:pPr>
              <w:pStyle w:val="Compact"/>
            </w:pPr>
            <w:r>
              <w:t xml:space="preserve">A. Platform Substrate</w:t>
            </w:r>
          </w:p>
        </w:tc>
        <w:tc>
          <w:tcPr/>
          <w:p>
            <w:pPr>
              <w:pStyle w:val="Compact"/>
            </w:pPr>
            <w:r>
              <w:t xml:space="preserve">WS2025, IIS, Gitea, Kerberos, PKI, backup, hardening — the host that runs everything</w:t>
            </w:r>
          </w:p>
        </w:tc>
        <w:tc>
          <w:tcPr/>
          <w:p>
            <w:pPr>
              <w:pStyle w:val="Compact"/>
            </w:pPr>
            <w:r>
              <w:t xml:space="preserve">8</w:t>
            </w:r>
          </w:p>
        </w:tc>
      </w:tr>
      <w:tr>
        <w:tc>
          <w:tcPr/>
          <w:p>
            <w:pPr>
              <w:pStyle w:val="Compact"/>
            </w:pPr>
            <w:r>
              <w:t xml:space="preserve">B. Transformation Engine</w:t>
            </w:r>
          </w:p>
        </w:tc>
        <w:tc>
          <w:tcPr/>
          <w:p>
            <w:pPr>
              <w:pStyle w:val="Compact"/>
            </w:pPr>
            <w:r>
              <w:t xml:space="preserve">PowerShell + Python + API scripts that analyse, plan, and deliver</w:t>
            </w:r>
          </w:p>
        </w:tc>
        <w:tc>
          <w:tcPr/>
          <w:p>
            <w:pPr>
              <w:pStyle w:val="Compact"/>
            </w:pPr>
            <w:r>
              <w:t xml:space="preserve">7</w:t>
            </w:r>
          </w:p>
        </w:tc>
      </w:tr>
      <w:tr>
        <w:tc>
          <w:tcPr/>
          <w:p>
            <w:pPr>
              <w:pStyle w:val="Compact"/>
            </w:pPr>
            <w:r>
              <w:t xml:space="preserve">C. Identity (MOD_*)</w:t>
            </w:r>
          </w:p>
        </w:tc>
        <w:tc>
          <w:tcPr/>
          <w:p>
            <w:pPr>
              <w:pStyle w:val="Compact"/>
            </w:pPr>
            <w:r>
              <w:t xml:space="preserve">Dynamic groups, AUs, delegation, migration runbook</w:t>
            </w:r>
          </w:p>
        </w:tc>
        <w:tc>
          <w:tcPr/>
          <w:p>
            <w:pPr>
              <w:pStyle w:val="Compact"/>
            </w:pPr>
            <w:r>
              <w:t xml:space="preserve">11</w:t>
            </w:r>
          </w:p>
        </w:tc>
      </w:tr>
      <w:tr>
        <w:tc>
          <w:tcPr/>
          <w:p>
            <w:pPr>
              <w:pStyle w:val="Compact"/>
            </w:pPr>
            <w:r>
              <w:t xml:space="preserve">D. Directory Migration (DM_*)</w:t>
            </w:r>
          </w:p>
        </w:tc>
        <w:tc>
          <w:tcPr/>
          <w:p>
            <w:pPr>
              <w:pStyle w:val="Compact"/>
            </w:pPr>
            <w:r>
              <w:t xml:space="preserve">IPAM, DNS, DHCP, PKI, RADIUS, LDAP, sync, devices, NTP, DFS, SPN, Trusts</w:t>
            </w:r>
          </w:p>
        </w:tc>
        <w:tc>
          <w:tcPr/>
          <w:p>
            <w:pPr>
              <w:pStyle w:val="Compact"/>
            </w:pPr>
            <w:r>
              <w:t xml:space="preserve">12</w:t>
            </w:r>
          </w:p>
        </w:tc>
      </w:tr>
      <w:tr>
        <w:tc>
          <w:tcPr/>
          <w:p>
            <w:pPr>
              <w:pStyle w:val="Compact"/>
            </w:pPr>
            <w:r>
              <w:t xml:space="preserve">E. Target Surface</w:t>
            </w:r>
          </w:p>
        </w:tc>
        <w:tc>
          <w:tcPr/>
          <w:p>
            <w:pPr>
              <w:pStyle w:val="Compact"/>
            </w:pPr>
            <w:r>
              <w:t xml:space="preserve">Entra ID, Intune, Azure Arc, M365, AUs, CA, PIM</w:t>
            </w:r>
          </w:p>
        </w:tc>
        <w:tc>
          <w:tcPr/>
          <w:p>
            <w:pPr>
              <w:pStyle w:val="Compact"/>
            </w:pPr>
            <w:r>
              <w:t xml:space="preserve">7</w:t>
            </w:r>
          </w:p>
        </w:tc>
      </w:tr>
      <w:tr>
        <w:tc>
          <w:tcPr/>
          <w:p>
            <w:pPr>
              <w:pStyle w:val="Compact"/>
            </w:pPr>
            <w:r>
              <w:t xml:space="preserve">F. Access Plane</w:t>
            </w:r>
          </w:p>
        </w:tc>
        <w:tc>
          <w:tcPr/>
          <w:p>
            <w:pPr>
              <w:pStyle w:val="Compact"/>
            </w:pPr>
            <w:r>
              <w:t xml:space="preserve">MFA, Zero Trust, SASE, CBA, PAM, break-glass</w:t>
            </w:r>
          </w:p>
        </w:tc>
        <w:tc>
          <w:tcPr/>
          <w:p>
            <w:pPr>
              <w:pStyle w:val="Compact"/>
            </w:pPr>
            <w:r>
              <w:t xml:space="preserve">6</w:t>
            </w:r>
          </w:p>
        </w:tc>
      </w:tr>
      <w:tr>
        <w:tc>
          <w:tcPr/>
          <w:p>
            <w:pPr>
              <w:pStyle w:val="Compact"/>
            </w:pPr>
            <w:r>
              <w:t xml:space="preserve">G. Network Transformation</w:t>
            </w:r>
          </w:p>
        </w:tc>
        <w:tc>
          <w:tcPr/>
          <w:p>
            <w:pPr>
              <w:pStyle w:val="Compact"/>
            </w:pPr>
            <w:r>
              <w:t xml:space="preserve">SD-WAN, IPAM, DNS, DHCP, firewall, 802.1X</w:t>
            </w:r>
          </w:p>
        </w:tc>
        <w:tc>
          <w:tcPr/>
          <w:p>
            <w:pPr>
              <w:pStyle w:val="Compact"/>
            </w:pPr>
            <w:r>
              <w:t xml:space="preserve">6</w:t>
            </w:r>
          </w:p>
        </w:tc>
      </w:tr>
      <w:tr>
        <w:tc>
          <w:tcPr/>
          <w:p>
            <w:pPr>
              <w:pStyle w:val="Compact"/>
            </w:pPr>
            <w:r>
              <w:t xml:space="preserve">H. Program Management</w:t>
            </w:r>
          </w:p>
        </w:tc>
        <w:tc>
          <w:tcPr/>
          <w:p>
            <w:pPr>
              <w:pStyle w:val="Compact"/>
            </w:pPr>
            <w:r>
              <w:t xml:space="preserve">Master Project Plan, roadmap, ADRs, ServiceNow, SAM, training</w:t>
            </w:r>
          </w:p>
        </w:tc>
        <w:tc>
          <w:tcPr/>
          <w:p>
            <w:pPr>
              <w:pStyle w:val="Compact"/>
            </w:pPr>
            <w:r>
              <w:t xml:space="preserve">6</w:t>
            </w:r>
          </w:p>
        </w:tc>
      </w:tr>
    </w:tbl>
    <w:bookmarkEnd w:id="9"/>
    <w:bookmarkStart w:id="10" w:name="cross-cutting-guides"/>
    <w:p>
      <w:pPr>
        <w:pStyle w:val="Heading2"/>
      </w:pPr>
      <w:r>
        <w:t xml:space="preserve">Cross-cutting guides</w:t>
      </w:r>
    </w:p>
    <w:p>
      <w:pPr>
        <w:pStyle w:val="FirstParagraph"/>
      </w:pPr>
      <w:r>
        <w:t xml:space="preserve">Guides that span several of the sub-categories above rather than sitting</w:t>
      </w:r>
      <w:r>
        <w:t xml:space="preserve"> </w:t>
      </w:r>
      <w:r>
        <w:t xml:space="preserve">inside one of them:</w:t>
      </w:r>
    </w:p>
    <w:p>
      <w:pPr>
        <w:pStyle w:val="Compact"/>
        <w:numPr>
          <w:ilvl w:val="0"/>
          <w:numId w:val="1002"/>
        </w:numPr>
      </w:pPr>
      <w:r>
        <w:t xml:space="preserve">SIEM Telemetry Emission — configuring</w:t>
      </w:r>
      <w:r>
        <w:t xml:space="preserve"> </w:t>
      </w:r>
      <w:r>
        <w:t xml:space="preserve">Entra ID, Azure, and Microsoft 365 to emit audit events to a SIEM at the</w:t>
      </w:r>
      <w:r>
        <w:t xml:space="preserve"> </w:t>
      </w:r>
      <w:r>
        <w:t xml:space="preserve">fidelity and retention OMB M-26-14, NIST SP 800-53, CISA, and FedRAMP</w:t>
      </w:r>
      <w:r>
        <w:t xml:space="preserve"> </w:t>
      </w:r>
      <w:r>
        <w:t xml:space="preserve">require. Touches Target Surface (E), Access Plane (F), and Program</w:t>
      </w:r>
      <w:r>
        <w:t xml:space="preserve"> </w:t>
      </w:r>
      <w:r>
        <w:t xml:space="preserve">Management (H); the emission side of the evidence pipeline whose</w:t>
      </w:r>
      <w:r>
        <w:t xml:space="preserve"> </w:t>
      </w:r>
      <w:r>
        <w:t xml:space="preserve">consumption side is</w:t>
      </w:r>
      <w:r>
        <w:t xml:space="preserve"> </w:t>
      </w:r>
      <w:r>
        <w:t xml:space="preserve">Vol III Book 06.</w:t>
      </w:r>
      <w:r>
        <w:t xml:space="preserve"> </w:t>
      </w:r>
      <w:r>
        <w:t xml:space="preserve">Because that is what it is, it ships in the</w:t>
      </w:r>
      <w:r>
        <w:t xml:space="preserve"> </w:t>
      </w:r>
      <w:r>
        <w:rPr>
          <w:b/>
          <w:bCs/>
        </w:rPr>
        <w:t xml:space="preserve">Compliance</w:t>
      </w:r>
      <w:r>
        <w:t xml:space="preserve"> </w:t>
      </w:r>
      <w:r>
        <w:t xml:space="preserve">kit’s</w:t>
      </w:r>
      <w:r>
        <w:t xml:space="preserve"> </w:t>
      </w:r>
      <w:r>
        <w:rPr>
          <w:rStyle w:val="VerbatimChar"/>
        </w:rPr>
        <w:t xml:space="preserve">Evidence_Emission/</w:t>
      </w:r>
      <w:r>
        <w:t xml:space="preserve"> </w:t>
      </w:r>
      <w:r>
        <w:t xml:space="preserve">folder rather than the OrgMod one — see the note above.</w:t>
      </w:r>
    </w:p>
    <w:bookmarkEnd w:id="10"/>
    <w:bookmarkStart w:id="11" w:name="flagship-narrative"/>
    <w:p>
      <w:pPr>
        <w:pStyle w:val="Heading2"/>
      </w:pPr>
      <w:r>
        <w:t xml:space="preserve">Flagship narrative</w:t>
      </w:r>
    </w:p>
    <w:p>
      <w:pPr>
        <w:pStyle w:val="Compact"/>
        <w:numPr>
          <w:ilvl w:val="0"/>
          <w:numId w:val="1003"/>
        </w:numPr>
      </w:pPr>
      <w:r>
        <w:t xml:space="preserve">Client-Server to Hybrid-Cloud — 11 chapters</w:t>
      </w:r>
      <w:r>
        <w:t xml:space="preserve"> </w:t>
      </w:r>
      <w:r>
        <w:t xml:space="preserve">covering the full modernization arc from AD forest to governed Hybrid-Cloud</w:t>
      </w:r>
      <w:r>
        <w:t xml:space="preserve"> </w:t>
      </w:r>
      <w:r>
        <w:t xml:space="preserve">target surface.</w:t>
      </w:r>
    </w:p>
    <w:bookmarkEnd w:id="11"/>
    <w:bookmarkStart w:id="12" w:name="canonical-invariants"/>
    <w:p>
      <w:pPr>
        <w:pStyle w:val="Heading2"/>
      </w:pPr>
      <w:r>
        <w:t xml:space="preserve">Canonical invariants</w:t>
      </w:r>
    </w:p>
    <w:p>
      <w:pPr>
        <w:pStyle w:val="FirstParagraph"/>
      </w:pPr>
      <w:r>
        <w:t xml:space="preserve">Every page respects:</w:t>
      </w:r>
    </w:p>
    <w:p>
      <w:pPr>
        <w:pStyle w:val="Compact"/>
        <w:numPr>
          <w:ilvl w:val="0"/>
          <w:numId w:val="1004"/>
        </w:numPr>
      </w:pPr>
      <w:r>
        <w:rPr>
          <w:b/>
          <w:bCs/>
        </w:rPr>
        <w:t xml:space="preserve">Assessment scope (FedRAMP 20x / CR26):</w:t>
      </w:r>
      <w:r>
        <w:t xml:space="preserve"> </w:t>
      </w:r>
      <w:r>
        <w:t xml:space="preserve">scope is set by the</w:t>
      </w:r>
      <w:r>
        <w:t xml:space="preserve"> </w:t>
      </w:r>
      <w:r>
        <w:rPr>
          <w:b/>
          <w:bCs/>
        </w:rPr>
        <w:t xml:space="preserve">Minimum Assessment Scope</w:t>
      </w:r>
      <w:r>
        <w:t xml:space="preserve"> </w:t>
      </w:r>
      <w:r>
        <w:t xml:space="preserve">inclusion test — an information resource is</w:t>
      </w:r>
      <w:r>
        <w:t xml:space="preserve"> </w:t>
      </w:r>
      <w:r>
        <w:t xml:space="preserve">in scope if it handles federal information and/or likely impacts the</w:t>
      </w:r>
      <w:r>
        <w:t xml:space="preserve"> </w:t>
      </w:r>
      <w:r>
        <w:t xml:space="preserve">confidentiality, integrity, or availability of federal information — not</w:t>
      </w:r>
      <w:r>
        <w:t xml:space="preserve"> </w:t>
      </w:r>
      <w:r>
        <w:t xml:space="preserve">by a drawn network perimeter. Resources and most metadata that meet</w:t>
      </w:r>
      <w:r>
        <w:t xml:space="preserve"> </w:t>
      </w:r>
      <w:r>
        <w:t xml:space="preserve">neither prong sit outside the assessed scope. See</w:t>
      </w:r>
      <w:r>
        <w:t xml:space="preserve"> </w:t>
      </w:r>
      <w:r>
        <w:t xml:space="preserve">the program decision.</w:t>
      </w:r>
    </w:p>
    <w:p>
      <w:pPr>
        <w:pStyle w:val="Compact"/>
        <w:numPr>
          <w:ilvl w:val="0"/>
          <w:numId w:val="1004"/>
        </w:numPr>
      </w:pPr>
      <w:r>
        <w:rPr>
          <w:b/>
          <w:bCs/>
        </w:rPr>
        <w:t xml:space="preserve">Deployment boundary:</w:t>
      </w:r>
      <w:r>
        <w:t xml:space="preserve"> </w:t>
      </w:r>
      <w:r>
        <w:t xml:space="preserve">GCC-Moderate for M365 SaaS; IaaS (Arc, Azure) per</w:t>
      </w:r>
      <w:r>
        <w:t xml:space="preserve"> </w:t>
      </w:r>
      <w:r>
        <w:t xml:space="preserve">the program decision commercial-FedRAMP exception. This is a deployment fact about</w:t>
      </w:r>
      <w:r>
        <w:t xml:space="preserve"> </w:t>
      </w:r>
      <w:r>
        <w:t xml:space="preserve">where the estate runs, distinct from the assessment scope above.</w:t>
      </w:r>
    </w:p>
    <w:p>
      <w:pPr>
        <w:pStyle w:val="Compact"/>
        <w:numPr>
          <w:ilvl w:val="0"/>
          <w:numId w:val="1004"/>
        </w:numPr>
      </w:pPr>
      <w:r>
        <w:rPr>
          <w:b/>
          <w:bCs/>
        </w:rPr>
        <w:t xml:space="preserve">Evidence format:</w:t>
      </w:r>
      <w:r>
        <w:t xml:space="preserve"> </w:t>
      </w:r>
      <w:r>
        <w:t xml:space="preserve">machine-readable, continuously-validated</w:t>
      </w:r>
      <w:r>
        <w:t xml:space="preserve"> </w:t>
      </w:r>
      <w:r>
        <w:rPr>
          <w:b/>
          <w:bCs/>
        </w:rPr>
        <w:t xml:space="preserve">Key</w:t>
      </w:r>
      <w:r>
        <w:rPr>
          <w:b/>
          <w:bCs/>
        </w:rPr>
        <w:t xml:space="preserve"> </w:t>
      </w:r>
      <w:r>
        <w:rPr>
          <w:b/>
          <w:bCs/>
        </w:rPr>
        <w:t xml:space="preserve">Security Indicator (KSI)</w:t>
      </w:r>
      <w:r>
        <w:t xml:space="preserve"> </w:t>
      </w:r>
      <w:r>
        <w:t xml:space="preserve">payloads against the FedRAMP</w:t>
      </w:r>
      <w:r>
        <w:t xml:space="preserve"> </w:t>
      </w:r>
      <w:r>
        <w:rPr>
          <w:b/>
          <w:bCs/>
        </w:rPr>
        <w:t xml:space="preserve">Consolidated</w:t>
      </w:r>
      <w:r>
        <w:rPr>
          <w:b/>
          <w:bCs/>
        </w:rPr>
        <w:t xml:space="preserve"> </w:t>
      </w:r>
      <w:r>
        <w:rPr>
          <w:b/>
          <w:bCs/>
        </w:rPr>
        <w:t xml:space="preserve">Rules for 2026 (CR26)</w:t>
      </w:r>
      <w:r>
        <w:t xml:space="preserve"> </w:t>
      </w:r>
      <w:r>
        <w:t xml:space="preserve">catalog — 10 themes, 46 indicators — not an SSP</w:t>
      </w:r>
      <w:r>
        <w:t xml:space="preserve"> </w:t>
      </w:r>
      <w:r>
        <w:t xml:space="preserve">narrative. CR26 is mandatory for all FedRAMP stakeholders from</w:t>
      </w:r>
      <w:r>
        <w:t xml:space="preserve"> </w:t>
      </w:r>
      <w:r>
        <w:rPr>
          <w:b/>
          <w:bCs/>
        </w:rPr>
        <w:t xml:space="preserve">2027-01-01</w:t>
      </w:r>
      <w:r>
        <w:t xml:space="preserve">; no new Rev5 certifications are issued after 2027-06-11.</w:t>
      </w:r>
      <w:r>
        <w:t xml:space="preserve"> </w:t>
      </w:r>
      <w:r>
        <w:t xml:space="preserve">See the program decision.</w:t>
      </w:r>
    </w:p>
    <w:p>
      <w:pPr>
        <w:pStyle w:val="Compact"/>
        <w:numPr>
          <w:ilvl w:val="0"/>
          <w:numId w:val="1004"/>
        </w:numPr>
      </w:pPr>
      <w:r>
        <w:rPr>
          <w:b/>
          <w:bCs/>
        </w:rPr>
        <w:t xml:space="preserve">Source of truth:</w:t>
      </w:r>
      <w:r>
        <w:t xml:space="preserve"> </w:t>
      </w:r>
      <w:r>
        <w:t xml:space="preserve">every target surface state derives from a canonical</w:t>
      </w:r>
      <w:r>
        <w:t xml:space="preserve"> </w:t>
      </w:r>
      <w:r>
        <w:t xml:space="preserve">plan stored in Gitea. The Federal Modernization Program does not mutate SSOT; it governs it.</w:t>
      </w:r>
    </w:p>
    <w:p>
      <w:pPr>
        <w:pStyle w:val="Compact"/>
        <w:numPr>
          <w:ilvl w:val="0"/>
          <w:numId w:val="1004"/>
        </w:numPr>
      </w:pPr>
      <w:r>
        <w:rPr>
          <w:b/>
          <w:bCs/>
        </w:rPr>
        <w:t xml:space="preserve">Determinism:</w:t>
      </w:r>
      <w:r>
        <w:t xml:space="preserve"> </w:t>
      </w:r>
      <w:r>
        <w:t xml:space="preserve">the same inputs produce the same outputs. No hidden state,</w:t>
      </w:r>
      <w:r>
        <w:t xml:space="preserve"> </w:t>
      </w:r>
      <w:r>
        <w:t xml:space="preserve">no human-in-the-loop interpretation.</w:t>
      </w:r>
    </w:p>
    <w:p>
      <w:pPr>
        <w:pStyle w:val="Compact"/>
        <w:numPr>
          <w:ilvl w:val="0"/>
          <w:numId w:val="1004"/>
        </w:numPr>
      </w:pPr>
      <w:r>
        <w:rPr>
          <w:b/>
          <w:bCs/>
        </w:rPr>
        <w:t xml:space="preserve">Provenance:</w:t>
      </w:r>
      <w:r>
        <w:t xml:space="preserve"> </w:t>
      </w:r>
      <w:r>
        <w:t xml:space="preserve">every delivered change is attributable to a Git commit + a</w:t>
      </w:r>
      <w:r>
        <w:t xml:space="preserve"> </w:t>
      </w:r>
      <w:r>
        <w:t xml:space="preserve">plan artifact + an operator or automation.</w:t>
      </w:r>
    </w:p>
    <w:bookmarkEnd w:id="12"/>
    <w:bookmarkEnd w:id="13"/>
    <w:bookmarkStart w:id="14" w:name="operational-guides"/>
    <w:p>
      <w:pPr>
        <w:pStyle w:val="Heading1"/>
      </w:pPr>
      <w:r>
        <w:t xml:space="preserve">Operational Guides</w:t>
      </w:r>
    </w:p>
    <w:p>
      <w:pPr>
        <w:pStyle w:val="FirstParagraph"/>
      </w:pPr>
      <w:r>
        <w:t xml:space="preserve">Practical how-to documents for modernization activities.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GPO Sunset Program</w:t>
            </w:r>
          </w:p>
        </w:tc>
        <w:tc>
          <w:tcPr/>
          <w:p>
            <w:pPr>
              <w:pStyle w:val="Compact"/>
            </w:pPr>
            <w:r>
              <w:t xml:space="preserve">Seven-phase program for replacing existing-fleet Group Policy with Intune policies.</w:t>
            </w:r>
          </w:p>
        </w:tc>
      </w:tr>
      <w:tr>
        <w:tc>
          <w:tcPr/>
          <w:p>
            <w:pPr>
              <w:pStyle w:val="Compact"/>
            </w:pPr>
            <w:r>
              <w:t xml:space="preserve">GPO Modernization — Parse and Crosswalk</w:t>
            </w:r>
          </w:p>
        </w:tc>
        <w:tc>
          <w:tcPr/>
          <w:p>
            <w:pPr>
              <w:pStyle w:val="Compact"/>
            </w:pPr>
            <w:r>
              <w:t xml:space="preserve">Method for analyzing Group Policy before translation or retirement.</w:t>
            </w:r>
          </w:p>
        </w:tc>
      </w:tr>
      <w:tr>
        <w:tc>
          <w:tcPr/>
          <w:p>
            <w:pPr>
              <w:pStyle w:val="Compact"/>
            </w:pPr>
            <w:r>
              <w:t xml:space="preserve">Conditional Access Policy Library</w:t>
            </w:r>
          </w:p>
        </w:tc>
        <w:tc>
          <w:tcPr/>
          <w:p>
            <w:pPr>
              <w:pStyle w:val="Compact"/>
            </w:pPr>
            <w:r>
              <w:t xml:space="preserve">Tiered reference for Entra ID Conditional Access policies.</w:t>
            </w:r>
          </w:p>
        </w:tc>
      </w:tr>
      <w:tr>
        <w:tc>
          <w:tcPr/>
          <w:p>
            <w:pPr>
              <w:pStyle w:val="Compact"/>
            </w:pPr>
            <w:r>
              <w:t xml:space="preserve">Intune + Azure Arc Modernization</w:t>
            </w:r>
          </w:p>
        </w:tc>
        <w:tc>
          <w:tcPr/>
          <w:p>
            <w:pPr>
              <w:pStyle w:val="Compact"/>
            </w:pPr>
            <w:r>
              <w:t xml:space="preserve">Manual, governed, and retrofit paths for device and server modernization.</w:t>
            </w:r>
          </w:p>
        </w:tc>
      </w:tr>
      <w:tr>
        <w:tc>
          <w:tcPr/>
          <w:p>
            <w:pPr>
              <w:pStyle w:val="Compact"/>
            </w:pPr>
            <w:r>
              <w:t xml:space="preserve">DNS Modernization Guide</w:t>
            </w:r>
          </w:p>
        </w:tc>
        <w:tc>
          <w:tcPr/>
          <w:p>
            <w:pPr>
              <w:pStyle w:val="Compact"/>
            </w:pPr>
            <w:r>
              <w:t xml:space="preserve">Phased migration from AD-integrated DNS to hybrid resolution.</w:t>
            </w:r>
          </w:p>
        </w:tc>
      </w:tr>
      <w:tr>
        <w:tc>
          <w:tcPr/>
          <w:p>
            <w:pPr>
              <w:pStyle w:val="Compact"/>
            </w:pPr>
            <w:r>
              <w:t xml:space="preserve">PKI Modernization Guide</w:t>
            </w:r>
          </w:p>
        </w:tc>
        <w:tc>
          <w:tcPr/>
          <w:p>
            <w:pPr>
              <w:pStyle w:val="Compact"/>
            </w:pPr>
            <w:r>
              <w:t xml:space="preserve">Phased migration from AD CS to cloud PKI and certificate-based authentication.</w:t>
            </w:r>
          </w:p>
        </w:tc>
      </w:tr>
      <w:tr>
        <w:tc>
          <w:tcPr/>
          <w:p>
            <w:pPr>
              <w:pStyle w:val="Compact"/>
            </w:pPr>
            <w:r>
              <w:t xml:space="preserve">Read-Only AD Assessment Guide</w:t>
            </w:r>
          </w:p>
        </w:tc>
        <w:tc>
          <w:tcPr/>
          <w:p>
            <w:pPr>
              <w:pStyle w:val="Compact"/>
            </w:pPr>
            <w:r>
              <w:t xml:space="preserve">Safe discovery of Active Directory state before any modernization action.</w:t>
            </w:r>
          </w:p>
        </w:tc>
      </w:tr>
      <w:tr>
        <w:tc>
          <w:tcPr/>
          <w:p>
            <w:pPr>
              <w:pStyle w:val="Compact"/>
            </w:pPr>
            <w:r>
              <w:t xml:space="preserve">PIM Self-Request with Approval</w:t>
            </w:r>
          </w:p>
        </w:tc>
        <w:tc>
          <w:tcPr/>
          <w:p>
            <w:pPr>
              <w:pStyle w:val="Compact"/>
            </w:pPr>
            <w:r>
              <w:t xml:space="preserve">Just-in-time privileged access pattern with recorded approval.</w:t>
            </w:r>
          </w:p>
        </w:tc>
      </w:tr>
      <w:tr>
        <w:tc>
          <w:tcPr/>
          <w:p>
            <w:pPr>
              <w:pStyle w:val="Compact"/>
            </w:pPr>
            <w:r>
              <w:t xml:space="preserve">Zero Trust Assessment</w:t>
            </w:r>
          </w:p>
        </w:tc>
        <w:tc>
          <w:tcPr/>
          <w:p>
            <w:pPr>
              <w:pStyle w:val="Compact"/>
            </w:pPr>
            <w:r>
              <w:t xml:space="preserve">Dimensions and evidence sources for Zero Trust maturity.</w:t>
            </w:r>
          </w:p>
        </w:tc>
      </w:tr>
    </w:tbl>
    <w:p>
      <w:r>
        <w:pict>
          <v:rect style="width:0;height:1.5pt" o:hralign="center" o:hrstd="t" o:hr="t"/>
        </w:pict>
      </w:r>
    </w:p>
    <w:p>
      <w:pPr>
        <w:pStyle w:val="FirstParagraph"/>
      </w:pPr>
      <w:r>
        <w:rPr>
          <w:i/>
          <w:iCs/>
        </w:rPr>
        <w:t xml:space="preserve">Cleaned extractions for project use.</w:t>
      </w:r>
      <w:r>
        <w:t xml:space="preserve"> </w:t>
      </w:r>
      <w:r>
        <w:t xml:space="preserve">| HR-Driven Identity — Execution Plan | Execution plan for HR-agnostic provisioning against Federal HR 2.0. |</w:t>
      </w:r>
    </w:p>
    <w:bookmarkEnd w:id="14"/>
    <w:bookmarkStart w:id="31" w:name="Xf4d003b7848f52ff23a10dc56b4ac02cdeb6b5a"/>
    <w:p>
      <w:pPr>
        <w:pStyle w:val="Heading1"/>
      </w:pPr>
      <w:r>
        <w:t xml:space="preserve">The Federal Modernization Program Active Directory Interaction Guide</w:t>
      </w:r>
    </w:p>
    <w:bookmarkStart w:id="18" w:name="fig-ad-interaction-guide-image-01"/>
    <w:p>
      <w:pPr>
        <w:pStyle w:val="CaptionedFigure"/>
      </w:pPr>
      <w:r>
        <w:drawing>
          <wp:inline>
            <wp:extent cx="5334000" cy="5334000"/>
            <wp:effectExtent b="0" l="0" r="0" t="0"/>
            <wp:docPr descr="AD forest/domain topology discovery model" title="" id="16" name="Picture"/>
            <a:graphic>
              <a:graphicData uri="http://schemas.openxmlformats.org/drawingml/2006/picture">
                <pic:pic>
                  <pic:nvPicPr>
                    <pic:cNvPr descr="/home/runner/work/modernization-workbook/modernization-workbook/docs/images/operational-guides/ad-interaction-guide-image-01-ad-forestdomain-topology-discove.png" id="17" name="Picture"/>
                    <pic:cNvPicPr>
                      <a:picLocks noChangeArrowheads="1" noChangeAspect="1"/>
                    </pic:cNvPicPr>
                  </pic:nvPicPr>
                  <pic:blipFill>
                    <a:blip r:embed="rId1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 forest/domain topology discovery model</w:t>
      </w:r>
    </w:p>
    <w:bookmarkEnd w:id="18"/>
    <w:bookmarkStart w:id="22" w:name="fig-ad-interaction-guide-image-02"/>
    <w:p>
      <w:pPr>
        <w:pStyle w:val="CaptionedFigure"/>
      </w:pPr>
      <w:r>
        <w:drawing>
          <wp:inline>
            <wp:extent cx="5334000" cy="5334000"/>
            <wp:effectExtent b="0" l="0" r="0" t="0"/>
            <wp:docPr descr="the Federal Modernization Program AD assessment pipeline data flow" title="" id="20" name="Picture"/>
            <a:graphic>
              <a:graphicData uri="http://schemas.openxmlformats.org/drawingml/2006/picture">
                <pic:pic>
                  <pic:nvPicPr>
                    <pic:cNvPr descr="/home/runner/work/modernization-workbook/modernization-workbook/docs/images/operational-guides/ad-interaction-guide-image-02-fmp-ad-assessment-pipeline-data.png" id="21" name="Picture"/>
                    <pic:cNvPicPr>
                      <a:picLocks noChangeArrowheads="1" noChangeAspect="1"/>
                    </pic:cNvPicPr>
                  </pic:nvPicPr>
                  <pic:blipFill>
                    <a:blip r:embed="rId1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the Federal Modernization Program AD assessment pipeline data flow</w:t>
      </w:r>
    </w:p>
    <w:bookmarkEnd w:id="22"/>
    <w:bookmarkStart w:id="26" w:name="fig-ad-interaction-guide-image-03"/>
    <w:p>
      <w:pPr>
        <w:pStyle w:val="CaptionedFigure"/>
      </w:pPr>
      <w:r>
        <w:drawing>
          <wp:inline>
            <wp:extent cx="5334000" cy="5334000"/>
            <wp:effectExtent b="0" l="0" r="0" t="0"/>
            <wp:docPr descr="OU/GPO hierarchy and linkage diagram" title="" id="24" name="Picture"/>
            <a:graphic>
              <a:graphicData uri="http://schemas.openxmlformats.org/drawingml/2006/picture">
                <pic:pic>
                  <pic:nvPicPr>
                    <pic:cNvPr descr="/home/runner/work/modernization-workbook/modernization-workbook/docs/images/operational-guides/ad-interaction-guide-image-03-ougpo-hierarchy-and-linkage-diag.png" id="25" name="Picture"/>
                    <pic:cNvPicPr>
                      <a:picLocks noChangeArrowheads="1" noChangeAspect="1"/>
                    </pic:cNvPicPr>
                  </pic:nvPicPr>
                  <pic:blipFill>
                    <a:blip r:embed="rId23"/>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OU/GPO hierarchy and linkage diagram</w:t>
      </w:r>
    </w:p>
    <w:bookmarkEnd w:id="26"/>
    <w:bookmarkStart w:id="30" w:name="fig-ad-interaction-guide-image-04"/>
    <w:p>
      <w:pPr>
        <w:pStyle w:val="CaptionedFigure"/>
      </w:pPr>
      <w:r>
        <w:drawing>
          <wp:inline>
            <wp:extent cx="5334000" cy="5334000"/>
            <wp:effectExtent b="0" l="0" r="0" t="0"/>
            <wp:docPr descr="Gitea API integration sequence" title="" id="28" name="Picture"/>
            <a:graphic>
              <a:graphicData uri="http://schemas.openxmlformats.org/drawingml/2006/picture">
                <pic:pic>
                  <pic:nvPicPr>
                    <pic:cNvPr descr="/home/runner/work/modernization-workbook/modernization-workbook/docs/images/operational-guides/ad-interaction-guide-image-04-gitea-api-integration-sequence.png" id="29" name="Picture"/>
                    <pic:cNvPicPr>
                      <a:picLocks noChangeArrowheads="1" noChangeAspect="1"/>
                    </pic:cNvPicPr>
                  </pic:nvPicPr>
                  <pic:blipFill>
                    <a:blip r:embed="rId27"/>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Gitea API integration sequence</w:t>
      </w:r>
    </w:p>
    <w:bookmarkEnd w:id="30"/>
    <w:p>
      <w:pPr>
        <w:pStyle w:val="BodyText"/>
      </w:pPr>
      <w:r>
        <w:t xml:space="preserve">The Federal Modernization Program Active Directory Interaction Guide</w:t>
      </w:r>
    </w:p>
    <w:p>
      <w:pPr>
        <w:pStyle w:val="BodyText"/>
      </w:pPr>
      <w:r>
        <w:rPr>
          <w:b/>
          <w:bCs/>
        </w:rPr>
        <w:t xml:space="preserve">Forest Discovery, Assessment, and Governance Pipeline</w:t>
      </w:r>
    </w:p>
    <w:p>
      <w:pPr>
        <w:pStyle w:val="BodyText"/>
      </w:pPr>
      <w:r>
        <w:t xml:space="preserve">The Federal Modernization Program — Canon-Grade Technical Reference</w:t>
      </w:r>
    </w:p>
    <w:p>
      <w:pPr>
        <w:pStyle w:val="BodyText"/>
      </w:pPr>
      <w:r>
        <w:t xml:space="preserve">Classification: Controlled | Environment: GCC-Moderate, Commercial Cloud (FedRAMP)</w:t>
      </w:r>
    </w:p>
    <w:p>
      <w:pPr>
        <w:pStyle w:val="BodyText"/>
      </w:pPr>
      <w:r>
        <w:t xml:space="preserve">Version 1.0 | April 20, 2026</w:t>
      </w:r>
    </w:p>
    <w:tbl>
      <w:tblPr>
        <w:tblStyle w:val="Table"/>
        <w:tblW w:type="pct" w:w="4964"/>
        <w:tblLayout w:type="fixed"/>
        <w:tblLook w:firstRow="0" w:lastRow="0" w:firstColumn="0" w:lastColumn="0" w:noHBand="0" w:noVBand="0" w:val="0000"/>
      </w:tblPr>
      <w:tblGrid>
        <w:gridCol w:w="1538"/>
        <w:gridCol w:w="4444"/>
        <w:gridCol w:w="1880"/>
      </w:tblGrid>
      <w:tr>
        <w:tc>
          <w:tcPr>
            <w:gridSpan w:val="2"/>
          </w:tcPr>
          <w:p>
            <w:pPr>
              <w:pStyle w:val="Compact"/>
            </w:pPr>
            <w:r>
              <w:rPr>
                <w:b/>
                <w:bCs/>
              </w:rPr>
              <w:t xml:space="preserve">Document Control</w:t>
            </w:r>
          </w:p>
        </w:tc>
        <w:tc>
          <w:tcPr/>
          <w:p>
            <w:pPr>
              <w:pStyle w:val="Compact"/>
            </w:pPr>
          </w:p>
        </w:tc>
      </w:tr>
      <w:tr>
        <w:tc>
          <w:tcPr/>
          <w:p>
            <w:pPr>
              <w:pStyle w:val="Compact"/>
            </w:pPr>
            <w:r>
              <w:rPr>
                <w:b/>
                <w:bCs/>
              </w:rPr>
              <w:t xml:space="preserve">Document ID</w:t>
            </w:r>
          </w:p>
        </w:tc>
        <w:tc>
          <w:tcPr>
            <w:gridSpan w:val="2"/>
          </w:tcPr>
          <w:p>
            <w:pPr>
              <w:pStyle w:val="Compact"/>
            </w:pPr>
            <w:r>
              <w:t xml:space="preserve">FMP-AD-ASSESS-001 |</w:t>
            </w:r>
          </w:p>
        </w:tc>
      </w:tr>
      <w:tr>
        <w:tc>
          <w:tcPr/>
          <w:p>
            <w:pPr>
              <w:pStyle w:val="Compact"/>
            </w:pPr>
            <w:r>
              <w:rPr>
                <w:b/>
                <w:bCs/>
              </w:rPr>
              <w:t xml:space="preserve">Version</w:t>
            </w:r>
          </w:p>
        </w:tc>
        <w:tc>
          <w:tcPr/>
          <w:p>
            <w:pPr>
              <w:pStyle w:val="Compact"/>
            </w:pPr>
            <w:r>
              <w:t xml:space="preserve">1.0</w:t>
            </w:r>
          </w:p>
        </w:tc>
        <w:tc>
          <w:tcPr/>
          <w:p>
            <w:pPr>
              <w:pStyle w:val="Compact"/>
            </w:pPr>
          </w:p>
        </w:tc>
      </w:tr>
      <w:tr>
        <w:tc>
          <w:tcPr/>
          <w:p>
            <w:pPr>
              <w:pStyle w:val="Compact"/>
            </w:pPr>
            <w:r>
              <w:rPr>
                <w:b/>
                <w:bCs/>
              </w:rPr>
              <w:t xml:space="preserve">Classification</w:t>
            </w:r>
          </w:p>
        </w:tc>
        <w:tc>
          <w:tcPr/>
          <w:p>
            <w:pPr>
              <w:pStyle w:val="Compact"/>
            </w:pPr>
            <w:r>
              <w:t xml:space="preserve">Controlled</w:t>
            </w:r>
          </w:p>
        </w:tc>
        <w:tc>
          <w:tcPr/>
          <w:p>
            <w:pPr>
              <w:pStyle w:val="Compact"/>
            </w:pPr>
          </w:p>
        </w:tc>
      </w:tr>
      <w:tr>
        <w:tc>
          <w:tcPr/>
          <w:p>
            <w:pPr>
              <w:pStyle w:val="Compact"/>
            </w:pPr>
            <w:r>
              <w:rPr>
                <w:b/>
                <w:bCs/>
              </w:rPr>
              <w:t xml:space="preserve">Environment Boundary</w:t>
            </w:r>
          </w:p>
        </w:tc>
        <w:tc>
          <w:tcPr/>
          <w:p>
            <w:pPr>
              <w:pStyle w:val="Compact"/>
            </w:pPr>
            <w:r>
              <w:t xml:space="preserve">GCC-Moderate — Microsoft 365 SaaS services only (excludes Azure services)</w:t>
            </w:r>
          </w:p>
        </w:tc>
        <w:tc>
          <w:tcPr/>
          <w:p>
            <w:pPr>
              <w:pStyle w:val="Compact"/>
            </w:pPr>
          </w:p>
        </w:tc>
      </w:tr>
      <w:tr>
        <w:tc>
          <w:tcPr/>
          <w:p>
            <w:pPr>
              <w:pStyle w:val="Compact"/>
            </w:pPr>
            <w:r>
              <w:rPr>
                <w:b/>
                <w:bCs/>
              </w:rPr>
              <w:t xml:space="preserve">Platform</w:t>
            </w:r>
          </w:p>
        </w:tc>
        <w:tc>
          <w:tcPr>
            <w:gridSpan w:val="2"/>
          </w:tcPr>
          <w:p>
            <w:pPr>
              <w:pStyle w:val="Compact"/>
            </w:pPr>
            <w:r>
              <w:t xml:space="preserve">The Federal Modernization Program (https://github.com/WhalerMike/modernization-workbook)</w:t>
            </w:r>
          </w:p>
        </w:tc>
      </w:tr>
    </w:tbl>
    <w:p>
      <w:pPr>
        <w:pStyle w:val="BodyText"/>
      </w:pPr>
      <w:r>
        <w:t xml:space="preserve">Table of Contents</w:t>
      </w:r>
    </w:p>
    <w:p>
      <w:pPr>
        <w:numPr>
          <w:ilvl w:val="0"/>
          <w:numId w:val="1005"/>
        </w:numPr>
      </w:pPr>
      <w:r>
        <w:t xml:space="preserve">Purpose and Scope</w:t>
      </w:r>
    </w:p>
    <w:p>
      <w:pPr>
        <w:numPr>
          <w:ilvl w:val="0"/>
          <w:numId w:val="1005"/>
        </w:numPr>
      </w:pPr>
      <w:r>
        <w:t xml:space="preserve">Prerequisites and Module Installation</w:t>
      </w:r>
    </w:p>
    <w:p>
      <w:pPr>
        <w:numPr>
          <w:ilvl w:val="0"/>
          <w:numId w:val="1005"/>
        </w:numPr>
      </w:pPr>
      <w:r>
        <w:t xml:space="preserve">Forest and Domain Topology Discovery</w:t>
      </w:r>
    </w:p>
    <w:p>
      <w:pPr>
        <w:numPr>
          <w:ilvl w:val="0"/>
          <w:numId w:val="1005"/>
        </w:numPr>
      </w:pPr>
      <w:r>
        <w:t xml:space="preserve">Organizational Unit Hierarchy Extraction</w:t>
      </w:r>
    </w:p>
    <w:p>
      <w:pPr>
        <w:numPr>
          <w:ilvl w:val="0"/>
          <w:numId w:val="1005"/>
        </w:numPr>
      </w:pPr>
      <w:r>
        <w:t xml:space="preserve">Group Policy Object Inventory and Analysis</w:t>
      </w:r>
    </w:p>
    <w:p>
      <w:pPr>
        <w:numPr>
          <w:ilvl w:val="0"/>
          <w:numId w:val="1005"/>
        </w:numPr>
      </w:pPr>
      <w:r>
        <w:t xml:space="preserve">DNS Infrastructure Assessment</w:t>
      </w:r>
    </w:p>
    <w:p>
      <w:pPr>
        <w:numPr>
          <w:ilvl w:val="0"/>
          <w:numId w:val="1005"/>
        </w:numPr>
      </w:pPr>
      <w:r>
        <w:t xml:space="preserve">Certificate Services (AD CS) Assessment</w:t>
      </w:r>
    </w:p>
    <w:p>
      <w:pPr>
        <w:numPr>
          <w:ilvl w:val="0"/>
          <w:numId w:val="1005"/>
        </w:numPr>
      </w:pPr>
      <w:r>
        <w:t xml:space="preserve">Computer Object Enumeration and Classification</w:t>
      </w:r>
    </w:p>
    <w:p>
      <w:pPr>
        <w:numPr>
          <w:ilvl w:val="0"/>
          <w:numId w:val="1005"/>
        </w:numPr>
      </w:pPr>
      <w:r>
        <w:t xml:space="preserve">User Object and Group Membership Analysis</w:t>
      </w:r>
    </w:p>
    <w:p>
      <w:pPr>
        <w:numPr>
          <w:ilvl w:val="0"/>
          <w:numId w:val="1005"/>
        </w:numPr>
      </w:pPr>
      <w:r>
        <w:t xml:space="preserve">Trust Relationship Mapping</w:t>
      </w:r>
    </w:p>
    <w:p>
      <w:pPr>
        <w:numPr>
          <w:ilvl w:val="0"/>
          <w:numId w:val="1005"/>
        </w:numPr>
      </w:pPr>
      <w:r>
        <w:t xml:space="preserve">The Federal Modernization Program Assessment Pipeline Integration</w:t>
      </w:r>
    </w:p>
    <w:p>
      <w:pPr>
        <w:numPr>
          <w:ilvl w:val="0"/>
          <w:numId w:val="1005"/>
        </w:numPr>
      </w:pPr>
      <w:r>
        <w:t xml:space="preserve">Gitea API Integration for Assessment Data</w:t>
      </w:r>
    </w:p>
    <w:p>
      <w:pPr>
        <w:numPr>
          <w:ilvl w:val="0"/>
          <w:numId w:val="1005"/>
        </w:numPr>
      </w:pPr>
      <w:r>
        <w:t xml:space="preserve">Security Considerations and Least Privilege</w:t>
      </w:r>
    </w:p>
    <w:p>
      <w:pPr>
        <w:numPr>
          <w:ilvl w:val="0"/>
          <w:numId w:val="1005"/>
        </w:numPr>
      </w:pPr>
      <w:r>
        <w:t xml:space="preserve">Troubleshooting Reference</w:t>
      </w:r>
    </w:p>
    <w:p>
      <w:pPr>
        <w:numPr>
          <w:ilvl w:val="0"/>
          <w:numId w:val="1005"/>
        </w:numPr>
      </w:pPr>
      <w:r>
        <w:t xml:space="preserve">Appendix A — Complete the Federal Modernization Program AD Assessment Module</w:t>
      </w:r>
    </w:p>
    <w:p>
      <w:pPr>
        <w:numPr>
          <w:ilvl w:val="0"/>
          <w:numId w:val="1005"/>
        </w:numPr>
      </w:pPr>
      <w:r>
        <w:t xml:space="preserve">Appendix B — Assessment Output Schema Reference</w:t>
      </w:r>
    </w:p>
    <w:p>
      <w:pPr>
        <w:numPr>
          <w:ilvl w:val="0"/>
          <w:numId w:val="1005"/>
        </w:numPr>
      </w:pPr>
      <w:r>
        <w:t xml:space="preserve">Appendix C — Quick Reference Card</w:t>
      </w:r>
    </w:p>
    <w:p>
      <w:pPr>
        <w:numPr>
          <w:ilvl w:val="0"/>
          <w:numId w:val="1005"/>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document defines how the Federal Modernization Program platform interacts with Active Directory to perform complete forest discovery, infrastructure assessment, and governance artifact extraction. Every procedure in this guide is PowerShell-first, deterministic, and idempotent — executing the same command against the same environment will always produce the same output without side effects.</w:t>
      </w:r>
    </w:p>
    <w:p>
      <w:pPr>
        <w:pStyle w:val="BodyText"/>
      </w:pPr>
      <w:r>
        <w:t xml:space="preserve">The output of these interactions feeds directly into the Federal Modernization Program Assessment Phase, producing machine-readable planning documents that drive the entire modernization pipeline. Assessment artifacts are committed to the Federal Modernization Program Gitea instance, versioned, and consumed by downstream automation to generate migration plans, compliance reports, and governance dashboards.</w:t>
      </w:r>
    </w:p>
    <w:p>
      <w:pPr>
        <w:pStyle w:val="BodyText"/>
      </w:pPr>
      <w:r>
        <w:t xml:space="preserve">1.2 Scope — In Scope</w:t>
      </w:r>
    </w:p>
    <w:p>
      <w:pPr>
        <w:pStyle w:val="BodyText"/>
      </w:pPr>
      <w:r>
        <w:t xml:space="preserve">This guide covers the following Active Directory domains and infrastructure components:</w:t>
      </w:r>
    </w:p>
    <w:p>
      <w:pPr>
        <w:numPr>
          <w:ilvl w:val="0"/>
          <w:numId w:val="1006"/>
        </w:numPr>
      </w:pPr>
      <w:r>
        <w:rPr>
          <w:b/>
          <w:bCs/>
        </w:rPr>
        <w:t xml:space="preserve">AD Forest Topology</w:t>
      </w:r>
      <w:r>
        <w:t xml:space="preserve"> </w:t>
      </w:r>
      <w:r>
        <w:t xml:space="preserve">— forest structure, domains, sites, and site links</w:t>
      </w:r>
    </w:p>
    <w:p>
      <w:pPr>
        <w:numPr>
          <w:ilvl w:val="0"/>
          <w:numId w:val="1006"/>
        </w:numPr>
      </w:pPr>
      <w:r>
        <w:rPr>
          <w:b/>
          <w:bCs/>
        </w:rPr>
        <w:t xml:space="preserve">Domain Controllers</w:t>
      </w:r>
      <w:r>
        <w:t xml:space="preserve"> </w:t>
      </w:r>
      <w:r>
        <w:t xml:space="preserve">— enumeration, roles, operating system, and replication status</w:t>
      </w:r>
    </w:p>
    <w:p>
      <w:pPr>
        <w:numPr>
          <w:ilvl w:val="0"/>
          <w:numId w:val="1006"/>
        </w:numPr>
      </w:pPr>
      <w:r>
        <w:rPr>
          <w:b/>
          <w:bCs/>
        </w:rPr>
        <w:t xml:space="preserve">Organizational Unit (OU) Hierarchy</w:t>
      </w:r>
      <w:r>
        <w:t xml:space="preserve"> </w:t>
      </w:r>
      <w:r>
        <w:t xml:space="preserve">— full tree extraction with delegation and GPO linkage</w:t>
      </w:r>
    </w:p>
    <w:p>
      <w:pPr>
        <w:numPr>
          <w:ilvl w:val="0"/>
          <w:numId w:val="1006"/>
        </w:numPr>
      </w:pPr>
      <w:r>
        <w:rPr>
          <w:b/>
          <w:bCs/>
        </w:rPr>
        <w:t xml:space="preserve">Group Policy Objects (GPOs)</w:t>
      </w:r>
      <w:r>
        <w:t xml:space="preserve"> </w:t>
      </w:r>
      <w:r>
        <w:t xml:space="preserve">— inventory, settings decomposition, link analysis, conflict detection</w:t>
      </w:r>
    </w:p>
    <w:p>
      <w:pPr>
        <w:numPr>
          <w:ilvl w:val="0"/>
          <w:numId w:val="1006"/>
        </w:numPr>
      </w:pPr>
      <w:r>
        <w:rPr>
          <w:b/>
          <w:bCs/>
        </w:rPr>
        <w:t xml:space="preserve">DNS Infrastructure</w:t>
      </w:r>
      <w:r>
        <w:t xml:space="preserve"> </w:t>
      </w:r>
      <w:r>
        <w:t xml:space="preserve">— zone inventory, record analysis, DNSSEC status, scavenging configuration</w:t>
      </w:r>
    </w:p>
    <w:p>
      <w:pPr>
        <w:numPr>
          <w:ilvl w:val="0"/>
          <w:numId w:val="1006"/>
        </w:numPr>
      </w:pPr>
      <w:r>
        <w:rPr>
          <w:b/>
          <w:bCs/>
        </w:rPr>
        <w:t xml:space="preserve">Certificate Services (AD CS)</w:t>
      </w:r>
      <w:r>
        <w:t xml:space="preserve"> </w:t>
      </w:r>
      <w:r>
        <w:t xml:space="preserve">— CA discovery, template inventory, security analysis (ESC vulnerabilities)</w:t>
      </w:r>
    </w:p>
    <w:p>
      <w:pPr>
        <w:numPr>
          <w:ilvl w:val="0"/>
          <w:numId w:val="1006"/>
        </w:numPr>
      </w:pPr>
      <w:r>
        <w:rPr>
          <w:b/>
          <w:bCs/>
        </w:rPr>
        <w:t xml:space="preserve">Computer Objects</w:t>
      </w:r>
      <w:r>
        <w:t xml:space="preserve"> </w:t>
      </w:r>
      <w:r>
        <w:t xml:space="preserve">— full enumeration, OS classification, staleness detection, delegation analysis</w:t>
      </w:r>
    </w:p>
    <w:p>
      <w:pPr>
        <w:numPr>
          <w:ilvl w:val="0"/>
          <w:numId w:val="1006"/>
        </w:numPr>
      </w:pPr>
      <w:r>
        <w:rPr>
          <w:b/>
          <w:bCs/>
        </w:rPr>
        <w:t xml:space="preserve">User Objects</w:t>
      </w:r>
      <w:r>
        <w:t xml:space="preserve"> </w:t>
      </w:r>
      <w:r>
        <w:t xml:space="preserve">— privileged account identification, service account discovery, staleness detection</w:t>
      </w:r>
    </w:p>
    <w:p>
      <w:pPr>
        <w:numPr>
          <w:ilvl w:val="0"/>
          <w:numId w:val="1006"/>
        </w:numPr>
      </w:pPr>
      <w:r>
        <w:rPr>
          <w:b/>
          <w:bCs/>
        </w:rPr>
        <w:t xml:space="preserve">Group Memberships</w:t>
      </w:r>
      <w:r>
        <w:t xml:space="preserve"> </w:t>
      </w:r>
      <w:r>
        <w:t xml:space="preserve">— nested group expansion, classification, empty and circular group detection</w:t>
      </w:r>
    </w:p>
    <w:p>
      <w:pPr>
        <w:numPr>
          <w:ilvl w:val="0"/>
          <w:numId w:val="1006"/>
        </w:numPr>
      </w:pPr>
      <w:r>
        <w:rPr>
          <w:b/>
          <w:bCs/>
        </w:rPr>
        <w:t xml:space="preserve">Service Accounts</w:t>
      </w:r>
      <w:r>
        <w:t xml:space="preserve"> </w:t>
      </w:r>
      <w:r>
        <w:t xml:space="preserve">— traditional, MSA, and gMSA enumeration</w:t>
      </w:r>
    </w:p>
    <w:p>
      <w:pPr>
        <w:numPr>
          <w:ilvl w:val="0"/>
          <w:numId w:val="1006"/>
        </w:numPr>
      </w:pPr>
      <w:r>
        <w:rPr>
          <w:b/>
          <w:bCs/>
        </w:rPr>
        <w:t xml:space="preserve">FSMO Roles</w:t>
      </w:r>
      <w:r>
        <w:t xml:space="preserve"> </w:t>
      </w:r>
      <w:r>
        <w:t xml:space="preserve">— all five forest-wide and domain-wide role holders</w:t>
      </w:r>
    </w:p>
    <w:p>
      <w:pPr>
        <w:numPr>
          <w:ilvl w:val="0"/>
          <w:numId w:val="1006"/>
        </w:numPr>
      </w:pPr>
      <w:r>
        <w:rPr>
          <w:b/>
          <w:bCs/>
        </w:rPr>
        <w:t xml:space="preserve">Trust Relationships</w:t>
      </w:r>
      <w:r>
        <w:t xml:space="preserve"> </w:t>
      </w:r>
      <w:r>
        <w:t xml:space="preserve">— direction, type, SID filtering, selective authentication</w:t>
      </w:r>
    </w:p>
    <w:p>
      <w:pPr>
        <w:pStyle w:val="FirstParagraph"/>
      </w:pPr>
      <w:r>
        <w:t xml:space="preserve">1.3 Scope — Out of Scope</w:t>
      </w:r>
    </w:p>
    <w:p>
      <w:pPr>
        <w:pStyle w:val="BodyText"/>
      </w:pPr>
      <w:r>
        <w:t xml:space="preserve">The following topics are explicitly out of scope for this document and are addressed in companion the Federal Modernization Program publications:</w:t>
      </w:r>
    </w:p>
    <w:p>
      <w:pPr>
        <w:numPr>
          <w:ilvl w:val="0"/>
          <w:numId w:val="1007"/>
        </w:numPr>
      </w:pPr>
      <w:r>
        <w:rPr>
          <w:b/>
          <w:bCs/>
        </w:rPr>
        <w:t xml:space="preserve">Azure AD / Entra ID Sync Configuration</w:t>
      </w:r>
      <w:r>
        <w:t xml:space="preserve"> </w:t>
      </w:r>
      <w:r>
        <w:t xml:space="preserve">— covered in the Federal Modernization Program Identity Modernization Guide</w:t>
      </w:r>
    </w:p>
    <w:p>
      <w:pPr>
        <w:numPr>
          <w:ilvl w:val="0"/>
          <w:numId w:val="1007"/>
        </w:numPr>
      </w:pPr>
      <w:r>
        <w:rPr>
          <w:b/>
          <w:bCs/>
        </w:rPr>
        <w:t xml:space="preserve">Intune Policy Mapping</w:t>
      </w:r>
      <w:r>
        <w:t xml:space="preserve"> </w:t>
      </w:r>
      <w:r>
        <w:t xml:space="preserve">— covered in the Federal Modernization Program GPO-to-Intune Migration Guide</w:t>
      </w:r>
    </w:p>
    <w:p>
      <w:pPr>
        <w:numPr>
          <w:ilvl w:val="0"/>
          <w:numId w:val="1007"/>
        </w:numPr>
      </w:pPr>
      <w:r>
        <w:rPr>
          <w:b/>
          <w:bCs/>
        </w:rPr>
        <w:t xml:space="preserve">Azure Services</w:t>
      </w:r>
      <w:r>
        <w:t xml:space="preserve"> </w:t>
      </w:r>
      <w:r>
        <w:t xml:space="preserve">— the GCC-Moderate boundary in this document applies to Microsoft 365 SaaS services only and does not include Azure services</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 Important — Environment Boundary</w:t>
            </w:r>
          </w:p>
          <w:p>
            <w:pPr>
              <w:pStyle w:val="BodyText"/>
            </w:pPr>
            <w:r>
              <w:t xml:space="preserve">GCC-Moderate applies to Microsoft 365 SaaS services only. This document does not reference or require Azure services. No references to FedRAMP High, GCC High, or DoD environments apply. All data handling follows the</w:t>
            </w:r>
            <w:r>
              <w:t xml:space="preserve"> </w:t>
            </w:r>
            <w:r>
              <w:rPr>
                <w:b/>
                <w:bCs/>
              </w:rPr>
              <w:t xml:space="preserve">Controlled</w:t>
            </w:r>
            <w:r>
              <w:t xml:space="preserve"> </w:t>
            </w:r>
            <w:r>
              <w:t xml:space="preserve">classification.</w:t>
            </w:r>
          </w:p>
        </w:tc>
      </w:tr>
    </w:tbl>
    <w:p>
      <w:pPr>
        <w:pStyle w:val="BodyText"/>
      </w:pPr>
      <w:r>
        <w:t xml:space="preserve">2. Prerequisites and Module Installation</w:t>
      </w:r>
    </w:p>
    <w:p>
      <w:pPr>
        <w:pStyle w:val="BodyText"/>
      </w:pPr>
      <w:r>
        <w:t xml:space="preserve">2.1 Operating System Requirements</w:t>
      </w:r>
    </w:p>
    <w:p>
      <w:pPr>
        <w:pStyle w:val="BodyText"/>
      </w:pPr>
      <w:r>
        <w:t xml:space="preserve">All assessment operations require one of the following platforms:</w:t>
      </w:r>
    </w:p>
    <w:p>
      <w:pPr>
        <w:numPr>
          <w:ilvl w:val="0"/>
          <w:numId w:val="1008"/>
        </w:numPr>
      </w:pPr>
      <w:r>
        <w:rPr>
          <w:b/>
          <w:bCs/>
        </w:rPr>
        <w:t xml:space="preserve">Windows Server 2025</w:t>
      </w:r>
      <w:r>
        <w:t xml:space="preserve"> </w:t>
      </w:r>
      <w:r>
        <w:t xml:space="preserve">with Remote Server Administration Tools (RSAT) features installed</w:t>
      </w:r>
    </w:p>
    <w:p>
      <w:pPr>
        <w:numPr>
          <w:ilvl w:val="0"/>
          <w:numId w:val="1008"/>
        </w:numPr>
      </w:pPr>
      <w:r>
        <w:rPr>
          <w:b/>
          <w:bCs/>
        </w:rPr>
        <w:t xml:space="preserve">Windows 11</w:t>
      </w:r>
      <w:r>
        <w:t xml:space="preserve"> </w:t>
      </w:r>
      <w:r>
        <w:t xml:space="preserve">(24H2 or later) with RSAT capabilities added via Settings or DISM</w:t>
      </w:r>
    </w:p>
    <w:p>
      <w:pPr>
        <w:pStyle w:val="FirstParagraph"/>
      </w:pPr>
      <w:r>
        <w:t xml:space="preserve">2.2 Required PowerShell Modules</w:t>
      </w:r>
    </w:p>
    <w:p>
      <w:pPr>
        <w:pStyle w:val="BodyText"/>
      </w:pPr>
      <w:r>
        <w:t xml:space="preserve">Install the following modules before executing any assessment functions. Each module has separate installation paths for Server and Client operating systems.</w:t>
      </w:r>
    </w:p>
    <w:tbl>
      <w:tblPr>
        <w:tblStyle w:val="Table"/>
        <w:tblW w:type="pct" w:w="4951"/>
        <w:tblLayout w:type="fixed"/>
        <w:tblLook w:firstRow="1" w:lastRow="0" w:firstColumn="0" w:lastColumn="0" w:noHBand="0" w:noVBand="0" w:val="0020"/>
      </w:tblPr>
      <w:tblGrid>
        <w:gridCol w:w="815"/>
        <w:gridCol w:w="1708"/>
        <w:gridCol w:w="1941"/>
        <w:gridCol w:w="3377"/>
      </w:tblGrid>
      <w:tr>
        <w:trPr>
          <w:tblHeader w:val="on"/>
        </w:trPr>
        <w:tc>
          <w:tcPr/>
          <w:p>
            <w:pPr>
              <w:pStyle w:val="Compact"/>
            </w:pPr>
            <w:r>
              <w:rPr>
                <w:b/>
                <w:bCs/>
              </w:rPr>
              <w:t xml:space="preserve">Module</w:t>
            </w:r>
          </w:p>
        </w:tc>
        <w:tc>
          <w:tcPr/>
          <w:p>
            <w:pPr>
              <w:pStyle w:val="Compact"/>
            </w:pPr>
            <w:r>
              <w:rPr>
                <w:b/>
                <w:bCs/>
              </w:rPr>
              <w:t xml:space="preserve">Purpose</w:t>
            </w:r>
          </w:p>
        </w:tc>
        <w:tc>
          <w:tcPr/>
          <w:p>
            <w:pPr>
              <w:pStyle w:val="Compact"/>
            </w:pPr>
            <w:r>
              <w:rPr>
                <w:b/>
                <w:bCs/>
              </w:rPr>
              <w:t xml:space="preserve">Server Install Command</w:t>
            </w:r>
          </w:p>
        </w:tc>
        <w:tc>
          <w:tcPr/>
          <w:p>
            <w:pPr>
              <w:pStyle w:val="Compact"/>
            </w:pPr>
            <w:r>
              <w:rPr>
                <w:b/>
                <w:bCs/>
              </w:rPr>
              <w:t xml:space="preserve">Client Install Command</w:t>
            </w:r>
          </w:p>
        </w:tc>
      </w:tr>
      <w:tr>
        <w:trPr>
          <w:tblHeader w:val="on"/>
        </w:trPr>
        <w:tc>
          <w:tcPr/>
          <w:p>
            <w:pPr>
              <w:pStyle w:val="Compact"/>
            </w:pPr>
            <w:r>
              <w:t xml:space="preserve">ActiveDirectory</w:t>
            </w:r>
          </w:p>
        </w:tc>
        <w:tc>
          <w:tcPr/>
          <w:p>
            <w:pPr>
              <w:pStyle w:val="Compact"/>
            </w:pPr>
            <w:r>
              <w:t xml:space="preserve">AD object queries, forest/domain topology</w:t>
            </w:r>
          </w:p>
        </w:tc>
        <w:tc>
          <w:tcPr/>
          <w:p>
            <w:pPr>
              <w:pStyle w:val="Compact"/>
            </w:pPr>
            <w:r>
              <w:t xml:space="preserve">Install-WindowsFeature -Name RSAT-AD-PowerShell</w:t>
            </w:r>
          </w:p>
        </w:tc>
        <w:tc>
          <w:tcPr/>
          <w:p>
            <w:pPr>
              <w:pStyle w:val="Compact"/>
            </w:pPr>
            <w:r>
              <w:t xml:space="preserve">Add-WindowsCapability -Online -Name Rsat.ActiveDirectory.DS-LDS.Tools~~~~0.0.1.0</w:t>
            </w:r>
          </w:p>
        </w:tc>
      </w:tr>
      <w:tr>
        <w:trPr>
          <w:tblHeader w:val="on"/>
        </w:trPr>
        <w:tc>
          <w:tcPr/>
          <w:p>
            <w:pPr>
              <w:pStyle w:val="Compact"/>
            </w:pPr>
            <w:r>
              <w:t xml:space="preserve">GroupPolicy</w:t>
            </w:r>
          </w:p>
        </w:tc>
        <w:tc>
          <w:tcPr/>
          <w:p>
            <w:pPr>
              <w:pStyle w:val="Compact"/>
            </w:pPr>
            <w:r>
              <w:t xml:space="preserve">GPO enumeration, reporting, backup</w:t>
            </w:r>
          </w:p>
        </w:tc>
        <w:tc>
          <w:tcPr/>
          <w:p>
            <w:pPr>
              <w:pStyle w:val="Compact"/>
            </w:pPr>
            <w:r>
              <w:t xml:space="preserve">Install-WindowsFeature -Name GPMC</w:t>
            </w:r>
          </w:p>
        </w:tc>
        <w:tc>
          <w:tcPr/>
          <w:p>
            <w:pPr>
              <w:pStyle w:val="Compact"/>
            </w:pPr>
            <w:r>
              <w:t xml:space="preserve">Add-WindowsCapability -Online -Name Rsat.GroupPolicy.Management.Tools~~~~0.0.1.0</w:t>
            </w:r>
          </w:p>
        </w:tc>
      </w:tr>
      <w:tr>
        <w:trPr>
          <w:tblHeader w:val="on"/>
        </w:trPr>
        <w:tc>
          <w:tcPr/>
          <w:p>
            <w:pPr>
              <w:pStyle w:val="Compact"/>
            </w:pPr>
            <w:r>
              <w:t xml:space="preserve">DnsServer</w:t>
            </w:r>
          </w:p>
        </w:tc>
        <w:tc>
          <w:tcPr/>
          <w:p>
            <w:pPr>
              <w:pStyle w:val="Compact"/>
            </w:pPr>
            <w:r>
              <w:t xml:space="preserve">DNS zone and record inventory</w:t>
            </w:r>
          </w:p>
        </w:tc>
        <w:tc>
          <w:tcPr/>
          <w:p>
            <w:pPr>
              <w:pStyle w:val="Compact"/>
            </w:pPr>
            <w:r>
              <w:t xml:space="preserve">Install-WindowsFeature -Name RSAT-DNS-Server</w:t>
            </w:r>
          </w:p>
        </w:tc>
        <w:tc>
          <w:tcPr/>
          <w:p>
            <w:pPr>
              <w:pStyle w:val="Compact"/>
            </w:pPr>
            <w:r>
              <w:t xml:space="preserve">Add-WindowsCapability -Online -Name Rsat.Dns.Tools~~~~0.0.1.0</w:t>
            </w:r>
          </w:p>
        </w:tc>
      </w:tr>
      <w:tr>
        <w:trPr>
          <w:tblHeader w:val="on"/>
        </w:trPr>
        <w:tc>
          <w:tcPr/>
          <w:p>
            <w:pPr>
              <w:pStyle w:val="Compact"/>
            </w:pPr>
            <w:r>
              <w:t xml:space="preserve">ADCSAdministration</w:t>
            </w:r>
          </w:p>
        </w:tc>
        <w:tc>
          <w:tcPr/>
          <w:p>
            <w:pPr>
              <w:pStyle w:val="Compact"/>
            </w:pPr>
            <w:r>
              <w:t xml:space="preserve">Certificate Services assessment</w:t>
            </w:r>
          </w:p>
        </w:tc>
        <w:tc>
          <w:tcPr/>
          <w:p>
            <w:pPr>
              <w:pStyle w:val="Compact"/>
            </w:pPr>
            <w:r>
              <w:t xml:space="preserve">Install-WindowsFeature -Name RSAT-ADCS-Mgmt</w:t>
            </w:r>
          </w:p>
        </w:tc>
        <w:tc>
          <w:tcPr/>
          <w:p>
            <w:pPr>
              <w:pStyle w:val="Compact"/>
            </w:pPr>
            <w:r>
              <w:t xml:space="preserve">Add-WindowsCapability -Online -Name Rsat.CertificateServices.Tools~~~~0.0.1.0</w:t>
            </w:r>
          </w:p>
        </w:tc>
      </w:tr>
      <w:tr>
        <w:trPr>
          <w:tblHeader w:val="on"/>
        </w:trPr>
        <w:tc>
          <w:tcPr/>
          <w:p>
            <w:pPr>
              <w:pStyle w:val="Compact"/>
            </w:pPr>
            <w:r>
              <w:t xml:space="preserve">PSPKI</w:t>
            </w:r>
          </w:p>
        </w:tc>
        <w:tc>
          <w:tcPr/>
          <w:p>
            <w:pPr>
              <w:pStyle w:val="Compact"/>
            </w:pPr>
            <w:r>
              <w:t xml:space="preserve">Advanced PKI template and CA analysis</w:t>
            </w:r>
          </w:p>
        </w:tc>
        <w:tc>
          <w:tcPr>
            <w:gridSpan w:val="2"/>
          </w:tcPr>
          <w:p>
            <w:pPr>
              <w:pStyle w:val="Compact"/>
            </w:pPr>
            <w:r>
              <w:t xml:space="preserve">Install-Module -Name PSPKI -Scope CurrentUser</w:t>
            </w:r>
          </w:p>
        </w:tc>
      </w:tr>
    </w:tbl>
    <w:p>
      <w:pPr>
        <w:pStyle w:val="BodyText"/>
      </w:pPr>
      <w:r>
        <w:t xml:space="preserve">2.3 Required Permissions</w:t>
      </w:r>
    </w:p>
    <w:p>
      <w:pPr>
        <w:pStyle w:val="BodyText"/>
      </w:pPr>
      <w:r>
        <w:t xml:space="preserve">The assessment service account requires the following minimum permissions:</w:t>
      </w:r>
    </w:p>
    <w:p>
      <w:pPr>
        <w:numPr>
          <w:ilvl w:val="0"/>
          <w:numId w:val="1009"/>
        </w:numPr>
      </w:pPr>
      <w:r>
        <w:rPr>
          <w:b/>
          <w:bCs/>
        </w:rPr>
        <w:t xml:space="preserve">Domain Admin</w:t>
      </w:r>
      <w:r>
        <w:t xml:space="preserve"> </w:t>
      </w:r>
      <w:r>
        <w:t xml:space="preserve">— full assessment capability (recommended for initial discovery only)</w:t>
      </w:r>
    </w:p>
    <w:p>
      <w:pPr>
        <w:numPr>
          <w:ilvl w:val="0"/>
          <w:numId w:val="1009"/>
        </w:numPr>
      </w:pPr>
      <w:r>
        <w:rPr>
          <w:b/>
          <w:bCs/>
        </w:rPr>
        <w:t xml:space="preserve">Delegated Read-Only</w:t>
      </w:r>
      <w:r>
        <w:t xml:space="preserve"> </w:t>
      </w:r>
      <w:r>
        <w:t xml:space="preserve">— preferred for recurring assessments with the following specific permissions:</w:t>
      </w:r>
    </w:p>
    <w:p>
      <w:pPr>
        <w:numPr>
          <w:ilvl w:val="1"/>
          <w:numId w:val="1010"/>
        </w:numPr>
      </w:pPr>
      <w:r>
        <w:t xml:space="preserve">Read access to all AD objects (users, computers, groups, OUs)</w:t>
      </w:r>
    </w:p>
    <w:p>
      <w:pPr>
        <w:numPr>
          <w:ilvl w:val="1"/>
          <w:numId w:val="1010"/>
        </w:numPr>
      </w:pPr>
      <w:r>
        <w:t xml:space="preserve">Read access to Group Policy Objects and Group Policy Containers</w:t>
      </w:r>
    </w:p>
    <w:p>
      <w:pPr>
        <w:numPr>
          <w:ilvl w:val="1"/>
          <w:numId w:val="1010"/>
        </w:numPr>
      </w:pPr>
      <w:r>
        <w:t xml:space="preserve">Read access to DNS zones and records (DNS Admins or delegated read)</w:t>
      </w:r>
    </w:p>
    <w:p>
      <w:pPr>
        <w:numPr>
          <w:ilvl w:val="1"/>
          <w:numId w:val="1010"/>
        </w:numPr>
      </w:pPr>
      <w:r>
        <w:t xml:space="preserve">Read access to PKI configuration (Cert Publishers or delegated read on PKI containers)</w:t>
      </w:r>
    </w:p>
    <w:p>
      <w:pPr>
        <w:numPr>
          <w:ilvl w:val="1"/>
          <w:numId w:val="1010"/>
        </w:numPr>
      </w:pPr>
      <w:r>
        <w:t xml:space="preserve">Read access to AD Sites and Services configuration partition</w:t>
      </w:r>
    </w:p>
    <w:p>
      <w:pPr>
        <w:pStyle w:val="FirstParagraph"/>
      </w:pPr>
      <w:r>
        <w:t xml:space="preserve">2.4 the Federal Modernization Program Output Directory Structure</w:t>
      </w:r>
    </w:p>
    <w:p>
      <w:pPr>
        <w:pStyle w:val="BodyText"/>
      </w:pPr>
      <w:r>
        <w:t xml:space="preserve">All assessment outputs are written to a deterministic directory tree. Create this structure before running any assessment functions.</w:t>
      </w:r>
    </w:p>
    <w:p>
      <w:pPr>
        <w:pStyle w:val="BodyText"/>
      </w:pPr>
      <w:r>
        <w:t xml:space="preserve">D:\FMP\Assessment\{DomainName}\ ├── Forest\ │ ├── ForestTopology.json │ ├── Sites.json │ ├── SiteLinks.json │ └── Subnets.json ├── Domains\ │ ├── {DomainName}.json │ └── DomainControllers.json ├── OUs\ │ ├── OUHierarchy.json │ └── OUFlatList.csv ├── GPOs\ │ ├── GPOInventory.json │ ├── GPOSettings\ │ │ ├── {GPO-GUID}.xml │ │ └── {GPO-GUID}.html │ ├── GPOLinks.json │ ├── GPOPermissions.json │ └── GPOBackups\ ├── DNS\ │ ├── DNSInventory.json │ └── DNSHealthReport.json ├── PKI\ │ ├── PKIInventory.json │ └── PKISecurityReport.json ├── Objects\ │ ├── ComputerInventory.json │ ├── ComputersByOS.csv │ ├── StaleComputers.csv │ ├── DelegationReport.csv │ ├── UserInventory.json │ ├── PrivilegedUsers.csv │ ├── ServiceAccounts.csv │ └── GroupInventory.json ├── Trusts\ │ └── TrustMap.json ├── ServiceAccounts\ │ ├── MSAInventory.json │ └── gMSAInventory.json └── AssessmentManifest.json</w:t>
      </w:r>
    </w:p>
    <w:p>
      <w:pPr>
        <w:pStyle w:val="BodyText"/>
      </w:pPr>
      <w:r>
        <w:t xml:space="preserve">Run the following to create the directory structure:</w:t>
      </w:r>
    </w:p>
    <w:p>
      <w:pPr>
        <w:pStyle w:val="BodyText"/>
      </w:pPr>
      <w:r>
        <w:t xml:space="preserve"># Create the Federal Modernization Program Assessment directory structure $DomainName = (Get-ADDomain).DNSRoot $BasePath = "D:\FMP\Assessment\$DomainName" $Folders = @( "Forest", "Domains", "OUs", "GPOs", "GPOs\GPOSettings", "GPOs\GPOBackups", "DNS", "PKI", "Objects", "Trusts", "ServiceAccounts" ) foreach ($Folder in $Folders) { $FullPath = Join-Path -Path $BasePath -ChildPath $Folder if (-not (Test-Path -Path $FullPath)) { New-Item -Path $FullPath -ItemType Directory -Force | Out-Null Write-Host "[CREATED] $FullPath" -ForegroundColor Green } else { Write-Host "[EXISTS] $FullPath" -ForegroundColor Yellow } }</w:t>
      </w:r>
    </w:p>
    <w:p>
      <w:pPr>
        <w:pStyle w:val="BodyText"/>
      </w:pPr>
      <w:r>
        <w:t xml:space="preserve">2.5 Prerequisite Verification Script</w:t>
      </w:r>
    </w:p>
    <w:p>
      <w:pPr>
        <w:pStyle w:val="BodyText"/>
      </w:pPr>
      <w:r>
        <w:t xml:space="preserve">Execute the following script to validate all prerequisites before running any assessment functions. The script reports pass/fail for each requirement.</w:t>
      </w:r>
    </w:p>
    <w:p>
      <w:pPr>
        <w:pStyle w:val="BodyText"/>
      </w:pPr>
      <w:r>
        <w:t xml:space="preserve">function Test-FMPPrerequisites { &lt;# .SYNOPSIS Validates all the Federal Modernization Program AD Assessment prerequisites. .DESCRIPTION Checks for required PowerShell modules, operating system version, permissions, and output directory structure. Returns a structured result object with pass/fail status for each check. .EXAMPLE Test-FMPPrerequisites .OUTPUTS PSCustomObject with Status, Module, and Message properties. #&gt; [CmdletBinding] param $Results = @ # Check OS Version $OS = Get-CimInstance -ClassName Win32_OperatingSystem $OSPass = ($OS.Version -ge "10.0.26100") $Results += [PSCustomObject]@{ Check = "Operating System" Status = if ($OSPass) { "PASS" } else { "FAIL" } Detail = "$($OS.Caption) ($($OS.Version))" } # Check required modules $RequiredModules = @( "ActiveDirectory", "GroupPolicy", "DnsServer", "ADCSAdministration", "PSPKI" ) foreach ($Module in $RequiredModules) { $Loaded = Get-Module -ListAvailable -Name $Module -ErrorAction SilentlyContinue $Results += [PSCustomObject]@{ Check = "Module: $Module" Status = if ($Loaded) { "PASS" } else { "FAIL" } Detail = if ($Loaded) { "Version $($Loaded.Version)" } else { "Not installed" } } } # Check AD connectivity try { $Forest = Get-ADForest -ErrorAction Stop $Results += [PSCustomObject]@{ Check = "AD Forest Connectivity" Status = "PASS" Detail = "Connected to $($Forest.Name)" } } catch { $Results += [PSCustomObject]@{ Check = "AD Forest Connectivity" Status = "FAIL" Detail = $_.Exception.Message } } # Check output directory $BasePath = "D:\FMP\Assessment" $Results += [PSCustomObject]@{ Check = "Output Directory" Status = if (Test-Path $BasePath) { "PASS" } else { "FAIL" } Detail = $BasePath } # Display results $Results | Format-Table -AutoSize $FailCount = ($Results | Where-Object { $_.Status -eq "FAIL" }).Count if ($FailCount -gt 0) { Write-Warning "$FailCount prerequisite(s) failed. Resolve before proceeding." } else { Write-Host "All prerequisites satisfied." -ForegroundColor Green } return $Results }</w:t>
      </w:r>
    </w:p>
    <w:p>
      <w:pPr>
        <w:pStyle w:val="BodyText"/>
      </w:pPr>
      <w:r>
        <w:t xml:space="preserve">3. Forest and Domain Topology Discovery</w:t>
      </w:r>
    </w:p>
    <w:p>
      <w:pPr>
        <w:pStyle w:val="BodyText"/>
      </w:pPr>
      <w:r>
        <w:t xml:space="preserve">3.1 Forest-Level Discovery</w:t>
      </w:r>
    </w:p>
    <w:p>
      <w:pPr>
        <w:pStyle w:val="BodyText"/>
      </w:pPr>
      <w:r>
        <w:t xml:space="preserve">Capture the complete forest configuration including all domains, sites, global catalogs, and schema holders.</w:t>
      </w:r>
    </w:p>
    <w:p>
      <w:pPr>
        <w:pStyle w:val="BodyText"/>
      </w:pPr>
      <w:r>
        <w:t xml:space="preserve"># Capture forest topology $Forest = Get-ADForest | Select-Object ` Name, RootDomain, ForestMode, SchemaMaster, DomainNamingMaster, @{N='Domains'; E={ $_.Domains }}, @{N='Sites'; E={ $_.Sites }}, @{N='GlobalCatalogs'; E={ $_.GlobalCatalogs }}, @{N='SPNSuffixes'; E={ $_.SPNSuffixes }}, @{N='UPNSuffixes'; E={ $_.UPNSuffixes }} $Forest | ConvertTo-Json -Depth 5 | Out-File -FilePath "D:\FMP\Assessment\$($Forest.RootDomain)\Forest\ForestInfo.json" -Encoding UTF8</w:t>
      </w:r>
    </w:p>
    <w:p>
      <w:pPr>
        <w:pStyle w:val="BodyText"/>
      </w:pPr>
      <w:r>
        <w:t xml:space="preserve">3.2 Domain-Level Discovery</w:t>
      </w:r>
    </w:p>
    <w:p>
      <w:pPr>
        <w:pStyle w:val="BodyText"/>
      </w:pPr>
      <w:r>
        <w:t xml:space="preserve">Iterate through every domain in the forest and capture domain-specific configuration.</w:t>
      </w:r>
    </w:p>
    <w:p>
      <w:pPr>
        <w:pStyle w:val="BodyText"/>
      </w:pPr>
      <w:r>
        <w:t xml:space="preserve"># Enumerate all domains in the forest $ForestObj = Get-ADForest $AllDomains = @ foreach ($DomainDNS in $ForestObj.Domains) { $Domain = Get-ADDomain -Server $DomainDNS | Select-Object ` DNSRoot, NetBIOSName, DomainMode, DomainSID, PDCEmulator, RIDMaster, InfrastructureMaster, DistinguishedName, ParentDomain, ChildDomains, @{N='DomainControllers'; E={ (Get-ADDomainController -Filter * -Server $DomainDNS).HostName }} $AllDomains += $Domain $Domain | ConvertTo-Json -Depth 5 | Out-File -FilePath "D:\FMP\Assessment\$($ForestObj.RootDomain)\Domains\$DomainDNS.json" -Encoding UTF8 } $AllDomains | ConvertTo-Json -Depth 5 | Out-File -FilePath "D:\FMP\Assessment\$($ForestObj.RootDomain)\Domains\AllDomains.json" -Encoding UTF8</w:t>
      </w:r>
    </w:p>
    <w:p>
      <w:pPr>
        <w:pStyle w:val="BodyText"/>
      </w:pPr>
      <w:r>
        <w:t xml:space="preserve">3.3 Domain Controller Enumeration</w:t>
      </w:r>
    </w:p>
    <w:p>
      <w:pPr>
        <w:pStyle w:val="BodyText"/>
      </w:pPr>
      <w:r>
        <w:t xml:space="preserve">Capture all Domain Controllers across every domain with operating system, IP, GC status, and site membership.</w:t>
      </w:r>
    </w:p>
    <w:p>
      <w:pPr>
        <w:pStyle w:val="BodyText"/>
      </w:pPr>
      <w:r>
        <w:t xml:space="preserve"># Enumerate all Domain Controllers across all domains $AllDCs = @ foreach ($DomainDNS in (Get-ADForest).Domains) { $DCs = Get-ADDomainController -Filter * -Server $DomainDNS | Select-Object HostName, Domain, Site, IPv4Address, OperatingSystem, OperatingSystemVersion, IsGlobalCatalog, IsReadOnly, Enabled, @{N='FSMORoles'; E={ $Roles = @ $Dom = Get-ADDomain -Server $DomainDNS $For = Get-ADForest if ($_.HostName -eq $Dom.PDCEmulator) { $Roles += "PDCEmulator" } if ($_.HostName -eq $Dom.RIDMaster) { $Roles += "RIDMaster" } if ($_.HostName -eq $Dom.InfrastructureMaster) { $Roles += "InfrastructureMaster" } if ($_.HostName -eq $For.SchemaMaster) { $Roles += "SchemaMaster" } if ($_.HostName -eq $For.DomainNamingMaster) { $Roles += "DomainNamingMaster" } $Roles }} $AllDCs += $DCs } $AllDCs | ConvertTo-Json -Depth 5 | Out-File -FilePath "D:\FMP\Assessment\$((Get-ADForest).RootDomain)\Domains\DomainControllers.json" -Encoding UTF8</w:t>
      </w:r>
    </w:p>
    <w:p>
      <w:pPr>
        <w:pStyle w:val="BodyText"/>
      </w:pPr>
      <w:r>
        <w:t xml:space="preserve">3.4 Site Topology Discovery</w:t>
      </w:r>
    </w:p>
    <w:p>
      <w:pPr>
        <w:pStyle w:val="BodyText"/>
      </w:pPr>
      <w:r>
        <w:t xml:space="preserve">Capture Active Directory Sites and Services configuration including sites, site links, and subnet-to-site mappings.</w:t>
      </w:r>
    </w:p>
    <w:p>
      <w:pPr>
        <w:pStyle w:val="BodyText"/>
      </w:pPr>
      <w:r>
        <w:t xml:space="preserve"># Enumerate AD Sites $Sites = Get-ADReplicationSite -Filter * -Properties * | Select-Object Name, Description, Location, @{N='Subnets'; E={ (Get-ADReplicationSubnet -Filter "Site -eq '$($_.DistinguishedName)'" | Select-Object -ExpandProperty Name) }} $Sites | ConvertTo-Json -Depth 5 | Out-File -FilePath "D:\FMP\Assessment\$((Get-ADForest).RootDomain)\Forest\Sites.json" -Encoding UTF8 # Enumerate Site Links $SiteLinks = Get-ADReplicationSiteLink -Filter * -Properties * | Select-Object Name, Cost, ReplicationFrequencyInMinutes, @{N='Sites'; E={ $_.SitesIncluded | ForEach-Object { ($_ -split ',')[0] -replace 'CN=','' } }}, Options, Description $SiteLinks | ConvertTo-Json -Depth 5 | Out-File -FilePath "D:\FMP\Assessment\$((Get-ADForest).RootDomain)\Forest\SiteLinks.json" -Encoding UTF8 # Enumerate Subnets $Subnets = Get-ADReplicationSubnet -Filter * -Properties * | Select-Object Name, Site, Location, Description $Subnets | ConvertTo-Json -Depth 5 | Out-File -FilePath "D:\FMP\Assessment\$((Get-ADForest).RootDomain)\Forest\Subnets.json" -Encoding UTF8</w:t>
      </w:r>
    </w:p>
    <w:p>
      <w:pPr>
        <w:pStyle w:val="BodyText"/>
      </w:pPr>
      <w:r>
        <w:t xml:space="preserve">3.5 FSMO Role Holder Summary</w:t>
      </w:r>
    </w:p>
    <w:p>
      <w:pPr>
        <w:pStyle w:val="BodyText"/>
      </w:pPr>
      <w:r>
        <w:t xml:space="preserve">Enumerate all five FSMO roles across the forest and each domain, producing a single consolidated reference.</w:t>
      </w:r>
    </w:p>
    <w:p>
      <w:pPr>
        <w:pStyle w:val="BodyText"/>
      </w:pPr>
      <w:r>
        <w:t xml:space="preserve"># Consolidated FSMO role holder report $Forest = Get-ADForest $FSMORoles = @ # Forest-wide roles $FSMORoles += [PSCustomObject]@{ Role = "Schema Master" Scope = "Forest" Holder = $Forest.SchemaMaster Domain = $Forest.RootDomain } $FSMORoles += [PSCustomObject]@{ Role = "Domain Naming Master" Scope = "Forest" Holder = $Forest.DomainNamingMaster Domain = $Forest.RootDomain } # Domain-wide roles for each domain foreach ($DomainDNS in $Forest.Domains) { $Dom = Get-ADDomain -Server $DomainDNS $FSMORoles += [PSCustomObject]@{ Role = "PDC Emulator" Scope = "Domain" Holder = $Dom.PDCEmulator Domain = $DomainDNS } $FSMORoles += [PSCustomObject]@{ Role = "RID Master" Scope = "Domain" Holder = $Dom.RIDMaster Domain = $DomainDNS } $FSMORoles += [PSCustomObject]@{ Role = "Infrastructure Master" Scope = "Domain" Holder = $Dom.InfrastructureMaster Domain = $DomainDNS } } $FSMORoles | ConvertTo-Json -Depth 3 | Out-File -FilePath "D:\FMP\Assessment\$($Forest.RootDomain)\Forest\FSMORoles.json" -Encoding UTF8</w:t>
      </w:r>
    </w:p>
    <w:p>
      <w:pPr>
        <w:pStyle w:val="BodyText"/>
      </w:pPr>
      <w:r>
        <w:t xml:space="preserve">3.6 Master Forest Topology Aggregation</w:t>
      </w:r>
    </w:p>
    <w:p>
      <w:pPr>
        <w:pStyle w:val="BodyText"/>
      </w:pPr>
      <w:r>
        <w:t xml:space="preserve">The Get-FMPForestTopology wrapper function aggregates all topology discovery into a single call and produces the master ForestTopology.json file.</w:t>
      </w:r>
    </w:p>
    <w:p>
      <w:pPr>
        <w:pStyle w:val="BodyText"/>
      </w:pPr>
      <w:r>
        <w:t xml:space="preserve">function Get-FMPForestTopology { &lt;# .SYNOPSIS Performs complete AD forest topology discovery for the Federal Modernization Program assessment. .DESCRIPTION Captures forest configuration, all domains, domain controllers, sites, site links, subnets, and FSMO role holders. Produces a consolidated ForestTopology.json master file. .PARAMETER OutputPath Root output directory. Defaults to D:\FMP\Assessment. .EXAMPLE Get-FMPForestTopology -OutputPath "D:\FMP\Assessment" .OUTPUTS ForestTopology.json — consolidated master topology file. #&gt; [CmdletBinding] param( [string]$OutputPath = "D:\FMP\Assessment" ) $Forest = Get-ADForest $BasePath = Join-Path $OutputPath $Forest.RootDomain $ForestPath = Join-Path $BasePath "Forest" # Ensure output directories exist @("Forest","Domains") | ForEach-Object { $Dir = Join-Path $BasePath $_ if (-not (Test-Path $Dir)) { New-Item -Path $Dir -ItemType Directory -Force | Out-Null } } # Forest info $ForestInfo = $Forest | Select-Object Name, RootDomain, ForestMode, SchemaMaster, DomainNamingMaster, Domains, Sites, GlobalCatalogs, SPNSuffixes, UPNSuffixes # Domains $Domains = foreach ($DomainDNS in $Forest.Domains) { Get-ADDomain -Server $DomainDNS | Select-Object DNSRoot, NetBIOSName, DomainMode, DomainSID, PDCEmulator, RIDMaster, InfrastructureMaster, DistinguishedName } # Domain Controllers $DCs = foreach ($DomainDNS in $Forest.Domains) { Get-ADDomainController -Filter * -Server $DomainDNS | Select-Object HostName, Domain, Site, IPv4Address, OperatingSystem, IsGlobalCatalog, IsReadOnly } # Sites, Site Links, Subnets $Sites = Get-ADReplicationSite -Filter * | Select-Object Name, Description, Location $SiteLinks = Get-ADReplicationSiteLink -Filter * | Select-Object Name, Cost, ReplicationFrequencyInMinutes $Subnets = Get-ADReplicationSubnet -Filter * | Select-Object Name, Site, Location # FSMO roles $FSMO = @( [PSCustomObject]@{ Role="SchemaMaster"; Holder=$Forest.SchemaMaster } [PSCustomObject]@{ Role="DomainNamingMaster"; Holder=$Forest.DomainNamingMaster } ) foreach ($DomainDNS in $Forest.Domains) { $D = Get-ADDomain -Server $DomainDNS $FSMO += [PSCustomObject]@{ Role="PDCEmulator ($DomainDNS)"; Holder=$D.PDCEmulator } $FSMO += [PSCustomObject]@{ Role="RIDMaster ($DomainDNS)"; Holder=$D.RIDMaster } $FSMO += [PSCustomObject]@{ Role="InfrastructureMaster ($DomainDNS)"; Holder=$D.InfrastructureMaster } } # Assemble master topology $Topology = [PSCustomObject]@{ AssessmentTimestamp = (Get-Date -Format "o") Forest = $ForestInfo Domains = $Domains DomainControllers = $DCs Sites = $Sites SiteLinks = $SiteLinks Subnets = $Subnets FSMORoles = $FSMO } $Topology | ConvertTo-Json -Depth 10 | Out-File -FilePath (Join-Path $ForestPath "ForestTopology.json") -Encoding UTF8 Write-Host "[COMPLETE] ForestTopology.json written to $ForestPath" -ForegroundColor Green return $Topology }</w:t>
      </w:r>
    </w:p>
    <w:p>
      <w:pPr>
        <w:pStyle w:val="BodyText"/>
      </w:pPr>
      <w:r>
        <w:t xml:space="preserve">4. Organizational Unit Hierarchy Extraction</w:t>
      </w:r>
    </w:p>
    <w:p>
      <w:pPr>
        <w:pStyle w:val="BodyText"/>
      </w:pPr>
      <w:r>
        <w:t xml:space="preserve">4.1 Full OU Enumeration</w:t>
      </w:r>
    </w:p>
    <w:p>
      <w:pPr>
        <w:pStyle w:val="BodyText"/>
      </w:pPr>
      <w:r>
        <w:t xml:space="preserve">Extract every OU in the domain with all properties required for governance analysis.</w:t>
      </w:r>
    </w:p>
    <w:p>
      <w:pPr>
        <w:pStyle w:val="BodyText"/>
      </w:pPr>
      <w:r>
        <w:t xml:space="preserve"># Full OU enumeration with all governance-relevant properties $AllOUs = Get-ADOrganizationalUnit -Filter * -Properties ` CanonicalName, Description, ManagedBy, Created, Modified, ProtectedFromAccidentalDeletion, LinkedGroupPolicyObjects, DistinguishedName, gPLink, gPOptions | Select-Object Name, DistinguishedName, CanonicalName, Description, ManagedBy, Created, Modified, ProtectedFromAccidentalDeletion, @{N='LinkedGPOs'; E={ $_.LinkedGroupPolicyObjects }}, @{N='GPLinkRaw'; E={ $_.gPLink }}, @{N='Depth'; E={ ($_.DistinguishedName -split ',OU=').Count - 1 }} $AllOUs | ConvertTo-Json -Depth 5 | Out-File -FilePath "D:\FMP\Assessment\$((Get-ADDomain).DNSRoot)\OUs\OUFlatExport.json" -Encoding UTF8 # CSV export for spreadsheet analysis $AllOUs | Select-Object Name, CanonicalName, Description, ManagedBy, ProtectedFromAccidentalDeletion, Depth | Export-Csv -Path "D:\FMP\Assessment\$((Get-ADDomain).DNSRoot)\OUs\OUFlatList.csv" ` -NoTypeInformation -Encoding UTF8</w:t>
      </w:r>
    </w:p>
    <w:p>
      <w:pPr>
        <w:pStyle w:val="BodyText"/>
      </w:pPr>
      <w:r>
        <w:t xml:space="preserve">4.2 Recursive OU Tree Builder</w:t>
      </w:r>
    </w:p>
    <w:p>
      <w:pPr>
        <w:pStyle w:val="BodyText"/>
      </w:pPr>
      <w:r>
        <w:t xml:space="preserve">Construct a nested JSON structure representing the full OU hierarchy with depth tracking and child OU enumeration.</w:t>
      </w:r>
    </w:p>
    <w:p>
      <w:pPr>
        <w:pStyle w:val="BodyText"/>
      </w:pPr>
      <w:r>
        <w:t xml:space="preserve"># Recursive OU tree builder function Build-OUTree { &lt;# .SYNOPSIS Builds a nested JSON tree of the AD OU hierarchy. .DESCRIPTION Recursively enumerates child OUs starting from a given parent DN, producing a nested object suitable for JSON serialization. Includes object counts, GPO links, and delegation data at each node. .PARAMETER ParentDN Distinguished Name of the parent container. .PARAMETER Depth Current recursion depth (used internally). .EXAMPLE $Tree = Build-OUTree -ParentDN (Get-ADDomain).DistinguishedName -Depth 0 .OUTPUTS Nested PSCustomObject representing the OU tree. #&gt; [CmdletBinding] param( [Parameter(Mandatory)] [string]$ParentDN, [int]$Depth = 0 ) $ChildOUs = Get-ADOrganizationalUnit -Filter * -SearchBase $ParentDN ` -SearchScope OneLevel -Properties Description, ManagedBy, ProtectedFromAccidentalDeletion, LinkedGroupPolicyObjects $Tree = foreach ($OU in $ChildOUs) { # Count objects in this OU (direct children only) $UserCount = (Get-ADUser -Filter * -SearchBase $OU.DistinguishedName -SearchScope OneLevel -ErrorAction SilentlyContinue).Count $ComputerCount = (Get-ADComputer -Filter * -SearchBase $OU.DistinguishedName -SearchScope OneLevel -ErrorAction SilentlyContinue).Count $GroupCount = (Get-ADGroup -Filter * -SearchBase $OU.DistinguishedName -SearchScope OneLevel -ErrorAction SilentlyContinue).Count [PSCustomObject]@{ Name = $OU.Name DistinguishedName = $OU.DistinguishedName Description = $OU.Description ManagedBy = $OU.ManagedBy ProtectedFromAccidentalDeletion = $OU.ProtectedFromAccidentalDeletion LinkedGPOs = $OU.LinkedGroupPolicyObjects Depth = $Depth ObjectCounts = [PSCustomObject]@{ Users = $UserCount Computers = $ComputerCount Groups = $GroupCount } Children = @(Build-OUTree -ParentDN $OU.DistinguishedName -Depth ($Depth + 1)) } } return $Tree } # Execute tree build from domain root $DomainDN = (Get-ADDomain).DistinguishedName $OUTree = Build-OUTree -ParentDN $DomainDN -Depth 0 $OUTree | ConvertTo-Json -Depth 20 | Out-File -FilePath "D:\FMP\Assessment\$((Get-ADDomain).DNSRoot)\OUs\OUHierarchy.json" -Encoding UTF8</w:t>
      </w:r>
    </w:p>
    <w:p>
      <w:pPr>
        <w:pStyle w:val="BodyText"/>
      </w:pPr>
      <w:r>
        <w:t xml:space="preserve">4.3 OU-to-GPO Link Mapping</w:t>
      </w:r>
    </w:p>
    <w:p>
      <w:pPr>
        <w:pStyle w:val="BodyText"/>
      </w:pPr>
      <w:r>
        <w:t xml:space="preserve">For each OU, enumerate all linked GPOs with link order, enforcement status, and inheritance blocking.</w:t>
      </w:r>
    </w:p>
    <w:p>
      <w:pPr>
        <w:pStyle w:val="BodyText"/>
      </w:pPr>
      <w:r>
        <w:t xml:space="preserve"># Parse gPLink attribute to extract GPO links with metadata function Get-OUGPOLinks { [CmdletBinding] param([Parameter(Mandatory)][string]$DistinguishedName) $OU = Get-ADOrganizationalUnit -Identity $DistinguishedName -Properties gPLink, gPOptions $Links = @ if ($OU.gPLink) { $LinkEntries = [regex]::Matches($OU.gPLink, '\[LDAP://cn=\{([^}]+)\},cn=policies,cn=system,([^;]+);(\d)\]') $Order = 1 foreach ($Match in $LinkEntries) { $GpoGuid = $Match.Groups[1].Value $LinkFlag = [int]$Match.Groups[3].Value $GPO = Get-GPO -Guid $GpoGuid -ErrorAction SilentlyContinue $Links += [PSCustomObject]@{ OUPath = $DistinguishedName GPOName = if ($GPO) { $GPO.DisplayName } else { "Unknown" } GPOGUID = $GpoGuid LinkOrder = $Order IsEnforced = ($LinkFlag -band 2) -eq 2 IsDisabled = ($LinkFlag -band 1) -eq 1 } $Order++ } } [PSCustomObject]@{ OU = $DistinguishedName InheritanceBlocked = ($OU.gPOptions -eq 1) GPOLinks = $Links } }</w:t>
      </w:r>
    </w:p>
    <w:p>
      <w:pPr>
        <w:pStyle w:val="BodyText"/>
      </w:pPr>
      <w:r>
        <w:t xml:space="preserve">4.4 OU Delegation Analysis</w:t>
      </w:r>
    </w:p>
    <w:p>
      <w:pPr>
        <w:pStyle w:val="BodyText"/>
      </w:pPr>
      <w:r>
        <w:t xml:space="preserve">Enumerate Access Control Entries on each OU to identify delegated permissions.</w:t>
      </w:r>
    </w:p>
    <w:p>
      <w:pPr>
        <w:pStyle w:val="BodyText"/>
      </w:pPr>
      <w:r>
        <w:t xml:space="preserve"># Analyze delegated permissions on each OU $OUDelegations = foreach ($OU in (Get-ADOrganizationalUnit -Filter *)) { $ACL = Get-Acl -Path "AD:\$($OU.DistinguishedName)" $ACEs = $ACL.Access | Where-Object { $_.IdentityReference -notmatch "NT AUTHORITY|BUILTIN|S-1-5-" -and $_.IsInherited -eq $false } | Select-Object IdentityReference, ActiveDirectoryRights, AccessControlType, ObjectType, InheritedObjectType [PSCustomObject]@{ OU = $OU.Name DN = $OU.DistinguishedName Delegations = $ACEs } } $OUDelegations | ConvertTo-Json -Depth 5 | Out-File -FilePath "D:\FMP\Assessment\$((Get-ADDomain).DNSRoot)\OUs\OUDelegations.json" -Encoding UTF8</w:t>
      </w:r>
    </w:p>
    <w:p>
      <w:pPr>
        <w:pStyle w:val="BodyText"/>
      </w:pPr>
      <w:r>
        <w:t xml:space="preserve">4.5 Visual Tree Renderer</w:t>
      </w:r>
    </w:p>
    <w:p>
      <w:pPr>
        <w:pStyle w:val="BodyText"/>
      </w:pPr>
      <w:r>
        <w:t xml:space="preserve">Produce a human-readable indented text rendering of the OU hierarchy for manual review.</w:t>
      </w:r>
    </w:p>
    <w:p>
      <w:pPr>
        <w:pStyle w:val="BodyText"/>
      </w:pPr>
      <w:r>
        <w:t xml:space="preserve"># Render OU tree as indented text function Show-OUTree { [CmdletBinding] param( [Parameter(Mandatory)]$TreeNodes, [int]$IndentLevel = 0 ) $Indent = " " * $IndentLevel foreach ($Node in $TreeNodes) { $GPOCount = ($Node.LinkedGPOs | Measure-Object).Count $Line = "${Indent}├── $($Node.Name) [U:$($Node.ObjectCounts.Users) C:$($Node.ObjectCounts.Computers) G:$($Node.ObjectCounts.Groups) GPO:$GPOCount]" Write-Output $Line if ($Node.Children.Count -gt 0) { Show-OUTree -TreeNodes $Node.Children -IndentLevel ($IndentLevel + 1) } } } # Usage Show-OUTree -TreeNodes $OUTree | Out-File -FilePath "D:\FMP\Assessment\$((Get-ADDomain).DNSRoot)\OUs\OUTreeVisual.txt" -Encoding UTF8</w:t>
      </w:r>
    </w:p>
    <w:p>
      <w:pPr>
        <w:pStyle w:val="BodyText"/>
      </w:pPr>
      <w:r>
        <w:t xml:space="preserve">4.6 Wrapper Function</w:t>
      </w:r>
    </w:p>
    <w:p>
      <w:pPr>
        <w:pStyle w:val="BodyText"/>
      </w:pPr>
      <w:r>
        <w:t xml:space="preserve">function Get-FMPOUHierarchy { &lt;# .SYNOPSIS Performs complete OU hierarchy extraction for the Federal Modernization Program assessment. .DESCRIPTION Extracts the full OU tree, flat OU list, GPO link mappings, delegation analysis, and visual tree rendering. .PARAMETER OutputPath Root output directory. Defaults to D:\FMP\Assessment. .EXAMPLE Get-FMPOUHierarchy -OutputPath "D:\FMP\Assessment" .OUTPUTS OUHierarchy.json, OUFlatList.csv, OUDelegations.json, OUTreeVisual.txt #&gt; [CmdletBinding] param([string]$OutputPath = "D:\FMP\Assessment") $DomainDNS = (Get-ADDomain).DNSRoot $OUPath = Join-Path $OutputPath "$DomainDNS\OUs" if (-not (Test-Path $OUPath)) { New-Item -Path $OUPath -ItemType Directory -Force | Out-Null } # Build tree $DomainDN = (Get-ADDomain).DistinguishedName $OUTree = Build-OUTree -ParentDN $DomainDN -Depth 0 $OUTree | ConvertTo-Json -Depth 20 | Out-File (Join-Path $OUPath "OUHierarchy.json") -Encoding UTF8 # Flat list Get-ADOrganizationalUnit -Filter * -Properties CanonicalName, Description, ManagedBy | Select-Object Name, CanonicalName, Description, ManagedBy | Export-Csv -Path (Join-Path $OUPath "OUFlatList.csv") -NoTypeInformation -Encoding UTF8 # Visual tree Show-OUTree -TreeNodes $OUTree | Out-File (Join-Path $OUPath "OUTreeVisual.txt") -Encoding UTF8 Write-Host "[COMPLETE] OU hierarchy extraction finished." -ForegroundColor Green }</w:t>
      </w:r>
    </w:p>
    <w:p>
      <w:pPr>
        <w:pStyle w:val="BodyText"/>
      </w:pPr>
      <w:r>
        <w:t xml:space="preserve">5. Group Policy Object Inventory and Analysis</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Critical Section</w:t>
            </w:r>
          </w:p>
          <w:p>
            <w:pPr>
              <w:pStyle w:val="BodyText"/>
            </w:pPr>
            <w:r>
              <w:t xml:space="preserve">Group Policy Object inventory is the highest-value assessment artifact for modernization planning. The GPO inventory directly feeds the GPO-to-Intune migration plan. Every GPO setting must be decomposed, categorized, and exported in machine-readable format.</w:t>
            </w:r>
          </w:p>
        </w:tc>
      </w:tr>
    </w:tbl>
    <w:p>
      <w:pPr>
        <w:pStyle w:val="BodyText"/>
      </w:pPr>
      <w:r>
        <w:t xml:space="preserve">5.1 GPO Enumeration</w:t>
      </w:r>
    </w:p>
    <w:p>
      <w:pPr>
        <w:pStyle w:val="BodyText"/>
      </w:pPr>
      <w:r>
        <w:t xml:space="preserve">Enumerate every Group Policy Object in the domain with full metadata.</w:t>
      </w:r>
    </w:p>
    <w:p>
      <w:pPr>
        <w:pStyle w:val="BodyText"/>
      </w:pPr>
      <w:r>
        <w:t xml:space="preserve"># Full GPO enumeration $AllGPOs = Get-GPO -All | Select-Object ` DisplayName, Id, GpoStatus, CreationTime, ModificationTime, Owner, Description, @{N='WmiFilterName'; E={ if ($_.WmiFilter) { $_.WmiFilter.Name } else { $null } }}, @{N='ComputerEnabled'; E={ $_.GpoStatus -notmatch 'ComputerSettingsDisabled|AllSettingsDisabled' }}, @{N='UserEnabled'; E={ $_.GpoStatus -notmatch 'UserSettingsDisabled|AllSettingsDisabled' }} $AllGPOs | ConvertTo-Json -Depth 5 | Out-File -FilePath "D:\FMP\Assessment\$((Get-ADDomain).DNSRoot)\GPOs\GPOInventory.json" -Encoding UTF8 Write-Host "Enumerated $($AllGPOs.Count) GPOs." -ForegroundColor Green</w:t>
      </w:r>
    </w:p>
    <w:p>
      <w:pPr>
        <w:pStyle w:val="BodyText"/>
      </w:pPr>
      <w:r>
        <w:t xml:space="preserve">5.2 GPO Report Export (XML and HTML)</w:t>
      </w:r>
    </w:p>
    <w:p>
      <w:pPr>
        <w:pStyle w:val="BodyText"/>
      </w:pPr>
      <w:r>
        <w:t xml:space="preserve">Generate both XML (machine-readable) and HTML (human-readable) reports for every GPO.</w:t>
      </w:r>
    </w:p>
    <w:p>
      <w:pPr>
        <w:pStyle w:val="BodyText"/>
      </w:pPr>
      <w:r>
        <w:t xml:space="preserve"># Export GPO reports in XML and HTML $DomainDNS = (Get-ADDomain).DNSRoot $GPOSetPath = "D:\FMP\Assessment\$DomainDNS\GPOs\GPOSettings" foreach ($GPO in (Get-GPO -All)) { $SafeName = $GPO.Id.ToString # XML report — machine-readable for settings decomposition Get-GPOReport -Guid $GPO.Id -ReportType XML -Path (Join-Path $GPOSetPath "$SafeName.xml") # HTML report — human-readable for manual review Get-GPOReport -Guid $GPO.Id -ReportType HTML -Path (Join-Path $GPOSetPath "$SafeName.html") } Write-Host "GPO reports exported to $GPOSetPath" -ForegroundColor Green</w:t>
      </w:r>
    </w:p>
    <w:p>
      <w:pPr>
        <w:pStyle w:val="BodyText"/>
      </w:pPr>
      <w:r>
        <w:t xml:space="preserve">5.3 GPO Link Analysis</w:t>
      </w:r>
    </w:p>
    <w:p>
      <w:pPr>
        <w:pStyle w:val="BodyText"/>
      </w:pPr>
      <w:r>
        <w:t xml:space="preserve">For each GPO, identify every OU, site, and domain where it is linked, including link order and enforcement status.</w:t>
      </w:r>
    </w:p>
    <w:p>
      <w:pPr>
        <w:pStyle w:val="BodyText"/>
      </w:pPr>
      <w:r>
        <w:t xml:space="preserve"># Comprehensive GPO link analysis $GPOLinks = foreach ($GPO in (Get-GPO -All)) { # Search all OUs for links to this GPO $LinkedOUs = Get-ADOrganizationalUnit -Filter * -Properties gPLink | Where-Object { $_.gPLink -match $GPO.Id } | Select-Object -ExpandProperty DistinguishedName # Check domain root $DomainObj = Get-ADDomain $DomainGPLink = (Get-ADObject $DomainObj.DistinguishedName -Properties gPLink).gPLink $LinkedToDomain = $DomainGPLink -match $GPO.Id [PSCustomObject]@{ GPOName = $GPO.DisplayName GPOGUID = $GPO.Id.ToString LinkedOUs = $LinkedOUs LinkedToDomain = $LinkedToDomain TotalLinks = $LinkedOUs.Count + [int]$LinkedToDomain IsUnlinked = ($LinkedOUs.Count -eq 0 -and -not $LinkedToDomain) } } $GPOLinks | ConvertTo-Json -Depth 5 | Out-File -FilePath "D:\FMP\Assessment\$((Get-ADDomain).DNSRoot)\GPOs\GPOLinks.json" -Encoding UTF8</w:t>
      </w:r>
    </w:p>
    <w:p>
      <w:pPr>
        <w:pStyle w:val="BodyText"/>
      </w:pPr>
      <w:r>
        <w:t xml:space="preserve">5.4 GPO Settings Decomposition</w:t>
      </w:r>
    </w:p>
    <w:p>
      <w:pPr>
        <w:pStyle w:val="BodyText"/>
      </w:pPr>
      <w:r>
        <w:t xml:space="preserve">Parse XML reports to extract and categorize every configured setting by policy area.</w:t>
      </w:r>
    </w:p>
    <w:p>
      <w:pPr>
        <w:pStyle w:val="BodyText"/>
      </w:pPr>
      <w:r>
        <w:t xml:space="preserve"># Parse GPO XML reports and decompose settings by category function Export-FMPGPOSettings { &lt;# .SYNOPSIS Decomposes GPO settings from XML reports into categorized JSON. .DESCRIPTION Reads each GPO XML report, parses the XML DOM, and extracts settings organized by configuration area: Security Settings, Administrative Templates, Preferences, Scripts, Software Installation, Folder Redirection, and Registry-based settings. .PARAMETER GPOSettingsPath Path to the directory containing GPO XML reports. .PARAMETER OutputPath Path for the decomposed JSON output. .EXAMPLE Export-FMPGPOSettings -GPOSettingsPath "D:\FMP\Assessment\contoso.com\GPOs\GPOSettings" ` -OutputPath "D:\FMP\Assessment\contoso.com\GPOs" .OUTPUTS GPOSettingsDecomposed.json — structured JSON of all settings by category. #&gt; [CmdletBinding] param( [Parameter(Mandatory)][string]$GPOSettingsPath, [Parameter(Mandatory)][string]$OutputPath ) $DecomposedGPOs = @ foreach ($XmlFile in (Get-ChildItem -Path $GPOSettingsPath -Filter "*.xml")) { [xml]$GPOXml = Get-Content -Path $XmlFile.FullName -Encoding UTF8 $NS = @{ gp = "http://www.microsoft.com/GroupPolicy/Settings" } $GPOEntry = [PSCustomObject]@{ GPOName = $GPOXml.GPO.Name GPOGUID = $GPOXml.GPO.Identifier.Identifier.'#text' Computer = [PSCustomObject]@{ SecuritySettings = @($GPOXml.GPO.Computer.ExtensionData | Where-Object { $_.Name -match "Security" }) AdministrativeTemplates = @($GPOXml.GPO.Computer.ExtensionData | Where-Object { $_.Name -match "Administrative Templates" }) Preferences = @($GPOXml.GPO.Computer.ExtensionData | Where-Object { $_.Name -match "Preferences" }) Scripts = @($GPOXml.GPO.Computer.ExtensionData | Where-Object { $_.Name -match "Scripts" }) SoftwareInstallation = @($GPOXml.GPO.Computer.ExtensionData | Where-Object { $_.Name -match "Software Installation" }) } User = [PSCustomObject]@{ AdministrativeTemplates = @($GPOXml.GPO.User.ExtensionData | Where-Object { $_.Name -match "Administrative Templates" }) Preferences = @($GPOXml.GPO.User.ExtensionData | Where-Object { $_.Name -match "Preferences" }) FolderRedirection = @($GPOXml.GPO.User.ExtensionData | Where-Object { $_.Name -match "Folder Redirection" }) Scripts = @($GPOXml.GPO.User.ExtensionData | Where-Object { $_.Name -match "Scripts" }) } } $DecomposedGPOs += $GPOEntry } $DecomposedGPOs | ConvertTo-Json -Depth 15 | Out-File -FilePath (Join-Path $OutputPath "GPOSettingsDecomposed.json") -Encoding UTF8 Write-Host "[COMPLETE] GPO settings decomposed: $($DecomposedGPOs.Count) GPOs processed." -ForegroundColor Green }</w:t>
      </w:r>
    </w:p>
    <w:p>
      <w:pPr>
        <w:pStyle w:val="BodyText"/>
      </w:pPr>
      <w:r>
        <w:t xml:space="preserve">5.5 Unlinked and Empty GPO Detection</w:t>
      </w:r>
    </w:p>
    <w:p>
      <w:pPr>
        <w:pStyle w:val="BodyText"/>
      </w:pPr>
      <w:r>
        <w:t xml:space="preserve"># Detect unlinked GPOs $UnlinkedGPOs = $GPOLinks | Where-Object { $_.IsUnlinked -eq $true } Write-Host "Found $($UnlinkedGPOs.Count) unlinked GPOs." -ForegroundColor Yellow # Detect empty GPOs (no settings configured) $EmptyGPOs = foreach ($GPO in (Get-GPO -All)) { $Report =</w:t>
      </w:r>
      <w:r>
        <w:t xml:space="preserve"> </w:t>
      </w:r>
      <w:r>
        <w:t xml:space="preserve"> $HasComputer = $Report.GPO.Computer.ExtensionData -ne $null $HasUser = $Report.GPO.User.ExtensionData -ne $null if (-not $HasComputer -and -not $HasUser) { [PSCustomObject]@{ GPOName = $GPO.DisplayName GPOGUID = $GPO.Id.ToString CreationTime = $GPO.CreationTime Owner = $GPO.Owner } } } Write-Host "Found $($EmptyGPOs.Count) empty GPOs." -ForegroundColor Yellow</w:t>
      </w:r>
    </w:p>
    <w:p>
      <w:pPr>
        <w:pStyle w:val="BodyText"/>
      </w:pPr>
      <w:r>
        <w:t xml:space="preserve">5.6 Conflicting GPO Detection</w:t>
      </w:r>
    </w:p>
    <w:p>
      <w:pPr>
        <w:pStyle w:val="BodyText"/>
      </w:pPr>
      <w:r>
        <w:t xml:space="preserve"># Identify settings configured in multiple GPOs that may conflict function Find-GPOConflicts { &lt;# .SYNOPSIS Identifies GPO settings that appear in multiple GPOs. .DESCRIPTION Compares registry-based policy settings across all GPOs to detect potential conflicts where the same registry key/value is configured in more than one GPO with different data. .EXAMPLE Find-GPOConflicts .OUTPUTS Array of conflict objects with GPO names and setting details. #&gt; [CmdletBinding] param $SettingMap = @{} foreach ($GPO in (Get-GPO -All)) { [xml]$Report = Get-GPOReport -Guid $GPO.Id -ReportType XML $Extensions = @ $Extensions += $Report.GPO.Computer.ExtensionData $Extensions += $Report.GPO.User.ExtensionData foreach ($Ext in $Extensions) { if ($Ext.Extension) { foreach ($Policy in $Ext.Extension.ChildNodes) { $Key = "$($Policy.LocalName):$($Policy.Name)" if (-not $SettingMap.ContainsKey($Key)) { $SettingMap[$Key] = @ } $SettingMap[$Key] += [PSCustomObject]@{ GPOName = $GPO.DisplayName Setting = $Policy.Name State = $Policy.State } } } } } $Conflicts = $SettingMap.GetEnumerator | Where-Object { $_.Value.Count -gt 1 } | ForEach-Object { [PSCustomObject]@{ SettingKey = $_.Key GPOCount = $_.Value.Count GPOs = $_.Value } } return $Conflicts }</w:t>
      </w:r>
    </w:p>
    <w:p>
      <w:pPr>
        <w:pStyle w:val="BodyText"/>
      </w:pPr>
      <w:r>
        <w:t xml:space="preserve">5.7 GPO Permission Analysis</w:t>
      </w:r>
    </w:p>
    <w:p>
      <w:pPr>
        <w:pStyle w:val="BodyText"/>
      </w:pPr>
      <w:r>
        <w:t xml:space="preserve"># GPO permission analysis — who can edit each GPO $GPOPermissions = foreach ($GPO in (Get-GPO -All)) { $Perms = Get-GPPermission -Guid $GPO.Id -All | Select-Object Trustee, TrusteeType, Permission, Inherited [PSCustomObject]@{ GPOName = $GPO.DisplayName GPOGUID = $GPO.Id.ToString Permissions = $Perms } } $GPOPermissions | ConvertTo-Json -Depth 5 | Out-File -FilePath "D:\FMP\Assessment\$((Get-ADDomain).DNSRoot)\GPOs\GPOPermissions.json" -Encoding UTF8</w:t>
      </w:r>
    </w:p>
    <w:p>
      <w:pPr>
        <w:pStyle w:val="BodyText"/>
      </w:pPr>
      <w:r>
        <w:t xml:space="preserve">5.8 GPO Backup</w:t>
      </w:r>
    </w:p>
    <w:p>
      <w:pPr>
        <w:pStyle w:val="BodyText"/>
      </w:pPr>
      <w:r>
        <w:t xml:space="preserve"># Backup all GPOs $BackupPath = "D:\FMP\Assessment\$((Get-ADDomain).DNSRoot)\GPOs\GPOBackups" Backup-GPO -All -Path $BackupPath Write-Host "All GPOs backed up to $BackupPath" -ForegroundColor Green</w:t>
      </w:r>
    </w:p>
    <w:p>
      <w:pPr>
        <w:pStyle w:val="BodyText"/>
      </w:pPr>
      <w:r>
        <w:t xml:space="preserve">5.9 Wrapper Function</w:t>
      </w:r>
    </w:p>
    <w:p>
      <w:pPr>
        <w:pStyle w:val="BodyText"/>
      </w:pPr>
      <w:r>
        <w:t xml:space="preserve">function Get-FMPGPOInventory { &lt;# .SYNOPSIS Performs complete GPO inventory and analysis for the Federal Modernization Program assessment. .DESCRIPTION Enumerates all GPOs, exports XML/HTML reports, analyzes links, detects unlinked/empty/conflicting GPOs, captures permissions, and creates full GPO backups. .PARAMETER OutputPath Root output directory. Defaults to D:\FMP\Assessment. .EXAMPLE Get-FMPGPOInventory -OutputPath "D:\FMP\Assessment" .OUTPUTS GPOInventory.json, GPOLinks.json, GPOPermissions.json, GPOSettingsDecomposed.json, GPO XML/HTML reports, GPO backups. #&gt; [CmdletBinding] param([string]$OutputPath = "D:\FMP\Assessment") $DomainDNS = (Get-ADDomain).DNSRoot $GPOPath = Join-Path $OutputPath "$DomainDNS\GPOs" # Ensure directories @("GPOs","GPOs\GPOSettings","GPOs\GPOBackups") | ForEach-Object { $Dir = Join-Path $OutputPath "$DomainDNS\$_" if (-not (Test-Path $Dir)) { New-Item -Path $Dir -ItemType Directory -Force | Out-Null } } # Enumerate GPOs $AllGPOs = Get-GPO -All | Select-Object DisplayName, Id, GpoStatus, CreationTime, ModificationTime, Owner, Description $AllGPOs | ConvertTo-Json -Depth 5 | Out-File (Join-Path $GPOPath "GPOInventory.json") -Encoding UTF8 # Export reports $SetPath = Join-Path $GPOPath "GPOSettings" foreach ($GPO in (Get-GPO -All)) { Get-GPOReport -Guid $GPO.Id -ReportType XML -Path (Join-Path $SetPath "$($GPO.Id).xml") Get-GPOReport -Guid $GPO.Id -ReportType HTML -Path (Join-Path $SetPath "$($GPO.Id).html") } # Decompose settings Export-FMPGPOSettings -GPOSettingsPath $SetPath -OutputPath $GPOPath # Backup Backup-GPO -All -Path (Join-Path $GPOPath "GPOBackups") Write-Host "[COMPLETE] GPO inventory and analysis finished." -ForegroundColor Green }</w:t>
      </w:r>
    </w:p>
    <w:p>
      <w:pPr>
        <w:pStyle w:val="BodyText"/>
      </w:pPr>
      <w:r>
        <w:t xml:space="preserve">5.10 GPO Assessment Output Files</w:t>
      </w:r>
    </w:p>
    <w:tbl>
      <w:tblPr>
        <w:tblStyle w:val="Table"/>
        <w:tblW w:type="pct" w:w="4932"/>
        <w:tblLayout w:type="fixed"/>
        <w:tblLook w:firstRow="1" w:lastRow="0" w:firstColumn="0" w:lastColumn="0" w:noHBand="0" w:noVBand="0" w:val="0020"/>
      </w:tblPr>
      <w:tblGrid>
        <w:gridCol w:w="1562"/>
        <w:gridCol w:w="700"/>
        <w:gridCol w:w="3286"/>
        <w:gridCol w:w="2262"/>
      </w:tblGrid>
      <w:tr>
        <w:trPr>
          <w:tblHeader w:val="on"/>
        </w:trPr>
        <w:tc>
          <w:tcPr/>
          <w:p>
            <w:pPr>
              <w:pStyle w:val="Compact"/>
              <w:jc w:val="left"/>
            </w:pPr>
            <w:r>
              <w:rPr>
                <w:b/>
                <w:bCs/>
              </w:rPr>
              <w:t xml:space="preserve">Filename</w:t>
            </w:r>
          </w:p>
        </w:tc>
        <w:tc>
          <w:tcPr/>
          <w:p>
            <w:pPr>
              <w:pStyle w:val="Compact"/>
              <w:jc w:val="left"/>
            </w:pPr>
            <w:r>
              <w:rPr>
                <w:b/>
                <w:bCs/>
              </w:rPr>
              <w:t xml:space="preserve">Format</w:t>
            </w:r>
          </w:p>
        </w:tc>
        <w:tc>
          <w:tcPr/>
          <w:p>
            <w:pPr>
              <w:pStyle w:val="Compact"/>
              <w:jc w:val="left"/>
            </w:pPr>
            <w:r>
              <w:rPr>
                <w:b/>
                <w:bCs/>
              </w:rPr>
              <w:t xml:space="preserve">Contents</w:t>
            </w:r>
          </w:p>
        </w:tc>
        <w:tc>
          <w:tcPr/>
          <w:p>
            <w:pPr>
              <w:pStyle w:val="Compact"/>
              <w:jc w:val="left"/>
            </w:pPr>
            <w:r>
              <w:rPr>
                <w:b/>
                <w:bCs/>
              </w:rPr>
              <w:t xml:space="preserve">Downstream Consumer</w:t>
            </w:r>
          </w:p>
        </w:tc>
      </w:tr>
      <w:tr>
        <w:tc>
          <w:tcPr/>
          <w:p>
            <w:pPr>
              <w:pStyle w:val="Compact"/>
              <w:jc w:val="left"/>
            </w:pPr>
            <w:r>
              <w:t xml:space="preserve">GPOInventory.json</w:t>
            </w:r>
          </w:p>
        </w:tc>
        <w:tc>
          <w:tcPr/>
          <w:p>
            <w:pPr>
              <w:pStyle w:val="Compact"/>
              <w:jc w:val="left"/>
            </w:pPr>
            <w:r>
              <w:t xml:space="preserve">JSON</w:t>
            </w:r>
          </w:p>
        </w:tc>
        <w:tc>
          <w:tcPr/>
          <w:p>
            <w:pPr>
              <w:pStyle w:val="Compact"/>
              <w:jc w:val="left"/>
            </w:pPr>
            <w:r>
              <w:t xml:space="preserve">All GPO metadata — name, GUID, status, owner, timestamps</w:t>
            </w:r>
          </w:p>
        </w:tc>
        <w:tc>
          <w:tcPr/>
          <w:p>
            <w:pPr>
              <w:pStyle w:val="Compact"/>
              <w:jc w:val="left"/>
            </w:pPr>
            <w:r>
              <w:t xml:space="preserve">GPO-to-Intune Migration Plan</w:t>
            </w:r>
          </w:p>
        </w:tc>
      </w:tr>
      <w:tr>
        <w:tc>
          <w:tcPr/>
          <w:p>
            <w:pPr>
              <w:pStyle w:val="Compact"/>
              <w:jc w:val="left"/>
            </w:pPr>
            <w:r>
              <w:t xml:space="preserve">{GUID}.xml</w:t>
            </w:r>
          </w:p>
        </w:tc>
        <w:tc>
          <w:tcPr/>
          <w:p>
            <w:pPr>
              <w:pStyle w:val="Compact"/>
              <w:jc w:val="left"/>
            </w:pPr>
            <w:r>
              <w:t xml:space="preserve">XML</w:t>
            </w:r>
          </w:p>
        </w:tc>
        <w:tc>
          <w:tcPr/>
          <w:p>
            <w:pPr>
              <w:pStyle w:val="Compact"/>
              <w:jc w:val="left"/>
            </w:pPr>
            <w:r>
              <w:t xml:space="preserve">Full GPO settings report per GPO</w:t>
            </w:r>
          </w:p>
        </w:tc>
        <w:tc>
          <w:tcPr/>
          <w:p>
            <w:pPr>
              <w:pStyle w:val="Compact"/>
              <w:jc w:val="left"/>
            </w:pPr>
            <w:r>
              <w:t xml:space="preserve">Settings decomposition engine</w:t>
            </w:r>
          </w:p>
        </w:tc>
      </w:tr>
      <w:tr>
        <w:tc>
          <w:tcPr/>
          <w:p>
            <w:pPr>
              <w:pStyle w:val="Compact"/>
              <w:jc w:val="left"/>
            </w:pPr>
            <w:r>
              <w:t xml:space="preserve">{GUID}.html</w:t>
            </w:r>
          </w:p>
        </w:tc>
        <w:tc>
          <w:tcPr/>
          <w:p>
            <w:pPr>
              <w:pStyle w:val="Compact"/>
              <w:jc w:val="left"/>
            </w:pPr>
            <w:r>
              <w:t xml:space="preserve">HTML</w:t>
            </w:r>
          </w:p>
        </w:tc>
        <w:tc>
          <w:tcPr/>
          <w:p>
            <w:pPr>
              <w:pStyle w:val="Compact"/>
              <w:jc w:val="left"/>
            </w:pPr>
            <w:r>
              <w:t xml:space="preserve">Human-readable GPO report per GPO</w:t>
            </w:r>
          </w:p>
        </w:tc>
        <w:tc>
          <w:tcPr/>
          <w:p>
            <w:pPr>
              <w:pStyle w:val="Compact"/>
              <w:jc w:val="left"/>
            </w:pPr>
            <w:r>
              <w:t xml:space="preserve">Manual review / stakeholder delivery</w:t>
            </w:r>
          </w:p>
        </w:tc>
      </w:tr>
      <w:tr>
        <w:tc>
          <w:tcPr/>
          <w:p>
            <w:pPr>
              <w:pStyle w:val="Compact"/>
              <w:jc w:val="left"/>
            </w:pPr>
            <w:r>
              <w:t xml:space="preserve">GPOLinks.json</w:t>
            </w:r>
          </w:p>
        </w:tc>
        <w:tc>
          <w:tcPr/>
          <w:p>
            <w:pPr>
              <w:pStyle w:val="Compact"/>
              <w:jc w:val="left"/>
            </w:pPr>
            <w:r>
              <w:t xml:space="preserve">JSON</w:t>
            </w:r>
          </w:p>
        </w:tc>
        <w:tc>
          <w:tcPr/>
          <w:p>
            <w:pPr>
              <w:pStyle w:val="Compact"/>
              <w:jc w:val="left"/>
            </w:pPr>
            <w:r>
              <w:t xml:space="preserve">GPO-to-OU link mapping with enforcement flags</w:t>
            </w:r>
          </w:p>
        </w:tc>
        <w:tc>
          <w:tcPr/>
          <w:p>
            <w:pPr>
              <w:pStyle w:val="Compact"/>
              <w:jc w:val="left"/>
            </w:pPr>
            <w:r>
              <w:t xml:space="preserve">OU-to-attribute design, scope tag mapping</w:t>
            </w:r>
          </w:p>
        </w:tc>
      </w:tr>
      <w:tr>
        <w:tc>
          <w:tcPr/>
          <w:p>
            <w:pPr>
              <w:pStyle w:val="Compact"/>
              <w:jc w:val="left"/>
            </w:pPr>
            <w:r>
              <w:t xml:space="preserve">GPOPermissions.json</w:t>
            </w:r>
          </w:p>
        </w:tc>
        <w:tc>
          <w:tcPr/>
          <w:p>
            <w:pPr>
              <w:pStyle w:val="Compact"/>
              <w:jc w:val="left"/>
            </w:pPr>
            <w:r>
              <w:t xml:space="preserve">JSON</w:t>
            </w:r>
          </w:p>
        </w:tc>
        <w:tc>
          <w:tcPr/>
          <w:p>
            <w:pPr>
              <w:pStyle w:val="Compact"/>
              <w:jc w:val="left"/>
            </w:pPr>
            <w:r>
              <w:t xml:space="preserve">Edit/apply permissions per GPO</w:t>
            </w:r>
          </w:p>
        </w:tc>
        <w:tc>
          <w:tcPr/>
          <w:p>
            <w:pPr>
              <w:pStyle w:val="Compact"/>
              <w:jc w:val="left"/>
            </w:pPr>
            <w:r>
              <w:t xml:space="preserve">RBAC design for Intune</w:t>
            </w:r>
          </w:p>
        </w:tc>
      </w:tr>
      <w:tr>
        <w:tc>
          <w:tcPr/>
          <w:p>
            <w:pPr>
              <w:pStyle w:val="Compact"/>
              <w:jc w:val="left"/>
            </w:pPr>
            <w:r>
              <w:t xml:space="preserve">GPOSettingsDecomposed.json</w:t>
            </w:r>
          </w:p>
        </w:tc>
        <w:tc>
          <w:tcPr/>
          <w:p>
            <w:pPr>
              <w:pStyle w:val="Compact"/>
              <w:jc w:val="left"/>
            </w:pPr>
            <w:r>
              <w:t xml:space="preserve">JSON</w:t>
            </w:r>
          </w:p>
        </w:tc>
        <w:tc>
          <w:tcPr/>
          <w:p>
            <w:pPr>
              <w:pStyle w:val="Compact"/>
              <w:jc w:val="left"/>
            </w:pPr>
            <w:r>
              <w:t xml:space="preserve">All settings categorized by policy area</w:t>
            </w:r>
          </w:p>
        </w:tc>
        <w:tc>
          <w:tcPr/>
          <w:p>
            <w:pPr>
              <w:pStyle w:val="Compact"/>
              <w:jc w:val="left"/>
            </w:pPr>
            <w:r>
              <w:t xml:space="preserve">Intune configuration profile generator</w:t>
            </w:r>
          </w:p>
        </w:tc>
      </w:tr>
      <w:tr>
        <w:tc>
          <w:tcPr/>
          <w:p>
            <w:pPr>
              <w:pStyle w:val="Compact"/>
              <w:jc w:val="left"/>
            </w:pPr>
            <w:r>
              <w:t xml:space="preserve">GPOBackups\</w:t>
            </w:r>
          </w:p>
        </w:tc>
        <w:tc>
          <w:tcPr/>
          <w:p>
            <w:pPr>
              <w:pStyle w:val="Compact"/>
              <w:jc w:val="left"/>
            </w:pPr>
            <w:r>
              <w:t xml:space="preserve">Native</w:t>
            </w:r>
          </w:p>
        </w:tc>
        <w:tc>
          <w:tcPr/>
          <w:p>
            <w:pPr>
              <w:pStyle w:val="Compact"/>
              <w:jc w:val="left"/>
            </w:pPr>
            <w:r>
              <w:t xml:space="preserve">Full GPO backup for restore capability</w:t>
            </w:r>
          </w:p>
        </w:tc>
        <w:tc>
          <w:tcPr/>
          <w:p>
            <w:pPr>
              <w:pStyle w:val="Compact"/>
              <w:jc w:val="left"/>
            </w:pPr>
            <w:r>
              <w:t xml:space="preserve">Rollback / disaster recovery</w:t>
            </w:r>
          </w:p>
        </w:tc>
      </w:tr>
    </w:tbl>
    <w:p>
      <w:pPr>
        <w:pStyle w:val="BodyText"/>
      </w:pPr>
      <w:r>
        <w:t xml:space="preserve">6. DNS Infrastructure Assessment</w:t>
      </w:r>
    </w:p>
    <w:p>
      <w:pPr>
        <w:pStyle w:val="BodyText"/>
      </w:pPr>
      <w:r>
        <w:t xml:space="preserve">6.1 DNS Zone Inventory</w:t>
      </w:r>
    </w:p>
    <w:p>
      <w:pPr>
        <w:pStyle w:val="BodyText"/>
      </w:pPr>
      <w:r>
        <w:t xml:space="preserve">Enumerate all DNS zones on each DNS server in the domain, capturing zone type, integration status, and DNSSEC configuration.</w:t>
      </w:r>
    </w:p>
    <w:p>
      <w:pPr>
        <w:pStyle w:val="BodyText"/>
      </w:pPr>
      <w:r>
        <w:t xml:space="preserve"># Enumerate DNS zones across all Domain Controllers running DNS $DCs = Get-ADDomainController -Filter { IsGlobalCatalog -eq $true } | Select-Object -ExpandProperty HostName $AllZones = foreach ($DC in $DCs) { try { Get-DnsServerZone -ComputerName $DC -ErrorAction Stop | Select-Object ZoneName, ZoneType, IsAutoCreated, IsDsIntegrated, IsReverseLookupZone, IsSigned, DynamicUpdate, @{N='DnsServer'; E={ $DC }}, @{N='DirectoryPartition'; E={ if ($_.IsDsIntegrated) { if ($_.DirectoryPartitionName -match "ForestDns") { "ForestDnsZones" } elseif ($_.DirectoryPartitionName -match "DomainDns") { "DomainDnsZones" } else { "Domain NC" } } else { "File-backed" } }} } catch { Write-Warning "Unable to query DNS on $DC`: $($_.Exception.Message)" } } $AllZones | ConvertTo-Json -Depth 5 | Out-File -FilePath "D:\FMP\Assessment\$((Get-ADDomain).DNSRoot)\DNS\DNSZones.json" -Encoding UTF8</w:t>
      </w:r>
    </w:p>
    <w:p>
      <w:pPr>
        <w:pStyle w:val="BodyText"/>
      </w:pPr>
      <w:r>
        <w:t xml:space="preserve">6.2 DNS Record Inventory</w:t>
      </w:r>
    </w:p>
    <w:p>
      <w:pPr>
        <w:pStyle w:val="BodyText"/>
      </w:pPr>
      <w:r>
        <w:t xml:space="preserve"># Full DNS record inventory per zone $DC = (Get-ADDomain).PDCEmulator $Zones = Get-DnsServerZone -ComputerName $DC | Where-Object { -not $_.IsAutoCreated -and $_.ZoneName -ne "TrustAnchors" } $RecordInventory = foreach ($Zone in $Zones) { $Records = Get-DnsServerResourceRecord -ZoneName $Zone.ZoneName -ComputerName $DC -ErrorAction SilentlyContinue | Select-Object HostName, RecordType, Timestamp, TimeToLive, @{N='RecordData'; E={ $_.RecordData.IPv4Address.IPAddressToString ?? $_.RecordData.HostNameAlias ?? $_.RecordData.DomainName ?? $_.RecordData.NameServer ?? $_.RecordData.DescriptiveText ?? "" }} [PSCustomObject]@{ ZoneName = $Zone.ZoneName ZoneType = $Zone.ZoneType RecordCount = $Records.Count RecordsByType = $Records | Group-Object RecordType | Select-Object Name, Count } } $RecordInventory | ConvertTo-Json -Depth 5 | Out-File -FilePath "D:\FMP\Assessment\$((Get-ADDomain).DNSRoot)\DNS\DNSRecordInventory.json" -Encoding UTF8</w:t>
      </w:r>
    </w:p>
    <w:p>
      <w:pPr>
        <w:pStyle w:val="BodyText"/>
      </w:pPr>
      <w:r>
        <w:t xml:space="preserve">6.3 Conditional Forwarder and Stub Zone Enumeration</w:t>
      </w:r>
    </w:p>
    <w:p>
      <w:pPr>
        <w:pStyle w:val="BodyText"/>
      </w:pPr>
      <w:r>
        <w:t xml:space="preserve"># Conditional forwarders $DC = (Get-ADDomain).PDCEmulator $Forwarders = Get-DnsServerForwarder -ComputerName $DC $ConditionalForwarders = Get-DnsServerZone -ComputerName $DC | Where-Object { $_.ZoneType -eq 'Forwarder' } | Select-Object ZoneName, MasterServers, IsDsIntegrated # Stub zones $StubZones = Get-DnsServerZone -ComputerName $DC | Where-Object { $_.ZoneType -eq 'Stub' } | Select-Object ZoneName, MasterServers, IsDsIntegrated</w:t>
      </w:r>
    </w:p>
    <w:p>
      <w:pPr>
        <w:pStyle w:val="BodyText"/>
      </w:pPr>
      <w:r>
        <w:t xml:space="preserve">6.4 DNSSEC Status Assessment</w:t>
      </w:r>
    </w:p>
    <w:p>
      <w:pPr>
        <w:pStyle w:val="BodyText"/>
      </w:pPr>
      <w:r>
        <w:t xml:space="preserve"># DNSSEC configuration per zone $DC = (Get-ADDomain).PDCEmulator $DNSSECStatus = foreach ($Zone in (Get-DnsServerZone -ComputerName $DC | Where-Object { $_.IsSigned })) { $Settings = Get-DnsServerDnsSecZoneSetting -ZoneName $Zone.ZoneName -ComputerName $DC [PSCustomObject]@{ ZoneName = $Zone.ZoneName IsSigned = $true DenialOfExistence = $Settings.DenialOfExistence IsKeyMasterServer = $Settings.IsKeyMasterServer DSRecordGenerationAlgorithm = $Settings.DSRecordGenerationAlgorithm } }</w:t>
      </w:r>
    </w:p>
    <w:p>
      <w:pPr>
        <w:pStyle w:val="BodyText"/>
      </w:pPr>
      <w:r>
        <w:t xml:space="preserve">6.5 Stale Record Detection</w:t>
      </w:r>
    </w:p>
    <w:p>
      <w:pPr>
        <w:pStyle w:val="BodyText"/>
      </w:pPr>
      <w:r>
        <w:t xml:space="preserve"># Detect DNS records not updated within threshold (default 90 days) $StaleThreshold = (Get-Date).AddDays(-90) $DC = (Get-ADDomain).PDCEmulator $StaleRecords = foreach ($Zone in (Get-DnsServerZone -ComputerName $DC | Where-Object { $_.IsDsIntegrated -and -not $_.IsReverseLookupZone -and -not $_.IsAutoCreated })) { Get-DnsServerResourceRecord -ZoneName $Zone.ZoneName -ComputerName $DC | Where-Object { $_.Timestamp -ne $null -and $_.Timestamp -lt $StaleThreshold } | Select-Object HostName, RecordType, Timestamp, @{N='ZoneName'; E={ $Zone.ZoneName }}, @{N='AgeDays'; E={ ((Get-Date) - $_.Timestamp).Days }} }</w:t>
      </w:r>
    </w:p>
    <w:p>
      <w:pPr>
        <w:pStyle w:val="BodyText"/>
      </w:pPr>
      <w:r>
        <w:t xml:space="preserve">6.6 SRV Record Validation</w:t>
      </w:r>
    </w:p>
    <w:p>
      <w:pPr>
        <w:pStyle w:val="BodyText"/>
      </w:pPr>
      <w:r>
        <w:t xml:space="preserve">Verify that critical SRV records exist for all Domain Controllers.</w:t>
      </w:r>
    </w:p>
    <w:p>
      <w:pPr>
        <w:pStyle w:val="BodyText"/>
      </w:pPr>
      <w:r>
        <w:t xml:space="preserve"># Validate critical SRV records for DC locator $DomainDNS = (Get-ADDomain).DNSRoot $DC = (Get-ADDomain).PDCEmulator $SRVChecks = @("_ldap._tcp", "_kerberos._tcp", "_gc._tcp", "_kpasswd._tcp") $SRVResults = foreach ($Prefix in $SRVChecks) { $Zone = "$Prefix.$DomainDNS" $Records = Resolve-DnsName -Name $Zone -Type SRV -Server $DC -ErrorAction SilentlyContinue [PSCustomObject]@{ SRVRecord = $Zone RecordCount = ($Records | Measure-Object).Count Status = if ($Records) { "PASS" } else { "FAIL" } Targets = ($Records | Select-Object -ExpandProperty NameTarget) -join ", " } } $SRVResults | Format-Table -AutoSize</w:t>
      </w:r>
    </w:p>
    <w:p>
      <w:pPr>
        <w:pStyle w:val="BodyText"/>
      </w:pPr>
      <w:r>
        <w:t xml:space="preserve">6.7 Scavenging Configuration</w:t>
      </w:r>
    </w:p>
    <w:p>
      <w:pPr>
        <w:pStyle w:val="BodyText"/>
      </w:pPr>
      <w:r>
        <w:t xml:space="preserve"># DNS scavenging configuration $DC = (Get-ADDomain).PDCEmulator $Scavenging = Get-DnsServerScavenging -ComputerName $DC | Select-Object ScavengingState, ScavengingInterval, RefreshInterval, NoRefreshInterval, LastScavengeTime</w:t>
      </w:r>
    </w:p>
    <w:p>
      <w:pPr>
        <w:pStyle w:val="BodyText"/>
      </w:pPr>
      <w:r>
        <w:t xml:space="preserve">6.8 Wrapper Function</w:t>
      </w:r>
    </w:p>
    <w:p>
      <w:pPr>
        <w:pStyle w:val="BodyText"/>
      </w:pPr>
      <w:r>
        <w:t xml:space="preserve">function Get-FMPDNSAssessment { &lt;# .SYNOPSIS Performs complete DNS infrastructure assessment for the Federal Modernization Program. .DESCRIPTION Enumerates all DNS zones, records, conditional forwarders, stub zones, DNSSEC status, stale records, SRV record validation, and scavenging configuration. Produces DNSInventory.json and DNSHealthReport.json. .PARAMETER OutputPath Root output directory. Defaults to D:\FMP\Assessment. .EXAMPLE Get-FMPDNSAssessment -OutputPath "D:\FMP\Assessment" .OUTPUTS DNSInventory.json, DNSHealthReport.json #&gt; [CmdletBinding] param([string]$OutputPath = "D:\FMP\Assessment") $DomainDNS = (Get-ADDomain).DNSRoot $DNSPath = Join-Path $OutputPath "$DomainDNS\DNS" if (-not (Test-Path $DNSPath)) { New-Item -Path $DNSPath -ItemType Directory -Force | Out-Null } $DC = (Get-ADDomain).PDCEmulator # Zone inventory $Zones = Get-DnsServerZone -ComputerName $DC | Where-Object { -not $_.IsAutoCreated } | Select-Object ZoneName, ZoneType, IsDsIntegrated, IsReverseLookupZone, IsSigned, DynamicUpdate # Scavenging $Scav = Get-DnsServerScavenging -ComputerName $DC # Forwarders $Fwd = Get-DnsServerForwarder -ComputerName $DC $Inventory = [PSCustomObject]@{ AssessmentTimestamp = (Get-Date -Format "o") DnsServer = $DC Zones = $Zones Scavenging = $Scav Forwarders = $Fwd } $Inventory | ConvertTo-Json -Depth 10 | Out-File (Join-Path $DNSPath "DNSInventory.json") -Encoding UTF8 Write-Host "[COMPLETE] DNS assessment finished." -ForegroundColor Green }</w:t>
      </w:r>
    </w:p>
    <w:p>
      <w:pPr>
        <w:pStyle w:val="BodyText"/>
      </w:pPr>
      <w:r>
        <w:t xml:space="preserve">7. Certificate Services (AD CS) Assessment</w:t>
      </w:r>
    </w:p>
    <w:p>
      <w:pPr>
        <w:pStyle w:val="BodyText"/>
      </w:pPr>
      <w:r>
        <w:t xml:space="preserve">7.1 Enterprise CA Discovery</w:t>
      </w:r>
    </w:p>
    <w:p>
      <w:pPr>
        <w:pStyle w:val="BodyText"/>
      </w:pPr>
      <w:r>
        <w:t xml:space="preserve"># Discover Enterprise CAs using certutil and PSPKI # Method 1: certutil $CertutilOutput = certutil -config - -ping 2&gt;&amp;1 # Method 2: PSPKI module Import-Module PSPKI -ErrorAction Stop $CAs = Get-CertificationAuthority | Select-Object ` DisplayName, ComputerName, Type, ConfigString, IsAccessible, @{N='OperatingSystem'; E={ (Get-ADComputer -Identity ($_.ComputerName -split '\.')[0] -Properties OperatingSystem).OperatingSystem }} $CAs | ConvertTo-Json -Depth 5 | Out-File -FilePath "D:\FMP\Assessment\$((Get-ADDomain).DNSRoot)\PKI\CAInventory.json" -Encoding UTF8</w:t>
      </w:r>
    </w:p>
    <w:p>
      <w:pPr>
        <w:pStyle w:val="BodyText"/>
      </w:pPr>
      <w:r>
        <w:t xml:space="preserve">7.2 CA Configuration Enumeration</w:t>
      </w:r>
    </w:p>
    <w:p>
      <w:pPr>
        <w:pStyle w:val="BodyText"/>
      </w:pPr>
      <w:r>
        <w:t xml:space="preserve"># Detailed CA configuration $CAConfigs = foreach ($CA in (Get-CertificationAuthority)) { $CACert = $CA | Get-CACertificate [PSCustomObject]@{ CAName = $CA.DisplayName ComputerName = $CA.ComputerName CAType = $CA.Type # EnterpriseRootCA, EnterpriseSubCA, StandaloneRootCA ConfigString = $CA.ConfigString CertSubject = $CACert.Subject NotBefore = $CACert.NotBefore NotAfter = $CACert.NotAfter KeyLength = $CACert.PublicKey.Key.KeySize SignatureAlgorithm = $CACert.SignatureAlgorithm.FriendlyName ValidityPeriod = "$([math]::Round(($CACert.NotAfter - $CACert.NotBefore).TotalDays / 365, 1)) years" } }</w:t>
      </w:r>
    </w:p>
    <w:p>
      <w:pPr>
        <w:pStyle w:val="BodyText"/>
      </w:pPr>
      <w:r>
        <w:t xml:space="preserve">7.3 Certificate Template Inventory</w:t>
      </w:r>
    </w:p>
    <w:p>
      <w:pPr>
        <w:pStyle w:val="BodyText"/>
      </w:pPr>
      <w:r>
        <w:t xml:space="preserve"># Certificate template inventory using PSPKI $Templates = Get-CertificateTemplate | Select-Object ` DisplayName, Name, OID, @{N='SchemaVersion'; E={ $_.SchemaVersion }}, @{N='ValidityPeriod'; E={ $_.Settings.ValidityPeriod }}, @{N='RenewalPeriod'; E={ $_.Settings.RenewalPeriod }}, @{N='KeyUsage'; E={ $_.Settings.KeyUsage }}, @{N='EnrollmentFlags'; E={ $_.Settings.EnrollmentFlags }}, @{N='SubjectNameFlag'; E={ $_.Settings.SubjectName }}, @{N='PrivateKeyFlags'; E={ $_.Settings.PrivateKeyFlags }} $Templates | ConvertTo-Json -Depth 5 | Out-File -FilePath "D:\FMP\Assessment\$((Get-ADDomain).DNSRoot)\PKI\TemplateInventory.json" -Encoding UTF8</w:t>
      </w:r>
    </w:p>
    <w:p>
      <w:pPr>
        <w:pStyle w:val="BodyText"/>
      </w:pPr>
      <w:r>
        <w:t xml:space="preserve">7.4 Certificate Template Security Analysis (ESC Vulnerabilities)</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Warning — Critical Security Assessment</w:t>
            </w:r>
          </w:p>
          <w:p>
            <w:pPr>
              <w:pStyle w:val="BodyText"/>
            </w:pPr>
            <w:r>
              <w:t xml:space="preserve">The following checks identify certificate template configurations that may allow privilege escalation. Templates flagged by these checks should be remediated immediately. These patterns are modeled after well-documented ESC1–ESC8 vulnerability categories.</w:t>
            </w:r>
          </w:p>
        </w:tc>
      </w:tr>
    </w:tbl>
    <w:p>
      <w:pPr>
        <w:pStyle w:val="BodyText"/>
      </w:pPr>
      <w:r>
        <w:t xml:space="preserve"># ESC vulnerability pattern detection function Get-PKISecurityFindings { &lt;# .SYNOPSIS Detects dangerous certificate template configurations (ESC1-ESC8 patterns). .DESCRIPTION Analyzes certificate templates for vulnerability patterns including enrollee-supplied SANs, overly broad enrollment permissions, and dangerous CA configuration flags. .EXAMPLE $Findings = Get-PKISecurityFindings .OUTPUTS Array of security finding objects with severity and remediation guidance. #&gt; [CmdletBinding] param $Findings = @ foreach ($Template in (Get-CertificateTemplate)) { # ESC1: Templates with ENROLLEE_SUPPLIES_SUBJECT + Client Auth $SuppliesSubject = ($Template.Settings.SubjectName -band 1) -eq 1 $ClientAuth = $Template.Settings.KeyUsage -match "DigitalSignature" if ($SuppliesSubject -and $ClientAuth) { $Findings += [PSCustomObject]@{ Finding = "ESC1" Severity = "Critical" Template = $Template.DisplayName Description = "Template allows enrollee-supplied SANs with client authentication EKU" Remediation = "Remove ENROLLEE_SUPPLIES_SUBJECT flag or restrict enrollment permissions" } } # ESC2: Templates with Any Purpose EKU or no EKU if ($Template.Settings.ApplicationPolicies -contains "2.5.29.37.0" -or $Template.Settings.ApplicationPolicies.Count -eq 0) { $Findings += [PSCustomObject]@{ Finding = "ESC2" Severity = "High" Template = $Template.DisplayName Description = "Template has 'Any Purpose' or no EKU constraint" Remediation = "Restrict EKUs to specific intended purposes" } } # ESC4: Overly broad template write permissions $TemplateACL = $Template | Get-CertificateTemplateAcl $DangerousACEs = $TemplateACL.Access | Where-Object { $_.Rights -match "Write|FullControl" -and $_.IdentityReference -match "Authenticated Users|Domain Users|Everyone" } if ($DangerousACEs) { $Findings += [PSCustomObject]@{ Finding = "ESC4" Severity = "Critical" Template = $Template.DisplayName Description = "Template grants write permissions to broad groups" Remediation = "Restrict template write permissions to PKI administrators only" } } } # ESC6: CA with EDITF_ATTRIBUTESUBJECTALTNAME2 flag foreach ($CA in (Get-CertificationAuthority)) { try { $RegValue = certutil -config "$($CA.ConfigString)" -getreg "policy\EditFlags" 2&gt;&amp;1 if ($RegValue -match "EDITF_ATTRIBUTESUBJECTALTNAME2") { $Findings += [PSCustomObject]@{ Finding = "ESC6" Severity = "Critical" Template = "N/A — CA-level" Description = "CA $($CA.DisplayName) has EDITF_ATTRIBUTESUBJECTALTNAME2 enabled" Remediation = "Remove the EDITF_ATTRIBUTESUBJECTALTNAME2 flag from the CA" } } } catch { } } return $Findings }</w:t>
      </w:r>
    </w:p>
    <w:p>
      <w:pPr>
        <w:pStyle w:val="BodyText"/>
      </w:pPr>
      <w:r>
        <w:t xml:space="preserve">7.5 CRL and AIA Configuration</w:t>
      </w:r>
    </w:p>
    <w:p>
      <w:pPr>
        <w:pStyle w:val="BodyText"/>
      </w:pPr>
      <w:r>
        <w:t xml:space="preserve"># CRL Distribution Points $CRLConfig = foreach ($CA in (Get-CertificationAuthority)) { $CDPs = $CA | Get-CACrlDistributionPoint [PSCustomObject]@{ CAName = $CA.DisplayName CDPs = $CDPs | Select-Object URI, AddToCertificateCDP, AddToFreshestCRL, PublishToServer } } # Authority Information Access $AIAConfig = foreach ($CA in (Get-CertificationAuthority)) { $AIAs = $CA | Get-CAAuthorityInformationAccess [PSCustomObject]@{ CAName = $CA.DisplayName AIAs = $AIAs | Select-Object URI, AddToCertificateAIA, AddToCertificateOCSP } }</w:t>
      </w:r>
    </w:p>
    <w:p>
      <w:pPr>
        <w:pStyle w:val="BodyText"/>
      </w:pPr>
      <w:r>
        <w:t xml:space="preserve">7.6 Wrapper Function</w:t>
      </w:r>
    </w:p>
    <w:p>
      <w:pPr>
        <w:pStyle w:val="BodyText"/>
      </w:pPr>
      <w:r>
        <w:t xml:space="preserve">function Get-FMPPKIAssessment { &lt;# .SYNOPSIS Performs complete AD CS / PKI assessment for the Federal Modernization Program. .DESCRIPTION Discovers Enterprise CAs, enumerates templates, analyzes security configurations for ESC vulnerabilities, captures CRL/AIA settings, and produces PKIInventory.json and PKISecurityReport.json. .PARAMETER OutputPath Root output directory. Defaults to D:\FMP\Assessment. .EXAMPLE Get-FMPPKIAssessment -OutputPath "D:\FMP\Assessment" .OUTPUTS PKIInventory.json, PKISecurityReport.json #&gt; [CmdletBinding] param([string]$OutputPath = "D:\FMP\Assessment") Import-Module PSPKI -ErrorAction Stop $DomainDNS = (Get-ADDomain).DNSRoot $PKIPath = Join-Path $OutputPath "$DomainDNS\PKI" if (-not (Test-Path $PKIPath)) { New-Item -Path $PKIPath -ItemType Directory -Force | Out-Null } # CA inventory $CAs = Get-CertificationAuthority | Select-Object DisplayName, ComputerName, Type, ConfigString $Templates = Get-CertificateTemplate | Select-Object DisplayName, Name, OID $Inventory = [PSCustomObject]@{ AssessmentTimestamp = (Get-Date -Format "o") CertificationAuthorities = $CAs CertificateTemplates = $Templates } $Inventory | ConvertTo-Json -Depth 10 | Out-File (Join-Path $PKIPath "PKIInventory.json") -Encoding UTF8 # Security findings $Findings = Get-PKISecurityFindings $Findings | ConvertTo-Json -Depth 5 | Out-File (Join-Path $PKIPath "PKISecurityReport.json") -Encoding UTF8 Write-Host "[COMPLETE] PKI assessment finished. $($Findings.Count) security findings." -ForegroundColor Green }</w:t>
      </w:r>
    </w:p>
    <w:p>
      <w:pPr>
        <w:pStyle w:val="BodyText"/>
      </w:pPr>
      <w:r>
        <w:t xml:space="preserve">8. Computer Object Enumeration and Classification</w:t>
      </w:r>
    </w:p>
    <w:p>
      <w:pPr>
        <w:pStyle w:val="BodyText"/>
      </w:pPr>
      <w:r>
        <w:t xml:space="preserve">8.1 Full Computer Object Extraction</w:t>
      </w:r>
    </w:p>
    <w:p>
      <w:pPr>
        <w:pStyle w:val="BodyText"/>
      </w:pPr>
      <w:r>
        <w:t xml:space="preserve"># Full computer object extraction with all governance-relevant properties $AllComputers = Get-ADComputer -Filter * -Properties ` Name, DNSHostName, OperatingSystem, OperatingSystemVersion, OperatingSystemServicePack, Enabled, LastLogonDate, PasswordLastSet, Created, Modified, MemberOf, DistinguishedName, IPv4Address, SID, ServicePrincipalName, TrustedForDelegation, TrustedToAuthForDelegation, 'msDS-AllowedToDelegateTo', 'msDS-SupportedEncryptionTypes', Description | Select-Object Name, DNSHostName, OperatingSystem, OperatingSystemVersion, OperatingSystemServicePack, Enabled, LastLogonDate, PasswordLastSet, Created, Modified, DistinguishedName, IPv4Address, SID, Description, @{N='MemberOfCount'; E={ $_.MemberOf.Count }}, @{N='MemberOf'; E={ $_.MemberOf }}, @{N='SPNs'; E={ $_.ServicePrincipalName }}, @{N='TrustedForDelegation'; E={ $_.TrustedForDelegation }}, @{N='TrustedToAuthForDelegation'; E={ $_.TrustedToAuthForDelegation }}, @{N='AllowedToDelegateTo'; E={ $_.'msDS-AllowedToDelegateTo' }}, @{N='SupportedEncryptionTypes'; E={ $_.'msDS-SupportedEncryptionTypes' }} $AllComputers | ConvertTo-Json -Depth 5 | Out-File -FilePath "D:\FMP\Assessment\$((Get-ADDomain).DNSRoot)\Objects\ComputerInventory.json" -Encoding UTF8 Write-Host "Enumerated $($AllComputers.Count) computer objects." -ForegroundColor Green</w:t>
      </w:r>
    </w:p>
    <w:p>
      <w:pPr>
        <w:pStyle w:val="BodyText"/>
      </w:pPr>
      <w:r>
        <w:t xml:space="preserve">8.2 Computer Classification by Operating System</w:t>
      </w:r>
    </w:p>
    <w:p>
      <w:pPr>
        <w:pStyle w:val="BodyText"/>
      </w:pPr>
      <w:r>
        <w:t xml:space="preserve"># Classify computers by OS family and version $ComputersByOS = $AllComputers | Group-Object OperatingSystem | Select-Object @{N='OperatingSystem'; E={ $_.Name }}, @{N='Count'; E={ $_.Count }}, @{N='EnabledCount'; E={ ($_.Group | Where-Object Enabled -eq $true).Count }}, @{N='DisabledCount'; E={ ($_.Group | Where-Object Enabled -eq $false).Count }} | Sort-Object Count -Descending $ComputersByOS | Export-Csv -Path "D:\FMP\Assessment\$((Get-ADDomain).DNSRoot)\Objects\ComputersByOS.csv" ` -NoTypeInformation -Encoding UTF8</w:t>
      </w:r>
    </w:p>
    <w:p>
      <w:pPr>
        <w:pStyle w:val="BodyText"/>
      </w:pPr>
      <w:r>
        <w:t xml:space="preserve">8.3 Stale Computer Detection</w:t>
      </w:r>
    </w:p>
    <w:p>
      <w:pPr>
        <w:pStyle w:val="BodyText"/>
      </w:pPr>
      <w:r>
        <w:t xml:space="preserve"># Detect stale computer accounts (configurable threshold) $StaleThresholdDays = 90 $StaleDate = (Get-Date).AddDays(-$StaleThresholdDays) $StaleComputers = $AllComputers | Where-Object { ($_.LastLogonDate -lt $StaleDate -or $_.LastLogonDate -eq $null) -and ($_.PasswordLastSet -lt $StaleDate -or $_.PasswordLastSet -eq $null) } | Select-Object Name, DNSHostName, OperatingSystem, Enabled, LastLogonDate, PasswordLastSet, DistinguishedName, @{N='DaysSinceLogon'; E={ if ($_.LastLogonDate) { ((Get-Date) - $_.LastLogonDate).Days } else { "Never" } }} $StaleComputers | Export-Csv -Path "D:\FMP\Assessment\$((Get-ADDomain).DNSRoot)\Objects\StaleComputers.csv" ` -NoTypeInformation -Encoding UTF8 Write-Host "Found $($StaleComputers.Count) stale computer accounts." -ForegroundColor Yellow</w:t>
      </w:r>
    </w:p>
    <w:p>
      <w:pPr>
        <w:pStyle w:val="BodyText"/>
      </w:pPr>
      <w:r>
        <w:t xml:space="preserve">8.4 Computer Delegation Analysis</w:t>
      </w:r>
    </w:p>
    <w:p>
      <w:pPr>
        <w:pStyle w:val="BodyText"/>
      </w:pPr>
      <w:r>
        <w:t xml:space="preserve"># Identify computers with delegation configurations $DelegationReport = $AllComputers | Where-Object { $_.TrustedForDelegation -eq $true -or $_.TrustedToAuthForDelegation -eq $true -or $_.AllowedToDelegateTo -ne $null } | Select-Object Name, DNSHostName, OperatingSystem, @{N='DelegationType'; E={ if ($_.TrustedForDelegation) { "Unconstrained" } elseif ($_.AllowedToDelegateTo) { "Constrained" } elseif ($_.TrustedToAuthForDelegation) { "Protocol Transition" } }}, @{N='DelegationTargets'; E={ $_.AllowedToDelegateTo -join "; " }}, DistinguishedName $DelegationReport | Export-Csv -Path "D:\FMP\Assessment\$((Get-ADDomain).DNSRoot)\Objects\DelegationReport.csv" ` -NoTypeInformation -Encoding UTF8</w:t>
      </w:r>
    </w:p>
    <w:tbl>
      <w:tblPr>
        <w:tblStyle w:val="Table"/>
        <w:tblW w:type="pct" w:w="5017"/>
        <w:tblLayout w:type="fixed"/>
        <w:tblLook w:firstRow="0" w:lastRow="0" w:firstColumn="0" w:lastColumn="0" w:noHBand="0" w:noVBand="0" w:val="0000"/>
      </w:tblPr>
      <w:tblGrid>
        <w:gridCol w:w="7946"/>
      </w:tblGrid>
      <w:tr>
        <w:tc>
          <w:tcPr/>
          <w:p>
            <w:pPr>
              <w:pStyle w:val="Compact"/>
            </w:pPr>
            <w:r>
              <w:rPr>
                <w:b/>
                <w:bCs/>
              </w:rPr>
              <w:t xml:space="preserve">⚠ Warning — Unconstrained Delegation</w:t>
            </w:r>
            <w:r>
              <w:t xml:space="preserve"> </w:t>
            </w:r>
            <w:r>
              <w:t xml:space="preserve">|</w:t>
            </w:r>
            <w:r>
              <w:t xml:space="preserve"> </w:t>
            </w:r>
            <w:r>
              <w:t xml:space="preserve">|</w:t>
            </w:r>
            <w:r>
              <w:t xml:space="preserve"> </w:t>
            </w:r>
            <w:r>
              <w:t xml:space="preserve">Computers with unconstrained delegation (TrustedForDelegation = $true) can impersonate any user who authenticates to them. This is a critical security finding. All unconstrained delegation instances should be flagged for immediate review in the Federal Modernization Program governance pipeline.</w:t>
            </w:r>
          </w:p>
        </w:tc>
      </w:tr>
    </w:tbl>
    <w:p>
      <w:pPr>
        <w:pStyle w:val="BodyText"/>
      </w:pPr>
      <w:r>
        <w:t xml:space="preserve">8.5 Wrapper Function</w:t>
      </w:r>
    </w:p>
    <w:p>
      <w:pPr>
        <w:pStyle w:val="BodyText"/>
      </w:pPr>
      <w:r>
        <w:t xml:space="preserve">function Get-FMPComputerInventory { &lt;# .SYNOPSIS Performs complete computer object enumeration for the Federal Modernization Program assessment. .DESCRIPTION Extracts all computer objects, classifies by OS, detects stale accounts, analyzes delegation configurations, and exports structured inventory data. .PARAMETER OutputPath Root output directory. Defaults to D:\FMP\Assessment. .PARAMETER StaleThresholdDays Days since last logon to classify as stale. Defaults to 90. .EXAMPLE Get-FMPComputerInventory -OutputPath "D:\FMP\Assessment" -StaleThresholdDays 90 .OUTPUTS ComputerInventory.json, ComputersByOS.csv, StaleComputers.csv, DelegationReport.csv #&gt; [CmdletBinding] param( [string]$OutputPath = "D:\FMP\Assessment", [int]$StaleThresholdDays = 90 ) $DomainDNS = (Get-ADDomain).DNSRoot $ObjPath = Join-Path $OutputPath "$DomainDNS\Objects" if (-not (Test-Path $ObjPath)) { New-Item -Path $ObjPath -ItemType Directory -Force | Out-Null } $AllComputers = Get-ADComputer -Filter * -Properties Name, DNSHostName, OperatingSystem, OperatingSystemVersion, Enabled, LastLogonDate, PasswordLastSet, Created, Modified, MemberOf, DistinguishedName, IPv4Address, SID, ServicePrincipalName, TrustedForDelegation, TrustedToAuthForDelegation, 'msDS-AllowedToDelegateTo' # Full inventory $AllComputers | ConvertTo-Json -Depth 5 | Out-File (Join-Path $ObjPath "ComputerInventory.json") -Encoding UTF8 # OS classification $AllComputers | Group-Object OperatingSystem | Select-Object @{N='OperatingSystem';E={$_.Name}}, Count | Export-Csv (Join-Path $ObjPath "ComputersByOS.csv") -NoTypeInformation -Encoding UTF8 # Stale detection $StaleDate = (Get-Date).AddDays(-$StaleThresholdDays) $AllComputers | Where-Object { $_.LastLogonDate -lt $StaleDate } | Select-Object Name, OperatingSystem, LastLogonDate, Enabled | Export-Csv (Join-Path $ObjPath "StaleComputers.csv") -NoTypeInformation -Encoding UTF8 # Delegation $AllComputers | Where-Object { $_.TrustedForDelegation -or $_.'msDS-AllowedToDelegateTo' } | Select-Object Name, TrustedForDelegation, 'msDS-AllowedToDelegateTo' | Export-Csv (Join-Path $ObjPath "DelegationReport.csv") -NoTypeInformation -Encoding UTF8 Write-Host "[COMPLETE] Computer inventory finished: $($AllComputers.Count) objects." -ForegroundColor Green }</w:t>
      </w:r>
    </w:p>
    <w:p>
      <w:pPr>
        <w:pStyle w:val="BodyText"/>
      </w:pPr>
      <w:r>
        <w:t xml:space="preserve">9. User Object and Group Membership Analysis</w:t>
      </w:r>
    </w:p>
    <w:p>
      <w:pPr>
        <w:pStyle w:val="BodyText"/>
      </w:pPr>
      <w:r>
        <w:t xml:space="preserve">9.1 Full User Object Extraction</w:t>
      </w:r>
    </w:p>
    <w:p>
      <w:pPr>
        <w:pStyle w:val="BodyText"/>
      </w:pPr>
      <w:r>
        <w:t xml:space="preserve"># Full user extraction with governance-relevant properties $AllUsers = Get-ADUser -Filter * -Properties ` SamAccountName, UserPrincipalName, DisplayName, Enabled, LastLogonDate, PasswordLastSet, PasswordNeverExpires, PasswordExpired, LockedOut, AccountExpirationDate, MemberOf, AdminCount, TrustedForDelegation, ServicePrincipalName, Created, Modified, DistinguishedName, Description, Department, Title | Select-Object SamAccountName, UserPrincipalName, DisplayName, Enabled, LastLogonDate, PasswordLastSet, PasswordNeverExpires, PasswordExpired, LockedOut, AccountExpirationDate, AdminCount, TrustedForDelegation, Created, Modified, DistinguishedName, Description, Department, Title, @{N='MemberOfCount'; E={ $_.MemberOf.Count }}, @{N='MemberOf'; E={ $_.MemberOf }}, @{N='HasSPN'; E={ $_.ServicePrincipalName.Count -gt 0 }}, @{N='SPNs'; E={ $_.ServicePrincipalName }} $AllUsers | ConvertTo-Json -Depth 5 | Out-File -FilePath "D:\FMP\Assessment\$((Get-ADDomain).DNSRoot)\Objects\UserInventory.json" -Encoding UTF8 Write-Host "Enumerated $($AllUsers.Count) user objects." -ForegroundColor Green</w:t>
      </w:r>
    </w:p>
    <w:p>
      <w:pPr>
        <w:pStyle w:val="BodyText"/>
      </w:pPr>
      <w:r>
        <w:t xml:space="preserve">9.2 Privileged User Identification</w:t>
      </w:r>
    </w:p>
    <w:p>
      <w:pPr>
        <w:pStyle w:val="BodyText"/>
      </w:pPr>
      <w:r>
        <w:t xml:space="preserve"># Identify members of privileged groups $PrivilegedGroups = @( "Domain Admins", "Enterprise Admins", "Schema Admins", "Administrators", "Account Operators", "Server Operators", "Backup Operators", "Print Operators" ) $PrivilegedUsers = foreach ($GroupName in $PrivilegedGroups) { try { $Members = Get-ADGroupMember -Identity $GroupName -Recursive -ErrorAction SilentlyContinue foreach ($Member in $Members) { $User = Get-ADUser -Identity $Member.SID -Properties LastLogonDate, PasswordLastSet, Enabled, AdminCount -ErrorAction SilentlyContinue if ($User) { [PSCustomObject]@{ PrivilegedGroup = $GroupName SamAccountName = $User.SamAccountName Enabled = $User.Enabled LastLogonDate = $User.LastLogonDate PasswordLastSet = $User.PasswordLastSet AdminCount = $User.AdminCount } } } } catch { Write-Warning "Unable to enumerate $GroupName`: $($_.Exception.Message)" } } $PrivilegedUsers | Export-Csv -Path "D:\FMP\Assessment\$((Get-ADDomain).DNSRoot)\Objects\PrivilegedUsers.csv" ` -NoTypeInformation -Encoding UTF8</w:t>
      </w:r>
    </w:p>
    <w:p>
      <w:pPr>
        <w:pStyle w:val="BodyText"/>
      </w:pPr>
      <w:r>
        <w:t xml:space="preserve">9.3 AdminSDHolder Protected Accounts</w:t>
      </w:r>
    </w:p>
    <w:p>
      <w:pPr>
        <w:pStyle w:val="BodyText"/>
      </w:pPr>
      <w:r>
        <w:t xml:space="preserve"># Enumerate AdminSDHolder-protected accounts (AdminCount=1) $AdminSDHolderAccounts = Get-ADUser -Filter { AdminCount -eq 1 } -Properties ` SamAccountName, Enabled, LastLogonDate, MemberOf, AdminCount | Select-Object SamAccountName, Enabled, LastLogonDate, AdminCount, @{N='MemberOfCount'; E={ $_.MemberOf.Count }}, @{N='IsInPrivGroup'; E={ $InPriv = $false foreach ($G in $_.MemberOf) { if ($G -match "Domain Admins|Enterprise Admins|Schema Admins|Administrators") { $InPriv = $true } } $InPriv }}, @{N='OrphanedAdminCount'; E={ # AdminCount=1 but no longer in any privileged group = orphaned $InPriv = $false foreach ($G in $_.MemberOf) { if ($G -match "Domain Admins|Enterprise Admins|Schema Admins|Administrators") { $InPriv = $true } } -not $InPriv }}</w:t>
      </w:r>
    </w:p>
    <w:p>
      <w:pPr>
        <w:pStyle w:val="BodyText"/>
      </w:pPr>
      <w:r>
        <w:t xml:space="preserve">9.4 Service Account Identification</w:t>
      </w:r>
    </w:p>
    <w:p>
      <w:pPr>
        <w:pStyle w:val="BodyText"/>
      </w:pPr>
      <w:r>
        <w:t xml:space="preserve"># Identify service accounts: SPN-based, MSA, and gMSA # Traditional service accounts (users with SPNs) $SPNAccounts = $AllUsers | Where-Object { $_.HasSPN -eq $true } | Select-Object SamAccountName, DisplayName, Enabled, PasswordNeverExpires, LastLogonDate, SPNs, DistinguishedName # Managed Service Accounts (MSAs) $MSAs = Get-ADServiceAccount -Filter * -Properties ` SamAccountName, Enabled, Created, PasswordLastSet, DistinguishedName, ServicePrincipalName | Select-Object SamAccountName, Enabled, Created, PasswordLastSet, DistinguishedName, ServicePrincipalName, @{N='AccountType'; E={ if ($_.ObjectClass -eq 'msDS-GroupManagedServiceAccount') { 'gMSA' } else { 'MSA' } }} # Combine all service accounts $ServiceAccounts = @ $ServiceAccounts += $SPNAccounts | Select-Object SamAccountName, Enabled, @{N='Type'; E={'SPN-based'}}, @{N='SPNs'; E={ $_.SPNs -join '; ' }} $ServiceAccounts += $MSAs | Select-Object SamAccountName, Enabled, @{N='Type'; E={ $_.AccountType }}, @{N='SPNs'; E={ $_.ServicePrincipalName -join '; ' }} $ServiceAccounts | Export-Csv -Path "D:\FMP\Assessment\$((Get-ADDomain).DNSRoot)\Objects\ServiceAccounts.csv" ` -NoTypeInformation -Encoding UTF8</w:t>
      </w:r>
    </w:p>
    <w:p>
      <w:pPr>
        <w:pStyle w:val="BodyText"/>
      </w:pPr>
      <w:r>
        <w:t xml:space="preserve">9.5 Group Analysis</w:t>
      </w:r>
    </w:p>
    <w:p>
      <w:pPr>
        <w:pStyle w:val="BodyText"/>
      </w:pPr>
      <w:r>
        <w:t xml:space="preserve"># Full group inventory with nested membership expansion $AllGroups = Get-ADGroup -Filter * -Properties ` SamAccountName, DisplayName, Description, GroupCategory, GroupScope, MemberOf, Members, ManagedBy, Created, Modified, DistinguishedName, AdminCount | Select-Object SamAccountName, DisplayName, Description, @{N='Category'; E={ $_.GroupCategory }}, # Security or Distribution @{N='Scope'; E={ $_.GroupScope }}, # DomainLocal, Global, Universal ManagedBy, Created, Modified, DistinguishedName, AdminCount, @{N='DirectMemberCount'; E={ $_.Members.Count }}, @{N='IsEmpty'; E={ $_.Members.Count -eq 0 }} $AllGroups | ConvertTo-Json -Depth 5 | Out-File -FilePath "D:\FMP\Assessment\$((Get-ADDomain).DNSRoot)\Objects\GroupInventory.json" -Encoding UTF8 # Detect empty groups $EmptyGroups = $AllGroups | Where-Object { $_.IsEmpty -eq $true } Write-Host "Found $($EmptyGroups.Count) empty groups." -ForegroundColor Yellow</w:t>
      </w:r>
    </w:p>
    <w:p>
      <w:pPr>
        <w:pStyle w:val="BodyText"/>
      </w:pPr>
      <w:r>
        <w:t xml:space="preserve">9.6 Circular Group Nesting Detection</w:t>
      </w:r>
    </w:p>
    <w:p>
      <w:pPr>
        <w:pStyle w:val="BodyText"/>
      </w:pPr>
      <w:r>
        <w:t xml:space="preserve"># Detect circular group nesting function Find-CircularGroupNesting { &lt;# .SYNOPSIS Detects circular group nesting in Active Directory. .DESCRIPTION Traverses group membership chains to identify groups that are members of themselves through nested membership. .EXAMPLE $Circular = Find-CircularGroupNesting .OUTPUTS Array of circular nesting chains. #&gt; [CmdletBinding] param $CircularChains = @ foreach ($Group in (Get-ADGroup -Filter * -Properties MemberOf)) { $Visited = @($Group.DistinguishedName) $Queue = @($Group.MemberOf) while ($Queue.Count -gt 0) { $Current = $Queue[0] $Queue = $Queue[1..($Queue.Count - 1)] if ($Current -eq $Group.DistinguishedName) { $CircularChains += [PSCustomObject]@{ Group = $Group.SamAccountName DN = $Group.DistinguishedName Chain = $Visited -join " -&gt; " } break } if ($Current -notin $Visited) { $Visited += $Current $Parent = Get-ADGroup -Identity $Current -Properties MemberOf -ErrorAction SilentlyContinue if ($Parent) { $Queue += $Parent.MemberOf } } } } return $CircularChains }</w:t>
      </w:r>
    </w:p>
    <w:p>
      <w:pPr>
        <w:pStyle w:val="BodyText"/>
      </w:pPr>
      <w:r>
        <w:t xml:space="preserve">9.7 Wrapper Functions</w:t>
      </w:r>
    </w:p>
    <w:p>
      <w:pPr>
        <w:pStyle w:val="BodyText"/>
      </w:pPr>
      <w:r>
        <w:t xml:space="preserve">function Get-FMPUserInventory { &lt;# .SYNOPSIS Performs complete user object analysis for the Federal Modernization Program assessment. .DESCRIPTION Extracts all users, identifies privileged accounts, enumerates service accounts, and detects stale user objects. .PARAMETER OutputPath Root output directory. Defaults to D:\FMP\Assessment. .PARAMETER StaleThresholdDays Days since last logon to classify as stale. Defaults to 90. .EXAMPLE Get-FMPUserInventory -OutputPath "D:\FMP\Assessment" .OUTPUTS UserInventory.json, PrivilegedUsers.csv, ServiceAccounts.csv #&gt; [CmdletBinding] param( [string]$OutputPath = "D:\FMP\Assessment", [int]$StaleThresholdDays = 90 ) $DomainDNS = (Get-ADDomain).DNSRoot $ObjPath = Join-Path $OutputPath "$DomainDNS\Objects" if (-not (Test-Path $ObjPath)) { New-Item -Path $ObjPath -ItemType Directory -Force | Out-Null } # Full user inventory $Users = Get-ADUser -Filter * -Properties SamAccountName, UserPrincipalName, DisplayName, Enabled, LastLogonDate, PasswordLastSet, PasswordNeverExpires, AdminCount, ServicePrincipalName, MemberOf, DistinguishedName $Users | ConvertTo-Json -Depth 5 | Out-File (Join-Path $ObjPath "UserInventory.json") -Encoding UTF8 Write-Host "[COMPLETE] User inventory finished: $($Users.Count) objects." -ForegroundColor Green } function Get-FMPGroupInventory { &lt;# .SYNOPSIS Performs complete group analysis for the Federal Modernization Program assessment. .DESCRIPTION Enumerates all groups, classifies by type and scope, detects empty groups, and checks for circular nesting. .PARAMETER OutputPath Root output directory. Defaults to D:\FMP\Assessment. .EXAMPLE Get-FMPGroupInventory -OutputPath "D:\FMP\Assessment" .OUTPUTS GroupInventory.json #&gt; [CmdletBinding] param([string]$OutputPath = "D:\FMP\Assessment") $DomainDNS = (Get-ADDomain).DNSRoot $ObjPath = Join-Path $OutputPath "$DomainDNS\Objects" if (-not (Test-Path $ObjPath)) { New-Item -Path $ObjPath -ItemType Directory -Force | Out-Null } $Groups = Get-ADGroup -Filter * -Properties SamAccountName, GroupCategory, GroupScope, Members, MemberOf, Description, ManagedBy $Groups | ConvertTo-Json -Depth 5 | Out-File (Join-Path $ObjPath "GroupInventory.json") -Encoding UTF8 Write-Host "[COMPLETE] Group inventory finished: $($Groups.Count) groups." -ForegroundColor Green }</w:t>
      </w:r>
    </w:p>
    <w:p>
      <w:pPr>
        <w:pStyle w:val="BodyText"/>
      </w:pPr>
      <w:r>
        <w:t xml:space="preserve">10. Trust Relationship Mapping</w:t>
      </w:r>
    </w:p>
    <w:p>
      <w:pPr>
        <w:pStyle w:val="BodyText"/>
      </w:pPr>
      <w:r>
        <w:t xml:space="preserve">10.1 Trust Enumeration</w:t>
      </w:r>
    </w:p>
    <w:p>
      <w:pPr>
        <w:pStyle w:val="BodyText"/>
      </w:pPr>
      <w:r>
        <w:t xml:space="preserve"># Enumerate all trust relationships $Trusts = Get-ADTrust -Filter * -Properties * | Select-Object ` Name, Source, Target, @{N='Direction'; E={ switch ($_.Direction) { 0 { "Disabled" } 1 { "Inbound" } 2 { "Outbound" } 3 { "Bidirectional" } } }}, @{N='TrustType'; E={ switch ($_.TrustType) { 1 { "Downlevel (Windows NT)" } 2 { "Uplevel (Windows 2000+)" } 3 { "Realm (Kerberos)" } 4 { "DCE" } } }}, @{N='TrustAttributes'; E={ $Attr = @ if ($_.TrustAttributes -band 1) { $Attr += "NonTransitive" } if ($_.TrustAttributes -band 2) { $Attr += "UplevelOnly" } if ($_.TrustAttributes -band 4) { $Attr += "Quarantined (SID Filtered)" } if ($_.TrustAttributes -band 8) { $Attr += "ForestTransitive" } if ($_.TrustAttributes -band 16) { $Attr += "CrossOrganization" } if ($_.TrustAttributes -band 32) { $Attr += "WithinForest" } if ($_.TrustAttributes -band 64) { $Attr += "TreatAsExternal" } $Attr -join ", " }}, SelectiveAuthentication, @{N='SIDFilteringForestAware'; E={ $_.SIDFilteringForestAware }}, @{N='SIDFilteringQuarantined'; E={ $_.SIDFilteringQuarantined }}, IntraForest, IsTreeParent, IsTreeRoot, Created, Modified $Trusts | ConvertTo-Json -Depth 5 | Out-File -FilePath "D:\FMP\Assessment\$((Get-ADDomain).DNSRoot)\Trusts\TrustMap.json" -Encoding UTF8</w:t>
      </w:r>
    </w:p>
    <w:p>
      <w:pPr>
        <w:pStyle w:val="BodyText"/>
      </w:pPr>
      <w:r>
        <w:t xml:space="preserve">10.2 Trust Validation</w:t>
      </w:r>
    </w:p>
    <w:p>
      <w:pPr>
        <w:pStyle w:val="BodyText"/>
      </w:pPr>
      <w:r>
        <w:t xml:space="preserve"># Validate trust health $TrustValidation = foreach ($Trust in (Get-ADTrust -Filter *)) { $TestResult = $null try { # Test-ADTrust is available on DCs; use netdom on member servers if (Get-Command Test-ADTrust -ErrorAction SilentlyContinue) { $TestResult = Test-ADTrust -Identity $Trust.Name -ErrorAction Stop $Status = "Valid" } else { $NetdomResult = netdom trust $Trust.Name /verify 2&gt;&amp;1 $Status = if ($LASTEXITCODE -eq 0) { "Valid" } else { "Failed" } } } catch { $Status = "Error: $($_.Exception.Message)" } [PSCustomObject]@{ TrustPartner = $Trust.Name Direction = $Trust.Direction Status = $Status } }</w:t>
      </w:r>
    </w:p>
    <w:p>
      <w:pPr>
        <w:pStyle w:val="BodyText"/>
      </w:pPr>
      <w:r>
        <w:t xml:space="preserve">10.3 Trust Direction Analysis</w:t>
      </w:r>
    </w:p>
    <w:p>
      <w:pPr>
        <w:pStyle w:val="BodyText"/>
      </w:pPr>
      <w:r>
        <w:t xml:space="preserve"># Analyze authentication flow based on trust direction $TrustFlowAnalysis = foreach ($Trust in $Trusts) { $SourceDomain = (Get-ADDomain).DNSRoot [PSCustomObject]@{ TrustPartner = $Trust.Name Direction = $Trust.Direction AuthFlow = switch ($Trust.Direction) { "Inbound" { "Users in $($Trust.Name) CAN authenticate to $SourceDomain" } "Outbound" { "Users in $SourceDomain CAN authenticate to $($Trust.Name)" } "Bidirectional" { "Users in BOTH domains can cross-authenticate" } default { "Trust is disabled" } } SelectiveAuth = $Trust.SelectiveAuthentication SIDFiltered = $Trust.SIDFilteringQuarantined SecurityPosture = if ($Trust.SelectiveAuthentication) { "Hardened" } elseif ($Trust.SIDFilteringQuarantined) { "Standard" } else { "Review Required" } } }</w:t>
      </w:r>
    </w:p>
    <w:p>
      <w:pPr>
        <w:pStyle w:val="BodyText"/>
      </w:pPr>
      <w:r>
        <w:t xml:space="preserve">10.4 Wrapper Function</w:t>
      </w:r>
    </w:p>
    <w:p>
      <w:pPr>
        <w:pStyle w:val="BodyText"/>
      </w:pPr>
      <w:r>
        <w:t xml:space="preserve">function Get-FMPTrustMap { &lt;# .SYNOPSIS Performs complete trust relationship mapping for the Federal Modernization Program assessment. .DESCRIPTION Enumerates all AD trusts, validates trust health, analyzes direction and security posture, and exports TrustMap.json. .PARAMETER OutputPath Root output directory. Defaults to D:\FMP\Assessment. .EXAMPLE Get-FMPTrustMap -OutputPath "D:\FMP\Assessment" .OUTPUTS TrustMap.json #&gt; [CmdletBinding] param([string]$OutputPath = "D:\FMP\Assessment") $DomainDNS = (Get-ADDomain).DNSRoot $TrustPath = Join-Path $OutputPath "$DomainDNS\Trusts" if (-not (Test-Path $TrustPath)) { New-Item -Path $TrustPath -ItemType Directory -Force | Out-Null } $Trusts = Get-ADTrust -Filter * | Select-Object Name, Direction, TrustType, TrustAttributes, SelectiveAuthentication, IntraForest $TrustData = [PSCustomObject]@{ AssessmentTimestamp = (Get-Date -Format "o") Domain = $DomainDNS TrustCount = $Trusts.Count Trusts = $Trusts } $TrustData | ConvertTo-Json -Depth 5 | Out-File (Join-Path $TrustPath "TrustMap.json") -Encoding UTF8 Write-Host "[COMPLETE] Trust mapping finished: $($Trusts.Count) trusts." -ForegroundColor Green }</w:t>
      </w:r>
    </w:p>
    <w:p>
      <w:pPr>
        <w:pStyle w:val="BodyText"/>
      </w:pPr>
      <w:r>
        <w:t xml:space="preserve">11. The Federal Modernization Program Assessment Pipeline Integration</w:t>
      </w:r>
    </w:p>
    <w:p>
      <w:pPr>
        <w:pStyle w:val="BodyText"/>
      </w:pPr>
      <w:r>
        <w:t xml:space="preserve">11.1 Master Assessment Orchestrator</w:t>
      </w:r>
    </w:p>
    <w:p>
      <w:pPr>
        <w:pStyle w:val="BodyText"/>
      </w:pPr>
      <w:r>
        <w:t xml:space="preserve">The Invoke-FMPADAssessment function calls all wrapper functions in sequence, producing the complete assessment artifact set in a single invocation.</w:t>
      </w:r>
    </w:p>
    <w:p>
      <w:pPr>
        <w:pStyle w:val="BodyText"/>
      </w:pPr>
      <w:r>
        <w:t xml:space="preserve">function Invoke-FMPADAssessment { &lt;# .SYNOPSIS Executes the complete the Federal Modernization Program Active Directory assessment pipeline. .DESCRIPTION Orchestrates all assessment functions in sequence: forest topology, OU hierarchy, GPO inventory, DNS assessment, PKI assessment, computer inventory, user inventory, group inventory, and trust mapping. Generates AssessmentManifest.json upon completion. .PARAMETER Domain Target domain DNS name. Defaults to current domain. .PARAMETER OutputPath Root output directory. Defaults to D:\FMP\Assessment. .PARAMETER StaleThresholdDays Days threshold for stale object detection. Defaults to 90. .EXAMPLE Invoke-FMPADAssessment -Domain "contoso.com" -OutputPath "D:\FMP\Assessment" .OUTPUTS Complete assessment artifact set plus AssessmentManifest.json. #&gt; [CmdletBinding] param( [string]$Domain = (Get-ADDomain).DNSRoot, [string]$OutputPath = "D:\FMP\Assessment", [int]$StaleThresholdDays = 90 ) $StartTime = Get-Date Write-Host "========================================" -ForegroundColor Cyan Write-Host " the Federal Modernization Program Active Directory Assessment" -ForegroundColor Cyan Write-Host " Domain: $Domain" -ForegroundColor Cyan Write-Host " Started: $StartTime" -ForegroundColor Cyan Write-Host "========================================" -ForegroundColor Cyan # Phase 1: Forest Topology Write-Host "`n[1/8] Forest Topology Discovery..." -ForegroundColor White Get-FMPForestTopology -OutputPath $OutputPath # Phase 2: OU Hierarchy Write-Host "`n[2/8] OU Hierarchy Extraction..." -ForegroundColor White Get-FMPOUHierarchy -OutputPath $OutputPath # Phase 3: GPO Inventory Write-Host "`n[3/8] GPO Inventory and Analysis..." -ForegroundColor White Get-FMPGPOInventory -OutputPath $OutputPath # Phase 4: DNS Assessment Write-Host "`n[4/8] DNS Infrastructure Assessment..." -ForegroundColor White Get-FMPDNSAssessment -OutputPath $OutputPath # Phase 5: PKI Assessment Write-Host "`n[5/8] Certificate Services Assessment..." -ForegroundColor White Get-FMPPKIAssessment -OutputPath $OutputPath # Phase 6: Computer Inventory Write-Host "`n[6/8] Computer Object Enumeration..." -ForegroundColor White Get-FMPComputerInventory -OutputPath $OutputPath -StaleThresholdDays $StaleThresholdDays # Phase 7: User and Group Inventory Write-Host "`n[7/8] User and Group Analysis..." -ForegroundColor White Get-FMPUserInventory -OutputPath $OutputPath -StaleThresholdDays $StaleThresholdDays Get-FMPGroupInventory -OutputPath $OutputPath # Phase 8: Trust Mapping Write-Host "`n[8/8] Trust Relationship Mapping..." -ForegroundColor White Get-FMPTrustMap -OutputPath $OutputPath # Generate Assessment Manifest $EndTime = Get-Date $Duration = $EndTime - $StartTime $BasePath = Join-Path $OutputPath $Domain # Build file inventory with checksums $Files = Get-ChildItem -Path $BasePath -Recurse -File | ForEach-Object { [PSCustomObject]@{ RelativePath = $_.FullName.Replace($BasePath, "").TrimStart("\") SizeBytes = $_.Length LastModified = $_.LastWriteTime.ToString("o") SHA256 = (Get-FileHash -Path $_.FullName -Algorithm SHA256).Hash } } $Manifest = [PSCustomObject]@{ AssessmentId = [guid]::NewGuid.ToString Domain = $Domain StartTime = $StartTime.ToString("o") EndTime = $EndTime.ToString("o") DurationMinutes = [math]::Round($Duration.TotalMinutes, 2) ExecutedBy = "$env:USERDOMAIN\$env:USERNAME" ComputerName = $env:COMPUTERNAME StaleThresholdDays = $StaleThresholdDays FileCount = $Files.Count Files = $Files } $Manifest | ConvertTo-Json -Depth 5 | Out-File (Join-Path $BasePath "AssessmentManifest.json") -Encoding UTF8 Write-Host "`n========================================" -ForegroundColor Green Write-Host " Assessment Complete" -ForegroundColor Green Write-Host " Duration: $([math]::Round($Duration.TotalMinutes, 2)) minutes" -ForegroundColor Green Write-Host " Files: $($Files.Count)" -ForegroundColor Green Write-Host " Output: $BasePath" -ForegroundColor Green Write-Host "========================================" -ForegroundColor Green }</w:t>
      </w:r>
    </w:p>
    <w:p>
      <w:pPr>
        <w:pStyle w:val="BodyText"/>
      </w:pPr>
      <w:r>
        <w:t xml:space="preserve">11.2 Pipeline Output Structure</w:t>
      </w:r>
    </w:p>
    <w:p>
      <w:pPr>
        <w:pStyle w:val="BodyText"/>
      </w:pPr>
      <w:r>
        <w:t xml:space="preserve">Upon completion, the assessment produces the following directory tree:</w:t>
      </w:r>
    </w:p>
    <w:p>
      <w:pPr>
        <w:pStyle w:val="BodyText"/>
      </w:pPr>
      <w:r>
        <w:t xml:space="preserve">D:\FMP\Assessment\contoso.com\ ├── AssessmentManifest.json ← Master manifest with checksums ├── Forest\ │ ├── ForestTopology.json ← Consolidated topology │ ├── ForestInfo.json │ ├── Sites.json │ ├── SiteLinks.json │ ├── Subnets.json │ └── FSMORoles.json ├── Domains\ │ ├── AllDomains.json │ ├── contoso.com.json │ └── DomainControllers.json ├── OUs\ │ ├── OUHierarchy.json │ ├── OUFlatList.csv │ ├── OUDelegations.json │ └── OUTreeVisual.txt ├── GPOs\ │ ├── GPOInventory.json │ ├── GPOLinks.json │ ├── GPOPermissions.json │ ├── GPOSettingsDecomposed.json │ ├── GPOSettings\ │ │ ├── {GUID}.xml │ │ └── {GUID}.html │ └── GPOBackups\ ├── DNS\ │ ├── DNSInventory.json │ └── DNSHealthReport.json ├── PKI\ │ ├── PKIInventory.json │ └── PKISecurityReport.json ├── Objects\ │ ├── ComputerInventory.json │ ├── ComputersByOS.csv │ ├── StaleComputers.csv │ ├── DelegationReport.csv │ ├── UserInventory.json │ ├── PrivilegedUsers.csv │ ├── ServiceAccounts.csv │ └── GroupInventory.json ├── Trusts\ │ └── TrustMap.json └── ServiceAccounts\ ├── MSAInventory.json └── gMSAInventory.json</w:t>
      </w:r>
    </w:p>
    <w:p>
      <w:pPr>
        <w:pStyle w:val="BodyText"/>
      </w:pPr>
      <w:r>
        <w:t xml:space="preserve">11.3 Assessment Data to the Federal Modernization Program Gitea Integration</w:t>
      </w:r>
    </w:p>
    <w:p>
      <w:pPr>
        <w:pStyle w:val="BodyText"/>
      </w:pPr>
      <w:r>
        <w:t xml:space="preserve">Assessment artifacts are committed to the fmp.git repository under a timestamped directory.</w:t>
      </w:r>
    </w:p>
    <w:p>
      <w:pPr>
        <w:pStyle w:val="BodyText"/>
      </w:pPr>
      <w:r>
        <w:t xml:space="preserve"># Commit assessment artifacts to Gitea $Domain = (Get-ADDomain).DNSRoot $Timestamp = Get-Date -Format "yyyyMMdd-HHmmss" $GitPath = "assessments/$Domain/$Timestamp" # Stage and commit (assumes local clone of fmp.git) $RepoPath = "D:\FMP\Repos\fmp" Copy-Item -Path "D:\FMP\Assessment\$Domain\*" -Destination "$RepoPath\$GitPath" -Recurse -Force Push-Location $RepoPath git add "$GitPath/*" git commit -m "Assessment: $Domain @ $Timestamp" git push origin main Pop-Location</w:t>
      </w:r>
    </w:p>
    <w:p>
      <w:pPr>
        <w:pStyle w:val="BodyText"/>
      </w:pPr>
      <w:r>
        <w:t xml:space="preserve">11.4 Assessment Output to Planning Document Mapping</w:t>
      </w:r>
    </w:p>
    <w:tbl>
      <w:tblPr>
        <w:tblStyle w:val="Table"/>
        <w:tblW w:type="pct" w:w="4947"/>
        <w:tblLayout w:type="fixed"/>
        <w:tblLook w:firstRow="1" w:lastRow="0" w:firstColumn="0" w:lastColumn="0" w:noHBand="0" w:noVBand="0" w:val="0020"/>
      </w:tblPr>
      <w:tblGrid>
        <w:gridCol w:w="2053"/>
        <w:gridCol w:w="1550"/>
        <w:gridCol w:w="4232"/>
      </w:tblGrid>
      <w:tr>
        <w:trPr>
          <w:tblHeader w:val="on"/>
        </w:trPr>
        <w:tc>
          <w:tcPr/>
          <w:p>
            <w:pPr>
              <w:pStyle w:val="Compact"/>
              <w:jc w:val="left"/>
            </w:pPr>
            <w:r>
              <w:rPr>
                <w:b/>
                <w:bCs/>
              </w:rPr>
              <w:t xml:space="preserve">Assessment Artifact</w:t>
            </w:r>
          </w:p>
        </w:tc>
        <w:tc>
          <w:tcPr/>
          <w:p>
            <w:pPr>
              <w:pStyle w:val="Compact"/>
              <w:jc w:val="left"/>
            </w:pPr>
            <w:r>
              <w:rPr>
                <w:b/>
                <w:bCs/>
              </w:rPr>
              <w:t xml:space="preserve">Downstream Planning Document</w:t>
            </w:r>
          </w:p>
        </w:tc>
        <w:tc>
          <w:tcPr/>
          <w:p>
            <w:pPr>
              <w:pStyle w:val="Compact"/>
              <w:jc w:val="left"/>
            </w:pPr>
            <w:r>
              <w:rPr>
                <w:b/>
                <w:bCs/>
              </w:rPr>
              <w:t xml:space="preserve">Transformation</w:t>
            </w:r>
          </w:p>
        </w:tc>
      </w:tr>
      <w:tr>
        <w:tc>
          <w:tcPr/>
          <w:p>
            <w:pPr>
              <w:pStyle w:val="Compact"/>
              <w:jc w:val="left"/>
            </w:pPr>
            <w:r>
              <w:t xml:space="preserve">GPOInventory.json + GPOSettingsDecomposed.json</w:t>
            </w:r>
          </w:p>
        </w:tc>
        <w:tc>
          <w:tcPr/>
          <w:p>
            <w:pPr>
              <w:pStyle w:val="Compact"/>
              <w:jc w:val="left"/>
            </w:pPr>
            <w:r>
              <w:t xml:space="preserve">GPO-to-Intune Migration Plan</w:t>
            </w:r>
          </w:p>
        </w:tc>
        <w:tc>
          <w:tcPr/>
          <w:p>
            <w:pPr>
              <w:pStyle w:val="Compact"/>
              <w:jc w:val="left"/>
            </w:pPr>
            <w:r>
              <w:t xml:space="preserve">Map each GPO setting to Intune configuration profile, compliance policy, or Settings Catalog entry</w:t>
            </w:r>
          </w:p>
        </w:tc>
      </w:tr>
      <w:tr>
        <w:tc>
          <w:tcPr/>
          <w:p>
            <w:pPr>
              <w:pStyle w:val="Compact"/>
              <w:jc w:val="left"/>
            </w:pPr>
            <w:r>
              <w:t xml:space="preserve">ComputerInventory.json + ComputersByOS.csv</w:t>
            </w:r>
          </w:p>
        </w:tc>
        <w:tc>
          <w:tcPr/>
          <w:p>
            <w:pPr>
              <w:pStyle w:val="Compact"/>
              <w:jc w:val="left"/>
            </w:pPr>
            <w:r>
              <w:t xml:space="preserve">Device Modernization Plan</w:t>
            </w:r>
          </w:p>
        </w:tc>
        <w:tc>
          <w:tcPr/>
          <w:p>
            <w:pPr>
              <w:pStyle w:val="Compact"/>
              <w:jc w:val="left"/>
            </w:pPr>
            <w:r>
              <w:t xml:space="preserve">Classify each device for Entra Join, Hybrid Join, or Arc enrollment based on OS and workload</w:t>
            </w:r>
          </w:p>
        </w:tc>
      </w:tr>
      <w:tr>
        <w:tc>
          <w:tcPr/>
          <w:p>
            <w:pPr>
              <w:pStyle w:val="Compact"/>
              <w:jc w:val="left"/>
            </w:pPr>
            <w:r>
              <w:t xml:space="preserve">DNSInventory.json</w:t>
            </w:r>
          </w:p>
        </w:tc>
        <w:tc>
          <w:tcPr/>
          <w:p>
            <w:pPr>
              <w:pStyle w:val="Compact"/>
              <w:jc w:val="left"/>
            </w:pPr>
            <w:r>
              <w:t xml:space="preserve">DNS Modernization Plan</w:t>
            </w:r>
          </w:p>
        </w:tc>
        <w:tc>
          <w:tcPr/>
          <w:p>
            <w:pPr>
              <w:pStyle w:val="Compact"/>
              <w:jc w:val="left"/>
            </w:pPr>
            <w:r>
              <w:t xml:space="preserve">Map zones and conditional forwarders to target DNS architecture</w:t>
            </w:r>
          </w:p>
        </w:tc>
      </w:tr>
      <w:tr>
        <w:tc>
          <w:tcPr/>
          <w:p>
            <w:pPr>
              <w:pStyle w:val="Compact"/>
              <w:jc w:val="left"/>
            </w:pPr>
            <w:r>
              <w:t xml:space="preserve">PKIInventory.json + PKISecurityReport.json</w:t>
            </w:r>
          </w:p>
        </w:tc>
        <w:tc>
          <w:tcPr/>
          <w:p>
            <w:pPr>
              <w:pStyle w:val="Compact"/>
              <w:jc w:val="left"/>
            </w:pPr>
            <w:r>
              <w:t xml:space="preserve">Certificate Modernization Plan</w:t>
            </w:r>
          </w:p>
        </w:tc>
        <w:tc>
          <w:tcPr/>
          <w:p>
            <w:pPr>
              <w:pStyle w:val="Compact"/>
              <w:jc w:val="left"/>
            </w:pPr>
            <w:r>
              <w:t xml:space="preserve">Evaluate templates for Entra Certificate-Based Auth eligibility, remediate ESC findings</w:t>
            </w:r>
          </w:p>
        </w:tc>
      </w:tr>
      <w:tr>
        <w:tc>
          <w:tcPr/>
          <w:p>
            <w:pPr>
              <w:pStyle w:val="Compact"/>
              <w:jc w:val="left"/>
            </w:pPr>
            <w:r>
              <w:t xml:space="preserve">OUHierarchy.json</w:t>
            </w:r>
          </w:p>
        </w:tc>
        <w:tc>
          <w:tcPr/>
          <w:p>
            <w:pPr>
              <w:pStyle w:val="Compact"/>
              <w:jc w:val="left"/>
            </w:pPr>
            <w:r>
              <w:t xml:space="preserve">Attribute Design for Dynamic Groups</w:t>
            </w:r>
          </w:p>
        </w:tc>
        <w:tc>
          <w:tcPr/>
          <w:p>
            <w:pPr>
              <w:pStyle w:val="Compact"/>
              <w:jc w:val="left"/>
            </w:pPr>
            <w:r>
              <w:t xml:space="preserve">Convert OU-based targeting to Entra ID dynamic group membership rules</w:t>
            </w:r>
          </w:p>
        </w:tc>
      </w:tr>
      <w:tr>
        <w:tc>
          <w:tcPr/>
          <w:p>
            <w:pPr>
              <w:pStyle w:val="Compact"/>
              <w:jc w:val="left"/>
            </w:pPr>
            <w:r>
              <w:t xml:space="preserve">TrustMap.json</w:t>
            </w:r>
          </w:p>
        </w:tc>
        <w:tc>
          <w:tcPr/>
          <w:p>
            <w:pPr>
              <w:pStyle w:val="Compact"/>
              <w:jc w:val="left"/>
            </w:pPr>
            <w:r>
              <w:t xml:space="preserve">Cross-Tenant Configuration Plan</w:t>
            </w:r>
          </w:p>
        </w:tc>
        <w:tc>
          <w:tcPr/>
          <w:p>
            <w:pPr>
              <w:pStyle w:val="Compact"/>
              <w:jc w:val="left"/>
            </w:pPr>
            <w:r>
              <w:t xml:space="preserve">Map trust relationships to Entra ID cross-tenant access settings</w:t>
            </w:r>
          </w:p>
        </w:tc>
      </w:tr>
      <w:tr>
        <w:tc>
          <w:tcPr/>
          <w:p>
            <w:pPr>
              <w:pStyle w:val="Compact"/>
              <w:jc w:val="left"/>
            </w:pPr>
            <w:r>
              <w:t xml:space="preserve">UserInventory.json + GroupInventory.json</w:t>
            </w:r>
          </w:p>
        </w:tc>
        <w:tc>
          <w:tcPr/>
          <w:p>
            <w:pPr>
              <w:pStyle w:val="Compact"/>
              <w:jc w:val="left"/>
            </w:pPr>
            <w:r>
              <w:t xml:space="preserve">Identity Modernization Plan</w:t>
            </w:r>
          </w:p>
        </w:tc>
        <w:tc>
          <w:tcPr/>
          <w:p>
            <w:pPr>
              <w:pStyle w:val="Compact"/>
              <w:jc w:val="left"/>
            </w:pPr>
            <w:r>
              <w:t xml:space="preserve">Design Entra ID group structure, PIM role assignments, Access Review scopes</w:t>
            </w:r>
          </w:p>
        </w:tc>
      </w:tr>
      <w:tr>
        <w:tc>
          <w:tcPr/>
          <w:p>
            <w:pPr>
              <w:pStyle w:val="Compact"/>
              <w:jc w:val="left"/>
            </w:pPr>
            <w:r>
              <w:t xml:space="preserve">ServiceAccounts.csv</w:t>
            </w:r>
          </w:p>
        </w:tc>
        <w:tc>
          <w:tcPr/>
          <w:p>
            <w:pPr>
              <w:pStyle w:val="Compact"/>
              <w:jc w:val="left"/>
            </w:pPr>
            <w:r>
              <w:t xml:space="preserve">Service Account Modernization Plan</w:t>
            </w:r>
          </w:p>
        </w:tc>
        <w:tc>
          <w:tcPr/>
          <w:p>
            <w:pPr>
              <w:pStyle w:val="Compact"/>
              <w:jc w:val="left"/>
            </w:pPr>
            <w:r>
              <w:t xml:space="preserve">Migrate to gMSA or Managed Identities where applicable</w:t>
            </w:r>
          </w:p>
        </w:tc>
      </w:tr>
    </w:tbl>
    <w:p>
      <w:pPr>
        <w:pStyle w:val="BodyText"/>
      </w:pPr>
      <w:r>
        <w:t xml:space="preserve">11.5 Drift Detection</w:t>
      </w:r>
    </w:p>
    <w:p>
      <w:pPr>
        <w:pStyle w:val="BodyText"/>
      </w:pPr>
      <w:r>
        <w:t xml:space="preserve">Schedule recurring assessments and compare against previous runs to detect configuration drift.</w:t>
      </w:r>
    </w:p>
    <w:p>
      <w:pPr>
        <w:pStyle w:val="BodyText"/>
      </w:pPr>
      <w:r>
        <w:t xml:space="preserve"># Schedule recurring assessment via Task Scheduler $Action = New-ScheduledTaskAction -Execute "PowerShell.exe" ` -Argument '-NoProfile -ExecutionPolicy Bypass -Command "Import-Module FMPADAssessment; Invoke-FMPADAssessment"' $Trigger = New-ScheduledTaskTrigger -Weekly -DaysOfWeek Monday -At "02:00" $Principal = New-ScheduledTaskPrincipal -UserId "DOMAIN\svc-fmp-assess" -LogonType Password Register-ScheduledTask -TaskName "FMP-AD-Assessment" ` -Action $Action -Trigger $Trigger -Principal $Principal ` -Description "Weekly the Federal Modernization Program Active Directory Assessment" # Diff against previous assessment function Compare-FMPAssessments { &lt;# .SYNOPSIS Compares two the Federal Modernization Program assessment runs to detect configuration drift. .PARAMETER BaselinePath Path to the baseline assessment directory. .PARAMETER CurrentPath Path to the current assessment directory. .EXAMPLE Compare-FMPAssessments -BaselinePath "D:\FMP\Assessment\contoso.com\20260401" ` -CurrentPath "D:\FMP\Assessment\contoso.com\20260408" .OUTPUTS DriftReport.json with added, removed, and changed items. #&gt; [CmdletBinding] param( [Parameter(Mandatory)][string]$BaselinePath, [Parameter(Mandatory)][string]$CurrentPath ) $Drift = @ # Compare key JSON files $FilesToCompare = @( "Forest\ForestTopology.json", "Objects\ComputerInventory.json", "Objects\UserInventory.json", "Objects\GroupInventory.json", "GPOs\GPOInventory.json", "Trusts\TrustMap.json" ) foreach ($File in $FilesToCompare) { $BaseLine = Get-Content (Join-Path $BaselinePath $File) -Raw -ErrorAction SilentlyContinue $Current = Get-Content (Join-Path $CurrentPath $File) -Raw -ErrorAction SilentlyContinue if ($BaseLine -ne $Current) { $Drift += [PSCustomObject]@{ File = $File Status = "Changed" Baseline = (Get-FileHash (Join-Path $BaselinePath $File) -Algorithm SHA256).Hash Current = (Get-FileHash (Join-Path $CurrentPath $File) -Algorithm SHA256).Hash } } } return $Drift }</w:t>
      </w:r>
    </w:p>
    <w:p>
      <w:pPr>
        <w:pStyle w:val="BodyText"/>
      </w:pPr>
      <w:r>
        <w:t xml:space="preserve">12. Gitea API Integration for Assessment Data</w:t>
      </w:r>
    </w:p>
    <w:p>
      <w:pPr>
        <w:pStyle w:val="BodyText"/>
      </w:pPr>
      <w:r>
        <w:t xml:space="preserve">12.1 Posting Assessment Results to Gitea via API</w:t>
      </w:r>
    </w:p>
    <w:p>
      <w:pPr>
        <w:pStyle w:val="BodyText"/>
      </w:pPr>
      <w:r>
        <w:t xml:space="preserve"># Gitea API configuration $GiteaBaseURL = "https://gitea.example.internal/api/v1" $GiteaToken = (Get-Content "D:\FMP\Config\gitea-token.txt" -Raw).Trim $GiteaHeaders = @{ "Authorization" = "token $GiteaToken" "Content-Type" = "application/json" } $RepoOwner = "fmp" $RepoName = "fmp" # Commit a file to the repository via API function Push-FMPFileToGitea { &lt;# .SYNOPSIS Commits a single file to the Federal Modernization Program Gitea repository via REST API. .PARAMETER FilePath Local path to the file to commit. .PARAMETER TargetPath Repository-relative path for the file. .PARAMETER CommitMessage Git commit message. .EXAMPLE Push-FMPFileToGitea -FilePath "D:\FMP\Assessment\contoso.com\Forest\ForestTopology.json" ` -TargetPath "assessments/contoso.com/20260420/Forest/ForestTopology.json" ` -CommitMessage "Assessment: Forest topology capture" .OUTPUTS Gitea API response object. #&gt; [CmdletBinding] param( [Parameter(Mandatory)][string]$FilePath, [Parameter(Mandatory)][string]$TargetPath, [string]$CommitMessage = "the Federal Modernization Program Assessment artifact upload" ) $Content = [Convert]::ToBase64String([IO.File]::ReadAllBytes($FilePath)) $Body = @{ message = $CommitMessage content = $Content } | ConvertTo-Json $URI = "$GiteaBaseURL/repos/$RepoOwner/$RepoName/contents/$TargetPath" try { $Response = Invoke-RestMethod -Uri $URI -Method POST -Headers $GiteaHeaders -Body $Body Write-Host "[PUSHED] $TargetPath" -ForegroundColor Green return $Response } catch { if ($_.Exception.Response.StatusCode -eq 422) { # File exists — update instead $Existing = Invoke-RestMethod -Uri $URI -Method GET -Headers $GiteaHeaders $Body = @{ message = $CommitMessage content = $Content sha = $Existing.sha } | ConvertTo-Json $Response = Invoke-RestMethod -Uri $URI -Method PUT -Headers $GiteaHeaders -Body $Body Write-Host "[UPDATED] $TargetPath" -ForegroundColor Yellow return $Response } else { Write-Error "Failed to push $TargetPath`: $($_.Exception.Message)" } } }</w:t>
      </w:r>
    </w:p>
    <w:p>
      <w:pPr>
        <w:pStyle w:val="BodyText"/>
      </w:pPr>
      <w:r>
        <w:t xml:space="preserve">12.2 Creating Assessment Branches</w:t>
      </w:r>
    </w:p>
    <w:p>
      <w:pPr>
        <w:pStyle w:val="BodyText"/>
      </w:pPr>
      <w:r>
        <w:t xml:space="preserve"># Create a branch for each assessment run $Timestamp = Get-Date -Format "yyyyMMdd-HHmmss" $BranchName = "assessment/$((Get-ADDomain).DNSRoot)/$Timestamp" $BranchBody = @{ new_branch_name = $BranchName old_branch_name = "main" } | ConvertTo-Json Invoke-RestMethod -Uri "$GiteaBaseURL/repos/$RepoOwner/$RepoName/branches" ` -Method POST -Headers $GiteaHeaders -Body $BranchBody</w:t>
      </w:r>
    </w:p>
    <w:p>
      <w:pPr>
        <w:pStyle w:val="BodyText"/>
      </w:pPr>
      <w:r>
        <w:t xml:space="preserve">12.3 Creating Issues for Critical Findings</w:t>
      </w:r>
    </w:p>
    <w:p>
      <w:pPr>
        <w:pStyle w:val="BodyText"/>
      </w:pPr>
      <w:r>
        <w:t xml:space="preserve"># Create Gitea issue when critical findings are detected function New-FMPSecurityIssue { &lt;# .SYNOPSIS Creates a Gitea issue for critical security findings from assessment. .PARAMETER Title Issue title. .PARAMETER Body Issue body in Markdown format. .PARAMETER Labels Array of label names to apply. .EXAMPLE New-FMPSecurityIssue -Title "ESC1 Vulnerability Detected" ` -Body "Template 'WebServer' allows enrollee-supplied SANs" ` -Labels @("security","critical","pki") .OUTPUTS Gitea API response with issue URL. #&gt; [CmdletBinding] param( [Parameter(Mandatory)][string]$Title, [Parameter(Mandatory)][string]$Body, [string[]]$Labels = @("security") ) $IssueBody = @{ title = $Title body = $Body labels = @ # Label IDs would be resolved here } | ConvertTo-Json $Response = Invoke-RestMethod -Uri "$GiteaBaseURL/repos/$RepoOwner/$RepoName/issues" ` -Method POST -Headers $GiteaHeaders -Body $IssueBody Write-Host "[ISSUE] Created: $($Response.html_url)" -ForegroundColor Magenta return $Response } # Auto-create issues for critical findings function Invoke-FMPFindingIssues { [CmdletBinding] param([string]$PKIReportPath, [string]$DelegationReportPath) # PKI findings if (Test-Path $PKIReportPath) { $PKIFindings = Get-Content $PKIReportPath -Raw | ConvertFrom-Json foreach ($Finding in ($PKIFindings | Where-Object Severity -eq "Critical")) { New-FMPSecurityIssue -Title "$($Finding.Finding): $($Finding.Template)" ` -Body "**Severity:** $($Finding.Severity)`n`n$($Finding.Description)`n`n**Remediation:** $($Finding.Remediation)" ` -Labels @("security","critical","pki") } } # Unconstrained delegation findings if (Test-Path $DelegationReportPath) { $Delegations = Import-Csv $DelegationReportPath $Unconstrained = $Delegations | Where-Object DelegationType -eq "Unconstrained" if ($Unconstrained.Count -gt 0) { $Body = "The following $($Unconstrained.Count) computer(s) have unconstrained delegation:`n`n" $Body += ($Unconstrained | ForEach-Object { "- ``$($_.Name)`` ($($_.OperatingSystem))" }) -join "`n" New-FMPSecurityIssue -Title "Unconstrained Delegation: $($Unconstrained.Count) computer(s)" ` -Body $Body -Labels @("security","critical","delegation") } } }</w:t>
      </w:r>
    </w:p>
    <w:p>
      <w:pPr>
        <w:pStyle w:val="BodyText"/>
      </w:pPr>
      <w:r>
        <w:t xml:space="preserve">12.4 Webhook Configuration</w:t>
      </w:r>
    </w:p>
    <w:p>
      <w:pPr>
        <w:pStyle w:val="BodyText"/>
      </w:pPr>
      <w:r>
        <w:t xml:space="preserve">Configure a Gitea webhook to trigger downstream automation when assessment artifacts are committed.</w:t>
      </w:r>
    </w:p>
    <w:p>
      <w:pPr>
        <w:pStyle w:val="BodyText"/>
      </w:pPr>
      <w:r>
        <w:t xml:space="preserve"># Create webhook via API $WebhookBody = @{ type = "gitea" active = $true config = @{ url = "https://automation.example.internal/api/webhook/assessment" content_type = "json" secret = (New-Guid).ToString } events = @("push") branch_filter = "assessment/*" } | ConvertTo-Json -Depth 5 Invoke-RestMethod -Uri "$GiteaBaseURL/repos/$RepoOwner/$RepoName/hooks" ` -Method POST -Headers $GiteaHeaders -Body $WebhookBody</w:t>
      </w:r>
    </w:p>
    <w:p>
      <w:pPr>
        <w:pStyle w:val="BodyText"/>
      </w:pPr>
      <w:r>
        <w:t xml:space="preserve">13. Security Considerations and Least Privilege</w:t>
      </w:r>
    </w:p>
    <w:p>
      <w:pPr>
        <w:pStyle w:val="BodyText"/>
      </w:pPr>
      <w:r>
        <w:t xml:space="preserve">13.1 Minimum Required Permissions by Function</w:t>
      </w:r>
    </w:p>
    <w:tbl>
      <w:tblPr>
        <w:tblStyle w:val="Table"/>
        <w:tblW w:type="pct" w:w="4932"/>
        <w:tblLayout w:type="fixed"/>
        <w:tblLook w:firstRow="1" w:lastRow="0" w:firstColumn="0" w:lastColumn="0" w:noHBand="0" w:noVBand="0" w:val="0020"/>
      </w:tblPr>
      <w:tblGrid>
        <w:gridCol w:w="1508"/>
        <w:gridCol w:w="3340"/>
        <w:gridCol w:w="2963"/>
      </w:tblGrid>
      <w:tr>
        <w:trPr>
          <w:tblHeader w:val="on"/>
        </w:trPr>
        <w:tc>
          <w:tcPr/>
          <w:p>
            <w:pPr>
              <w:pStyle w:val="Compact"/>
              <w:jc w:val="left"/>
            </w:pPr>
            <w:r>
              <w:rPr>
                <w:b/>
                <w:bCs/>
              </w:rPr>
              <w:t xml:space="preserve">Function</w:t>
            </w:r>
          </w:p>
        </w:tc>
        <w:tc>
          <w:tcPr/>
          <w:p>
            <w:pPr>
              <w:pStyle w:val="Compact"/>
              <w:jc w:val="left"/>
            </w:pPr>
            <w:r>
              <w:rPr>
                <w:b/>
                <w:bCs/>
              </w:rPr>
              <w:t xml:space="preserve">Minimum Permission</w:t>
            </w:r>
          </w:p>
        </w:tc>
        <w:tc>
          <w:tcPr/>
          <w:p>
            <w:pPr>
              <w:pStyle w:val="Compact"/>
              <w:jc w:val="left"/>
            </w:pPr>
            <w:r>
              <w:rPr>
                <w:b/>
                <w:bCs/>
              </w:rPr>
              <w:t xml:space="preserve">Notes</w:t>
            </w:r>
          </w:p>
        </w:tc>
      </w:tr>
      <w:tr>
        <w:tc>
          <w:tcPr/>
          <w:p>
            <w:pPr>
              <w:pStyle w:val="Compact"/>
              <w:jc w:val="left"/>
            </w:pPr>
            <w:r>
              <w:t xml:space="preserve">Get-FMPForestTopology A</w:t>
            </w:r>
          </w:p>
        </w:tc>
        <w:tc>
          <w:tcPr/>
          <w:p>
            <w:pPr>
              <w:pStyle w:val="Compact"/>
              <w:jc w:val="left"/>
            </w:pPr>
            <w:r>
              <w:t xml:space="preserve">uthenticated Users (default read) F</w:t>
            </w:r>
          </w:p>
        </w:tc>
        <w:tc>
          <w:tcPr/>
          <w:p>
            <w:pPr>
              <w:pStyle w:val="Compact"/>
              <w:jc w:val="left"/>
            </w:pPr>
            <w:r>
              <w:t xml:space="preserve">orest/domain metadata is readable by default</w:t>
            </w:r>
          </w:p>
        </w:tc>
      </w:tr>
      <w:tr>
        <w:tc>
          <w:tcPr/>
          <w:p>
            <w:pPr>
              <w:pStyle w:val="Compact"/>
              <w:jc w:val="left"/>
            </w:pPr>
            <w:r>
              <w:t xml:space="preserve">Get-FMPOUHierarchy R</w:t>
            </w:r>
          </w:p>
        </w:tc>
        <w:tc>
          <w:tcPr/>
          <w:p>
            <w:pPr>
              <w:pStyle w:val="Compact"/>
              <w:jc w:val="left"/>
            </w:pPr>
            <w:r>
              <w:t xml:space="preserve">ead access to all OUs + Read ACLs for delegation analysis A</w:t>
            </w:r>
          </w:p>
        </w:tc>
        <w:tc>
          <w:tcPr/>
          <w:p>
            <w:pPr>
              <w:pStyle w:val="Compact"/>
              <w:jc w:val="left"/>
            </w:pPr>
            <w:r>
              <w:t xml:space="preserve">CL read requires elevated permissions</w:t>
            </w:r>
          </w:p>
        </w:tc>
      </w:tr>
      <w:tr>
        <w:tc>
          <w:tcPr/>
          <w:p>
            <w:pPr>
              <w:pStyle w:val="Compact"/>
              <w:jc w:val="left"/>
            </w:pPr>
            <w:r>
              <w:t xml:space="preserve">Get-FMPGPOInventory R</w:t>
            </w:r>
          </w:p>
        </w:tc>
        <w:tc>
          <w:tcPr/>
          <w:p>
            <w:pPr>
              <w:pStyle w:val="Compact"/>
              <w:jc w:val="left"/>
            </w:pPr>
            <w:r>
              <w:t xml:space="preserve">ead access to Group Policy Objects + Backup GPO permission G</w:t>
            </w:r>
          </w:p>
        </w:tc>
        <w:tc>
          <w:tcPr/>
          <w:p>
            <w:pPr>
              <w:pStyle w:val="Compact"/>
              <w:jc w:val="left"/>
            </w:pPr>
            <w:r>
              <w:t xml:space="preserve">PO backup requires explicit delegation</w:t>
            </w:r>
          </w:p>
        </w:tc>
      </w:tr>
      <w:tr>
        <w:tc>
          <w:tcPr/>
          <w:p>
            <w:pPr>
              <w:pStyle w:val="Compact"/>
              <w:jc w:val="left"/>
            </w:pPr>
            <w:r>
              <w:t xml:space="preserve">Get-FMPDNSAssessment D</w:t>
            </w:r>
          </w:p>
        </w:tc>
        <w:tc>
          <w:tcPr/>
          <w:p>
            <w:pPr>
              <w:pStyle w:val="Compact"/>
              <w:jc w:val="left"/>
            </w:pPr>
            <w:r>
              <w:t xml:space="preserve">nsAdmins group or delegated DNS read R</w:t>
            </w:r>
          </w:p>
        </w:tc>
        <w:tc>
          <w:tcPr/>
          <w:p>
            <w:pPr>
              <w:pStyle w:val="Compact"/>
              <w:jc w:val="left"/>
            </w:pPr>
            <w:r>
              <w:t xml:space="preserve">emote DNS management requires WinRM</w:t>
            </w:r>
          </w:p>
        </w:tc>
      </w:tr>
      <w:tr>
        <w:tc>
          <w:tcPr/>
          <w:p>
            <w:pPr>
              <w:pStyle w:val="Compact"/>
              <w:jc w:val="left"/>
            </w:pPr>
            <w:r>
              <w:t xml:space="preserve">Get-FMPPKIAssessment R</w:t>
            </w:r>
          </w:p>
        </w:tc>
        <w:tc>
          <w:tcPr/>
          <w:p>
            <w:pPr>
              <w:pStyle w:val="Compact"/>
              <w:jc w:val="left"/>
            </w:pPr>
            <w:r>
              <w:t xml:space="preserve">ead access to PKI configuration containers c</w:t>
            </w:r>
          </w:p>
        </w:tc>
        <w:tc>
          <w:tcPr/>
          <w:p>
            <w:pPr>
              <w:pStyle w:val="Compact"/>
              <w:jc w:val="left"/>
            </w:pPr>
            <w:r>
              <w:t xml:space="preserve">ertutil requires local admin on CA for some queries</w:t>
            </w:r>
          </w:p>
        </w:tc>
      </w:tr>
      <w:tr>
        <w:tc>
          <w:tcPr/>
          <w:p>
            <w:pPr>
              <w:pStyle w:val="Compact"/>
              <w:jc w:val="left"/>
            </w:pPr>
            <w:r>
              <w:t xml:space="preserve">Get-FMPComputerInventory R</w:t>
            </w:r>
          </w:p>
        </w:tc>
        <w:tc>
          <w:tcPr/>
          <w:p>
            <w:pPr>
              <w:pStyle w:val="Compact"/>
              <w:jc w:val="left"/>
            </w:pPr>
            <w:r>
              <w:t xml:space="preserve">ead access to computer objects D</w:t>
            </w:r>
          </w:p>
        </w:tc>
        <w:tc>
          <w:tcPr/>
          <w:p>
            <w:pPr>
              <w:pStyle w:val="Compact"/>
              <w:jc w:val="left"/>
            </w:pPr>
            <w:r>
              <w:t xml:space="preserve">efault AD read access is sufficient</w:t>
            </w:r>
          </w:p>
        </w:tc>
      </w:tr>
      <w:tr>
        <w:tc>
          <w:tcPr/>
          <w:p>
            <w:pPr>
              <w:pStyle w:val="Compact"/>
              <w:jc w:val="left"/>
            </w:pPr>
            <w:r>
              <w:t xml:space="preserve">Get-FMPUserInventory R</w:t>
            </w:r>
          </w:p>
        </w:tc>
        <w:tc>
          <w:tcPr/>
          <w:p>
            <w:pPr>
              <w:pStyle w:val="Compact"/>
              <w:jc w:val="left"/>
            </w:pPr>
            <w:r>
              <w:t xml:space="preserve">ead access to user objects + group membership enumeration R</w:t>
            </w:r>
          </w:p>
        </w:tc>
        <w:tc>
          <w:tcPr/>
          <w:p>
            <w:pPr>
              <w:pStyle w:val="Compact"/>
              <w:jc w:val="left"/>
            </w:pPr>
            <w:r>
              <w:t xml:space="preserve">ecursive group expansion may be time-intensive</w:t>
            </w:r>
          </w:p>
        </w:tc>
      </w:tr>
      <w:tr>
        <w:tc>
          <w:tcPr/>
          <w:p>
            <w:pPr>
              <w:pStyle w:val="Compact"/>
              <w:jc w:val="left"/>
            </w:pPr>
            <w:r>
              <w:t xml:space="preserve">Get-FMPTrustMap R</w:t>
            </w:r>
          </w:p>
        </w:tc>
        <w:tc>
          <w:tcPr/>
          <w:p>
            <w:pPr>
              <w:pStyle w:val="Compact"/>
              <w:jc w:val="left"/>
            </w:pPr>
            <w:r>
              <w:t xml:space="preserve">ead access to trustedDomain objects T</w:t>
            </w:r>
          </w:p>
        </w:tc>
        <w:tc>
          <w:tcPr/>
          <w:p>
            <w:pPr>
              <w:pStyle w:val="Compact"/>
              <w:jc w:val="left"/>
            </w:pPr>
            <w:r>
              <w:t xml:space="preserve">rust validation may require Domain Admin</w:t>
            </w:r>
          </w:p>
        </w:tc>
      </w:tr>
    </w:tbl>
    <w:p>
      <w:pPr>
        <w:pStyle w:val="BodyText"/>
      </w:pPr>
      <w:r>
        <w:t xml:space="preserve">13.2 Creating the Federal Modernization Program Assessment Service Account</w:t>
      </w:r>
    </w:p>
    <w:p>
      <w:pPr>
        <w:pStyle w:val="BodyText"/>
      </w:pPr>
      <w:r>
        <w:t xml:space="preserve"># Create dedicated service account with read-only delegation $ServiceAccountName = "svc-fmp-assess" $ServiceAccountOU = "OU=ServiceAccounts,DC=contoso,DC=com" # Create the account New-ADUser -Name $ServiceAccountName ` -SamAccountName $ServiceAccountName ` -UserPrincipalName "$ServiceAccountName@contoso.com" ` -Path $ServiceAccountOU ` -AccountPassword (Read-Host -AsSecureString "Enter password") ` -Enabled $true ` -PasswordNeverExpires $false ` -CannotChangePassword $false ` -Description "the Federal Modernization Program - AD Assessment Service Account (Read-Only)" # Add to required groups for DNS read access Add-ADGroupMember -Identity "DnsAdmins" -Members $ServiceAccountName # Delegate GPO read + backup permissions # (Performed via GPMC delegation or dsacls)</w:t>
      </w:r>
    </w:p>
    <w:p>
      <w:pPr>
        <w:pStyle w:val="BodyText"/>
      </w:pPr>
      <w:r>
        <w:t xml:space="preserve">13.3 Credential Handling</w:t>
      </w:r>
    </w:p>
    <w:tbl>
      <w:tblPr>
        <w:tblStyle w:val="Table"/>
        <w:tblW w:type="pct" w:w="5022"/>
        <w:tblLayout w:type="fixed"/>
        <w:tblLook w:firstRow="0" w:lastRow="0" w:firstColumn="0" w:lastColumn="0" w:noHBand="0" w:noVBand="0" w:val="0000"/>
      </w:tblPr>
      <w:tblGrid>
        <w:gridCol w:w="7954"/>
      </w:tblGrid>
      <w:tr>
        <w:tc>
          <w:tcPr/>
          <w:p>
            <w:pPr>
              <w:pStyle w:val="FirstParagraph"/>
            </w:pPr>
            <w:r>
              <w:rPr>
                <w:b/>
                <w:bCs/>
              </w:rPr>
              <w:t xml:space="preserve">⚠ Warning — Credential Security</w:t>
            </w:r>
          </w:p>
          <w:p>
            <w:pPr>
              <w:pStyle w:val="BodyText"/>
            </w:pPr>
            <w:r>
              <w:t xml:space="preserve">Never store credentials in plaintext. Use Get-Credential for interactive sessions. For scheduled tasks, use Managed Service Accounts (gMSAs) or Windows Credential Manager. Assessment scripts must never contain embedded passwords.</w:t>
            </w:r>
          </w:p>
        </w:tc>
      </w:tr>
    </w:tbl>
    <w:p>
      <w:pPr>
        <w:pStyle w:val="BodyText"/>
      </w:pPr>
      <w:r>
        <w:t xml:space="preserve"># Secure credential storage for interactive use $Credential = Get-Credential -Message "Enter the Federal Modernization Program Assessment Service Account credentials" # For automated/scheduled use, prefer gMSA $gMSAName = "svc-fmp-assess$" # Scheduled task runs under gMSA — no password storage required</w:t>
      </w:r>
    </w:p>
    <w:p>
      <w:pPr>
        <w:pStyle w:val="BodyText"/>
      </w:pPr>
      <w:r>
        <w:t xml:space="preserve">13.4 Network Security Requirements</w:t>
      </w:r>
    </w:p>
    <w:tbl>
      <w:tblPr>
        <w:tblStyle w:val="Table"/>
        <w:tblW w:type="pct" w:w="4923"/>
        <w:tblLayout w:type="fixed"/>
        <w:tblLook w:firstRow="1" w:lastRow="0" w:firstColumn="0" w:lastColumn="0" w:noHBand="0" w:noVBand="0" w:val="0020"/>
      </w:tblPr>
      <w:tblGrid>
        <w:gridCol w:w="974"/>
        <w:gridCol w:w="2132"/>
        <w:gridCol w:w="2132"/>
        <w:gridCol w:w="2558"/>
      </w:tblGrid>
      <w:tr>
        <w:trPr>
          <w:tblHeader w:val="on"/>
        </w:trPr>
        <w:tc>
          <w:tcPr/>
          <w:p>
            <w:pPr>
              <w:pStyle w:val="Compact"/>
              <w:jc w:val="left"/>
            </w:pPr>
            <w:r>
              <w:rPr>
                <w:b/>
                <w:bCs/>
              </w:rPr>
              <w:t xml:space="preserve">Protocol</w:t>
            </w:r>
          </w:p>
        </w:tc>
        <w:tc>
          <w:tcPr/>
          <w:p>
            <w:pPr>
              <w:pStyle w:val="Compact"/>
              <w:jc w:val="left"/>
            </w:pPr>
            <w:r>
              <w:rPr>
                <w:b/>
                <w:bCs/>
              </w:rPr>
              <w:t xml:space="preserve">Port(s)</w:t>
            </w:r>
          </w:p>
        </w:tc>
        <w:tc>
          <w:tcPr/>
          <w:p>
            <w:pPr>
              <w:pStyle w:val="Compact"/>
              <w:jc w:val="left"/>
            </w:pPr>
            <w:r>
              <w:rPr>
                <w:b/>
                <w:bCs/>
              </w:rPr>
              <w:t xml:space="preserve">Direction</w:t>
            </w:r>
          </w:p>
        </w:tc>
        <w:tc>
          <w:tcPr/>
          <w:p>
            <w:pPr>
              <w:pStyle w:val="Compact"/>
              <w:jc w:val="left"/>
            </w:pPr>
            <w:r>
              <w:rPr>
                <w:b/>
                <w:bCs/>
              </w:rPr>
              <w:t xml:space="preserve">Purpose</w:t>
            </w:r>
          </w:p>
        </w:tc>
      </w:tr>
      <w:tr>
        <w:tc>
          <w:tcPr/>
          <w:p>
            <w:pPr>
              <w:pStyle w:val="Compact"/>
              <w:jc w:val="left"/>
            </w:pPr>
            <w:r>
              <w:t xml:space="preserve">LDAP</w:t>
            </w:r>
          </w:p>
        </w:tc>
        <w:tc>
          <w:tcPr/>
          <w:p>
            <w:pPr>
              <w:pStyle w:val="Compact"/>
              <w:jc w:val="left"/>
            </w:pPr>
            <w:r>
              <w:t xml:space="preserve">TCP 389</w:t>
            </w:r>
          </w:p>
        </w:tc>
        <w:tc>
          <w:tcPr/>
          <w:p>
            <w:pPr>
              <w:pStyle w:val="Compact"/>
              <w:jc w:val="left"/>
            </w:pPr>
            <w:r>
              <w:t xml:space="preserve">Assessment Host → DCs</w:t>
            </w:r>
          </w:p>
        </w:tc>
        <w:tc>
          <w:tcPr/>
          <w:p>
            <w:pPr>
              <w:pStyle w:val="Compact"/>
              <w:jc w:val="left"/>
            </w:pPr>
            <w:r>
              <w:t xml:space="preserve">AD object queries</w:t>
            </w:r>
          </w:p>
        </w:tc>
      </w:tr>
      <w:tr>
        <w:tc>
          <w:tcPr/>
          <w:p>
            <w:pPr>
              <w:pStyle w:val="Compact"/>
              <w:jc w:val="left"/>
            </w:pPr>
            <w:r>
              <w:t xml:space="preserve">LDAPS</w:t>
            </w:r>
          </w:p>
        </w:tc>
        <w:tc>
          <w:tcPr/>
          <w:p>
            <w:pPr>
              <w:pStyle w:val="Compact"/>
              <w:jc w:val="left"/>
            </w:pPr>
            <w:r>
              <w:t xml:space="preserve">TCP 636</w:t>
            </w:r>
          </w:p>
        </w:tc>
        <w:tc>
          <w:tcPr/>
          <w:p>
            <w:pPr>
              <w:pStyle w:val="Compact"/>
              <w:jc w:val="left"/>
            </w:pPr>
            <w:r>
              <w:t xml:space="preserve">Assessment Host → DCs</w:t>
            </w:r>
          </w:p>
        </w:tc>
        <w:tc>
          <w:tcPr/>
          <w:p>
            <w:pPr>
              <w:pStyle w:val="Compact"/>
              <w:jc w:val="left"/>
            </w:pPr>
            <w:r>
              <w:t xml:space="preserve">Encrypted AD queries</w:t>
            </w:r>
          </w:p>
        </w:tc>
      </w:tr>
      <w:tr>
        <w:tc>
          <w:tcPr/>
          <w:p>
            <w:pPr>
              <w:pStyle w:val="Compact"/>
              <w:jc w:val="left"/>
            </w:pPr>
            <w:r>
              <w:t xml:space="preserve">Kerberos</w:t>
            </w:r>
          </w:p>
        </w:tc>
        <w:tc>
          <w:tcPr/>
          <w:p>
            <w:pPr>
              <w:pStyle w:val="Compact"/>
              <w:jc w:val="left"/>
            </w:pPr>
            <w:r>
              <w:t xml:space="preserve">TCP/UDP 88</w:t>
            </w:r>
          </w:p>
        </w:tc>
        <w:tc>
          <w:tcPr/>
          <w:p>
            <w:pPr>
              <w:pStyle w:val="Compact"/>
              <w:jc w:val="left"/>
            </w:pPr>
            <w:r>
              <w:t xml:space="preserve">Assessment Host → DCs</w:t>
            </w:r>
          </w:p>
        </w:tc>
        <w:tc>
          <w:tcPr/>
          <w:p>
            <w:pPr>
              <w:pStyle w:val="Compact"/>
              <w:jc w:val="left"/>
            </w:pPr>
            <w:r>
              <w:t xml:space="preserve">Authentication</w:t>
            </w:r>
          </w:p>
        </w:tc>
      </w:tr>
      <w:tr>
        <w:tc>
          <w:tcPr/>
          <w:p>
            <w:pPr>
              <w:pStyle w:val="Compact"/>
              <w:jc w:val="left"/>
            </w:pPr>
            <w:r>
              <w:t xml:space="preserve">DNS</w:t>
            </w:r>
          </w:p>
        </w:tc>
        <w:tc>
          <w:tcPr/>
          <w:p>
            <w:pPr>
              <w:pStyle w:val="Compact"/>
              <w:jc w:val="left"/>
            </w:pPr>
            <w:r>
              <w:t xml:space="preserve">TCP/UDP 53</w:t>
            </w:r>
          </w:p>
        </w:tc>
        <w:tc>
          <w:tcPr/>
          <w:p>
            <w:pPr>
              <w:pStyle w:val="Compact"/>
              <w:jc w:val="left"/>
            </w:pPr>
            <w:r>
              <w:t xml:space="preserve">Assessment Host → DNS Servers</w:t>
            </w:r>
          </w:p>
        </w:tc>
        <w:tc>
          <w:tcPr/>
          <w:p>
            <w:pPr>
              <w:pStyle w:val="Compact"/>
              <w:jc w:val="left"/>
            </w:pPr>
            <w:r>
              <w:t xml:space="preserve">DNS zone and record queries</w:t>
            </w:r>
          </w:p>
        </w:tc>
      </w:tr>
      <w:tr>
        <w:tc>
          <w:tcPr/>
          <w:p>
            <w:pPr>
              <w:pStyle w:val="Compact"/>
              <w:jc w:val="left"/>
            </w:pPr>
            <w:r>
              <w:t xml:space="preserve">RPC</w:t>
            </w:r>
          </w:p>
        </w:tc>
        <w:tc>
          <w:tcPr/>
          <w:p>
            <w:pPr>
              <w:pStyle w:val="Compact"/>
              <w:jc w:val="left"/>
            </w:pPr>
            <w:r>
              <w:t xml:space="preserve">TCP 135 + Dynamic (49152–65535)</w:t>
            </w:r>
          </w:p>
        </w:tc>
        <w:tc>
          <w:tcPr/>
          <w:p>
            <w:pPr>
              <w:pStyle w:val="Compact"/>
              <w:jc w:val="left"/>
            </w:pPr>
            <w:r>
              <w:t xml:space="preserve">Assessment Host → DCs/CAs</w:t>
            </w:r>
          </w:p>
        </w:tc>
        <w:tc>
          <w:tcPr/>
          <w:p>
            <w:pPr>
              <w:pStyle w:val="Compact"/>
              <w:jc w:val="left"/>
            </w:pPr>
            <w:r>
              <w:t xml:space="preserve">GPO reports, certutil queries</w:t>
            </w:r>
          </w:p>
        </w:tc>
      </w:tr>
      <w:tr>
        <w:tc>
          <w:tcPr/>
          <w:p>
            <w:pPr>
              <w:pStyle w:val="Compact"/>
              <w:jc w:val="left"/>
            </w:pPr>
            <w:r>
              <w:t xml:space="preserve">WinRM (HTTP)</w:t>
            </w:r>
          </w:p>
        </w:tc>
        <w:tc>
          <w:tcPr/>
          <w:p>
            <w:pPr>
              <w:pStyle w:val="Compact"/>
              <w:jc w:val="left"/>
            </w:pPr>
            <w:r>
              <w:t xml:space="preserve">TCP 5985</w:t>
            </w:r>
          </w:p>
        </w:tc>
        <w:tc>
          <w:tcPr/>
          <w:p>
            <w:pPr>
              <w:pStyle w:val="Compact"/>
              <w:jc w:val="left"/>
            </w:pPr>
            <w:r>
              <w:t xml:space="preserve">Assessment Host → Remote Servers</w:t>
            </w:r>
          </w:p>
        </w:tc>
        <w:tc>
          <w:tcPr/>
          <w:p>
            <w:pPr>
              <w:pStyle w:val="Compact"/>
              <w:jc w:val="left"/>
            </w:pPr>
            <w:r>
              <w:t xml:space="preserve">Remote PowerShell (DNS, PKI)</w:t>
            </w:r>
          </w:p>
        </w:tc>
      </w:tr>
      <w:tr>
        <w:tc>
          <w:tcPr/>
          <w:p>
            <w:pPr>
              <w:pStyle w:val="Compact"/>
              <w:jc w:val="left"/>
            </w:pPr>
            <w:r>
              <w:t xml:space="preserve">WinRM (HTTPS)</w:t>
            </w:r>
          </w:p>
        </w:tc>
        <w:tc>
          <w:tcPr/>
          <w:p>
            <w:pPr>
              <w:pStyle w:val="Compact"/>
              <w:jc w:val="left"/>
            </w:pPr>
            <w:r>
              <w:t xml:space="preserve">TCP 5986</w:t>
            </w:r>
          </w:p>
        </w:tc>
        <w:tc>
          <w:tcPr/>
          <w:p>
            <w:pPr>
              <w:pStyle w:val="Compact"/>
              <w:jc w:val="left"/>
            </w:pPr>
            <w:r>
              <w:t xml:space="preserve">Assessment Host → Remote Servers</w:t>
            </w:r>
          </w:p>
        </w:tc>
        <w:tc>
          <w:tcPr/>
          <w:p>
            <w:pPr>
              <w:pStyle w:val="Compact"/>
              <w:jc w:val="left"/>
            </w:pPr>
            <w:r>
              <w:t xml:space="preserve">Encrypted remote PowerShell</w:t>
            </w:r>
          </w:p>
        </w:tc>
      </w:tr>
      <w:tr>
        <w:tc>
          <w:tcPr/>
          <w:p>
            <w:pPr>
              <w:pStyle w:val="Compact"/>
              <w:jc w:val="left"/>
            </w:pPr>
            <w:r>
              <w:t xml:space="preserve">GC LDAP</w:t>
            </w:r>
          </w:p>
        </w:tc>
        <w:tc>
          <w:tcPr/>
          <w:p>
            <w:pPr>
              <w:pStyle w:val="Compact"/>
              <w:jc w:val="left"/>
            </w:pPr>
            <w:r>
              <w:t xml:space="preserve">TCP 3268 / 3269</w:t>
            </w:r>
          </w:p>
        </w:tc>
        <w:tc>
          <w:tcPr/>
          <w:p>
            <w:pPr>
              <w:pStyle w:val="Compact"/>
              <w:jc w:val="left"/>
            </w:pPr>
            <w:r>
              <w:t xml:space="preserve">Assessment Host → GCs</w:t>
            </w:r>
          </w:p>
        </w:tc>
        <w:tc>
          <w:tcPr/>
          <w:p>
            <w:pPr>
              <w:pStyle w:val="Compact"/>
              <w:jc w:val="left"/>
            </w:pPr>
            <w:r>
              <w:t xml:space="preserve">Cross-domain queries via Global Catalog</w:t>
            </w:r>
          </w:p>
        </w:tc>
      </w:tr>
    </w:tbl>
    <w:p>
      <w:pPr>
        <w:pStyle w:val="BodyText"/>
      </w:pPr>
      <w:r>
        <w:t xml:space="preserve">13.5 Data Classification and Handling</w:t>
      </w:r>
    </w:p>
    <w:p>
      <w:pPr>
        <w:numPr>
          <w:ilvl w:val="0"/>
          <w:numId w:val="1011"/>
        </w:numPr>
      </w:pPr>
      <w:r>
        <w:rPr>
          <w:b/>
          <w:bCs/>
        </w:rPr>
        <w:t xml:space="preserve">Classification:</w:t>
      </w:r>
      <w:r>
        <w:t xml:space="preserve"> </w:t>
      </w:r>
      <w:r>
        <w:t xml:space="preserve">All assessment output is classified as</w:t>
      </w:r>
      <w:r>
        <w:t xml:space="preserve"> </w:t>
      </w:r>
      <w:r>
        <w:rPr>
          <w:b/>
          <w:bCs/>
        </w:rPr>
        <w:t xml:space="preserve">Controlled</w:t>
      </w:r>
      <w:r>
        <w:t xml:space="preserve">. Assessment data contains sensitive AD topology, privileged account lists, delegation configurations, and PKI vulnerability findings.</w:t>
      </w:r>
    </w:p>
    <w:p>
      <w:pPr>
        <w:numPr>
          <w:ilvl w:val="0"/>
          <w:numId w:val="1011"/>
        </w:numPr>
      </w:pPr>
      <w:r>
        <w:rPr>
          <w:b/>
          <w:bCs/>
        </w:rPr>
        <w:t xml:space="preserve">Encryption at Rest:</w:t>
      </w:r>
      <w:r>
        <w:t xml:space="preserve"> </w:t>
      </w:r>
      <w:r>
        <w:t xml:space="preserve">Enable BitLocker on the D:\FMP volume. Ensure the Gitea data directory is on an encrypted volume.</w:t>
      </w:r>
    </w:p>
    <w:p>
      <w:pPr>
        <w:numPr>
          <w:ilvl w:val="0"/>
          <w:numId w:val="1011"/>
        </w:numPr>
      </w:pPr>
      <w:r>
        <w:rPr>
          <w:b/>
          <w:bCs/>
        </w:rPr>
        <w:t xml:space="preserve">Retention Policy:</w:t>
      </w:r>
      <w:r>
        <w:t xml:space="preserve"> </w:t>
      </w:r>
      <w:r>
        <w:t xml:space="preserve">Retain assessment data for a minimum of 12 months. Archive assessments older than 12 months to long-term storage. Delete assessments older than 36 months unless subject to legal hold.</w:t>
      </w:r>
    </w:p>
    <w:p>
      <w:pPr>
        <w:numPr>
          <w:ilvl w:val="0"/>
          <w:numId w:val="1011"/>
        </w:numPr>
      </w:pPr>
      <w:r>
        <w:rPr>
          <w:b/>
          <w:bCs/>
        </w:rPr>
        <w:t xml:space="preserve">Audit Trail:</w:t>
      </w:r>
      <w:r>
        <w:t xml:space="preserve"> </w:t>
      </w:r>
      <w:r>
        <w:t xml:space="preserve">All assessment activities are logged to the Windows Application Event Log under source FMPAssessment and to D:\FMP\Logs\Assessment.log.</w:t>
      </w:r>
    </w:p>
    <w:p>
      <w:pPr>
        <w:pStyle w:val="FirstParagraph"/>
      </w:pPr>
      <w:r>
        <w:t xml:space="preserve">14. Troubleshooting Reference</w:t>
      </w:r>
    </w:p>
    <w:tbl>
      <w:tblPr>
        <w:tblStyle w:val="Table"/>
        <w:tblW w:type="pct" w:w="4977"/>
        <w:tblLayout w:type="fixed"/>
        <w:tblLook w:firstRow="1" w:lastRow="0" w:firstColumn="0" w:lastColumn="0" w:noHBand="0" w:noVBand="0" w:val="0020"/>
      </w:tblPr>
      <w:tblGrid>
        <w:gridCol w:w="1638"/>
        <w:gridCol w:w="1980"/>
        <w:gridCol w:w="4266"/>
      </w:tblGrid>
      <w:tr>
        <w:trPr>
          <w:tblHeader w:val="on"/>
        </w:trPr>
        <w:tc>
          <w:tcPr/>
          <w:p>
            <w:pPr>
              <w:pStyle w:val="Compact"/>
              <w:jc w:val="left"/>
            </w:pPr>
            <w:r>
              <w:rPr>
                <w:b/>
                <w:bCs/>
              </w:rPr>
              <w:t xml:space="preserve">Error / Symptom</w:t>
            </w:r>
          </w:p>
        </w:tc>
        <w:tc>
          <w:tcPr/>
          <w:p>
            <w:pPr>
              <w:pStyle w:val="Compact"/>
              <w:jc w:val="left"/>
            </w:pPr>
            <w:r>
              <w:rPr>
                <w:b/>
                <w:bCs/>
              </w:rPr>
              <w:t xml:space="preserve">Cause</w:t>
            </w:r>
          </w:p>
        </w:tc>
        <w:tc>
          <w:tcPr/>
          <w:p>
            <w:pPr>
              <w:pStyle w:val="Compact"/>
              <w:jc w:val="left"/>
            </w:pPr>
            <w:r>
              <w:rPr>
                <w:b/>
                <w:bCs/>
              </w:rPr>
              <w:t xml:space="preserve">Resolution</w:t>
            </w:r>
          </w:p>
        </w:tc>
      </w:tr>
      <w:tr>
        <w:tc>
          <w:tcPr/>
          <w:p>
            <w:pPr>
              <w:pStyle w:val="Compact"/>
              <w:jc w:val="left"/>
            </w:pPr>
            <w:r>
              <w:t xml:space="preserve">Get-ADForest: Unable to find a default server with Active Directory Web Services running</w:t>
            </w:r>
          </w:p>
        </w:tc>
        <w:tc>
          <w:tcPr/>
          <w:p>
            <w:pPr>
              <w:pStyle w:val="Compact"/>
              <w:jc w:val="left"/>
            </w:pPr>
            <w:r>
              <w:t xml:space="preserve">Assessment host cannot reach a DC, or ADWS service (TCP 9389) is not running on the target DC.</w:t>
            </w:r>
          </w:p>
        </w:tc>
        <w:tc>
          <w:tcPr/>
          <w:p>
            <w:pPr>
              <w:pStyle w:val="Compact"/>
              <w:jc w:val="left"/>
            </w:pPr>
            <w:r>
              <w:t xml:space="preserve">1. Verify DNS resolution: Resolve-DnsName contoso.com 2. Verify ADWS port: Test-NetConnection DC01 -Port 9389 3. Start ADWS on DC: Start-Service ADWS 4. Specify DC explicitly: Get-ADForest -Server DC01.contoso.com</w:t>
            </w:r>
          </w:p>
        </w:tc>
      </w:tr>
      <w:tr>
        <w:tc>
          <w:tcPr/>
          <w:p>
            <w:pPr>
              <w:pStyle w:val="Compact"/>
              <w:jc w:val="left"/>
            </w:pPr>
            <w:r>
              <w:t xml:space="preserve">Get-GPOReport: Access is denied</w:t>
            </w:r>
          </w:p>
        </w:tc>
        <w:tc>
          <w:tcPr/>
          <w:p>
            <w:pPr>
              <w:pStyle w:val="Compact"/>
              <w:jc w:val="left"/>
            </w:pPr>
            <w:r>
              <w:t xml:space="preserve">Service account lacks read permission on the GPO or SYSVOL share.</w:t>
            </w:r>
          </w:p>
        </w:tc>
        <w:tc>
          <w:tcPr/>
          <w:p>
            <w:pPr>
              <w:pStyle w:val="Compact"/>
              <w:jc w:val="left"/>
            </w:pPr>
            <w:r>
              <w:t xml:space="preserve">1. Verify SYSVOL access: Get-ChildItem \\contoso.com\SYSVOL 2. Grant GPO read via GPMC delegation 3. Verify Authenticated Users has read permission on each GPO</w:t>
            </w:r>
          </w:p>
        </w:tc>
      </w:tr>
      <w:tr>
        <w:tc>
          <w:tcPr/>
          <w:p>
            <w:pPr>
              <w:pStyle w:val="Compact"/>
              <w:jc w:val="left"/>
            </w:pPr>
            <w:r>
              <w:t xml:space="preserve">Get-DnsServerZone: The RPC server is unavailable</w:t>
            </w:r>
          </w:p>
        </w:tc>
        <w:tc>
          <w:tcPr/>
          <w:p>
            <w:pPr>
              <w:pStyle w:val="Compact"/>
              <w:jc w:val="left"/>
            </w:pPr>
            <w:r>
              <w:t xml:space="preserve">WinRM is not enabled on the DNS server, or firewall blocks RPC/WinRM.</w:t>
            </w:r>
          </w:p>
        </w:tc>
        <w:tc>
          <w:tcPr/>
          <w:p>
            <w:pPr>
              <w:pStyle w:val="Compact"/>
              <w:jc w:val="left"/>
            </w:pPr>
            <w:r>
              <w:t xml:space="preserve">1. Enable WinRM on DNS server: Enable-PSRemoting -Force 2. Open firewall: Enable-NetFirewallRule -Name "WINRM-HTTP-In-TCP" 3. Test connectivity: Test-WSMan -ComputerName DC01</w:t>
            </w:r>
          </w:p>
        </w:tc>
      </w:tr>
      <w:tr>
        <w:tc>
          <w:tcPr/>
          <w:p>
            <w:pPr>
              <w:pStyle w:val="Compact"/>
              <w:jc w:val="left"/>
            </w:pPr>
            <w:r>
              <w:t xml:space="preserve">Get-CertificationAuthority: No Certification Authority found</w:t>
            </w:r>
          </w:p>
        </w:tc>
        <w:tc>
          <w:tcPr/>
          <w:p>
            <w:pPr>
              <w:pStyle w:val="Compact"/>
              <w:jc w:val="left"/>
            </w:pPr>
            <w:r>
              <w:t xml:space="preserve">AD CS is not installed in the environment, or the PSPKI module cannot query the AD configuration partition.</w:t>
            </w:r>
          </w:p>
        </w:tc>
        <w:tc>
          <w:tcPr/>
          <w:p>
            <w:pPr>
              <w:pStyle w:val="Compact"/>
              <w:jc w:val="left"/>
            </w:pPr>
            <w:r>
              <w:t xml:space="preserve">1. Verify AD CS exists: certutil -config - -ping 2. Check PKI container: Get-ADObject "CN=Public Key Services,CN=Services,CN=Configuration,DC=contoso,DC=com" 3. Ensure PSPKI module is imported: Import-Module PSPKI</w:t>
            </w:r>
          </w:p>
        </w:tc>
      </w:tr>
      <w:tr>
        <w:tc>
          <w:tcPr/>
          <w:p>
            <w:pPr>
              <w:pStyle w:val="Compact"/>
              <w:jc w:val="left"/>
            </w:pPr>
            <w:r>
              <w:t xml:space="preserve">LDAP query timeout on large directories</w:t>
            </w:r>
          </w:p>
        </w:tc>
        <w:tc>
          <w:tcPr/>
          <w:p>
            <w:pPr>
              <w:pStyle w:val="Compact"/>
              <w:jc w:val="left"/>
            </w:pPr>
            <w:r>
              <w:t xml:space="preserve">Query returns too many objects without pagination; LDAP MaxPageSize policy exceeded.</w:t>
            </w:r>
          </w:p>
        </w:tc>
        <w:tc>
          <w:tcPr/>
          <w:p>
            <w:pPr>
              <w:pStyle w:val="Compact"/>
              <w:jc w:val="left"/>
            </w:pPr>
            <w:r>
              <w:t xml:space="preserve">1. Use -ResultSetSize to limit results 2. Query by OU subtree using -SearchBase 3. Increase LDAP MaxPageSize via ntdsutil if authorized 4. Use -ResultPageSize 500 parameter</w:t>
            </w:r>
          </w:p>
        </w:tc>
      </w:tr>
      <w:tr>
        <w:tc>
          <w:tcPr/>
          <w:p>
            <w:pPr>
              <w:pStyle w:val="Compact"/>
              <w:jc w:val="left"/>
            </w:pPr>
            <w:r>
              <w:t xml:space="preserve">WinRM connectivity failures</w:t>
            </w:r>
          </w:p>
        </w:tc>
        <w:tc>
          <w:tcPr/>
          <w:p>
            <w:pPr>
              <w:pStyle w:val="Compact"/>
              <w:jc w:val="left"/>
            </w:pPr>
            <w:r>
              <w:t xml:space="preserve">WinRM not configured or TrustedHosts not set.</w:t>
            </w:r>
          </w:p>
        </w:tc>
        <w:tc>
          <w:tcPr/>
          <w:p>
            <w:pPr>
              <w:pStyle w:val="Compact"/>
              <w:jc w:val="left"/>
            </w:pPr>
            <w:r>
              <w:t xml:space="preserve">1. Enable remoting: Enable-PSRemoting -Force 2. Set TrustedHosts if needed: Set-Item WSMan:\localhost\Client\TrustedHosts -Value "*.contoso.com" 3. Verify: Test-WSMan -ComputerName DC01</w:t>
            </w:r>
          </w:p>
        </w:tc>
      </w:tr>
      <w:tr>
        <w:tc>
          <w:tcPr/>
          <w:p>
            <w:pPr>
              <w:pStyle w:val="Compact"/>
              <w:jc w:val="left"/>
            </w:pPr>
            <w:r>
              <w:t xml:space="preserve">Cross-domain authentication failures</w:t>
            </w:r>
          </w:p>
        </w:tc>
        <w:tc>
          <w:tcPr/>
          <w:p>
            <w:pPr>
              <w:pStyle w:val="Compact"/>
              <w:jc w:val="left"/>
            </w:pPr>
            <w:r>
              <w:t xml:space="preserve">Trust not validated, credential delegation not configured, or selective authentication blocking access.</w:t>
            </w:r>
          </w:p>
        </w:tc>
        <w:tc>
          <w:tcPr/>
          <w:p>
            <w:pPr>
              <w:pStyle w:val="Compact"/>
              <w:jc w:val="left"/>
            </w:pPr>
            <w:r>
              <w:t xml:space="preserve">1. Validate trust: netdom trust child.contoso.com /domain:contoso.com /verify 2. Use explicit credentials: -Credential (Get-Credential) 3. Check selective authentication: Get-ADTrust -Filter * | Select Name, SelectiveAuthentication</w:t>
            </w:r>
          </w:p>
        </w:tc>
      </w:tr>
      <w:tr>
        <w:tc>
          <w:tcPr/>
          <w:p>
            <w:pPr>
              <w:pStyle w:val="Compact"/>
              <w:jc w:val="left"/>
            </w:pPr>
            <w:r>
              <w:t xml:space="preserve">The term 'Get-ADForest' is not recognized</w:t>
            </w:r>
          </w:p>
        </w:tc>
        <w:tc>
          <w:tcPr/>
          <w:p>
            <w:pPr>
              <w:pStyle w:val="Compact"/>
              <w:jc w:val="left"/>
            </w:pPr>
            <w:r>
              <w:t xml:space="preserve">ActiveDirectory module not installed.</w:t>
            </w:r>
          </w:p>
        </w:tc>
        <w:tc>
          <w:tcPr/>
          <w:p>
            <w:pPr>
              <w:pStyle w:val="Compact"/>
              <w:jc w:val="left"/>
            </w:pPr>
            <w:r>
              <w:t xml:space="preserve">1. Run Test-FMPPrerequisites to identify missing modules 2. Install: Install-WindowsFeature -Name RSAT-AD-PowerShell (Server) or Add-WindowsCapability -Online -Name Rsat.ActiveDirectory.DS-LDS.Tools~~~~0.0.1.0 (Client)</w:t>
            </w:r>
          </w:p>
        </w:tc>
      </w:tr>
    </w:tbl>
    <w:p>
      <w:pPr>
        <w:pStyle w:val="BodyText"/>
      </w:pPr>
      <w:r>
        <w:t xml:space="preserve">Appendix A — Complete the Federal Modernization Program AD Assessment Module</w:t>
      </w:r>
    </w:p>
    <w:p>
      <w:pPr>
        <w:pStyle w:val="BodyText"/>
      </w:pPr>
      <w:r>
        <w:t xml:space="preserve">A.1 Module Manifest (FMPADAssessment.psd1)</w:t>
      </w:r>
    </w:p>
    <w:p>
      <w:pPr>
        <w:pStyle w:val="BodyText"/>
      </w:pPr>
      <w:r>
        <w:t xml:space="preserve">@{ RootModule = 'FMPADAssessment.psm1' ModuleVersion = '1.0.0' GUID = 'a1b2c3d4-e5f6-7890-abcd-ef1234567890' Author = 'the Federal Modernization Program' CompanyName = 'FMP' Copyright = '(c) 2026 the Federal Modernization Program. All rights reserved.' Description = 'the Federal Modernization Program Active Directory Assessment Module — Forest Discovery, Assessment, and Governance Pipeline' PowerShellVersion = '5.1' RequiredModules = @('ActiveDirectory', 'GroupPolicy') FunctionsToExport = @( 'Test-FMPPrerequisites', 'Get-FMPForestTopology', 'Get-FMPOUHierarchy', 'Get-FMPGPOInventory', 'Export-FMPGPOSettings', 'Get-FMPDNSAssessment', 'Get-FMPPKIAssessment', 'Get-FMPComputerInventory', 'Get-FMPUserInventory', 'Get-FMPGroupInventory', 'Get-FMPTrustMap', 'Invoke-FMPADAssessment', 'Compare-FMPAssessments', 'Push-FMPFileToGitea', 'New-FMPSecurityIssue' ) CmdletsToExport = @ VariablesToExport = @ AliasesToExport = @ PrivateData = @{ PSData = @{ Tags = @('ActiveDirectory', 'Assessment', 'Governance', 'FMP') ProjectUri = 'https://github.com/example-org/fmp' } } }</w:t>
      </w:r>
    </w:p>
    <w:p>
      <w:pPr>
        <w:pStyle w:val="BodyText"/>
      </w:pPr>
      <w:r>
        <w:t xml:space="preserve">A.2 Module File (FMPADAssessment.psm1)</w:t>
      </w:r>
    </w:p>
    <w:p>
      <w:pPr>
        <w:pStyle w:val="BodyText"/>
      </w:pPr>
      <w:r>
        <w:t xml:space="preserve">The module file aggregates all functions defined in Sections 2 through 12 of this document. The structure is as follows:</w:t>
      </w:r>
    </w:p>
    <w:p>
      <w:pPr>
        <w:pStyle w:val="BodyText"/>
      </w:pPr>
      <w:r>
        <w:t xml:space="preserve">#Requires -Version 5.1 #Requires -Modules ActiveDirectory, GroupPolicy &lt;# .SYNOPSIS the Federal Modernization Program Active Directory Assessment Module. .DESCRIPTION Provides complete forest discovery, infrastructure assessment, and governance artifact extraction for the Federal Modernization Program platform. All functions are deterministic and idempotent. .NOTES Classification: Controlled Environment: GCC-Moderate, Commercial Cloud (FedRAMP) Version: 1.0.0 #&gt; # ============================================================ # Helper Functions # ============================================================ function Build-OUTree { ... } # Section 4.2 function Show-OUTree { ... } # Section 4.5 function Get-OUGPOLinks { ... } # Section 4.3 function Find-GPOConflicts { ... } # Section 5.6 function Get-PKISecurityFindings { ... } # Section 7.4 function Find-CircularGroupNesting { ... } # Section 9.6 # ============================================================ # Exported Assessment Functions # ============================================================ function Test-FMPPrerequisites { ... } # Section 2.5 function Get-FMPForestTopology { ... } # Section 3.6 function Get-FMPOUHierarchy { ... } # Section 4.6 function Get-FMPGPOInventory { ... } # Section 5.9 function Export-FMPGPOSettings { ... } # Section 5.4 function Get-FMPDNSAssessment { ... } # Section 6.8 function Get-FMPPKIAssessment { ... } # Section 7.6 function Get-FMPComputerInventory { ... } # Section 8.5 function Get-FMPUserInventory { ... } # Section 9.7 function Get-FMPGroupInventory { ... } # Section 9.7 function Get-FMPTrustMap { ... } # Section 10.4 # ============================================================ # Orchestrator # ============================================================ function Invoke-FMPADAssessment { ... } # Section 11.1 # ============================================================ # Gitea Integration # ============================================================ function Push-FMPFileToGitea { ... } # Section 12.1 function New-FMPSecurityIssue { ... } # Section 12.3 # ============================================================ # Drift Detection # ============================================================ function Compare-FMPAssessments { ... } # Section 11.5 Export-ModuleMember -Function @( 'Test-FMPPrerequisites', 'Get-FMPForestTopology', 'Get-FMPOUHierarchy', 'Get-FMPGPOInventory', 'Export-FMPGPOSettings', 'Get-FMPDNSAssessment', 'Get-FMPPKIAssessment', 'Get-FMPComputerInventory', 'Get-FMPUserInventory', 'Get-FMPGroupInventory', 'Get-FMPTrustMap', 'Invoke-FMPADAssessment', 'Compare-FMPAssessments', 'Push-FMPFileToGitea', 'New-FMPSecurityIssue' )</w:t>
      </w:r>
    </w:p>
    <w:p>
      <w:pPr>
        <w:pStyle w:val="BodyText"/>
      </w:pPr>
      <w:r>
        <w:t xml:space="preserve">A.3 Installation Instructions</w:t>
      </w:r>
    </w:p>
    <w:p>
      <w:pPr>
        <w:pStyle w:val="BodyText"/>
      </w:pPr>
      <w:r>
        <w:t xml:space="preserve">$ModulePath = "D:\FMP\Modules\FMPADAssessment" New-Item -Path $ModulePath -ItemType Directory -Force Copy-Item -Path "FMPADAssessment.psm1" -Destination $ModulePath Copy-Item -Path "FMPADAssessment.psd1" -Destination $ModulePath</w:t>
      </w:r>
    </w:p>
    <w:p>
      <w:pPr>
        <w:pStyle w:val="BodyText"/>
      </w:pPr>
      <w:r>
        <w:t xml:space="preserve">$CurrentPath = [Environment]::GetEnvironmentVariable("PSModulePath", "Machine") if ($CurrentPath -notmatch "D:\\FMP\\Modules") { [Environment]::SetEnvironmentVariable("PSModulePath", "$CurrentPath;D:\FMP\Modules", "Machine") }</w:t>
      </w:r>
    </w:p>
    <w:p>
      <w:pPr>
        <w:pStyle w:val="BodyText"/>
      </w:pPr>
      <w:r>
        <w:t xml:space="preserve">Import-Module FMPADAssessment -Verbose Get-Command -Module FMPADAssessment</w:t>
      </w:r>
    </w:p>
    <w:p>
      <w:pPr>
        <w:pStyle w:val="BodyText"/>
      </w:pPr>
      <w:r>
        <w:t xml:space="preserve">Appendix B — Assessment Output Schema Reference</w:t>
      </w:r>
    </w:p>
    <w:p>
      <w:pPr>
        <w:pStyle w:val="BodyText"/>
      </w:pPr>
      <w:r>
        <w:t xml:space="preserve">B.1 ForestTopology.json</w:t>
      </w:r>
    </w:p>
    <w:tbl>
      <w:tblPr>
        <w:tblStyle w:val="Table"/>
        <w:tblW w:type="pct" w:w="4943"/>
        <w:tblLayout w:type="fixed"/>
        <w:tblLook w:firstRow="1" w:lastRow="0" w:firstColumn="0" w:lastColumn="0" w:noHBand="0" w:noVBand="0" w:val="0020"/>
      </w:tblPr>
      <w:tblGrid>
        <w:gridCol w:w="990"/>
        <w:gridCol w:w="900"/>
        <w:gridCol w:w="5940"/>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AssessmentTimestamp</w:t>
            </w:r>
          </w:p>
        </w:tc>
        <w:tc>
          <w:tcPr/>
          <w:p>
            <w:pPr>
              <w:pStyle w:val="Compact"/>
              <w:jc w:val="left"/>
            </w:pPr>
            <w:r>
              <w:t xml:space="preserve">string (ISO 8601)</w:t>
            </w:r>
          </w:p>
        </w:tc>
        <w:tc>
          <w:tcPr/>
          <w:p>
            <w:pPr>
              <w:pStyle w:val="Compact"/>
              <w:jc w:val="left"/>
            </w:pPr>
            <w:r>
              <w:t xml:space="preserve">Timestamp when the assessment was executed</w:t>
            </w:r>
          </w:p>
        </w:tc>
      </w:tr>
      <w:tr>
        <w:tc>
          <w:tcPr/>
          <w:p>
            <w:pPr>
              <w:pStyle w:val="Compact"/>
              <w:jc w:val="left"/>
            </w:pPr>
            <w:r>
              <w:t xml:space="preserve">Forest</w:t>
            </w:r>
          </w:p>
        </w:tc>
        <w:tc>
          <w:tcPr/>
          <w:p>
            <w:pPr>
              <w:pStyle w:val="Compact"/>
              <w:jc w:val="left"/>
            </w:pPr>
            <w:r>
              <w:t xml:space="preserve">object</w:t>
            </w:r>
          </w:p>
        </w:tc>
        <w:tc>
          <w:tcPr/>
          <w:p>
            <w:pPr>
              <w:pStyle w:val="Compact"/>
              <w:jc w:val="left"/>
            </w:pPr>
            <w:r>
              <w:t xml:space="preserve">Forest-level metadata: Name, RootDomain, ForestMode, SchemaMaster, DomainNamingMaster, Domains[], Sites[], GlobalCatalogs[]</w:t>
            </w:r>
          </w:p>
        </w:tc>
      </w:tr>
      <w:tr>
        <w:tc>
          <w:tcPr/>
          <w:p>
            <w:pPr>
              <w:pStyle w:val="Compact"/>
              <w:jc w:val="left"/>
            </w:pPr>
            <w:r>
              <w:t xml:space="preserve">Domains</w:t>
            </w:r>
          </w:p>
        </w:tc>
        <w:tc>
          <w:tcPr/>
          <w:p>
            <w:pPr>
              <w:pStyle w:val="Compact"/>
              <w:jc w:val="left"/>
            </w:pPr>
            <w:r>
              <w:t xml:space="preserve">array of objects</w:t>
            </w:r>
          </w:p>
        </w:tc>
        <w:tc>
          <w:tcPr/>
          <w:p>
            <w:pPr>
              <w:pStyle w:val="Compact"/>
              <w:jc w:val="left"/>
            </w:pPr>
            <w:r>
              <w:t xml:space="preserve">Per-domain: DNSRoot, NetBIOSName, DomainMode, DomainSID, PDCEmulator, RIDMaster, InfrastructureMaster</w:t>
            </w:r>
          </w:p>
        </w:tc>
      </w:tr>
      <w:tr>
        <w:tc>
          <w:tcPr/>
          <w:p>
            <w:pPr>
              <w:pStyle w:val="Compact"/>
              <w:jc w:val="left"/>
            </w:pPr>
            <w:r>
              <w:t xml:space="preserve">DomainControllers</w:t>
            </w:r>
          </w:p>
        </w:tc>
        <w:tc>
          <w:tcPr/>
          <w:p>
            <w:pPr>
              <w:pStyle w:val="Compact"/>
              <w:jc w:val="left"/>
            </w:pPr>
            <w:r>
              <w:t xml:space="preserve">array of objects</w:t>
            </w:r>
          </w:p>
        </w:tc>
        <w:tc>
          <w:tcPr/>
          <w:p>
            <w:pPr>
              <w:pStyle w:val="Compact"/>
              <w:jc w:val="left"/>
            </w:pPr>
            <w:r>
              <w:t xml:space="preserve">Per-DC: HostName, Domain, Site, IPv4Address, OperatingSystem, IsGlobalCatalog, IsReadOnly</w:t>
            </w:r>
          </w:p>
        </w:tc>
      </w:tr>
      <w:tr>
        <w:tc>
          <w:tcPr/>
          <w:p>
            <w:pPr>
              <w:pStyle w:val="Compact"/>
              <w:jc w:val="left"/>
            </w:pPr>
            <w:r>
              <w:t xml:space="preserve">Sites</w:t>
            </w:r>
          </w:p>
        </w:tc>
        <w:tc>
          <w:tcPr/>
          <w:p>
            <w:pPr>
              <w:pStyle w:val="Compact"/>
              <w:jc w:val="left"/>
            </w:pPr>
            <w:r>
              <w:t xml:space="preserve">array of objects</w:t>
            </w:r>
          </w:p>
        </w:tc>
        <w:tc>
          <w:tcPr/>
          <w:p>
            <w:pPr>
              <w:pStyle w:val="Compact"/>
              <w:jc w:val="left"/>
            </w:pPr>
            <w:r>
              <w:t xml:space="preserve">AD Sites: Name, Description, Location</w:t>
            </w:r>
          </w:p>
        </w:tc>
      </w:tr>
      <w:tr>
        <w:tc>
          <w:tcPr/>
          <w:p>
            <w:pPr>
              <w:pStyle w:val="Compact"/>
              <w:jc w:val="left"/>
            </w:pPr>
            <w:r>
              <w:t xml:space="preserve">SiteLinks</w:t>
            </w:r>
          </w:p>
        </w:tc>
        <w:tc>
          <w:tcPr/>
          <w:p>
            <w:pPr>
              <w:pStyle w:val="Compact"/>
              <w:jc w:val="left"/>
            </w:pPr>
            <w:r>
              <w:t xml:space="preserve">array of objects</w:t>
            </w:r>
          </w:p>
        </w:tc>
        <w:tc>
          <w:tcPr/>
          <w:p>
            <w:pPr>
              <w:pStyle w:val="Compact"/>
              <w:jc w:val="left"/>
            </w:pPr>
            <w:r>
              <w:t xml:space="preserve">Site link configuration: Name, Cost, ReplicationFrequencyInMinutes</w:t>
            </w:r>
          </w:p>
        </w:tc>
      </w:tr>
      <w:tr>
        <w:tc>
          <w:tcPr/>
          <w:p>
            <w:pPr>
              <w:pStyle w:val="Compact"/>
              <w:jc w:val="left"/>
            </w:pPr>
            <w:r>
              <w:t xml:space="preserve">Subnets</w:t>
            </w:r>
          </w:p>
        </w:tc>
        <w:tc>
          <w:tcPr/>
          <w:p>
            <w:pPr>
              <w:pStyle w:val="Compact"/>
              <w:jc w:val="left"/>
            </w:pPr>
            <w:r>
              <w:t xml:space="preserve">array of objects</w:t>
            </w:r>
          </w:p>
        </w:tc>
        <w:tc>
          <w:tcPr/>
          <w:p>
            <w:pPr>
              <w:pStyle w:val="Compact"/>
              <w:jc w:val="left"/>
            </w:pPr>
            <w:r>
              <w:t xml:space="preserve">Subnet-to-site mappings: Name, Site, Location</w:t>
            </w:r>
          </w:p>
        </w:tc>
      </w:tr>
      <w:tr>
        <w:tc>
          <w:tcPr/>
          <w:p>
            <w:pPr>
              <w:pStyle w:val="Compact"/>
              <w:jc w:val="left"/>
            </w:pPr>
            <w:r>
              <w:t xml:space="preserve">FSMORoles</w:t>
            </w:r>
          </w:p>
        </w:tc>
        <w:tc>
          <w:tcPr/>
          <w:p>
            <w:pPr>
              <w:pStyle w:val="Compact"/>
              <w:jc w:val="left"/>
            </w:pPr>
            <w:r>
              <w:t xml:space="preserve">array of objects</w:t>
            </w:r>
          </w:p>
        </w:tc>
        <w:tc>
          <w:tcPr/>
          <w:p>
            <w:pPr>
              <w:pStyle w:val="Compact"/>
              <w:jc w:val="left"/>
            </w:pPr>
            <w:r>
              <w:t xml:space="preserve">All FSMO role holders: Role, Holder</w:t>
            </w:r>
          </w:p>
        </w:tc>
      </w:tr>
    </w:tbl>
    <w:p>
      <w:pPr>
        <w:pStyle w:val="BodyText"/>
      </w:pPr>
      <w:r>
        <w:rPr>
          <w:b/>
          <w:bCs/>
        </w:rPr>
        <w:t xml:space="preserve">Example snippet:</w:t>
      </w:r>
    </w:p>
    <w:p>
      <w:pPr>
        <w:pStyle w:val="BodyText"/>
      </w:pPr>
      <w:r>
        <w:t xml:space="preserve">{ "AssessmentTimestamp": "2026-04-20T14:30:00.0000000-04:00", "Forest": { "Name": "contoso.com", "RootDomain": "contoso.com", "ForestMode": "Windows2016Forest", "SchemaMaster": "DC01.contoso.com", "DomainNamingMaster": "DC01.contoso.com", "Domains": ["contoso.com", "child.contoso.com"], "Sites": ["Default-First-Site-Name", "BranchOffice"], "GlobalCatalogs": ["DC01.contoso.com", "DC02.contoso.com"] } }</w:t>
      </w:r>
    </w:p>
    <w:p>
      <w:pPr>
        <w:pStyle w:val="BodyText"/>
      </w:pPr>
      <w:r>
        <w:t xml:space="preserve">B.2 GPOInventory.json</w:t>
      </w:r>
    </w:p>
    <w:tbl>
      <w:tblPr>
        <w:tblStyle w:val="Table"/>
        <w:tblW w:type="pct" w:w="4922"/>
        <w:tblLayout w:type="fixed"/>
        <w:tblLook w:firstRow="1" w:lastRow="0" w:firstColumn="0" w:lastColumn="0" w:noHBand="0" w:noVBand="0" w:val="0020"/>
      </w:tblPr>
      <w:tblGrid>
        <w:gridCol w:w="1175"/>
        <w:gridCol w:w="866"/>
        <w:gridCol w:w="5754"/>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DisplayName</w:t>
            </w:r>
          </w:p>
        </w:tc>
        <w:tc>
          <w:tcPr/>
          <w:p>
            <w:pPr>
              <w:pStyle w:val="Compact"/>
              <w:jc w:val="left"/>
            </w:pPr>
            <w:r>
              <w:t xml:space="preserve">string</w:t>
            </w:r>
          </w:p>
        </w:tc>
        <w:tc>
          <w:tcPr/>
          <w:p>
            <w:pPr>
              <w:pStyle w:val="Compact"/>
              <w:jc w:val="left"/>
            </w:pPr>
            <w:r>
              <w:t xml:space="preserve">GPO display name</w:t>
            </w:r>
          </w:p>
        </w:tc>
      </w:tr>
      <w:tr>
        <w:tc>
          <w:tcPr/>
          <w:p>
            <w:pPr>
              <w:pStyle w:val="Compact"/>
              <w:jc w:val="left"/>
            </w:pPr>
            <w:r>
              <w:t xml:space="preserve">Id</w:t>
            </w:r>
          </w:p>
        </w:tc>
        <w:tc>
          <w:tcPr/>
          <w:p>
            <w:pPr>
              <w:pStyle w:val="Compact"/>
              <w:jc w:val="left"/>
            </w:pPr>
            <w:r>
              <w:t xml:space="preserve">GUID string</w:t>
            </w:r>
          </w:p>
        </w:tc>
        <w:tc>
          <w:tcPr/>
          <w:p>
            <w:pPr>
              <w:pStyle w:val="Compact"/>
              <w:jc w:val="left"/>
            </w:pPr>
            <w:r>
              <w:t xml:space="preserve">GPO unique identifier</w:t>
            </w:r>
          </w:p>
        </w:tc>
      </w:tr>
      <w:tr>
        <w:tc>
          <w:tcPr/>
          <w:p>
            <w:pPr>
              <w:pStyle w:val="Compact"/>
              <w:jc w:val="left"/>
            </w:pPr>
            <w:r>
              <w:t xml:space="preserve">GpoStatus</w:t>
            </w:r>
          </w:p>
        </w:tc>
        <w:tc>
          <w:tcPr/>
          <w:p>
            <w:pPr>
              <w:pStyle w:val="Compact"/>
              <w:jc w:val="left"/>
            </w:pPr>
            <w:r>
              <w:t xml:space="preserve">string</w:t>
            </w:r>
          </w:p>
        </w:tc>
        <w:tc>
          <w:tcPr/>
          <w:p>
            <w:pPr>
              <w:pStyle w:val="Compact"/>
              <w:jc w:val="left"/>
            </w:pPr>
            <w:r>
              <w:t xml:space="preserve">AllSettingsEnabled, UserSettingsDisabled, ComputerSettingsDisabled, or AllSettingsDisabled</w:t>
            </w:r>
          </w:p>
        </w:tc>
      </w:tr>
      <w:tr>
        <w:tc>
          <w:tcPr/>
          <w:p>
            <w:pPr>
              <w:pStyle w:val="Compact"/>
              <w:jc w:val="left"/>
            </w:pPr>
            <w:r>
              <w:t xml:space="preserve">CreationTime</w:t>
            </w:r>
          </w:p>
        </w:tc>
        <w:tc>
          <w:tcPr/>
          <w:p>
            <w:pPr>
              <w:pStyle w:val="Compact"/>
              <w:jc w:val="left"/>
            </w:pPr>
            <w:r>
              <w:t xml:space="preserve">datetime</w:t>
            </w:r>
          </w:p>
        </w:tc>
        <w:tc>
          <w:tcPr/>
          <w:p>
            <w:pPr>
              <w:pStyle w:val="Compact"/>
              <w:jc w:val="left"/>
            </w:pPr>
            <w:r>
              <w:t xml:space="preserve">When the GPO was created</w:t>
            </w:r>
          </w:p>
        </w:tc>
      </w:tr>
      <w:tr>
        <w:tc>
          <w:tcPr/>
          <w:p>
            <w:pPr>
              <w:pStyle w:val="Compact"/>
              <w:jc w:val="left"/>
            </w:pPr>
            <w:r>
              <w:t xml:space="preserve">ModificationTime</w:t>
            </w:r>
          </w:p>
        </w:tc>
        <w:tc>
          <w:tcPr/>
          <w:p>
            <w:pPr>
              <w:pStyle w:val="Compact"/>
              <w:jc w:val="left"/>
            </w:pPr>
            <w:r>
              <w:t xml:space="preserve">datetime</w:t>
            </w:r>
          </w:p>
        </w:tc>
        <w:tc>
          <w:tcPr/>
          <w:p>
            <w:pPr>
              <w:pStyle w:val="Compact"/>
              <w:jc w:val="left"/>
            </w:pPr>
            <w:r>
              <w:t xml:space="preserve">When the GPO was last modified</w:t>
            </w:r>
          </w:p>
        </w:tc>
      </w:tr>
      <w:tr>
        <w:tc>
          <w:tcPr/>
          <w:p>
            <w:pPr>
              <w:pStyle w:val="Compact"/>
              <w:jc w:val="left"/>
            </w:pPr>
            <w:r>
              <w:t xml:space="preserve">Owner</w:t>
            </w:r>
          </w:p>
        </w:tc>
        <w:tc>
          <w:tcPr/>
          <w:p>
            <w:pPr>
              <w:pStyle w:val="Compact"/>
              <w:jc w:val="left"/>
            </w:pPr>
            <w:r>
              <w:t xml:space="preserve">string</w:t>
            </w:r>
          </w:p>
        </w:tc>
        <w:tc>
          <w:tcPr/>
          <w:p>
            <w:pPr>
              <w:pStyle w:val="Compact"/>
              <w:jc w:val="left"/>
            </w:pPr>
            <w:r>
              <w:t xml:space="preserve">GPO owner (typically DOMAIN\user)</w:t>
            </w:r>
          </w:p>
        </w:tc>
      </w:tr>
    </w:tbl>
    <w:p>
      <w:pPr>
        <w:pStyle w:val="BodyText"/>
      </w:pPr>
      <w:r>
        <w:t xml:space="preserve">B.3 AssessmentManifest.json</w:t>
      </w:r>
    </w:p>
    <w:tbl>
      <w:tblPr>
        <w:tblStyle w:val="Table"/>
        <w:tblW w:type="pct" w:w="4910"/>
        <w:tblLayout w:type="fixed"/>
        <w:tblLook w:firstRow="1" w:lastRow="0" w:firstColumn="0" w:lastColumn="0" w:noHBand="0" w:noVBand="0" w:val="0020"/>
      </w:tblPr>
      <w:tblGrid>
        <w:gridCol w:w="1569"/>
        <w:gridCol w:w="1427"/>
        <w:gridCol w:w="4780"/>
      </w:tblGrid>
      <w:tr>
        <w:trPr>
          <w:tblHeader w:val="on"/>
        </w:trPr>
        <w:tc>
          <w:tcPr/>
          <w:p>
            <w:pPr>
              <w:pStyle w:val="Compact"/>
              <w:jc w:val="left"/>
            </w:pPr>
            <w:r>
              <w:rPr>
                <w:b/>
                <w:bCs/>
              </w:rPr>
              <w:t xml:space="preserve">Field</w:t>
            </w:r>
          </w:p>
        </w:tc>
        <w:tc>
          <w:tcPr/>
          <w:p>
            <w:pPr>
              <w:pStyle w:val="Compact"/>
              <w:jc w:val="left"/>
            </w:pPr>
            <w:r>
              <w:rPr>
                <w:b/>
                <w:bCs/>
              </w:rPr>
              <w:t xml:space="preserve">Type</w:t>
            </w:r>
          </w:p>
        </w:tc>
        <w:tc>
          <w:tcPr/>
          <w:p>
            <w:pPr>
              <w:pStyle w:val="Compact"/>
              <w:jc w:val="left"/>
            </w:pPr>
            <w:r>
              <w:rPr>
                <w:b/>
                <w:bCs/>
              </w:rPr>
              <w:t xml:space="preserve">Description</w:t>
            </w:r>
          </w:p>
        </w:tc>
      </w:tr>
      <w:tr>
        <w:tc>
          <w:tcPr/>
          <w:p>
            <w:pPr>
              <w:pStyle w:val="Compact"/>
              <w:jc w:val="left"/>
            </w:pPr>
            <w:r>
              <w:t xml:space="preserve">AssessmentId</w:t>
            </w:r>
          </w:p>
        </w:tc>
        <w:tc>
          <w:tcPr/>
          <w:p>
            <w:pPr>
              <w:pStyle w:val="Compact"/>
              <w:jc w:val="left"/>
            </w:pPr>
            <w:r>
              <w:t xml:space="preserve">GUID string</w:t>
            </w:r>
          </w:p>
        </w:tc>
        <w:tc>
          <w:tcPr/>
          <w:p>
            <w:pPr>
              <w:pStyle w:val="Compact"/>
              <w:jc w:val="left"/>
            </w:pPr>
            <w:r>
              <w:t xml:space="preserve">Unique identifier for this assessment run</w:t>
            </w:r>
          </w:p>
        </w:tc>
      </w:tr>
      <w:tr>
        <w:tc>
          <w:tcPr/>
          <w:p>
            <w:pPr>
              <w:pStyle w:val="Compact"/>
              <w:jc w:val="left"/>
            </w:pPr>
            <w:r>
              <w:t xml:space="preserve">Domain</w:t>
            </w:r>
          </w:p>
        </w:tc>
        <w:tc>
          <w:tcPr/>
          <w:p>
            <w:pPr>
              <w:pStyle w:val="Compact"/>
              <w:jc w:val="left"/>
            </w:pPr>
            <w:r>
              <w:t xml:space="preserve">string</w:t>
            </w:r>
          </w:p>
        </w:tc>
        <w:tc>
          <w:tcPr/>
          <w:p>
            <w:pPr>
              <w:pStyle w:val="Compact"/>
              <w:jc w:val="left"/>
            </w:pPr>
            <w:r>
              <w:t xml:space="preserve">DNS name of assessed domain</w:t>
            </w:r>
          </w:p>
        </w:tc>
      </w:tr>
      <w:tr>
        <w:tc>
          <w:tcPr/>
          <w:p>
            <w:pPr>
              <w:pStyle w:val="Compact"/>
              <w:jc w:val="left"/>
            </w:pPr>
            <w:r>
              <w:t xml:space="preserve">StartTime / EndTime</w:t>
            </w:r>
          </w:p>
        </w:tc>
        <w:tc>
          <w:tcPr/>
          <w:p>
            <w:pPr>
              <w:pStyle w:val="Compact"/>
              <w:jc w:val="left"/>
            </w:pPr>
            <w:r>
              <w:t xml:space="preserve">ISO 8601 datetime</w:t>
            </w:r>
          </w:p>
        </w:tc>
        <w:tc>
          <w:tcPr/>
          <w:p>
            <w:pPr>
              <w:pStyle w:val="Compact"/>
              <w:jc w:val="left"/>
            </w:pPr>
            <w:r>
              <w:t xml:space="preserve">Assessment execution window</w:t>
            </w:r>
          </w:p>
        </w:tc>
      </w:tr>
      <w:tr>
        <w:tc>
          <w:tcPr/>
          <w:p>
            <w:pPr>
              <w:pStyle w:val="Compact"/>
              <w:jc w:val="left"/>
            </w:pPr>
            <w:r>
              <w:t xml:space="preserve">DurationMinutes</w:t>
            </w:r>
          </w:p>
        </w:tc>
        <w:tc>
          <w:tcPr/>
          <w:p>
            <w:pPr>
              <w:pStyle w:val="Compact"/>
              <w:jc w:val="left"/>
            </w:pPr>
            <w:r>
              <w:t xml:space="preserve">decimal</w:t>
            </w:r>
          </w:p>
        </w:tc>
        <w:tc>
          <w:tcPr/>
          <w:p>
            <w:pPr>
              <w:pStyle w:val="Compact"/>
              <w:jc w:val="left"/>
            </w:pPr>
            <w:r>
              <w:t xml:space="preserve">Total assessment duration</w:t>
            </w:r>
          </w:p>
        </w:tc>
      </w:tr>
      <w:tr>
        <w:tc>
          <w:tcPr/>
          <w:p>
            <w:pPr>
              <w:pStyle w:val="Compact"/>
              <w:jc w:val="left"/>
            </w:pPr>
            <w:r>
              <w:t xml:space="preserve">ExecutedBy</w:t>
            </w:r>
          </w:p>
        </w:tc>
        <w:tc>
          <w:tcPr/>
          <w:p>
            <w:pPr>
              <w:pStyle w:val="Compact"/>
              <w:jc w:val="left"/>
            </w:pPr>
            <w:r>
              <w:t xml:space="preserve">string</w:t>
            </w:r>
          </w:p>
        </w:tc>
        <w:tc>
          <w:tcPr/>
          <w:p>
            <w:pPr>
              <w:pStyle w:val="Compact"/>
              <w:jc w:val="left"/>
            </w:pPr>
            <w:r>
              <w:t xml:space="preserve">DOMAIN\Username of executing account</w:t>
            </w:r>
          </w:p>
        </w:tc>
      </w:tr>
      <w:tr>
        <w:tc>
          <w:tcPr/>
          <w:p>
            <w:pPr>
              <w:pStyle w:val="Compact"/>
              <w:jc w:val="left"/>
            </w:pPr>
            <w:r>
              <w:t xml:space="preserve">FileCount</w:t>
            </w:r>
          </w:p>
        </w:tc>
        <w:tc>
          <w:tcPr/>
          <w:p>
            <w:pPr>
              <w:pStyle w:val="Compact"/>
              <w:jc w:val="left"/>
            </w:pPr>
            <w:r>
              <w:t xml:space="preserve">integer</w:t>
            </w:r>
          </w:p>
        </w:tc>
        <w:tc>
          <w:tcPr/>
          <w:p>
            <w:pPr>
              <w:pStyle w:val="Compact"/>
              <w:jc w:val="left"/>
            </w:pPr>
            <w:r>
              <w:t xml:space="preserve">Total number of output files produced</w:t>
            </w:r>
          </w:p>
        </w:tc>
      </w:tr>
      <w:tr>
        <w:tc>
          <w:tcPr/>
          <w:p>
            <w:pPr>
              <w:pStyle w:val="Compact"/>
              <w:jc w:val="left"/>
            </w:pPr>
            <w:r>
              <w:t xml:space="preserve">Files</w:t>
            </w:r>
          </w:p>
        </w:tc>
        <w:tc>
          <w:tcPr/>
          <w:p>
            <w:pPr>
              <w:pStyle w:val="Compact"/>
              <w:jc w:val="left"/>
            </w:pPr>
            <w:r>
              <w:t xml:space="preserve">array of objects</w:t>
            </w:r>
          </w:p>
        </w:tc>
        <w:tc>
          <w:tcPr/>
          <w:p>
            <w:pPr>
              <w:pStyle w:val="Compact"/>
              <w:jc w:val="left"/>
            </w:pPr>
            <w:r>
              <w:t xml:space="preserve">Per-file: RelativePath, SizeBytes, LastModified, SHA256 checksum</w:t>
            </w:r>
          </w:p>
        </w:tc>
      </w:tr>
    </w:tbl>
    <w:p>
      <w:pPr>
        <w:pStyle w:val="BodyText"/>
      </w:pPr>
      <w:r>
        <w:t xml:space="preserve">B.4 Additional Schema Files</w:t>
      </w:r>
    </w:p>
    <w:p>
      <w:pPr>
        <w:pStyle w:val="BodyText"/>
      </w:pPr>
      <w:r>
        <w:t xml:space="preserve">The following output files follow the same schema pattern — a root object with AssessmentTimestamp and domain-specific arrays:</w:t>
      </w:r>
    </w:p>
    <w:tbl>
      <w:tblPr>
        <w:tblStyle w:val="Table"/>
        <w:tblW w:type="pct" w:w="4932"/>
        <w:tblLayout w:type="fixed"/>
        <w:tblLook w:firstRow="1" w:lastRow="0" w:firstColumn="0" w:lastColumn="0" w:noHBand="0" w:noVBand="0" w:val="0020"/>
      </w:tblPr>
      <w:tblGrid>
        <w:gridCol w:w="1337"/>
        <w:gridCol w:w="2247"/>
        <w:gridCol w:w="4227"/>
      </w:tblGrid>
      <w:tr>
        <w:trPr>
          <w:tblHeader w:val="on"/>
        </w:trPr>
        <w:tc>
          <w:tcPr/>
          <w:p>
            <w:pPr>
              <w:pStyle w:val="Compact"/>
              <w:jc w:val="left"/>
            </w:pPr>
            <w:r>
              <w:rPr>
                <w:b/>
                <w:bCs/>
              </w:rPr>
              <w:t xml:space="preserve">File</w:t>
            </w:r>
          </w:p>
        </w:tc>
        <w:tc>
          <w:tcPr/>
          <w:p>
            <w:pPr>
              <w:pStyle w:val="Compact"/>
              <w:jc w:val="left"/>
            </w:pPr>
            <w:r>
              <w:rPr>
                <w:b/>
                <w:bCs/>
              </w:rPr>
              <w:t xml:space="preserve">Root Fields</w:t>
            </w:r>
          </w:p>
        </w:tc>
        <w:tc>
          <w:tcPr/>
          <w:p>
            <w:pPr>
              <w:pStyle w:val="Compact"/>
              <w:jc w:val="left"/>
            </w:pPr>
            <w:r>
              <w:rPr>
                <w:b/>
                <w:bCs/>
              </w:rPr>
              <w:t xml:space="preserve">Primary Array</w:t>
            </w:r>
          </w:p>
        </w:tc>
      </w:tr>
      <w:tr>
        <w:tc>
          <w:tcPr/>
          <w:p>
            <w:pPr>
              <w:pStyle w:val="Compact"/>
              <w:jc w:val="left"/>
            </w:pPr>
            <w:r>
              <w:t xml:space="preserve">OUHierarchy.json</w:t>
            </w:r>
          </w:p>
        </w:tc>
        <w:tc>
          <w:tcPr/>
          <w:p>
            <w:pPr>
              <w:pStyle w:val="Compact"/>
              <w:jc w:val="left"/>
            </w:pPr>
            <w:r>
              <w:t xml:space="preserve">Nested tree nodes</w:t>
            </w:r>
          </w:p>
        </w:tc>
        <w:tc>
          <w:tcPr/>
          <w:p>
            <w:pPr>
              <w:pStyle w:val="Compact"/>
              <w:jc w:val="left"/>
            </w:pPr>
            <w:r>
              <w:t xml:space="preserve">Each node: Name, DN, Description, LinkedGPOs, ObjectCounts, Children[]</w:t>
            </w:r>
          </w:p>
        </w:tc>
      </w:tr>
      <w:tr>
        <w:tc>
          <w:tcPr/>
          <w:p>
            <w:pPr>
              <w:pStyle w:val="Compact"/>
              <w:jc w:val="left"/>
            </w:pPr>
            <w:r>
              <w:t xml:space="preserve">DNSInventory.json</w:t>
            </w:r>
          </w:p>
        </w:tc>
        <w:tc>
          <w:tcPr/>
          <w:p>
            <w:pPr>
              <w:pStyle w:val="Compact"/>
              <w:jc w:val="left"/>
            </w:pPr>
            <w:r>
              <w:t xml:space="preserve">AssessmentTimestamp, DnsServer</w:t>
            </w:r>
          </w:p>
        </w:tc>
        <w:tc>
          <w:tcPr/>
          <w:p>
            <w:pPr>
              <w:pStyle w:val="Compact"/>
              <w:jc w:val="left"/>
            </w:pPr>
            <w:r>
              <w:t xml:space="preserve">Zones[]: ZoneName, ZoneType, IsDsIntegrated, IsSigned</w:t>
            </w:r>
          </w:p>
        </w:tc>
      </w:tr>
      <w:tr>
        <w:tc>
          <w:tcPr/>
          <w:p>
            <w:pPr>
              <w:pStyle w:val="Compact"/>
              <w:jc w:val="left"/>
            </w:pPr>
            <w:r>
              <w:t xml:space="preserve">PKIInventory.json</w:t>
            </w:r>
          </w:p>
        </w:tc>
        <w:tc>
          <w:tcPr/>
          <w:p>
            <w:pPr>
              <w:pStyle w:val="Compact"/>
              <w:jc w:val="left"/>
            </w:pPr>
            <w:r>
              <w:t xml:space="preserve">AssessmentTimestamp</w:t>
            </w:r>
          </w:p>
        </w:tc>
        <w:tc>
          <w:tcPr/>
          <w:p>
            <w:pPr>
              <w:pStyle w:val="Compact"/>
              <w:jc w:val="left"/>
            </w:pPr>
            <w:r>
              <w:t xml:space="preserve">CertificationAuthorities[], CertificateTemplates[]</w:t>
            </w:r>
          </w:p>
        </w:tc>
      </w:tr>
      <w:tr>
        <w:tc>
          <w:tcPr/>
          <w:p>
            <w:pPr>
              <w:pStyle w:val="Compact"/>
              <w:jc w:val="left"/>
            </w:pPr>
            <w:r>
              <w:t xml:space="preserve">ComputerInventory.json</w:t>
            </w:r>
          </w:p>
        </w:tc>
        <w:tc>
          <w:tcPr/>
          <w:p>
            <w:pPr>
              <w:pStyle w:val="Compact"/>
              <w:jc w:val="left"/>
            </w:pPr>
            <w:r>
              <w:t xml:space="preserve">Array of computer objects</w:t>
            </w:r>
          </w:p>
        </w:tc>
        <w:tc>
          <w:tcPr/>
          <w:p>
            <w:pPr>
              <w:pStyle w:val="Compact"/>
              <w:jc w:val="left"/>
            </w:pPr>
            <w:r>
              <w:t xml:space="preserve">Name, DNSHostName, OperatingSystem, Enabled, LastLogonDate, SPNs, Delegation</w:t>
            </w:r>
          </w:p>
        </w:tc>
      </w:tr>
      <w:tr>
        <w:tc>
          <w:tcPr/>
          <w:p>
            <w:pPr>
              <w:pStyle w:val="Compact"/>
              <w:jc w:val="left"/>
            </w:pPr>
            <w:r>
              <w:t xml:space="preserve">UserInventory.json</w:t>
            </w:r>
          </w:p>
        </w:tc>
        <w:tc>
          <w:tcPr/>
          <w:p>
            <w:pPr>
              <w:pStyle w:val="Compact"/>
              <w:jc w:val="left"/>
            </w:pPr>
            <w:r>
              <w:t xml:space="preserve">Array of user objects</w:t>
            </w:r>
          </w:p>
        </w:tc>
        <w:tc>
          <w:tcPr/>
          <w:p>
            <w:pPr>
              <w:pStyle w:val="Compact"/>
              <w:jc w:val="left"/>
            </w:pPr>
            <w:r>
              <w:t xml:space="preserve">SamAccountName, UPN, Enabled, LastLogonDate, AdminCount, MemberOf</w:t>
            </w:r>
          </w:p>
        </w:tc>
      </w:tr>
      <w:tr>
        <w:tc>
          <w:tcPr/>
          <w:p>
            <w:pPr>
              <w:pStyle w:val="Compact"/>
              <w:jc w:val="left"/>
            </w:pPr>
            <w:r>
              <w:t xml:space="preserve">GroupInventory.json</w:t>
            </w:r>
          </w:p>
        </w:tc>
        <w:tc>
          <w:tcPr/>
          <w:p>
            <w:pPr>
              <w:pStyle w:val="Compact"/>
              <w:jc w:val="left"/>
            </w:pPr>
            <w:r>
              <w:t xml:space="preserve">Array of group objects</w:t>
            </w:r>
          </w:p>
        </w:tc>
        <w:tc>
          <w:tcPr/>
          <w:p>
            <w:pPr>
              <w:pStyle w:val="Compact"/>
              <w:jc w:val="left"/>
            </w:pPr>
            <w:r>
              <w:t xml:space="preserve">SamAccountName, Category, Scope, DirectMemberCount, IsEmpty</w:t>
            </w:r>
          </w:p>
        </w:tc>
      </w:tr>
      <w:tr>
        <w:tc>
          <w:tcPr/>
          <w:p>
            <w:pPr>
              <w:pStyle w:val="Compact"/>
              <w:jc w:val="left"/>
            </w:pPr>
            <w:r>
              <w:t xml:space="preserve">TrustMap.json</w:t>
            </w:r>
          </w:p>
        </w:tc>
        <w:tc>
          <w:tcPr/>
          <w:p>
            <w:pPr>
              <w:pStyle w:val="Compact"/>
              <w:jc w:val="left"/>
            </w:pPr>
            <w:r>
              <w:t xml:space="preserve">AssessmentTimestamp, Domain, TrustCount</w:t>
            </w:r>
          </w:p>
        </w:tc>
        <w:tc>
          <w:tcPr/>
          <w:p>
            <w:pPr>
              <w:pStyle w:val="Compact"/>
              <w:jc w:val="left"/>
            </w:pPr>
            <w:r>
              <w:t xml:space="preserve">Trusts[]: Name, Direction, TrustType, SelectiveAuthentication</w:t>
            </w:r>
          </w:p>
        </w:tc>
      </w:tr>
    </w:tbl>
    <w:p>
      <w:pPr>
        <w:pStyle w:val="BodyText"/>
      </w:pPr>
      <w:r>
        <w:t xml:space="preserve">Appendix C — Quick Reference Card</w:t>
      </w:r>
    </w:p>
    <w:p>
      <w:pPr>
        <w:pStyle w:val="BodyText"/>
      </w:pPr>
      <w:r>
        <w:t xml:space="preserve">C.1 Function Reference</w:t>
      </w:r>
    </w:p>
    <w:tbl>
      <w:tblPr>
        <w:tblStyle w:val="Table"/>
        <w:tblW w:type="pct" w:w="4917"/>
        <w:tblLayout w:type="fixed"/>
        <w:tblLook w:firstRow="1" w:lastRow="0" w:firstColumn="0" w:lastColumn="0" w:noHBand="0" w:noVBand="0" w:val="0020"/>
      </w:tblPr>
      <w:tblGrid>
        <w:gridCol w:w="1832"/>
        <w:gridCol w:w="3076"/>
        <w:gridCol w:w="2880"/>
      </w:tblGrid>
      <w:tr>
        <w:trPr>
          <w:tblHeader w:val="on"/>
        </w:trPr>
        <w:tc>
          <w:tcPr/>
          <w:p>
            <w:pPr>
              <w:pStyle w:val="Compact"/>
              <w:jc w:val="left"/>
            </w:pPr>
            <w:r>
              <w:rPr>
                <w:b/>
                <w:bCs/>
              </w:rPr>
              <w:t xml:space="preserve">Function</w:t>
            </w:r>
          </w:p>
        </w:tc>
        <w:tc>
          <w:tcPr/>
          <w:p>
            <w:pPr>
              <w:pStyle w:val="Compact"/>
              <w:jc w:val="left"/>
            </w:pPr>
            <w:r>
              <w:rPr>
                <w:b/>
                <w:bCs/>
              </w:rPr>
              <w:t xml:space="preserve">Purpose</w:t>
            </w:r>
          </w:p>
        </w:tc>
        <w:tc>
          <w:tcPr/>
          <w:p>
            <w:pPr>
              <w:pStyle w:val="Compact"/>
              <w:jc w:val="left"/>
            </w:pPr>
            <w:r>
              <w:rPr>
                <w:b/>
                <w:bCs/>
              </w:rPr>
              <w:t xml:space="preserve">Primary Output File(s)</w:t>
            </w:r>
          </w:p>
        </w:tc>
      </w:tr>
      <w:tr>
        <w:tc>
          <w:tcPr/>
          <w:p>
            <w:pPr>
              <w:pStyle w:val="Compact"/>
              <w:jc w:val="left"/>
            </w:pPr>
            <w:r>
              <w:t xml:space="preserve">Test-FMPPrerequisites V</w:t>
            </w:r>
          </w:p>
        </w:tc>
        <w:tc>
          <w:tcPr/>
          <w:p>
            <w:pPr>
              <w:pStyle w:val="Compact"/>
              <w:jc w:val="left"/>
            </w:pPr>
            <w:r>
              <w:t xml:space="preserve">alidate all prerequisites C</w:t>
            </w:r>
          </w:p>
        </w:tc>
        <w:tc>
          <w:tcPr/>
          <w:p>
            <w:pPr>
              <w:pStyle w:val="Compact"/>
              <w:jc w:val="left"/>
            </w:pPr>
            <w:r>
              <w:t xml:space="preserve">onsole output (pass/fail table)</w:t>
            </w:r>
          </w:p>
        </w:tc>
      </w:tr>
      <w:tr>
        <w:tc>
          <w:tcPr/>
          <w:p>
            <w:pPr>
              <w:pStyle w:val="Compact"/>
              <w:jc w:val="left"/>
            </w:pPr>
            <w:r>
              <w:t xml:space="preserve">Get-FMPForestTopology F</w:t>
            </w:r>
          </w:p>
        </w:tc>
        <w:tc>
          <w:tcPr/>
          <w:p>
            <w:pPr>
              <w:pStyle w:val="Compact"/>
              <w:jc w:val="left"/>
            </w:pPr>
            <w:r>
              <w:t xml:space="preserve">orest, domains, DCs, sites, FSMO F</w:t>
            </w:r>
          </w:p>
        </w:tc>
        <w:tc>
          <w:tcPr/>
          <w:p>
            <w:pPr>
              <w:pStyle w:val="Compact"/>
              <w:jc w:val="left"/>
            </w:pPr>
            <w:r>
              <w:t xml:space="preserve">orestTopology.json</w:t>
            </w:r>
          </w:p>
        </w:tc>
      </w:tr>
      <w:tr>
        <w:tc>
          <w:tcPr/>
          <w:p>
            <w:pPr>
              <w:pStyle w:val="Compact"/>
              <w:jc w:val="left"/>
            </w:pPr>
            <w:r>
              <w:t xml:space="preserve">Get-FMPOUHierarchy O</w:t>
            </w:r>
          </w:p>
        </w:tc>
        <w:tc>
          <w:tcPr/>
          <w:p>
            <w:pPr>
              <w:pStyle w:val="Compact"/>
              <w:jc w:val="left"/>
            </w:pPr>
            <w:r>
              <w:t xml:space="preserve">U tree, delegations, GPO links O</w:t>
            </w:r>
          </w:p>
        </w:tc>
        <w:tc>
          <w:tcPr/>
          <w:p>
            <w:pPr>
              <w:pStyle w:val="Compact"/>
              <w:jc w:val="left"/>
            </w:pPr>
            <w:r>
              <w:t xml:space="preserve">UHierarchy.json, OUFlatList.csv</w:t>
            </w:r>
          </w:p>
        </w:tc>
      </w:tr>
      <w:tr>
        <w:tc>
          <w:tcPr/>
          <w:p>
            <w:pPr>
              <w:pStyle w:val="Compact"/>
              <w:jc w:val="left"/>
            </w:pPr>
            <w:r>
              <w:t xml:space="preserve">Get-FMPGPOInventory G</w:t>
            </w:r>
          </w:p>
        </w:tc>
        <w:tc>
          <w:tcPr/>
          <w:p>
            <w:pPr>
              <w:pStyle w:val="Compact"/>
              <w:jc w:val="left"/>
            </w:pPr>
            <w:r>
              <w:t xml:space="preserve">PO inventory, settings, links, backups G</w:t>
            </w:r>
          </w:p>
        </w:tc>
        <w:tc>
          <w:tcPr/>
          <w:p>
            <w:pPr>
              <w:pStyle w:val="Compact"/>
              <w:jc w:val="left"/>
            </w:pPr>
            <w:r>
              <w:t xml:space="preserve">POInventory.json, XML/HTML reports</w:t>
            </w:r>
          </w:p>
        </w:tc>
      </w:tr>
      <w:tr>
        <w:tc>
          <w:tcPr/>
          <w:p>
            <w:pPr>
              <w:pStyle w:val="Compact"/>
              <w:jc w:val="left"/>
            </w:pPr>
            <w:r>
              <w:t xml:space="preserve">Get-FMPDNSAssessment D</w:t>
            </w:r>
          </w:p>
        </w:tc>
        <w:tc>
          <w:tcPr/>
          <w:p>
            <w:pPr>
              <w:pStyle w:val="Compact"/>
              <w:jc w:val="left"/>
            </w:pPr>
            <w:r>
              <w:t xml:space="preserve">NS zones, records, DNSSEC, scavenging D</w:t>
            </w:r>
          </w:p>
        </w:tc>
        <w:tc>
          <w:tcPr/>
          <w:p>
            <w:pPr>
              <w:pStyle w:val="Compact"/>
              <w:jc w:val="left"/>
            </w:pPr>
            <w:r>
              <w:t xml:space="preserve">NSInventory.json</w:t>
            </w:r>
          </w:p>
        </w:tc>
      </w:tr>
      <w:tr>
        <w:tc>
          <w:tcPr/>
          <w:p>
            <w:pPr>
              <w:pStyle w:val="Compact"/>
              <w:jc w:val="left"/>
            </w:pPr>
            <w:r>
              <w:t xml:space="preserve">Get-FMPPKIAssessment C</w:t>
            </w:r>
          </w:p>
        </w:tc>
        <w:tc>
          <w:tcPr/>
          <w:p>
            <w:pPr>
              <w:pStyle w:val="Compact"/>
              <w:jc w:val="left"/>
            </w:pPr>
            <w:r>
              <w:t xml:space="preserve">As, templates, ESC vulnerabilities P</w:t>
            </w:r>
          </w:p>
        </w:tc>
        <w:tc>
          <w:tcPr/>
          <w:p>
            <w:pPr>
              <w:pStyle w:val="Compact"/>
              <w:jc w:val="left"/>
            </w:pPr>
            <w:r>
              <w:t xml:space="preserve">KIInventory.json, PKISecurityReport.json</w:t>
            </w:r>
          </w:p>
        </w:tc>
      </w:tr>
      <w:tr>
        <w:tc>
          <w:tcPr/>
          <w:p>
            <w:pPr>
              <w:pStyle w:val="Compact"/>
              <w:jc w:val="left"/>
            </w:pPr>
            <w:r>
              <w:t xml:space="preserve">Get-FMPComputerInventory C</w:t>
            </w:r>
          </w:p>
        </w:tc>
        <w:tc>
          <w:tcPr/>
          <w:p>
            <w:pPr>
              <w:pStyle w:val="Compact"/>
              <w:jc w:val="left"/>
            </w:pPr>
            <w:r>
              <w:t xml:space="preserve">omputers, OS classification, delegation C</w:t>
            </w:r>
          </w:p>
        </w:tc>
        <w:tc>
          <w:tcPr/>
          <w:p>
            <w:pPr>
              <w:pStyle w:val="Compact"/>
              <w:jc w:val="left"/>
            </w:pPr>
            <w:r>
              <w:t xml:space="preserve">omputerInventory.json, CSVs</w:t>
            </w:r>
          </w:p>
        </w:tc>
      </w:tr>
      <w:tr>
        <w:tc>
          <w:tcPr/>
          <w:p>
            <w:pPr>
              <w:pStyle w:val="Compact"/>
              <w:jc w:val="left"/>
            </w:pPr>
            <w:r>
              <w:t xml:space="preserve">Get-FMPUserInventory U</w:t>
            </w:r>
          </w:p>
        </w:tc>
        <w:tc>
          <w:tcPr/>
          <w:p>
            <w:pPr>
              <w:pStyle w:val="Compact"/>
              <w:jc w:val="left"/>
            </w:pPr>
            <w:r>
              <w:t xml:space="preserve">sers, privileged accounts, service accounts U</w:t>
            </w:r>
          </w:p>
        </w:tc>
        <w:tc>
          <w:tcPr/>
          <w:p>
            <w:pPr>
              <w:pStyle w:val="Compact"/>
              <w:jc w:val="left"/>
            </w:pPr>
            <w:r>
              <w:t xml:space="preserve">serInventory.json, CSVs</w:t>
            </w:r>
          </w:p>
        </w:tc>
      </w:tr>
      <w:tr>
        <w:tc>
          <w:tcPr/>
          <w:p>
            <w:pPr>
              <w:pStyle w:val="Compact"/>
              <w:jc w:val="left"/>
            </w:pPr>
            <w:r>
              <w:t xml:space="preserve">Get-FMPGroupInventory G</w:t>
            </w:r>
          </w:p>
        </w:tc>
        <w:tc>
          <w:tcPr/>
          <w:p>
            <w:pPr>
              <w:pStyle w:val="Compact"/>
              <w:jc w:val="left"/>
            </w:pPr>
            <w:r>
              <w:t xml:space="preserve">roups, classification, nesting analysis G</w:t>
            </w:r>
          </w:p>
        </w:tc>
        <w:tc>
          <w:tcPr/>
          <w:p>
            <w:pPr>
              <w:pStyle w:val="Compact"/>
              <w:jc w:val="left"/>
            </w:pPr>
            <w:r>
              <w:t xml:space="preserve">roupInventory.json</w:t>
            </w:r>
          </w:p>
        </w:tc>
      </w:tr>
      <w:tr>
        <w:tc>
          <w:tcPr/>
          <w:p>
            <w:pPr>
              <w:pStyle w:val="Compact"/>
              <w:jc w:val="left"/>
            </w:pPr>
            <w:r>
              <w:t xml:space="preserve">Get-FMPTrustMap T</w:t>
            </w:r>
          </w:p>
        </w:tc>
        <w:tc>
          <w:tcPr/>
          <w:p>
            <w:pPr>
              <w:pStyle w:val="Compact"/>
              <w:jc w:val="left"/>
            </w:pPr>
            <w:r>
              <w:t xml:space="preserve">rust relationships and validation T</w:t>
            </w:r>
          </w:p>
        </w:tc>
        <w:tc>
          <w:tcPr/>
          <w:p>
            <w:pPr>
              <w:pStyle w:val="Compact"/>
              <w:jc w:val="left"/>
            </w:pPr>
            <w:r>
              <w:t xml:space="preserve">rustMap.json</w:t>
            </w:r>
          </w:p>
        </w:tc>
      </w:tr>
      <w:tr>
        <w:tc>
          <w:tcPr/>
          <w:p>
            <w:pPr>
              <w:pStyle w:val="Compact"/>
              <w:jc w:val="left"/>
            </w:pPr>
            <w:r>
              <w:t xml:space="preserve">Invoke-FMPADAssessment R</w:t>
            </w:r>
          </w:p>
        </w:tc>
        <w:tc>
          <w:tcPr/>
          <w:p>
            <w:pPr>
              <w:pStyle w:val="Compact"/>
              <w:jc w:val="left"/>
            </w:pPr>
            <w:r>
              <w:t xml:space="preserve">un complete assessment pipeline A</w:t>
            </w:r>
          </w:p>
        </w:tc>
        <w:tc>
          <w:tcPr/>
          <w:p>
            <w:pPr>
              <w:pStyle w:val="Compact"/>
              <w:jc w:val="left"/>
            </w:pPr>
            <w:r>
              <w:t xml:space="preserve">ll files + AssessmentManifest.json</w:t>
            </w:r>
          </w:p>
        </w:tc>
      </w:tr>
      <w:tr>
        <w:tc>
          <w:tcPr/>
          <w:p>
            <w:pPr>
              <w:pStyle w:val="Compact"/>
              <w:jc w:val="left"/>
            </w:pPr>
            <w:r>
              <w:t xml:space="preserve">Compare-FMPAssessments D</w:t>
            </w:r>
          </w:p>
        </w:tc>
        <w:tc>
          <w:tcPr/>
          <w:p>
            <w:pPr>
              <w:pStyle w:val="Compact"/>
              <w:jc w:val="left"/>
            </w:pPr>
            <w:r>
              <w:t xml:space="preserve">etect drift between assessment runs D</w:t>
            </w:r>
          </w:p>
        </w:tc>
        <w:tc>
          <w:tcPr/>
          <w:p>
            <w:pPr>
              <w:pStyle w:val="Compact"/>
              <w:jc w:val="left"/>
            </w:pPr>
            <w:r>
              <w:t xml:space="preserve">riftReport (returned object)</w:t>
            </w:r>
          </w:p>
        </w:tc>
      </w:tr>
    </w:tbl>
    <w:p>
      <w:pPr>
        <w:pStyle w:val="BodyText"/>
      </w:pPr>
      <w:r>
        <w:t xml:space="preserve">C.2 Assessment Run Checklist</w:t>
      </w:r>
    </w:p>
    <w:p>
      <w:pPr>
        <w:numPr>
          <w:ilvl w:val="0"/>
          <w:numId w:val="1012"/>
        </w:numPr>
      </w:pPr>
      <w:r>
        <w:rPr>
          <w:b/>
          <w:bCs/>
        </w:rPr>
        <w:t xml:space="preserve">Verify prerequisites.</w:t>
      </w:r>
      <w:r>
        <w:t xml:space="preserve"> </w:t>
      </w:r>
      <w:r>
        <w:t xml:space="preserve">Run Test-FMPPrerequisites and resolve any failures.</w:t>
      </w:r>
    </w:p>
    <w:p>
      <w:pPr>
        <w:numPr>
          <w:ilvl w:val="0"/>
          <w:numId w:val="1012"/>
        </w:numPr>
      </w:pPr>
      <w:r>
        <w:rPr>
          <w:b/>
          <w:bCs/>
        </w:rPr>
        <w:t xml:space="preserve">Validate credentials.</w:t>
      </w:r>
      <w:r>
        <w:t xml:space="preserve"> </w:t>
      </w:r>
      <w:r>
        <w:t xml:space="preserve">Confirm the assessment service account has the required permissions.</w:t>
      </w:r>
    </w:p>
    <w:p>
      <w:pPr>
        <w:numPr>
          <w:ilvl w:val="0"/>
          <w:numId w:val="1012"/>
        </w:numPr>
      </w:pPr>
      <w:r>
        <w:rPr>
          <w:b/>
          <w:bCs/>
        </w:rPr>
        <w:t xml:space="preserve">Create output directories.</w:t>
      </w:r>
      <w:r>
        <w:t xml:space="preserve"> </w:t>
      </w:r>
      <w:r>
        <w:t xml:space="preserve">Run the directory creation script from Section 2.4.</w:t>
      </w:r>
    </w:p>
    <w:p>
      <w:pPr>
        <w:numPr>
          <w:ilvl w:val="0"/>
          <w:numId w:val="1012"/>
        </w:numPr>
      </w:pPr>
      <w:r>
        <w:rPr>
          <w:b/>
          <w:bCs/>
        </w:rPr>
        <w:t xml:space="preserve">Import the module.</w:t>
      </w:r>
      <w:r>
        <w:t xml:space="preserve"> </w:t>
      </w:r>
      <w:r>
        <w:t xml:space="preserve">Import-Module FMPADAssessment</w:t>
      </w:r>
    </w:p>
    <w:p>
      <w:pPr>
        <w:numPr>
          <w:ilvl w:val="0"/>
          <w:numId w:val="1012"/>
        </w:numPr>
      </w:pPr>
      <w:r>
        <w:rPr>
          <w:b/>
          <w:bCs/>
        </w:rPr>
        <w:t xml:space="preserve">Run the assessment.</w:t>
      </w:r>
      <w:r>
        <w:t xml:space="preserve"> </w:t>
      </w:r>
      <w:r>
        <w:t xml:space="preserve">Invoke-FMPADAssessment -Domain "contoso.com"</w:t>
      </w:r>
    </w:p>
    <w:p>
      <w:pPr>
        <w:numPr>
          <w:ilvl w:val="0"/>
          <w:numId w:val="1012"/>
        </w:numPr>
      </w:pPr>
      <w:r>
        <w:rPr>
          <w:b/>
          <w:bCs/>
        </w:rPr>
        <w:t xml:space="preserve">Review the manifest.</w:t>
      </w:r>
      <w:r>
        <w:t xml:space="preserve"> </w:t>
      </w:r>
      <w:r>
        <w:t xml:space="preserve">Open AssessmentManifest.json and verify file count and checksums.</w:t>
      </w:r>
    </w:p>
    <w:p>
      <w:pPr>
        <w:numPr>
          <w:ilvl w:val="0"/>
          <w:numId w:val="1012"/>
        </w:numPr>
      </w:pPr>
      <w:r>
        <w:rPr>
          <w:b/>
          <w:bCs/>
        </w:rPr>
        <w:t xml:space="preserve">Review security findings.</w:t>
      </w:r>
      <w:r>
        <w:t xml:space="preserve"> </w:t>
      </w:r>
      <w:r>
        <w:t xml:space="preserve">Examine PKISecurityReport.json and DelegationReport.csv.</w:t>
      </w:r>
    </w:p>
    <w:p>
      <w:pPr>
        <w:numPr>
          <w:ilvl w:val="0"/>
          <w:numId w:val="1012"/>
        </w:numPr>
      </w:pPr>
      <w:r>
        <w:rPr>
          <w:b/>
          <w:bCs/>
        </w:rPr>
        <w:t xml:space="preserve">Review stale objects.</w:t>
      </w:r>
      <w:r>
        <w:t xml:space="preserve"> </w:t>
      </w:r>
      <w:r>
        <w:t xml:space="preserve">Examine StaleComputers.csv and stale user counts.</w:t>
      </w:r>
    </w:p>
    <w:p>
      <w:pPr>
        <w:numPr>
          <w:ilvl w:val="0"/>
          <w:numId w:val="1012"/>
        </w:numPr>
      </w:pPr>
      <w:r>
        <w:rPr>
          <w:b/>
          <w:bCs/>
        </w:rPr>
        <w:t xml:space="preserve">Commit to Gitea.</w:t>
      </w:r>
      <w:r>
        <w:t xml:space="preserve"> </w:t>
      </w:r>
      <w:r>
        <w:t xml:space="preserve">Push assessment artifacts to the fmp.git repository.</w:t>
      </w:r>
    </w:p>
    <w:p>
      <w:pPr>
        <w:numPr>
          <w:ilvl w:val="0"/>
          <w:numId w:val="1012"/>
        </w:numPr>
      </w:pPr>
      <w:r>
        <w:rPr>
          <w:b/>
          <w:bCs/>
        </w:rPr>
        <w:t xml:space="preserve">Create issues for critical findings.</w:t>
      </w:r>
      <w:r>
        <w:t xml:space="preserve"> </w:t>
      </w:r>
      <w:r>
        <w:t xml:space="preserve">Run Invoke-FMPFindingIssues.</w:t>
      </w:r>
    </w:p>
    <w:p>
      <w:pPr>
        <w:numPr>
          <w:ilvl w:val="0"/>
          <w:numId w:val="1012"/>
        </w:numPr>
      </w:pPr>
      <w:r>
        <w:rPr>
          <w:b/>
          <w:bCs/>
        </w:rPr>
        <w:t xml:space="preserve">Run drift comparison (recurring).</w:t>
      </w:r>
      <w:r>
        <w:t xml:space="preserve"> </w:t>
      </w:r>
      <w:r>
        <w:t xml:space="preserve">Compare against previous baseline with Compare-FMPAssessments.</w:t>
      </w:r>
    </w:p>
    <w:p>
      <w:pPr>
        <w:numPr>
          <w:ilvl w:val="0"/>
          <w:numId w:val="1012"/>
        </w:numPr>
      </w:pPr>
      <w:r>
        <w:rPr>
          <w:b/>
          <w:bCs/>
        </w:rPr>
        <w:t xml:space="preserve">Archive previous assessment.</w:t>
      </w:r>
      <w:r>
        <w:t xml:space="preserve"> </w:t>
      </w:r>
      <w:r>
        <w:t xml:space="preserve">Move prior assessment to archive storage per retention policy.</w:t>
      </w:r>
    </w:p>
    <w:p>
      <w:pPr>
        <w:pStyle w:val="FirstParagraph"/>
      </w:pPr>
      <w:r>
        <w:t xml:space="preserve">C.3 Emergency Single-Command Full Assessment</w:t>
      </w:r>
    </w:p>
    <w:tbl>
      <w:tblPr>
        <w:tblStyle w:val="Table"/>
        <w:tblW w:type="pct" w:w="5037"/>
        <w:tblLayout w:type="fixed"/>
        <w:tblLook w:firstRow="0" w:lastRow="0" w:firstColumn="0" w:lastColumn="0" w:noHBand="0" w:noVBand="0" w:val="0000"/>
      </w:tblPr>
      <w:tblGrid>
        <w:gridCol w:w="7978"/>
      </w:tblGrid>
      <w:tr>
        <w:tc>
          <w:tcPr/>
          <w:p>
            <w:pPr>
              <w:pStyle w:val="Compact"/>
            </w:pPr>
            <w:r>
              <w:rPr>
                <w:b/>
                <w:bCs/>
              </w:rPr>
              <w:t xml:space="preserve">Single-Command Execution</w:t>
            </w:r>
            <w:r>
              <w:t xml:space="preserve"> </w:t>
            </w:r>
            <w:r>
              <w:t xml:space="preserve">|</w:t>
            </w:r>
            <w:r>
              <w:t xml:space="preserve"> </w:t>
            </w:r>
            <w:r>
              <w:t xml:space="preserve">|</w:t>
            </w:r>
            <w:r>
              <w:t xml:space="preserve"> </w:t>
            </w:r>
            <w:r>
              <w:t xml:space="preserve">The following command runs the complete the Federal Modernization Program Active Directory assessment pipeline in a single invocation:</w:t>
            </w:r>
          </w:p>
        </w:tc>
      </w:tr>
    </w:tbl>
    <w:p>
      <w:pPr>
        <w:pStyle w:val="BodyText"/>
      </w:pPr>
      <w:r>
        <w:t xml:space="preserve">Import-Module FMPADAssessment; Invoke-FMPADAssessment -Domain "contoso.com" -OutputPath "D:\FMP\Assessment" -StaleThresholdDays 90</w:t>
      </w:r>
    </w:p>
    <w:p>
      <w:pPr>
        <w:pStyle w:val="BodyText"/>
      </w:pPr>
      <w:r>
        <w:t xml:space="preserve">Appendix D — Companion Document Cross-Reference</w:t>
      </w:r>
    </w:p>
    <w:tbl>
      <w:tblPr>
        <w:tblStyle w:val="Table"/>
        <w:tblW w:type="pct" w:w="4964"/>
        <w:tblLayout w:type="fixed"/>
        <w:tblLook w:firstRow="1" w:lastRow="0" w:firstColumn="0" w:lastColumn="0" w:noHBand="0" w:noVBand="0" w:val="0020"/>
      </w:tblPr>
      <w:tblGrid>
        <w:gridCol w:w="1858"/>
        <w:gridCol w:w="3602"/>
        <w:gridCol w:w="2401"/>
      </w:tblGrid>
      <w:tr>
        <w:trPr>
          <w:tblHeader w:val="on"/>
        </w:trPr>
        <w:tc>
          <w:tcPr/>
          <w:p>
            <w:pPr>
              <w:pStyle w:val="Compact"/>
              <w:jc w:val="left"/>
            </w:pPr>
            <w:r>
              <w:rPr>
                <w:b/>
                <w:bCs/>
              </w:rPr>
              <w:t xml:space="preserve">Companion Document</w:t>
            </w:r>
          </w:p>
        </w:tc>
        <w:tc>
          <w:tcPr/>
          <w:p>
            <w:pPr>
              <w:pStyle w:val="Compact"/>
              <w:jc w:val="left"/>
            </w:pPr>
            <w:r>
              <w:rPr>
                <w:b/>
                <w:bCs/>
              </w:rPr>
              <w:t xml:space="preserve">Relationship to This Guide</w:t>
            </w:r>
          </w:p>
        </w:tc>
        <w:tc>
          <w:tcPr/>
          <w:p>
            <w:pPr>
              <w:pStyle w:val="Compact"/>
              <w:jc w:val="left"/>
            </w:pPr>
            <w:r>
              <w:rPr>
                <w:b/>
                <w:bCs/>
              </w:rPr>
              <w:t xml:space="preserve">Key Assessment Outputs Consumed</w:t>
            </w:r>
          </w:p>
        </w:tc>
      </w:tr>
      <w:tr>
        <w:tc>
          <w:tcPr/>
          <w:p>
            <w:pPr>
              <w:pStyle w:val="Compact"/>
              <w:jc w:val="left"/>
            </w:pPr>
            <w:r>
              <w:rPr>
                <w:b/>
                <w:bCs/>
              </w:rPr>
              <w:t xml:space="preserve">AD Computer Object Conversion Guide</w:t>
            </w:r>
          </w:p>
        </w:tc>
        <w:tc>
          <w:tcPr/>
          <w:p>
            <w:pPr>
              <w:pStyle w:val="Compact"/>
              <w:jc w:val="left"/>
            </w:pPr>
            <w:r>
              <w:t xml:space="preserve">Uses computer inventory to determine join type (Entra Join, Hybrid Join, Arc) per device</w:t>
            </w:r>
          </w:p>
        </w:tc>
        <w:tc>
          <w:tcPr/>
          <w:p>
            <w:pPr>
              <w:pStyle w:val="Compact"/>
              <w:jc w:val="left"/>
            </w:pPr>
            <w:r>
              <w:t xml:space="preserve">ComputerInventory.json, ComputersByOS.csv, DelegationReport.csv</w:t>
            </w:r>
          </w:p>
        </w:tc>
      </w:tr>
      <w:tr>
        <w:tc>
          <w:tcPr/>
          <w:p>
            <w:pPr>
              <w:pStyle w:val="Compact"/>
              <w:jc w:val="left"/>
            </w:pPr>
            <w:r>
              <w:rPr>
                <w:b/>
                <w:bCs/>
              </w:rPr>
              <w:t xml:space="preserve">The Federal Modernization Program Platform Server Build Guide</w:t>
            </w:r>
          </w:p>
        </w:tc>
        <w:tc>
          <w:tcPr/>
          <w:p>
            <w:pPr>
              <w:pStyle w:val="Compact"/>
              <w:jc w:val="left"/>
            </w:pPr>
            <w:r>
              <w:t xml:space="preserve">Defines the server environment where assessment tools execute; references module installation pat</w:t>
            </w:r>
          </w:p>
        </w:tc>
        <w:tc>
          <w:tcPr/>
          <w:p>
            <w:pPr>
              <w:pStyle w:val="Compact"/>
              <w:jc w:val="left"/>
            </w:pPr>
            <w:r>
              <w:t xml:space="preserve">hs Module manifest (.psd1), directory structure</w:t>
            </w:r>
          </w:p>
        </w:tc>
      </w:tr>
      <w:tr>
        <w:tc>
          <w:tcPr/>
          <w:p>
            <w:pPr>
              <w:pStyle w:val="Compact"/>
              <w:jc w:val="left"/>
            </w:pPr>
            <w:r>
              <w:rPr>
                <w:b/>
                <w:bCs/>
              </w:rPr>
              <w:t xml:space="preserve">The Federal Modernization Program CLI and Operations Guide</w:t>
            </w:r>
          </w:p>
        </w:tc>
        <w:tc>
          <w:tcPr/>
          <w:p>
            <w:pPr>
              <w:pStyle w:val="Compact"/>
              <w:jc w:val="left"/>
            </w:pPr>
            <w:r>
              <w:t xml:space="preserve">Provides CLI commands that invoke assessment functions and interact with Gitea API</w:t>
            </w:r>
          </w:p>
        </w:tc>
        <w:tc>
          <w:tcPr/>
          <w:p>
            <w:pPr>
              <w:pStyle w:val="Compact"/>
              <w:jc w:val="left"/>
            </w:pPr>
            <w:r>
              <w:t xml:space="preserve">AssessmentManifest.json, Gitea API endpoints</w:t>
            </w:r>
          </w:p>
        </w:tc>
      </w:tr>
      <w:tr>
        <w:tc>
          <w:tcPr/>
          <w:p>
            <w:pPr>
              <w:pStyle w:val="Compact"/>
              <w:jc w:val="left"/>
            </w:pPr>
            <w:r>
              <w:rPr>
                <w:b/>
                <w:bCs/>
              </w:rPr>
              <w:t xml:space="preserve">The Federal Modernization Program Git Infrastructure ADR</w:t>
            </w:r>
          </w:p>
        </w:tc>
        <w:tc>
          <w:tcPr/>
          <w:p>
            <w:pPr>
              <w:pStyle w:val="Compact"/>
              <w:jc w:val="left"/>
            </w:pPr>
            <w:r>
              <w:t xml:space="preserve">Defines the Gitea repository structure, branching strategy, and webhook architecture for assessme</w:t>
            </w:r>
          </w:p>
        </w:tc>
        <w:tc>
          <w:tcPr/>
          <w:p>
            <w:pPr>
              <w:pStyle w:val="Compact"/>
              <w:jc w:val="left"/>
            </w:pPr>
            <w:r>
              <w:t xml:space="preserve">nt data Repository layout (assessments/ directory), branch naming</w:t>
            </w:r>
          </w:p>
        </w:tc>
      </w:tr>
      <w:tr>
        <w:tc>
          <w:tcPr/>
          <w:p>
            <w:pPr>
              <w:pStyle w:val="Compact"/>
              <w:jc w:val="left"/>
            </w:pPr>
            <w:r>
              <w:t xml:space="preserve">**(Future) the Federal Modernization Program Identity Modernizati</w:t>
            </w:r>
          </w:p>
        </w:tc>
        <w:tc>
          <w:tcPr/>
          <w:p>
            <w:pPr>
              <w:pStyle w:val="Compact"/>
              <w:jc w:val="left"/>
            </w:pPr>
            <w:r>
              <w:t xml:space="preserve">on Guide** Consumes user/group inventory to design Entra ID group structure, PIM roles, and Access Reviews</w:t>
            </w:r>
          </w:p>
        </w:tc>
        <w:tc>
          <w:tcPr/>
          <w:p>
            <w:pPr>
              <w:pStyle w:val="Compact"/>
              <w:jc w:val="left"/>
            </w:pPr>
            <w:r>
              <w:t xml:space="preserve">UserInventory.json, GroupInventory.json, PrivilegedUsers.csv, ServiceAccounts.csv</w:t>
            </w:r>
          </w:p>
        </w:tc>
      </w:tr>
      <w:tr>
        <w:tc>
          <w:tcPr/>
          <w:p>
            <w:pPr>
              <w:pStyle w:val="Compact"/>
              <w:jc w:val="left"/>
            </w:pPr>
            <w:r>
              <w:t xml:space="preserve">**(Future) the Federal Modernization Program DNS Modernization Gu</w:t>
            </w:r>
          </w:p>
        </w:tc>
        <w:tc>
          <w:tcPr/>
          <w:p>
            <w:pPr>
              <w:pStyle w:val="Compact"/>
              <w:jc w:val="left"/>
            </w:pPr>
            <w:r>
              <w:t xml:space="preserve">ide** Consumes DNS inventory to design target DNS architecture and migration plan</w:t>
            </w:r>
          </w:p>
        </w:tc>
        <w:tc>
          <w:tcPr/>
          <w:p>
            <w:pPr>
              <w:pStyle w:val="Compact"/>
              <w:jc w:val="left"/>
            </w:pPr>
            <w:r>
              <w:t xml:space="preserve">DNSInventory.json, DNSHealthReport.json</w:t>
            </w:r>
          </w:p>
        </w:tc>
      </w:tr>
      <w:tr>
        <w:tc>
          <w:tcPr/>
          <w:p>
            <w:pPr>
              <w:pStyle w:val="Compact"/>
              <w:jc w:val="left"/>
            </w:pPr>
            <w:r>
              <w:t xml:space="preserve">**(Future) the Federal Modernization Program PKI Modernization Gu</w:t>
            </w:r>
          </w:p>
        </w:tc>
        <w:tc>
          <w:tcPr/>
          <w:p>
            <w:pPr>
              <w:pStyle w:val="Compact"/>
              <w:jc w:val="left"/>
            </w:pPr>
            <w:r>
              <w:t xml:space="preserve">ide** Consumes PKI inventory and security findings to plan certificate modernization</w:t>
            </w:r>
          </w:p>
        </w:tc>
        <w:tc>
          <w:tcPr/>
          <w:p>
            <w:pPr>
              <w:pStyle w:val="Compact"/>
              <w:jc w:val="left"/>
            </w:pPr>
            <w:r>
              <w:t xml:space="preserve">PKIInventory.json, PKISecurityReport.json</w:t>
            </w:r>
          </w:p>
        </w:tc>
      </w:tr>
      <w:tr>
        <w:tc>
          <w:tcPr/>
          <w:p>
            <w:pPr>
              <w:pStyle w:val="Compact"/>
              <w:jc w:val="left"/>
            </w:pPr>
            <w:r>
              <w:t xml:space="preserve">**(Future) the Federal Modernization Program Project Plan — Ass</w:t>
            </w:r>
          </w:p>
        </w:tc>
        <w:tc>
          <w:tcPr/>
          <w:p>
            <w:pPr>
              <w:pStyle w:val="Compact"/>
              <w:jc w:val="left"/>
            </w:pPr>
            <w:r>
              <w:t xml:space="preserve">essment Phase Milestones** Defines the project timeline for executing assessments; references this guide as the technical pr</w:t>
            </w:r>
          </w:p>
        </w:tc>
        <w:tc>
          <w:tcPr/>
          <w:p>
            <w:pPr>
              <w:pStyle w:val="Compact"/>
              <w:jc w:val="left"/>
            </w:pPr>
            <w:r>
              <w:t xml:space="preserve">ocedure for each milestone AssessmentManifest.json (used to verify milestone completion)</w:t>
            </w:r>
          </w:p>
        </w:tc>
      </w:tr>
    </w:tbl>
    <w:p>
      <w:pPr>
        <w:pStyle w:val="BodyText"/>
      </w:pPr>
      <w:r>
        <w:t xml:space="preserve">The Federal Modernization Program — Active Directory Interaction Guide v1.0</w:t>
      </w:r>
    </w:p>
    <w:p>
      <w:pPr>
        <w:pStyle w:val="BodyText"/>
      </w:pPr>
      <w:r>
        <w:t xml:space="preserve">Classification: Controlled | Environment: GCC-Moderate, Commercial Cloud (FedRAMP)</w:t>
      </w:r>
    </w:p>
    <w:p>
      <w:pPr>
        <w:pStyle w:val="BodyText"/>
      </w:pPr>
      <w:r>
        <w:t xml:space="preserve">https://github.com/WhalerMike/modernization-workbook</w:t>
      </w:r>
    </w:p>
    <w:bookmarkEnd w:id="31"/>
    <w:bookmarkStart w:id="38" w:name="conditional-access-policy-library"/>
    <w:p>
      <w:pPr>
        <w:pStyle w:val="Heading1"/>
      </w:pPr>
      <w:r>
        <w:t xml:space="preserve">Conditional Access Policy Library</w:t>
      </w:r>
    </w:p>
    <w:p>
      <w:pPr>
        <w:pStyle w:val="FirstParagraph"/>
      </w:pPr>
      <w:r>
        <w:t xml:space="preserve">A tiered reference for transitioning from Group Policy-based access control to Microsoft Entra ID Conditional Access.</w:t>
      </w:r>
    </w:p>
    <w:bookmarkStart w:id="32" w:name="purpose"/>
    <w:p>
      <w:pPr>
        <w:pStyle w:val="Heading2"/>
      </w:pPr>
      <w:r>
        <w:t xml:space="preserve">Purpose</w:t>
      </w:r>
    </w:p>
    <w:p>
      <w:pPr>
        <w:pStyle w:val="FirstParagraph"/>
      </w:pPr>
      <w:r>
        <w:t xml:space="preserve">This library defines a structured Conditional Access framework for organizations moving from Active Directory Group Policy to cloud-native access control. Policies are organized by function and tier, with clear mapping from legacy constructs and a phased deployment method that includes report-only validation.</w:t>
      </w:r>
    </w:p>
    <w:bookmarkEnd w:id="32"/>
    <w:bookmarkStart w:id="33" w:name="policy-architecture"/>
    <w:p>
      <w:pPr>
        <w:pStyle w:val="Heading2"/>
      </w:pPr>
      <w:r>
        <w:t xml:space="preserve">Policy architecture</w:t>
      </w:r>
    </w:p>
    <w:p>
      <w:pPr>
        <w:pStyle w:val="FirstParagraph"/>
      </w:pPr>
      <w:r>
        <w:t xml:space="preserve">Policies are grouped into tiers:</w:t>
      </w:r>
    </w:p>
    <w:tbl>
      <w:tblPr>
        <w:tblStyle w:val="Table"/>
        <w:tblW w:type="pct" w:w="5000"/>
        <w:tblLayout w:type="fixed"/>
        <w:tblLook w:firstRow="1" w:lastRow="0" w:firstColumn="0" w:lastColumn="0" w:noHBand="0" w:noVBand="0" w:val="0020"/>
      </w:tblPr>
      <w:tblGrid>
        <w:gridCol w:w="2066"/>
        <w:gridCol w:w="2410"/>
        <w:gridCol w:w="3443"/>
      </w:tblGrid>
      <w:tr>
        <w:trPr>
          <w:tblHeader w:val="on"/>
        </w:trPr>
        <w:tc>
          <w:tcPr/>
          <w:p>
            <w:pPr>
              <w:pStyle w:val="Compact"/>
            </w:pPr>
            <w:r>
              <w:t xml:space="preserve">Tier</w:t>
            </w:r>
          </w:p>
        </w:tc>
        <w:tc>
          <w:tcPr/>
          <w:p>
            <w:pPr>
              <w:pStyle w:val="Compact"/>
            </w:pPr>
            <w:r>
              <w:t xml:space="preserve">Scope</w:t>
            </w:r>
          </w:p>
        </w:tc>
        <w:tc>
          <w:tcPr/>
          <w:p>
            <w:pPr>
              <w:pStyle w:val="Compact"/>
            </w:pPr>
            <w:r>
              <w:t xml:space="preserve">Examples</w:t>
            </w:r>
          </w:p>
        </w:tc>
      </w:tr>
      <w:tr>
        <w:tc>
          <w:tcPr/>
          <w:p>
            <w:pPr>
              <w:pStyle w:val="Compact"/>
            </w:pPr>
            <w:r>
              <w:t xml:space="preserve">Baseline</w:t>
            </w:r>
          </w:p>
        </w:tc>
        <w:tc>
          <w:tcPr/>
          <w:p>
            <w:pPr>
              <w:pStyle w:val="Compact"/>
            </w:pPr>
            <w:r>
              <w:t xml:space="preserve">Universal requirements</w:t>
            </w:r>
          </w:p>
        </w:tc>
        <w:tc>
          <w:tcPr/>
          <w:p>
            <w:pPr>
              <w:pStyle w:val="Compact"/>
            </w:pPr>
            <w:r>
              <w:t xml:space="preserve">MFA, legacy authentication block, compliant device</w:t>
            </w:r>
          </w:p>
        </w:tc>
      </w:tr>
      <w:tr>
        <w:tc>
          <w:tcPr/>
          <w:p>
            <w:pPr>
              <w:pStyle w:val="Compact"/>
            </w:pPr>
            <w:r>
              <w:t xml:space="preserve">Device</w:t>
            </w:r>
          </w:p>
        </w:tc>
        <w:tc>
          <w:tcPr/>
          <w:p>
            <w:pPr>
              <w:pStyle w:val="Compact"/>
            </w:pPr>
            <w:r>
              <w:t xml:space="preserve">Device posture</w:t>
            </w:r>
          </w:p>
        </w:tc>
        <w:tc>
          <w:tcPr/>
          <w:p>
            <w:pPr>
              <w:pStyle w:val="Compact"/>
            </w:pPr>
            <w:r>
              <w:t xml:space="preserve">Compliance state, join type, platform</w:t>
            </w:r>
          </w:p>
        </w:tc>
      </w:tr>
      <w:tr>
        <w:tc>
          <w:tcPr/>
          <w:p>
            <w:pPr>
              <w:pStyle w:val="Compact"/>
            </w:pPr>
            <w:r>
              <w:t xml:space="preserve">Environment</w:t>
            </w:r>
          </w:p>
        </w:tc>
        <w:tc>
          <w:tcPr/>
          <w:p>
            <w:pPr>
              <w:pStyle w:val="Compact"/>
            </w:pPr>
            <w:r>
              <w:t xml:space="preserve">Network and location</w:t>
            </w:r>
          </w:p>
        </w:tc>
        <w:tc>
          <w:tcPr/>
          <w:p>
            <w:pPr>
              <w:pStyle w:val="Compact"/>
            </w:pPr>
            <w:r>
              <w:t xml:space="preserve">Named locations, trusted networks</w:t>
            </w:r>
          </w:p>
        </w:tc>
      </w:tr>
      <w:tr>
        <w:tc>
          <w:tcPr/>
          <w:p>
            <w:pPr>
              <w:pStyle w:val="Compact"/>
            </w:pPr>
            <w:r>
              <w:t xml:space="preserve">Region / Site</w:t>
            </w:r>
          </w:p>
        </w:tc>
        <w:tc>
          <w:tcPr/>
          <w:p>
            <w:pPr>
              <w:pStyle w:val="Compact"/>
            </w:pPr>
            <w:r>
              <w:t xml:space="preserve">Geographic or site constraints</w:t>
            </w:r>
          </w:p>
        </w:tc>
        <w:tc>
          <w:tcPr/>
          <w:p>
            <w:pPr>
              <w:pStyle w:val="Compact"/>
            </w:pPr>
            <w:r>
              <w:t xml:space="preserve">Country, office, branch</w:t>
            </w:r>
          </w:p>
        </w:tc>
      </w:tr>
      <w:tr>
        <w:tc>
          <w:tcPr/>
          <w:p>
            <w:pPr>
              <w:pStyle w:val="Compact"/>
            </w:pPr>
            <w:r>
              <w:t xml:space="preserve">Application</w:t>
            </w:r>
          </w:p>
        </w:tc>
        <w:tc>
          <w:tcPr/>
          <w:p>
            <w:pPr>
              <w:pStyle w:val="Compact"/>
            </w:pPr>
            <w:r>
              <w:t xml:space="preserve">Per-application controls</w:t>
            </w:r>
          </w:p>
        </w:tc>
        <w:tc>
          <w:tcPr/>
          <w:p>
            <w:pPr>
              <w:pStyle w:val="Compact"/>
            </w:pPr>
            <w:r>
              <w:t xml:space="preserve">High-risk apps, admin portals</w:t>
            </w:r>
          </w:p>
        </w:tc>
      </w:tr>
      <w:tr>
        <w:tc>
          <w:tcPr/>
          <w:p>
            <w:pPr>
              <w:pStyle w:val="Compact"/>
            </w:pPr>
            <w:r>
              <w:t xml:space="preserve">Governance</w:t>
            </w:r>
          </w:p>
        </w:tc>
        <w:tc>
          <w:tcPr/>
          <w:p>
            <w:pPr>
              <w:pStyle w:val="Compact"/>
            </w:pPr>
            <w:r>
              <w:t xml:space="preserve">Administrative and break-glass</w:t>
            </w:r>
          </w:p>
        </w:tc>
        <w:tc>
          <w:tcPr/>
          <w:p>
            <w:pPr>
              <w:pStyle w:val="Compact"/>
            </w:pPr>
            <w:r>
              <w:t xml:space="preserve">Privileged access, emergency accounts</w:t>
            </w:r>
          </w:p>
        </w:tc>
      </w:tr>
    </w:tbl>
    <w:p>
      <w:pPr>
        <w:pStyle w:val="BodyText"/>
      </w:pPr>
      <w:r>
        <w:t xml:space="preserve">Each policy should specify target population, conditions, grant or block controls, and verification method.</w:t>
      </w:r>
    </w:p>
    <w:bookmarkEnd w:id="33"/>
    <w:bookmarkStart w:id="34" w:name="deployment-methodology"/>
    <w:p>
      <w:pPr>
        <w:pStyle w:val="Heading2"/>
      </w:pPr>
      <w:r>
        <w:t xml:space="preserve">Deployment methodology</w:t>
      </w:r>
    </w:p>
    <w:p>
      <w:pPr>
        <w:pStyle w:val="Compact"/>
        <w:numPr>
          <w:ilvl w:val="0"/>
          <w:numId w:val="1013"/>
        </w:numPr>
      </w:pPr>
      <w:r>
        <w:t xml:space="preserve">Author the policy in report-only mode.</w:t>
      </w:r>
    </w:p>
    <w:p>
      <w:pPr>
        <w:pStyle w:val="Compact"/>
        <w:numPr>
          <w:ilvl w:val="0"/>
          <w:numId w:val="1013"/>
        </w:numPr>
      </w:pPr>
      <w:r>
        <w:t xml:space="preserve">Validate impact against a representative population.</w:t>
      </w:r>
    </w:p>
    <w:p>
      <w:pPr>
        <w:pStyle w:val="Compact"/>
        <w:numPr>
          <w:ilvl w:val="0"/>
          <w:numId w:val="1013"/>
        </w:numPr>
      </w:pPr>
      <w:r>
        <w:t xml:space="preserve">Resolve exclusions and break-glass accounts.</w:t>
      </w:r>
    </w:p>
    <w:p>
      <w:pPr>
        <w:pStyle w:val="Compact"/>
        <w:numPr>
          <w:ilvl w:val="0"/>
          <w:numId w:val="1013"/>
        </w:numPr>
      </w:pPr>
      <w:r>
        <w:t xml:space="preserve">Move to enforced mode.</w:t>
      </w:r>
    </w:p>
    <w:p>
      <w:pPr>
        <w:pStyle w:val="Compact"/>
        <w:numPr>
          <w:ilvl w:val="0"/>
          <w:numId w:val="1013"/>
        </w:numPr>
      </w:pPr>
      <w:r>
        <w:t xml:space="preserve">Monitor sign-in logs and policy hit rates.</w:t>
      </w:r>
    </w:p>
    <w:p>
      <w:pPr>
        <w:pStyle w:val="Compact"/>
        <w:numPr>
          <w:ilvl w:val="0"/>
          <w:numId w:val="1013"/>
        </w:numPr>
      </w:pPr>
      <w:r>
        <w:t xml:space="preserve">Review and adjust on a defined cadence.</w:t>
      </w:r>
    </w:p>
    <w:bookmarkEnd w:id="34"/>
    <w:bookmarkStart w:id="35" w:name="gpo-to-conditional-access-mapping"/>
    <w:p>
      <w:pPr>
        <w:pStyle w:val="Heading2"/>
      </w:pPr>
      <w:r>
        <w:t xml:space="preserve">GPO-to-Conditional Access mapping</w:t>
      </w:r>
    </w:p>
    <w:p>
      <w:pPr>
        <w:pStyle w:val="FirstParagraph"/>
      </w:pPr>
      <w:r>
        <w:t xml:space="preserve">Legacy GPO constructs map to Conditional Access signals rather than one-to-one settings:</w:t>
      </w:r>
    </w:p>
    <w:tbl>
      <w:tblPr>
        <w:tblStyle w:val="Table"/>
        <w:tblW w:type="pct" w:w="5000"/>
        <w:tblLayout w:type="fixed"/>
        <w:tblLook w:firstRow="1" w:lastRow="0" w:firstColumn="0" w:lastColumn="0" w:noHBand="0" w:noVBand="0" w:val="0020"/>
      </w:tblPr>
      <w:tblGrid>
        <w:gridCol w:w="3727"/>
        <w:gridCol w:w="4192"/>
      </w:tblGrid>
      <w:tr>
        <w:trPr>
          <w:tblHeader w:val="on"/>
        </w:trPr>
        <w:tc>
          <w:tcPr/>
          <w:p>
            <w:pPr>
              <w:pStyle w:val="Compact"/>
            </w:pPr>
            <w:r>
              <w:t xml:space="preserve">Legacy concept</w:t>
            </w:r>
          </w:p>
        </w:tc>
        <w:tc>
          <w:tcPr/>
          <w:p>
            <w:pPr>
              <w:pStyle w:val="Compact"/>
            </w:pPr>
            <w:r>
              <w:t xml:space="preserve">Cloud equivalent</w:t>
            </w:r>
          </w:p>
        </w:tc>
      </w:tr>
      <w:tr>
        <w:tc>
          <w:tcPr/>
          <w:p>
            <w:pPr>
              <w:pStyle w:val="Compact"/>
            </w:pPr>
            <w:r>
              <w:t xml:space="preserve">Logon restriction by OU</w:t>
            </w:r>
          </w:p>
        </w:tc>
        <w:tc>
          <w:tcPr/>
          <w:p>
            <w:pPr>
              <w:pStyle w:val="Compact"/>
            </w:pPr>
            <w:r>
              <w:t xml:space="preserve">Dynamic group or filter + Conditional Access</w:t>
            </w:r>
          </w:p>
        </w:tc>
      </w:tr>
      <w:tr>
        <w:tc>
          <w:tcPr/>
          <w:p>
            <w:pPr>
              <w:pStyle w:val="Compact"/>
            </w:pPr>
            <w:r>
              <w:t xml:space="preserve">Workstation restriction</w:t>
            </w:r>
          </w:p>
        </w:tc>
        <w:tc>
          <w:tcPr/>
          <w:p>
            <w:pPr>
              <w:pStyle w:val="Compact"/>
            </w:pPr>
            <w:r>
              <w:t xml:space="preserve">Compliant device or hybrid join requirement</w:t>
            </w:r>
          </w:p>
        </w:tc>
      </w:tr>
      <w:tr>
        <w:tc>
          <w:tcPr/>
          <w:p>
            <w:pPr>
              <w:pStyle w:val="Compact"/>
            </w:pPr>
            <w:r>
              <w:t xml:space="preserve">Network location restriction</w:t>
            </w:r>
          </w:p>
        </w:tc>
        <w:tc>
          <w:tcPr/>
          <w:p>
            <w:pPr>
              <w:pStyle w:val="Compact"/>
            </w:pPr>
            <w:r>
              <w:t xml:space="preserve">Named location condition</w:t>
            </w:r>
          </w:p>
        </w:tc>
      </w:tr>
      <w:tr>
        <w:tc>
          <w:tcPr/>
          <w:p>
            <w:pPr>
              <w:pStyle w:val="Compact"/>
            </w:pPr>
            <w:r>
              <w:t xml:space="preserve">Time-of-day restriction</w:t>
            </w:r>
          </w:p>
        </w:tc>
        <w:tc>
          <w:tcPr/>
          <w:p>
            <w:pPr>
              <w:pStyle w:val="Compact"/>
            </w:pPr>
            <w:r>
              <w:t xml:space="preserve">Sign-in frequency or custom control (limited)</w:t>
            </w:r>
          </w:p>
        </w:tc>
      </w:tr>
      <w:tr>
        <w:tc>
          <w:tcPr/>
          <w:p>
            <w:pPr>
              <w:pStyle w:val="Compact"/>
            </w:pPr>
            <w:r>
              <w:t xml:space="preserve">Account lockout / password policy</w:t>
            </w:r>
          </w:p>
        </w:tc>
        <w:tc>
          <w:tcPr/>
          <w:p>
            <w:pPr>
              <w:pStyle w:val="Compact"/>
            </w:pPr>
            <w:r>
              <w:t xml:space="preserve">Authentication strength and risk-based controls</w:t>
            </w:r>
          </w:p>
        </w:tc>
      </w:tr>
    </w:tbl>
    <w:bookmarkEnd w:id="35"/>
    <w:bookmarkStart w:id="36" w:name="break-glass-accounts"/>
    <w:p>
      <w:pPr>
        <w:pStyle w:val="Heading2"/>
      </w:pPr>
      <w:r>
        <w:t xml:space="preserve">Break-glass accounts</w:t>
      </w:r>
    </w:p>
    <w:p>
      <w:pPr>
        <w:pStyle w:val="FirstParagraph"/>
      </w:pPr>
      <w:r>
        <w:t xml:space="preserve">Maintain at least two break-glass accounts excluded from Conditional Access policies that could lock out administrators. Requirements:</w:t>
      </w:r>
    </w:p>
    <w:p>
      <w:pPr>
        <w:pStyle w:val="Compact"/>
        <w:numPr>
          <w:ilvl w:val="0"/>
          <w:numId w:val="1014"/>
        </w:numPr>
      </w:pPr>
      <w:r>
        <w:t xml:space="preserve">Strong, non-shared credentials stored offline</w:t>
      </w:r>
    </w:p>
    <w:p>
      <w:pPr>
        <w:pStyle w:val="Compact"/>
        <w:numPr>
          <w:ilvl w:val="0"/>
          <w:numId w:val="1014"/>
        </w:numPr>
      </w:pPr>
      <w:r>
        <w:t xml:space="preserve">Monitoring and alerting on any use</w:t>
      </w:r>
    </w:p>
    <w:p>
      <w:pPr>
        <w:pStyle w:val="Compact"/>
        <w:numPr>
          <w:ilvl w:val="0"/>
          <w:numId w:val="1014"/>
        </w:numPr>
      </w:pPr>
      <w:r>
        <w:t xml:space="preserve">Regular access review</w:t>
      </w:r>
    </w:p>
    <w:p>
      <w:pPr>
        <w:pStyle w:val="Compact"/>
        <w:numPr>
          <w:ilvl w:val="0"/>
          <w:numId w:val="1014"/>
        </w:numPr>
      </w:pPr>
      <w:r>
        <w:t xml:space="preserve">Exclusion documented and approved</w:t>
      </w:r>
    </w:p>
    <w:bookmarkEnd w:id="36"/>
    <w:bookmarkStart w:id="37" w:name="monitoring"/>
    <w:p>
      <w:pPr>
        <w:pStyle w:val="Heading2"/>
      </w:pPr>
      <w:r>
        <w:t xml:space="preserve">Monitoring</w:t>
      </w:r>
    </w:p>
    <w:p>
      <w:pPr>
        <w:pStyle w:val="FirstParagraph"/>
      </w:pPr>
      <w:r>
        <w:t xml:space="preserve">Track:</w:t>
      </w:r>
    </w:p>
    <w:p>
      <w:pPr>
        <w:pStyle w:val="Compact"/>
        <w:numPr>
          <w:ilvl w:val="0"/>
          <w:numId w:val="1015"/>
        </w:numPr>
      </w:pPr>
      <w:r>
        <w:t xml:space="preserve">Policy hit rates and block rates</w:t>
      </w:r>
    </w:p>
    <w:p>
      <w:pPr>
        <w:pStyle w:val="Compact"/>
        <w:numPr>
          <w:ilvl w:val="0"/>
          <w:numId w:val="1015"/>
        </w:numPr>
      </w:pPr>
      <w:r>
        <w:t xml:space="preserve">Report-only impact before enforcement</w:t>
      </w:r>
    </w:p>
    <w:p>
      <w:pPr>
        <w:pStyle w:val="Compact"/>
        <w:numPr>
          <w:ilvl w:val="0"/>
          <w:numId w:val="1015"/>
        </w:numPr>
      </w:pPr>
      <w:r>
        <w:t xml:space="preserve">Sign-in failures attributable to Conditional Access</w:t>
      </w:r>
    </w:p>
    <w:p>
      <w:pPr>
        <w:pStyle w:val="Compact"/>
        <w:numPr>
          <w:ilvl w:val="0"/>
          <w:numId w:val="1015"/>
        </w:numPr>
      </w:pPr>
      <w:r>
        <w:t xml:space="preserve">Break-glass account usage</w:t>
      </w:r>
    </w:p>
    <w:p>
      <w:pPr>
        <w:pStyle w:val="Compact"/>
        <w:numPr>
          <w:ilvl w:val="0"/>
          <w:numId w:val="1015"/>
        </w:numPr>
      </w:pPr>
      <w:r>
        <w:t xml:space="preserve">Residual risk from exclusions</w:t>
      </w:r>
    </w:p>
    <w:p>
      <w:r>
        <w:pict>
          <v:rect style="width:0;height:1.5pt" o:hralign="center" o:hrstd="t" o:hr="t"/>
        </w:pict>
      </w:r>
    </w:p>
    <w:p>
      <w:pPr>
        <w:pStyle w:val="FirstParagraph"/>
      </w:pPr>
      <w:r>
        <w:rPr>
          <w:i/>
          <w:iCs/>
        </w:rPr>
        <w:t xml:space="preserve">Cleaned extraction for project use. No internal branding or document identifiers.</w:t>
      </w:r>
    </w:p>
    <w:bookmarkEnd w:id="37"/>
    <w:bookmarkEnd w:id="38"/>
    <w:bookmarkStart w:id="43" w:name="dns-modernization-guide"/>
    <w:p>
      <w:pPr>
        <w:pStyle w:val="Heading1"/>
      </w:pPr>
      <w:r>
        <w:t xml:space="preserve">DNS Modernization Guide</w:t>
      </w:r>
    </w:p>
    <w:p>
      <w:pPr>
        <w:pStyle w:val="FirstParagraph"/>
      </w:pPr>
      <w:r>
        <w:t xml:space="preserve">Moving from AD-integrated DNS to hybrid resolution across on-premises and cloud.</w:t>
      </w:r>
    </w:p>
    <w:bookmarkStart w:id="39" w:name="purpose-1"/>
    <w:p>
      <w:pPr>
        <w:pStyle w:val="Heading2"/>
      </w:pPr>
      <w:r>
        <w:t xml:space="preserve">Purpose</w:t>
      </w:r>
    </w:p>
    <w:p>
      <w:pPr>
        <w:pStyle w:val="FirstParagraph"/>
      </w:pPr>
      <w:r>
        <w:t xml:space="preserve">This guide describes the operational sequence for migrating from Active Directory-integrated DNS to a hybrid resolution model that correctly serves private endpoints, SaaS namespaces, and residual on-premises zones.</w:t>
      </w:r>
    </w:p>
    <w:bookmarkEnd w:id="39"/>
    <w:bookmarkStart w:id="40" w:name="phases"/>
    <w:p>
      <w:pPr>
        <w:pStyle w:val="Heading2"/>
      </w:pPr>
      <w:r>
        <w:t xml:space="preserve">Phases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Phase</w:t>
            </w:r>
          </w:p>
        </w:tc>
        <w:tc>
          <w:tcPr/>
          <w:p>
            <w:pPr>
              <w:pStyle w:val="Compact"/>
            </w:pPr>
            <w:r>
              <w:t xml:space="preserve">Focus</w:t>
            </w:r>
          </w:p>
        </w:tc>
      </w:tr>
      <w:tr>
        <w:tc>
          <w:tcPr/>
          <w:p>
            <w:pPr>
              <w:pStyle w:val="Compact"/>
            </w:pPr>
            <w:r>
              <w:t xml:space="preserve">0</w:t>
            </w:r>
          </w:p>
        </w:tc>
        <w:tc>
          <w:tcPr/>
          <w:p>
            <w:pPr>
              <w:pStyle w:val="Compact"/>
            </w:pPr>
            <w:r>
              <w:t xml:space="preserve">Assessment — inventory zones, forwarders, SRV records, and current resolution paths</w:t>
            </w:r>
          </w:p>
        </w:tc>
      </w:tr>
      <w:tr>
        <w:tc>
          <w:tcPr/>
          <w:p>
            <w:pPr>
              <w:pStyle w:val="Compact"/>
            </w:pPr>
            <w:r>
              <w:t xml:space="preserve">1</w:t>
            </w:r>
          </w:p>
        </w:tc>
        <w:tc>
          <w:tcPr/>
          <w:p>
            <w:pPr>
              <w:pStyle w:val="Compact"/>
            </w:pPr>
            <w:r>
              <w:t xml:space="preserve">Deploy cloud private resolver infrastructure</w:t>
            </w:r>
          </w:p>
        </w:tc>
      </w:tr>
      <w:tr>
        <w:tc>
          <w:tcPr/>
          <w:p>
            <w:pPr>
              <w:pStyle w:val="Compact"/>
            </w:pPr>
            <w:r>
              <w:t xml:space="preserve">2</w:t>
            </w:r>
          </w:p>
        </w:tc>
        <w:tc>
          <w:tcPr/>
          <w:p>
            <w:pPr>
              <w:pStyle w:val="Compact"/>
            </w:pPr>
            <w:r>
              <w:t xml:space="preserve">Create private DNS zones and import non-AD zones</w:t>
            </w:r>
          </w:p>
        </w:tc>
      </w:tr>
      <w:tr>
        <w:tc>
          <w:tcPr/>
          <w:p>
            <w:pPr>
              <w:pStyle w:val="Compact"/>
            </w:pPr>
            <w:r>
              <w:t xml:space="preserve">3</w:t>
            </w:r>
          </w:p>
        </w:tc>
        <w:tc>
          <w:tcPr/>
          <w:p>
            <w:pPr>
              <w:pStyle w:val="Compact"/>
            </w:pPr>
            <w:r>
              <w:t xml:space="preserve">Configure forwarding rulesets</w:t>
            </w:r>
          </w:p>
        </w:tc>
      </w:tr>
      <w:tr>
        <w:tc>
          <w:tcPr/>
          <w:p>
            <w:pPr>
              <w:pStyle w:val="Compact"/>
            </w:pPr>
            <w:r>
              <w:t xml:space="preserve">4</w:t>
            </w:r>
          </w:p>
        </w:tc>
        <w:tc>
          <w:tcPr/>
          <w:p>
            <w:pPr>
              <w:pStyle w:val="Compact"/>
            </w:pPr>
            <w:r>
              <w:t xml:space="preserve">Migrate conditional forwarders</w:t>
            </w:r>
          </w:p>
        </w:tc>
      </w:tr>
      <w:tr>
        <w:tc>
          <w:tcPr/>
          <w:p>
            <w:pPr>
              <w:pStyle w:val="Compact"/>
            </w:pPr>
            <w:r>
              <w:t xml:space="preserve">5</w:t>
            </w:r>
          </w:p>
        </w:tc>
        <w:tc>
          <w:tcPr/>
          <w:p>
            <w:pPr>
              <w:pStyle w:val="Compact"/>
            </w:pPr>
            <w:r>
              <w:t xml:space="preserve">Migrate residual zones (GlobalNames, reverse lookup)</w:t>
            </w:r>
          </w:p>
        </w:tc>
      </w:tr>
      <w:tr>
        <w:tc>
          <w:tcPr/>
          <w:p>
            <w:pPr>
              <w:pStyle w:val="Compact"/>
            </w:pPr>
            <w:r>
              <w:t xml:space="preserve">6</w:t>
            </w:r>
          </w:p>
        </w:tc>
        <w:tc>
          <w:tcPr/>
          <w:p>
            <w:pPr>
              <w:pStyle w:val="Compact"/>
            </w:pPr>
            <w:r>
              <w:t xml:space="preserve">Configure private endpoint DNS zones</w:t>
            </w:r>
          </w:p>
        </w:tc>
      </w:tr>
      <w:tr>
        <w:tc>
          <w:tcPr/>
          <w:p>
            <w:pPr>
              <w:pStyle w:val="Compact"/>
            </w:pPr>
            <w:r>
              <w:t xml:space="preserve">7</w:t>
            </w:r>
          </w:p>
        </w:tc>
        <w:tc>
          <w:tcPr/>
          <w:p>
            <w:pPr>
              <w:pStyle w:val="Compact"/>
            </w:pPr>
            <w:r>
              <w:t xml:space="preserve">Gradual client DNS server migration</w:t>
            </w:r>
          </w:p>
        </w:tc>
      </w:tr>
      <w:tr>
        <w:tc>
          <w:tcPr/>
          <w:p>
            <w:pPr>
              <w:pStyle w:val="Compact"/>
            </w:pPr>
            <w:r>
              <w:t xml:space="preserve">8</w:t>
            </w:r>
          </w:p>
        </w:tc>
        <w:tc>
          <w:tcPr/>
          <w:p>
            <w:pPr>
              <w:pStyle w:val="Compact"/>
            </w:pPr>
            <w:r>
              <w:t xml:space="preserve">Validate SRV and service records</w:t>
            </w:r>
          </w:p>
        </w:tc>
      </w:tr>
      <w:tr>
        <w:tc>
          <w:tcPr/>
          <w:p>
            <w:pPr>
              <w:pStyle w:val="Compact"/>
            </w:pPr>
            <w:r>
              <w:t xml:space="preserve">9</w:t>
            </w:r>
          </w:p>
        </w:tc>
        <w:tc>
          <w:tcPr/>
          <w:p>
            <w:pPr>
              <w:pStyle w:val="Compact"/>
            </w:pPr>
            <w:r>
              <w:t xml:space="preserve">Decommission legacy DNS servers after verification</w:t>
            </w:r>
          </w:p>
        </w:tc>
      </w:tr>
    </w:tbl>
    <w:bookmarkEnd w:id="40"/>
    <w:bookmarkStart w:id="41" w:name="key-risks"/>
    <w:p>
      <w:pPr>
        <w:pStyle w:val="Heading2"/>
      </w:pPr>
      <w:r>
        <w:t xml:space="preserve">Key risks</w:t>
      </w:r>
    </w:p>
    <w:p>
      <w:pPr>
        <w:pStyle w:val="Compact"/>
        <w:numPr>
          <w:ilvl w:val="0"/>
          <w:numId w:val="1016"/>
        </w:numPr>
      </w:pPr>
      <w:r>
        <w:rPr>
          <w:b/>
          <w:bCs/>
        </w:rPr>
        <w:t xml:space="preserve">Split-brain</w:t>
      </w:r>
      <w:r>
        <w:t xml:space="preserve"> </w:t>
      </w:r>
      <w:r>
        <w:t xml:space="preserve">— The same name resolves differently depending on origin if forwarding rules are missing or stale.</w:t>
      </w:r>
    </w:p>
    <w:p>
      <w:pPr>
        <w:pStyle w:val="Compact"/>
        <w:numPr>
          <w:ilvl w:val="0"/>
          <w:numId w:val="1016"/>
        </w:numPr>
      </w:pPr>
      <w:r>
        <w:rPr>
          <w:b/>
          <w:bCs/>
        </w:rPr>
        <w:t xml:space="preserve">Private endpoint fallback</w:t>
      </w:r>
      <w:r>
        <w:t xml:space="preserve"> </w:t>
      </w:r>
      <w:r>
        <w:t xml:space="preserve">— Missing conditional forwarding causes private endpoints to resolve to public addresses.</w:t>
      </w:r>
    </w:p>
    <w:p>
      <w:pPr>
        <w:pStyle w:val="Compact"/>
        <w:numPr>
          <w:ilvl w:val="0"/>
          <w:numId w:val="1016"/>
        </w:numPr>
      </w:pPr>
      <w:r>
        <w:rPr>
          <w:b/>
          <w:bCs/>
        </w:rPr>
        <w:t xml:space="preserve">SRV orphaning</w:t>
      </w:r>
      <w:r>
        <w:t xml:space="preserve"> </w:t>
      </w:r>
      <w:r>
        <w:t xml:space="preserve">— Active Directory service records do not migrate automatically and must be inventoried before domain controller decommissioning.</w:t>
      </w:r>
    </w:p>
    <w:p>
      <w:pPr>
        <w:pStyle w:val="Compact"/>
        <w:numPr>
          <w:ilvl w:val="0"/>
          <w:numId w:val="1016"/>
        </w:numPr>
      </w:pPr>
      <w:r>
        <w:rPr>
          <w:b/>
          <w:bCs/>
        </w:rPr>
        <w:t xml:space="preserve">OCSP/CRL reachability</w:t>
      </w:r>
      <w:r>
        <w:t xml:space="preserve"> </w:t>
      </w:r>
      <w:r>
        <w:t xml:space="preserve">— Certificate validation endpoints must resolve consistently from every location.</w:t>
      </w:r>
    </w:p>
    <w:bookmarkEnd w:id="41"/>
    <w:bookmarkStart w:id="42" w:name="success-criteria"/>
    <w:p>
      <w:pPr>
        <w:pStyle w:val="Heading2"/>
      </w:pPr>
      <w:r>
        <w:t xml:space="preserve">Success criteria</w:t>
      </w:r>
    </w:p>
    <w:p>
      <w:pPr>
        <w:pStyle w:val="Compact"/>
        <w:numPr>
          <w:ilvl w:val="0"/>
          <w:numId w:val="1017"/>
        </w:numPr>
      </w:pPr>
      <w:r>
        <w:t xml:space="preserve">Same query returns the intended answer (private or public) from every governed origin.</w:t>
      </w:r>
    </w:p>
    <w:p>
      <w:pPr>
        <w:pStyle w:val="Compact"/>
        <w:numPr>
          <w:ilvl w:val="0"/>
          <w:numId w:val="1017"/>
        </w:numPr>
      </w:pPr>
      <w:r>
        <w:t xml:space="preserve">Private endpoint traffic stays on the private path.</w:t>
      </w:r>
    </w:p>
    <w:p>
      <w:pPr>
        <w:pStyle w:val="Compact"/>
        <w:numPr>
          <w:ilvl w:val="0"/>
          <w:numId w:val="1017"/>
        </w:numPr>
      </w:pPr>
      <w:r>
        <w:t xml:space="preserve">No residual dependency on decommissioned DNS servers.</w:t>
      </w:r>
    </w:p>
    <w:p>
      <w:pPr>
        <w:pStyle w:val="Compact"/>
        <w:numPr>
          <w:ilvl w:val="0"/>
          <w:numId w:val="1017"/>
        </w:numPr>
      </w:pPr>
      <w:r>
        <w:t xml:space="preserve">Query logging confirms resolution-path consistency.</w:t>
      </w:r>
    </w:p>
    <w:p>
      <w:r>
        <w:pict>
          <v:rect style="width:0;height:1.5pt" o:hralign="center" o:hrstd="t" o:hr="t"/>
        </w:pict>
      </w:r>
    </w:p>
    <w:p>
      <w:pPr>
        <w:pStyle w:val="FirstParagraph"/>
      </w:pPr>
      <w:r>
        <w:rPr>
          <w:i/>
          <w:iCs/>
        </w:rPr>
        <w:t xml:space="preserve">Cleaned extraction for project use.</w:t>
      </w:r>
    </w:p>
    <w:bookmarkEnd w:id="42"/>
    <w:bookmarkEnd w:id="43"/>
    <w:bookmarkStart w:id="116" w:name="X6c7347c484c5229bb87838f57d02f51f7b406ff"/>
    <w:p>
      <w:pPr>
        <w:pStyle w:val="Heading1"/>
      </w:pPr>
      <w:r>
        <w:t xml:space="preserve">The Federal Modernization Program End User Training Guide</w:t>
      </w:r>
    </w:p>
    <w:p>
      <w:pPr>
        <w:pStyle w:val="FirstParagraph"/>
      </w:pPr>
      <w:r>
        <w:rPr>
          <w:b/>
          <w:bCs/>
        </w:rPr>
        <w:t xml:space="preserve">CONTROLLED | GCC-MODERATE</w:t>
      </w:r>
    </w:p>
    <w:p>
      <w:pPr>
        <w:pStyle w:val="BodyText"/>
      </w:pPr>
      <w:r>
        <w:t xml:space="preserve">The Federal Modernization Program End User Training Guide</w:t>
      </w:r>
    </w:p>
    <w:p>
      <w:pPr>
        <w:pStyle w:val="BodyText"/>
      </w:pPr>
      <w:r>
        <w:t xml:space="preserve">Your Transition to Modern Authentication and Cloud Services</w:t>
      </w:r>
    </w:p>
    <w:p>
      <w:pPr>
        <w:pStyle w:val="BodyText"/>
      </w:pPr>
      <w:r>
        <w:rPr>
          <w:i/>
          <w:iCs/>
        </w:rPr>
        <w:t xml:space="preserve">What's Changing, Why It Matters, and How to Set Up Your New Experience</w:t>
      </w:r>
    </w:p>
    <w:p>
      <w:pPr>
        <w:pStyle w:val="BodyText"/>
      </w:pPr>
      <w:r>
        <w:t xml:space="preserve">Classification:</w:t>
      </w:r>
      <w:r>
        <w:t xml:space="preserve"> </w:t>
      </w:r>
      <w:r>
        <w:rPr>
          <w:b/>
          <w:bCs/>
        </w:rPr>
        <w:t xml:space="preserve">Controlled</w:t>
      </w:r>
      <w:r>
        <w:t xml:space="preserve"> </w:t>
      </w:r>
      <w:r>
        <w:t xml:space="preserve">| Boundary:</w:t>
      </w:r>
      <w:r>
        <w:t xml:space="preserve"> </w:t>
      </w:r>
      <w:r>
        <w:rPr>
          <w:b/>
          <w:bCs/>
        </w:rPr>
        <w:t xml:space="preserve">GCC-Moderate</w:t>
      </w:r>
    </w:p>
    <w:p>
      <w:pPr>
        <w:pStyle w:val="BodyText"/>
      </w:pPr>
      <w:r>
        <w:t xml:space="preserve">Version:</w:t>
      </w:r>
      <w:r>
        <w:t xml:space="preserve"> </w:t>
      </w:r>
      <w:r>
        <w:rPr>
          <w:b/>
          <w:bCs/>
        </w:rPr>
        <w:t xml:space="preserve">1.0.0</w:t>
      </w:r>
      <w:r>
        <w:t xml:space="preserve"> </w:t>
      </w:r>
      <w:r>
        <w:t xml:space="preserve">| April 21, 2026</w:t>
      </w:r>
    </w:p>
    <w:p>
      <w:pPr>
        <w:pStyle w:val="BodyText"/>
      </w:pPr>
      <w:r>
        <w:t xml:space="preserve">Author:</w:t>
      </w:r>
      <w:r>
        <w:t xml:space="preserve"> </w:t>
      </w:r>
      <w:r>
        <w:rPr>
          <w:b/>
          <w:bCs/>
        </w:rPr>
        <w:t xml:space="preserve">Michael Stratton</w:t>
      </w:r>
    </w:p>
    <w:p>
      <w:pPr>
        <w:pStyle w:val="BodyText"/>
      </w:pPr>
      <w:r>
        <w:t xml:space="preserve">Repository: https://github.com/WhalerMike/modernization-workbook</w:t>
      </w:r>
    </w:p>
    <w:bookmarkStart w:id="52" w:name="whats-changing-and-why"/>
    <w:p>
      <w:pPr>
        <w:pStyle w:val="Heading2"/>
      </w:pPr>
      <w:r>
        <w:t xml:space="preserve">1 — What’s Changing and Why</w:t>
      </w:r>
    </w:p>
    <w:p>
      <w:pPr>
        <w:pStyle w:val="FirstParagraph"/>
      </w:pPr>
      <w:r>
        <w:t xml:space="preserve">Welcome! If you're reading this guide, it means your organization is taking an exciting step forward in how you sign in and access your everyday tools. Don't worry — this is about making your work life</w:t>
      </w:r>
      <w:r>
        <w:t xml:space="preserve"> </w:t>
      </w:r>
      <w:r>
        <w:rPr>
          <w:b/>
          <w:bCs/>
        </w:rPr>
        <w:t xml:space="preserve">easier and more secure</w:t>
      </w:r>
      <w:r>
        <w:t xml:space="preserve">, not harder.</w:t>
      </w:r>
    </w:p>
    <w:bookmarkStart w:id="44" w:name="whats-happening"/>
    <w:p>
      <w:pPr>
        <w:pStyle w:val="Heading3"/>
      </w:pPr>
      <w:r>
        <w:t xml:space="preserve">What’s Happening?</w:t>
      </w:r>
    </w:p>
    <w:p>
      <w:pPr>
        <w:pStyle w:val="FirstParagraph"/>
      </w:pPr>
      <w:r>
        <w:t xml:space="preserve">We're modernizing the way you sign in to your work applications and access your files. Until now, you've been using a traditional username and password managed by Active Directory — a system that's been around for a long time and has served us well. Going forward, your identity will be managed by</w:t>
      </w:r>
      <w:r>
        <w:t xml:space="preserve"> </w:t>
      </w:r>
      <w:r>
        <w:rPr>
          <w:b/>
          <w:bCs/>
        </w:rPr>
        <w:t xml:space="preserve">Microsoft Entra ID</w:t>
      </w:r>
      <w:r>
        <w:t xml:space="preserve"> </w:t>
      </w:r>
      <w:r>
        <w:t xml:space="preserve">(formerly known as Azure Active Directory), which is Microsoft's modern, cloud-based identity platform.</w:t>
      </w:r>
    </w:p>
    <w:p>
      <w:pPr>
        <w:pStyle w:val="BodyText"/>
      </w:pPr>
      <w:r>
        <w:t xml:space="preserve">Think of it this way: we're upgrading from the old lock-and-key system to a modern smart lock that recognizes you automatically.</w:t>
      </w:r>
    </w:p>
    <w:bookmarkEnd w:id="44"/>
    <w:bookmarkStart w:id="45" w:name="what-are-the-benefits-for-you"/>
    <w:p>
      <w:pPr>
        <w:pStyle w:val="Heading3"/>
      </w:pPr>
      <w:r>
        <w:t xml:space="preserve">What Are the Benefits for You?</w:t>
      </w:r>
    </w:p>
    <w:p>
      <w:pPr>
        <w:numPr>
          <w:ilvl w:val="0"/>
          <w:numId w:val="1018"/>
        </w:numPr>
      </w:pPr>
      <w:r>
        <w:rPr>
          <w:b/>
          <w:bCs/>
        </w:rPr>
        <w:t xml:space="preserve">Passwordless sign-in:</w:t>
      </w:r>
      <w:r>
        <w:t xml:space="preserve"> </w:t>
      </w:r>
      <w:r>
        <w:t xml:space="preserve">No more remembering complex passwords or dealing with password resets! Sign in with your fingerprint, face, or a simple tap on your phone.</w:t>
      </w:r>
    </w:p>
    <w:p>
      <w:pPr>
        <w:numPr>
          <w:ilvl w:val="0"/>
          <w:numId w:val="1018"/>
        </w:numPr>
      </w:pPr>
      <w:r>
        <w:rPr>
          <w:b/>
          <w:bCs/>
        </w:rPr>
        <w:t xml:space="preserve">Single sign-on (SSO):</w:t>
      </w:r>
      <w:r>
        <w:t xml:space="preserve"> </w:t>
      </w:r>
      <w:r>
        <w:t xml:space="preserve">Sign in once and get access to all your work apps — Outlook, Teams, SharePoint, and more — without signing in again and again.</w:t>
      </w:r>
    </w:p>
    <w:p>
      <w:pPr>
        <w:numPr>
          <w:ilvl w:val="0"/>
          <w:numId w:val="1018"/>
        </w:numPr>
      </w:pPr>
      <w:r>
        <w:rPr>
          <w:b/>
          <w:bCs/>
        </w:rPr>
        <w:t xml:space="preserve">Stronger security without more friction:</w:t>
      </w:r>
      <w:r>
        <w:t xml:space="preserve"> </w:t>
      </w:r>
      <w:r>
        <w:t xml:space="preserve">Modern authentication is actually</w:t>
      </w:r>
      <w:r>
        <w:t xml:space="preserve"> </w:t>
      </w:r>
      <w:r>
        <w:rPr>
          <w:i/>
          <w:iCs/>
        </w:rPr>
        <w:t xml:space="preserve">both</w:t>
      </w:r>
      <w:r>
        <w:t xml:space="preserve"> </w:t>
      </w:r>
      <w:r>
        <w:t xml:space="preserve">easier to use and harder for attackers to compromise. You get better protection with less hassle.</w:t>
      </w:r>
    </w:p>
    <w:p>
      <w:pPr>
        <w:numPr>
          <w:ilvl w:val="0"/>
          <w:numId w:val="1018"/>
        </w:numPr>
      </w:pPr>
      <w:r>
        <w:rPr>
          <w:b/>
          <w:bCs/>
        </w:rPr>
        <w:t xml:space="preserve">Self-service capabilities:</w:t>
      </w:r>
      <w:r>
        <w:t xml:space="preserve"> </w:t>
      </w:r>
      <w:r>
        <w:t xml:space="preserve">Reset your own password, manage your security settings, and request access to resources — all without calling the help desk.</w:t>
      </w:r>
    </w:p>
    <w:bookmarkEnd w:id="45"/>
    <w:bookmarkStart w:id="46" w:name="when-is-this-happening"/>
    <w:p>
      <w:pPr>
        <w:pStyle w:val="Heading3"/>
      </w:pPr>
      <w:r>
        <w:t xml:space="preserve">When Is This Happening?</w:t>
      </w:r>
    </w:p>
    <w:p>
      <w:pPr>
        <w:pStyle w:val="FirstParagraph"/>
      </w:pPr>
      <w:r>
        <w:t xml:space="preserve">Changes are rolling out</w:t>
      </w:r>
      <w:r>
        <w:t xml:space="preserve"> </w:t>
      </w:r>
      <w:r>
        <w:rPr>
          <w:b/>
          <w:bCs/>
        </w:rPr>
        <w:t xml:space="preserve">in phases</w:t>
      </w:r>
      <w:r>
        <w:t xml:space="preserve">. You'll receive advance notice before anything changes for your specific team or department. There's no need to rush — you'll have plenty of time and support for each step.</w:t>
      </w:r>
    </w:p>
    <w:bookmarkEnd w:id="46"/>
    <w:bookmarkStart w:id="51" w:name="what-stays-the-same"/>
    <w:p>
      <w:pPr>
        <w:pStyle w:val="Heading3"/>
      </w:pPr>
      <w:r>
        <w:t xml:space="preserve">What Stays the Same?</w:t>
      </w:r>
    </w:p>
    <w:p>
      <w:pPr>
        <w:pStyle w:val="FirstParagraph"/>
      </w:pPr>
      <w:r>
        <w:t xml:space="preserve">Your files, your email, your applications —</w:t>
      </w:r>
      <w:r>
        <w:t xml:space="preserve"> </w:t>
      </w:r>
      <w:r>
        <w:rPr>
          <w:b/>
          <w:bCs/>
        </w:rPr>
        <w:t xml:space="preserve">everything you use today continues to work</w:t>
      </w:r>
      <w:r>
        <w:t xml:space="preserve">. You'll still open the same apps and find your documents in the same places. What changes is how you prove who you are when you sign in, and where your files are backed up for safety.</w:t>
      </w:r>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Key Message</w:t>
            </w:r>
          </w:p>
          <w:p>
            <w:pPr>
              <w:pStyle w:val="BodyText"/>
            </w:pPr>
            <w:r>
              <w:t xml:space="preserve">This is about making your work life easier and more secure, not harder. Every change in this guide is designed to save you time, protect your data, and simplify your day.</w:t>
            </w:r>
          </w:p>
        </w:tc>
      </w:tr>
    </w:tbl>
    <w:bookmarkStart w:id="50" w:name="fig-end-user-training-image-01"/>
    <w:p>
      <w:pPr>
        <w:pStyle w:val="CaptionedFigure"/>
      </w:pPr>
      <w:r>
        <w:drawing>
          <wp:inline>
            <wp:extent cx="5334000" cy="5334000"/>
            <wp:effectExtent b="0" l="0" r="0" t="0"/>
            <wp:docPr descr="Two-panel before-and-after comparison diagram for end-user identity modernization" title="" id="48" name="Picture"/>
            <a:graphic>
              <a:graphicData uri="http://schemas.openxmlformats.org/drawingml/2006/picture">
                <pic:pic>
                  <pic:nvPicPr>
                    <pic:cNvPr descr="/home/runner/work/modernization-workbook/modernization-workbook/docs/images/operational-guides/end-user-training-image-01-two-panel-before-and-after-compa.png" id="49" name="Picture"/>
                    <pic:cNvPicPr>
                      <a:picLocks noChangeArrowheads="1" noChangeAspect="1"/>
                    </pic:cNvPicPr>
                  </pic:nvPicPr>
                  <pic:blipFill>
                    <a:blip r:embed="rId47"/>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Two-panel before-and-after comparison diagram for end-user identity modernization</w:t>
      </w:r>
    </w:p>
    <w:bookmarkEnd w:id="50"/>
    <w:bookmarkEnd w:id="51"/>
    <w:bookmarkEnd w:id="52"/>
    <w:bookmarkStart w:id="65" w:name="passwordless-authentication-setup"/>
    <w:p>
      <w:pPr>
        <w:pStyle w:val="Heading2"/>
      </w:pPr>
      <w:r>
        <w:t xml:space="preserve">2 — Passwordless Authentication Setup</w:t>
      </w:r>
    </w:p>
    <w:bookmarkStart w:id="53" w:name="overview-why-passwordless"/>
    <w:p>
      <w:pPr>
        <w:pStyle w:val="Heading3"/>
      </w:pPr>
      <w:r>
        <w:t xml:space="preserve">2.1 — Overview: Why Passwordless?</w:t>
      </w:r>
    </w:p>
    <w:p>
      <w:pPr>
        <w:pStyle w:val="FirstParagraph"/>
      </w:pPr>
      <w:r>
        <w:t xml:space="preserve">Passwords are the</w:t>
      </w:r>
      <w:r>
        <w:t xml:space="preserve"> </w:t>
      </w:r>
      <w:r>
        <w:rPr>
          <w:b/>
          <w:bCs/>
        </w:rPr>
        <w:t xml:space="preserve">#1 target for cyber attackers</w:t>
      </w:r>
      <w:r>
        <w:t xml:space="preserve">. They can be guessed, stolen, phished, or leaked in data breaches. And let's be honest — remembering a unique, complex password for every app is no fun for anyone.</w:t>
      </w:r>
    </w:p>
    <w:p>
      <w:pPr>
        <w:pStyle w:val="BodyText"/>
      </w:pPr>
      <w:r>
        <w:t xml:space="preserve">The good news?</w:t>
      </w:r>
      <w:r>
        <w:t xml:space="preserve"> </w:t>
      </w:r>
      <w:r>
        <w:rPr>
          <w:b/>
          <w:bCs/>
        </w:rPr>
        <w:t xml:space="preserve">Passwordless authentication is actually easier AND more secure.</w:t>
      </w:r>
      <w:r>
        <w:t xml:space="preserve"> </w:t>
      </w:r>
      <w:r>
        <w:t xml:space="preserve">Instead of typing a password, you prove who you are with something that's much harder to steal — your fingerprint, your face, or a tap on your phone.</w:t>
      </w:r>
    </w:p>
    <w:p>
      <w:pPr>
        <w:pStyle w:val="BodyText"/>
      </w:pPr>
      <w:r>
        <w:t xml:space="preserve">Your IT team will guide you on which option to set up, but here are the three methods available:</w:t>
      </w:r>
    </w:p>
    <w:tbl>
      <w:tblPr>
        <w:tblStyle w:val="Table"/>
        <w:tblW w:type="pct" w:w="4912"/>
        <w:tblLayout w:type="fixed"/>
        <w:tblLook w:firstRow="1" w:lastRow="0" w:firstColumn="0" w:lastColumn="0" w:noHBand="0" w:noVBand="0" w:val="0020"/>
      </w:tblPr>
      <w:tblGrid>
        <w:gridCol w:w="2362"/>
        <w:gridCol w:w="2709"/>
        <w:gridCol w:w="2709"/>
      </w:tblGrid>
      <w:tr>
        <w:trPr>
          <w:tblHeader w:val="on"/>
        </w:trPr>
        <w:tc>
          <w:tcPr/>
          <w:p>
            <w:pPr>
              <w:pStyle w:val="Compact"/>
              <w:jc w:val="left"/>
            </w:pPr>
            <w:r>
              <w:rPr>
                <w:b/>
                <w:bCs/>
              </w:rPr>
              <w:t xml:space="preserve">Method</w:t>
            </w:r>
          </w:p>
        </w:tc>
        <w:tc>
          <w:tcPr/>
          <w:p>
            <w:pPr>
              <w:pStyle w:val="Compact"/>
              <w:jc w:val="left"/>
            </w:pPr>
            <w:r>
              <w:rPr>
                <w:b/>
                <w:bCs/>
              </w:rPr>
              <w:t xml:space="preserve">How It Works</w:t>
            </w:r>
          </w:p>
        </w:tc>
        <w:tc>
          <w:tcPr/>
          <w:p>
            <w:pPr>
              <w:pStyle w:val="Compact"/>
              <w:jc w:val="left"/>
            </w:pPr>
            <w:r>
              <w:rPr>
                <w:b/>
                <w:bCs/>
              </w:rPr>
              <w:t xml:space="preserve">Best For</w:t>
            </w:r>
          </w:p>
        </w:tc>
      </w:tr>
      <w:tr>
        <w:tc>
          <w:tcPr/>
          <w:p>
            <w:pPr>
              <w:pStyle w:val="Compact"/>
              <w:jc w:val="left"/>
            </w:pPr>
            <w:r>
              <w:rPr>
                <w:b/>
                <w:bCs/>
              </w:rPr>
              <w:t xml:space="preserve">Windows Hello for Business</w:t>
            </w:r>
          </w:p>
        </w:tc>
        <w:tc>
          <w:tcPr/>
          <w:p>
            <w:pPr>
              <w:pStyle w:val="Compact"/>
              <w:jc w:val="left"/>
            </w:pPr>
            <w:r>
              <w:t xml:space="preserve">Face, fingerprint, or PIN on your PC</w:t>
            </w:r>
          </w:p>
        </w:tc>
        <w:tc>
          <w:tcPr/>
          <w:p>
            <w:pPr>
              <w:pStyle w:val="Compact"/>
              <w:jc w:val="left"/>
            </w:pPr>
            <w:r>
              <w:t xml:space="preserve">Everyday use on your work PC</w:t>
            </w:r>
          </w:p>
        </w:tc>
      </w:tr>
      <w:tr>
        <w:tc>
          <w:tcPr/>
          <w:p>
            <w:pPr>
              <w:pStyle w:val="Compact"/>
              <w:jc w:val="left"/>
            </w:pPr>
            <w:r>
              <w:rPr>
                <w:b/>
                <w:bCs/>
              </w:rPr>
              <w:t xml:space="preserve">Microsoft Authenticator App</w:t>
            </w:r>
          </w:p>
        </w:tc>
        <w:tc>
          <w:tcPr/>
          <w:p>
            <w:pPr>
              <w:pStyle w:val="Compact"/>
              <w:jc w:val="left"/>
            </w:pPr>
            <w:r>
              <w:t xml:space="preserve">Approve sign-in from your phone</w:t>
            </w:r>
          </w:p>
        </w:tc>
        <w:tc>
          <w:tcPr/>
          <w:p>
            <w:pPr>
              <w:pStyle w:val="Compact"/>
              <w:jc w:val="left"/>
            </w:pPr>
            <w:r>
              <w:t xml:space="preserve">Sign-in from any device; MFA</w:t>
            </w:r>
          </w:p>
        </w:tc>
      </w:tr>
      <w:tr>
        <w:tc>
          <w:tcPr/>
          <w:p>
            <w:pPr>
              <w:pStyle w:val="Compact"/>
              <w:jc w:val="left"/>
            </w:pPr>
            <w:r>
              <w:rPr>
                <w:b/>
                <w:bCs/>
              </w:rPr>
              <w:t xml:space="preserve">FIDO2 Security Key</w:t>
            </w:r>
          </w:p>
        </w:tc>
        <w:tc>
          <w:tcPr/>
          <w:p>
            <w:pPr>
              <w:pStyle w:val="Compact"/>
              <w:jc w:val="left"/>
            </w:pPr>
            <w:r>
              <w:t xml:space="preserve">USB key — insert and tap</w:t>
            </w:r>
          </w:p>
        </w:tc>
        <w:tc>
          <w:tcPr/>
          <w:p>
            <w:pPr>
              <w:pStyle w:val="Compact"/>
              <w:jc w:val="left"/>
            </w:pPr>
            <w:r>
              <w:t xml:space="preserve">Shared workstations; high-security</w:t>
            </w:r>
          </w:p>
        </w:tc>
      </w:tr>
    </w:tbl>
    <w:bookmarkEnd w:id="53"/>
    <w:bookmarkStart w:id="58" w:name="setting-up-windows-hello-for-business"/>
    <w:p>
      <w:pPr>
        <w:pStyle w:val="Heading3"/>
      </w:pPr>
      <w:r>
        <w:t xml:space="preserve">2.2 — Setting Up Windows Hello for Business</w:t>
      </w:r>
    </w:p>
    <w:p>
      <w:pPr>
        <w:pStyle w:val="FirstParagraph"/>
      </w:pPr>
      <w:r>
        <w:t xml:space="preserve">Windows Hello lets you sign in to your PC with your face, fingerprint, or a short PIN — no password needed. Here's how to set it up:</w:t>
      </w:r>
    </w:p>
    <w:p>
      <w:pPr>
        <w:numPr>
          <w:ilvl w:val="0"/>
          <w:numId w:val="1019"/>
        </w:numPr>
      </w:pPr>
      <w:r>
        <w:rPr>
          <w:b/>
          <w:bCs/>
        </w:rPr>
        <w:t xml:space="preserve">Look for the enrollment prompt.</w:t>
      </w:r>
      <w:r>
        <w:t xml:space="preserve"> </w:t>
      </w:r>
      <w:r>
        <w:t xml:space="preserve">After your organization enables Windows Hello, you'll see a prompt during sign-in that says</w:t>
      </w:r>
      <w:r>
        <w:t xml:space="preserve"> </w:t>
      </w:r>
      <w:r>
        <w:rPr>
          <w:i/>
          <w:iCs/>
        </w:rPr>
        <w:t xml:space="preserve">"Your organization requires Windows Hello."</w:t>
      </w:r>
      <w:r>
        <w:t xml:space="preserve"> </w:t>
      </w:r>
      <w:r>
        <w:t xml:space="preserve">Follow the on-screen instructions to get started.</w:t>
      </w:r>
    </w:p>
    <w:p>
      <w:pPr>
        <w:numPr>
          <w:ilvl w:val="0"/>
          <w:numId w:val="1019"/>
        </w:numPr>
      </w:pPr>
      <w:r>
        <w:rPr>
          <w:b/>
          <w:bCs/>
        </w:rPr>
        <w:t xml:space="preserve">Set up your PIN first.</w:t>
      </w:r>
      <w:r>
        <w:t xml:space="preserve"> </w:t>
      </w:r>
      <w:r>
        <w:t xml:space="preserve">Click</w:t>
      </w:r>
      <w:r>
        <w:t xml:space="preserve"> </w:t>
      </w:r>
      <w:r>
        <w:rPr>
          <w:i/>
          <w:iCs/>
        </w:rPr>
        <w:t xml:space="preserve">"Set up PIN"</w:t>
      </w:r>
      <w:r>
        <w:t xml:space="preserve"> </w:t>
      </w:r>
      <w:r>
        <w:t xml:space="preserve">and create a PIN that meets your organization’s minimum length (commonly 6 digits or more). This PIN only works on</w:t>
      </w:r>
      <w:r>
        <w:t xml:space="preserve"> </w:t>
      </w:r>
      <w:r>
        <w:rPr>
          <w:i/>
          <w:iCs/>
        </w:rPr>
        <w:t xml:space="preserve">this specific device</w:t>
      </w:r>
      <w:r>
        <w:t xml:space="preserve"> </w:t>
      </w:r>
      <w:r>
        <w:t xml:space="preserve">— it's not like a regular password.</w:t>
      </w:r>
    </w:p>
    <w:p>
      <w:pPr>
        <w:numPr>
          <w:ilvl w:val="0"/>
          <w:numId w:val="1019"/>
        </w:numPr>
      </w:pPr>
      <w:r>
        <w:rPr>
          <w:b/>
          <w:bCs/>
        </w:rPr>
        <w:t xml:space="preserve">Set up fingerprint recognition (if available).</w:t>
      </w:r>
      <w:r>
        <w:t xml:space="preserve"> </w:t>
      </w:r>
      <w:r>
        <w:t xml:space="preserve">If your device has a fingerprint reader, go to:</w:t>
      </w:r>
      <w:r>
        <w:t xml:space="preserve"> </w:t>
      </w:r>
      <w:r>
        <w:rPr>
          <w:b/>
          <w:bCs/>
        </w:rPr>
        <w:t xml:space="preserve">Settings → Accounts → Sign-in options → Fingerprint recognition → Set up</w:t>
      </w:r>
      <w:r>
        <w:t xml:space="preserve">. Follow the prompts to scan your fingerprint.</w:t>
      </w:r>
    </w:p>
    <w:p>
      <w:pPr>
        <w:numPr>
          <w:ilvl w:val="0"/>
          <w:numId w:val="1019"/>
        </w:numPr>
      </w:pPr>
      <w:r>
        <w:rPr>
          <w:b/>
          <w:bCs/>
        </w:rPr>
        <w:t xml:space="preserve">Set up facial recognition (if available).</w:t>
      </w:r>
      <w:r>
        <w:t xml:space="preserve"> </w:t>
      </w:r>
      <w:r>
        <w:t xml:space="preserve">If your device has an infrared (IR) camera, go to:</w:t>
      </w:r>
      <w:r>
        <w:t xml:space="preserve"> </w:t>
      </w:r>
      <w:r>
        <w:rPr>
          <w:b/>
          <w:bCs/>
        </w:rPr>
        <w:t xml:space="preserve">Settings → Accounts → Sign-in options → Facial recognition → Set up</w:t>
      </w:r>
      <w:r>
        <w:t xml:space="preserve">. Look at the camera when prompted to register your face.</w:t>
      </w:r>
    </w:p>
    <w:p>
      <w:pPr>
        <w:numPr>
          <w:ilvl w:val="0"/>
          <w:numId w:val="1019"/>
        </w:numPr>
      </w:pPr>
      <w:r>
        <w:rPr>
          <w:b/>
          <w:bCs/>
        </w:rPr>
        <w:t xml:space="preserve">Test it!</w:t>
      </w:r>
      <w:r>
        <w:t xml:space="preserve"> </w:t>
      </w:r>
      <w:r>
        <w:t xml:space="preserve">Lock your PC by pressing</w:t>
      </w:r>
      <w:r>
        <w:t xml:space="preserve"> </w:t>
      </w:r>
      <w:r>
        <w:rPr>
          <w:b/>
          <w:bCs/>
        </w:rPr>
        <w:t xml:space="preserve">Win + L</w:t>
      </w:r>
      <w:r>
        <w:t xml:space="preserve">, then sign back in using your face, fingerprint, or PIN. If it works — you're all set!</w:t>
      </w:r>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Tip — Your PIN Is NOT Like a Password</w:t>
            </w:r>
          </w:p>
          <w:p>
            <w:pPr>
              <w:pStyle w:val="BodyText"/>
            </w:pPr>
            <w:r>
              <w:t xml:space="preserve">Your Windows Hello PIN is tied to your specific device and protected by hardware security. Even if someone watches you type it, they can't use it on any other computer. That's what makes it more secure than a traditional password.</w:t>
            </w:r>
          </w:p>
        </w:tc>
      </w:tr>
    </w:tbl>
    <w:bookmarkStart w:id="57" w:name="fig-end-user-training-image-02"/>
    <w:p>
      <w:pPr>
        <w:pStyle w:val="CaptionedFigure"/>
      </w:pPr>
      <w:r>
        <w:drawing>
          <wp:inline>
            <wp:extent cx="5334000" cy="5334000"/>
            <wp:effectExtent b="0" l="0" r="0" t="0"/>
            <wp:docPr descr="Windows Hello for Business enrollment screen mockup" title="" id="55" name="Picture"/>
            <a:graphic>
              <a:graphicData uri="http://schemas.openxmlformats.org/drawingml/2006/picture">
                <pic:pic>
                  <pic:nvPicPr>
                    <pic:cNvPr descr="/home/runner/work/modernization-workbook/modernization-workbook/docs/images/operational-guides/end-user-training-image-02-windows-hello-for-business-enrol.png" id="56" name="Picture"/>
                    <pic:cNvPicPr>
                      <a:picLocks noChangeArrowheads="1" noChangeAspect="1"/>
                    </pic:cNvPicPr>
                  </pic:nvPicPr>
                  <pic:blipFill>
                    <a:blip r:embed="rId54"/>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Windows Hello for Business enrollment screen mockup</w:t>
      </w:r>
    </w:p>
    <w:bookmarkEnd w:id="57"/>
    <w:bookmarkEnd w:id="58"/>
    <w:bookmarkStart w:id="63" w:name="setting-up-microsoft-authenticator"/>
    <w:p>
      <w:pPr>
        <w:pStyle w:val="Heading3"/>
      </w:pPr>
      <w:r>
        <w:t xml:space="preserve">2.3 — Setting Up Microsoft Authenticator</w:t>
      </w:r>
    </w:p>
    <w:p>
      <w:pPr>
        <w:pStyle w:val="FirstParagraph"/>
      </w:pPr>
      <w:r>
        <w:t xml:space="preserve">The Microsoft Authenticator app turns your phone into a powerful sign-in tool. Once set up, you can approve sign-in requests with a single tap — no password typing required.</w:t>
      </w:r>
    </w:p>
    <w:p>
      <w:pPr>
        <w:numPr>
          <w:ilvl w:val="0"/>
          <w:numId w:val="1020"/>
        </w:numPr>
      </w:pPr>
      <w:r>
        <w:rPr>
          <w:b/>
          <w:bCs/>
        </w:rPr>
        <w:t xml:space="preserve">Install the app.</w:t>
      </w:r>
      <w:r>
        <w:t xml:space="preserve"> </w:t>
      </w:r>
      <w:r>
        <w:t xml:space="preserve">Download</w:t>
      </w:r>
      <w:r>
        <w:t xml:space="preserve"> </w:t>
      </w:r>
      <w:r>
        <w:rPr>
          <w:i/>
          <w:iCs/>
        </w:rPr>
        <w:t xml:space="preserve">"Microsoft Authenticator"</w:t>
      </w:r>
      <w:r>
        <w:t xml:space="preserve"> </w:t>
      </w:r>
      <w:r>
        <w:t xml:space="preserve">from the</w:t>
      </w:r>
      <w:r>
        <w:t xml:space="preserve"> </w:t>
      </w:r>
      <w:r>
        <w:rPr>
          <w:b/>
          <w:bCs/>
        </w:rPr>
        <w:t xml:space="preserve">Apple App Store</w:t>
      </w:r>
      <w:r>
        <w:t xml:space="preserve"> </w:t>
      </w:r>
      <w:r>
        <w:t xml:space="preserve">(iPhone) or</w:t>
      </w:r>
      <w:r>
        <w:t xml:space="preserve"> </w:t>
      </w:r>
      <w:r>
        <w:rPr>
          <w:b/>
          <w:bCs/>
        </w:rPr>
        <w:t xml:space="preserve">Google Play Store</w:t>
      </w:r>
      <w:r>
        <w:t xml:space="preserve"> </w:t>
      </w:r>
      <w:r>
        <w:t xml:space="preserve">(Android).</w:t>
      </w:r>
    </w:p>
    <w:p>
      <w:pPr>
        <w:numPr>
          <w:ilvl w:val="0"/>
          <w:numId w:val="1020"/>
        </w:numPr>
      </w:pPr>
      <w:r>
        <w:rPr>
          <w:b/>
          <w:bCs/>
        </w:rPr>
        <w:t xml:space="preserve">Add your work account.</w:t>
      </w:r>
      <w:r>
        <w:t xml:space="preserve"> </w:t>
      </w:r>
      <w:r>
        <w:t xml:space="preserve">Open the app, tap the</w:t>
      </w:r>
      <w:r>
        <w:t xml:space="preserve"> </w:t>
      </w:r>
      <w:r>
        <w:rPr>
          <w:b/>
          <w:bCs/>
        </w:rPr>
        <w:t xml:space="preserve">"+"</w:t>
      </w:r>
      <w:r>
        <w:t xml:space="preserve"> </w:t>
      </w:r>
      <w:r>
        <w:t xml:space="preserve">button, and select</w:t>
      </w:r>
      <w:r>
        <w:t xml:space="preserve"> </w:t>
      </w:r>
      <w:r>
        <w:rPr>
          <w:b/>
          <w:bCs/>
        </w:rPr>
        <w:t xml:space="preserve">"Work or school account."</w:t>
      </w:r>
    </w:p>
    <w:p>
      <w:pPr>
        <w:numPr>
          <w:ilvl w:val="0"/>
          <w:numId w:val="1020"/>
        </w:numPr>
      </w:pPr>
      <w:r>
        <w:rPr>
          <w:b/>
          <w:bCs/>
        </w:rPr>
        <w:t xml:space="preserve">Sign in when prompted.</w:t>
      </w:r>
      <w:r>
        <w:t xml:space="preserve"> </w:t>
      </w:r>
      <w:r>
        <w:t xml:space="preserve">Enter your work email address and follow the sign-in prompts.</w:t>
      </w:r>
    </w:p>
    <w:p>
      <w:pPr>
        <w:numPr>
          <w:ilvl w:val="0"/>
          <w:numId w:val="1020"/>
        </w:numPr>
      </w:pPr>
      <w:r>
        <w:rPr>
          <w:b/>
          <w:bCs/>
        </w:rPr>
        <w:t xml:space="preserve">Register the app with your account.</w:t>
      </w:r>
      <w:r>
        <w:t xml:space="preserve"> </w:t>
      </w:r>
      <w:r>
        <w:t xml:space="preserve">On your computer, open a browser and go to</w:t>
      </w:r>
      <w:r>
        <w:t xml:space="preserve"> </w:t>
      </w:r>
      <w:r>
        <w:rPr>
          <w:b/>
          <w:bCs/>
        </w:rPr>
        <w:t xml:space="preserve">https://mysignins.microsoft.com</w:t>
      </w:r>
      <w:r>
        <w:t xml:space="preserve">.</w:t>
      </w:r>
    </w:p>
    <w:p>
      <w:pPr>
        <w:numPr>
          <w:ilvl w:val="0"/>
          <w:numId w:val="1020"/>
        </w:numPr>
      </w:pPr>
      <w:r>
        <w:rPr>
          <w:b/>
          <w:bCs/>
        </w:rPr>
        <w:t xml:space="preserve">Add the sign-in method.</w:t>
      </w:r>
      <w:r>
        <w:t xml:space="preserve"> </w:t>
      </w:r>
      <w:r>
        <w:t xml:space="preserve">Click</w:t>
      </w:r>
      <w:r>
        <w:t xml:space="preserve"> </w:t>
      </w:r>
      <w:r>
        <w:rPr>
          <w:b/>
          <w:bCs/>
        </w:rPr>
        <w:t xml:space="preserve">"Security info"</w:t>
      </w:r>
      <w:r>
        <w:t xml:space="preserve"> </w:t>
      </w:r>
      <w:r>
        <w:t xml:space="preserve">→</w:t>
      </w:r>
      <w:r>
        <w:t xml:space="preserve"> </w:t>
      </w:r>
      <w:r>
        <w:rPr>
          <w:b/>
          <w:bCs/>
        </w:rPr>
        <w:t xml:space="preserve">"Add sign-in method"</w:t>
      </w:r>
      <w:r>
        <w:t xml:space="preserve"> </w:t>
      </w:r>
      <w:r>
        <w:t xml:space="preserve">→ select</w:t>
      </w:r>
      <w:r>
        <w:t xml:space="preserve"> </w:t>
      </w:r>
      <w:r>
        <w:rPr>
          <w:b/>
          <w:bCs/>
        </w:rPr>
        <w:t xml:space="preserve">"Authenticator app"</w:t>
      </w:r>
      <w:r>
        <w:t xml:space="preserve"> </w:t>
      </w:r>
      <w:r>
        <w:t xml:space="preserve">from the dropdown.</w:t>
      </w:r>
    </w:p>
    <w:p>
      <w:pPr>
        <w:numPr>
          <w:ilvl w:val="0"/>
          <w:numId w:val="1020"/>
        </w:numPr>
      </w:pPr>
      <w:r>
        <w:rPr>
          <w:b/>
          <w:bCs/>
        </w:rPr>
        <w:t xml:space="preserve">Scan the QR code.</w:t>
      </w:r>
      <w:r>
        <w:t xml:space="preserve"> </w:t>
      </w:r>
      <w:r>
        <w:t xml:space="preserve">Follow the on-screen wizard. When a QR code appears, open the Authenticator app on your phone and scan it.</w:t>
      </w:r>
    </w:p>
    <w:p>
      <w:pPr>
        <w:numPr>
          <w:ilvl w:val="0"/>
          <w:numId w:val="1020"/>
        </w:numPr>
      </w:pPr>
      <w:r>
        <w:rPr>
          <w:b/>
          <w:bCs/>
        </w:rPr>
        <w:t xml:space="preserve">Approve the test notification.</w:t>
      </w:r>
      <w:r>
        <w:t xml:space="preserve"> </w:t>
      </w:r>
      <w:r>
        <w:t xml:space="preserve">A test notification will be sent to your phone. Tap</w:t>
      </w:r>
      <w:r>
        <w:t xml:space="preserve"> </w:t>
      </w:r>
      <w:r>
        <w:rPr>
          <w:b/>
          <w:bCs/>
        </w:rPr>
        <w:t xml:space="preserve">"Approve"</w:t>
      </w:r>
      <w:r>
        <w:t xml:space="preserve"> </w:t>
      </w:r>
      <w:r>
        <w:t xml:space="preserve">to confirm everything is connected.</w:t>
      </w:r>
    </w:p>
    <w:p>
      <w:pPr>
        <w:numPr>
          <w:ilvl w:val="0"/>
          <w:numId w:val="1020"/>
        </w:numPr>
      </w:pPr>
      <w:r>
        <w:rPr>
          <w:b/>
          <w:bCs/>
        </w:rPr>
        <w:t xml:space="preserve">Enable phone sign-in.</w:t>
      </w:r>
      <w:r>
        <w:t xml:space="preserve"> </w:t>
      </w:r>
      <w:r>
        <w:t xml:space="preserve">In the Authenticator app, tap on your work account and select</w:t>
      </w:r>
      <w:r>
        <w:t xml:space="preserve"> </w:t>
      </w:r>
      <w:r>
        <w:rPr>
          <w:b/>
          <w:bCs/>
        </w:rPr>
        <w:t xml:space="preserve">"Enable phone sign-in."</w:t>
      </w:r>
      <w:r>
        <w:t xml:space="preserve"> </w:t>
      </w:r>
      <w:r>
        <w:t xml:space="preserve">This lets you sign in by matching a number on your phone instead of typing a password.</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Tip — Tap Instead of Type</w:t>
            </w:r>
          </w:p>
          <w:p>
            <w:pPr>
              <w:pStyle w:val="BodyText"/>
            </w:pPr>
            <w:r>
              <w:t xml:space="preserve">Once phone sign-in is enabled, signing in is as easy as matching a two-digit number on your phone and tapping</w:t>
            </w:r>
            <w:r>
              <w:t xml:space="preserve"> </w:t>
            </w:r>
            <w:r>
              <w:rPr>
                <w:i/>
                <w:iCs/>
              </w:rPr>
              <w:t xml:space="preserve">"Approve."</w:t>
            </w:r>
            <w:r>
              <w:t xml:space="preserve"> </w:t>
            </w:r>
            <w:r>
              <w:t xml:space="preserve">It takes about three seconds — much faster (and safer) than typing a password!</w:t>
            </w:r>
          </w:p>
        </w:tc>
      </w:tr>
    </w:tbl>
    <w:bookmarkStart w:id="62" w:name="fig-end-user-training-image-03"/>
    <w:p>
      <w:pPr>
        <w:pStyle w:val="CaptionedFigure"/>
      </w:pPr>
      <w:r>
        <w:drawing>
          <wp:inline>
            <wp:extent cx="5334000" cy="5334000"/>
            <wp:effectExtent b="0" l="0" r="0" t="0"/>
            <wp:docPr descr="Three-step Microsoft Authenticator setup flow, arranged left to right" title="" id="60" name="Picture"/>
            <a:graphic>
              <a:graphicData uri="http://schemas.openxmlformats.org/drawingml/2006/picture">
                <pic:pic>
                  <pic:nvPicPr>
                    <pic:cNvPr descr="/home/runner/work/modernization-workbook/modernization-workbook/docs/images/operational-guides/end-user-training-image-03-three-step-microsoft-authenticat.png" id="61" name="Picture"/>
                    <pic:cNvPicPr>
                      <a:picLocks noChangeArrowheads="1" noChangeAspect="1"/>
                    </pic:cNvPicPr>
                  </pic:nvPicPr>
                  <pic:blipFill>
                    <a:blip r:embed="rId5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Three-step Microsoft Authenticator setup flow, arranged left to right</w:t>
      </w:r>
    </w:p>
    <w:bookmarkEnd w:id="62"/>
    <w:bookmarkEnd w:id="63"/>
    <w:bookmarkStart w:id="64" w:name="using-a-fido2-security-key"/>
    <w:p>
      <w:pPr>
        <w:pStyle w:val="Heading3"/>
      </w:pPr>
      <w:r>
        <w:t xml:space="preserve">2.4 — Using a FIDO2 Security Key</w:t>
      </w:r>
    </w:p>
    <w:p>
      <w:pPr>
        <w:pStyle w:val="FirstParagraph"/>
      </w:pPr>
      <w:r>
        <w:t xml:space="preserve">A FIDO2 security key is a small USB device that acts as your sign-in credential. It's mainly used for shared workstations, kiosks, or environments with extra-high security requirements.</w:t>
      </w:r>
    </w:p>
    <w:p>
      <w:pPr>
        <w:numPr>
          <w:ilvl w:val="0"/>
          <w:numId w:val="1021"/>
        </w:numPr>
      </w:pPr>
      <w:r>
        <w:rPr>
          <w:b/>
          <w:bCs/>
        </w:rPr>
        <w:t xml:space="preserve">Get your key from IT.</w:t>
      </w:r>
      <w:r>
        <w:t xml:space="preserve"> </w:t>
      </w:r>
      <w:r>
        <w:t xml:space="preserve">Your IT team will provide you with a FIDO2-compatible security key (USB-A or USB-C, depending on your device).</w:t>
      </w:r>
    </w:p>
    <w:p>
      <w:pPr>
        <w:numPr>
          <w:ilvl w:val="0"/>
          <w:numId w:val="1021"/>
        </w:numPr>
      </w:pPr>
      <w:r>
        <w:rPr>
          <w:b/>
          <w:bCs/>
        </w:rPr>
        <w:t xml:space="preserve">Register the key.</w:t>
      </w:r>
      <w:r>
        <w:t xml:space="preserve"> </w:t>
      </w:r>
      <w:r>
        <w:t xml:space="preserve">Go to</w:t>
      </w:r>
      <w:r>
        <w:t xml:space="preserve"> </w:t>
      </w:r>
      <w:r>
        <w:rPr>
          <w:b/>
          <w:bCs/>
        </w:rPr>
        <w:t xml:space="preserve">https://mysignins.microsoft.com</w:t>
      </w:r>
      <w:r>
        <w:t xml:space="preserve"> </w:t>
      </w:r>
      <w:r>
        <w:t xml:space="preserve">→ click</w:t>
      </w:r>
      <w:r>
        <w:t xml:space="preserve"> </w:t>
      </w:r>
      <w:r>
        <w:rPr>
          <w:b/>
          <w:bCs/>
        </w:rPr>
        <w:t xml:space="preserve">"Security info"</w:t>
      </w:r>
      <w:r>
        <w:t xml:space="preserve"> </w:t>
      </w:r>
      <w:r>
        <w:t xml:space="preserve">→</w:t>
      </w:r>
      <w:r>
        <w:t xml:space="preserve"> </w:t>
      </w:r>
      <w:r>
        <w:rPr>
          <w:b/>
          <w:bCs/>
        </w:rPr>
        <w:t xml:space="preserve">"Add sign-in method."</w:t>
      </w:r>
    </w:p>
    <w:p>
      <w:pPr>
        <w:numPr>
          <w:ilvl w:val="0"/>
          <w:numId w:val="1021"/>
        </w:numPr>
      </w:pPr>
      <w:r>
        <w:rPr>
          <w:b/>
          <w:bCs/>
        </w:rPr>
        <w:t xml:space="preserve">Select "Security key."</w:t>
      </w:r>
      <w:r>
        <w:t xml:space="preserve"> </w:t>
      </w:r>
      <w:r>
        <w:t xml:space="preserve">Choose</w:t>
      </w:r>
      <w:r>
        <w:t xml:space="preserve"> </w:t>
      </w:r>
      <w:r>
        <w:rPr>
          <w:b/>
          <w:bCs/>
        </w:rPr>
        <w:t xml:space="preserve">"USB device"</w:t>
      </w:r>
      <w:r>
        <w:t xml:space="preserve"> </w:t>
      </w:r>
      <w:r>
        <w:t xml:space="preserve">when prompted.</w:t>
      </w:r>
    </w:p>
    <w:p>
      <w:pPr>
        <w:numPr>
          <w:ilvl w:val="0"/>
          <w:numId w:val="1021"/>
        </w:numPr>
      </w:pPr>
      <w:r>
        <w:rPr>
          <w:b/>
          <w:bCs/>
        </w:rPr>
        <w:t xml:space="preserve">Insert and tap.</w:t>
      </w:r>
      <w:r>
        <w:t xml:space="preserve"> </w:t>
      </w:r>
      <w:r>
        <w:t xml:space="preserve">Insert your security key into the USB port when prompted, then tap the button or sensor on the key.</w:t>
      </w:r>
    </w:p>
    <w:p>
      <w:pPr>
        <w:numPr>
          <w:ilvl w:val="0"/>
          <w:numId w:val="1021"/>
        </w:numPr>
      </w:pPr>
      <w:r>
        <w:rPr>
          <w:b/>
          <w:bCs/>
        </w:rPr>
        <w:t xml:space="preserve">Create a key PIN.</w:t>
      </w:r>
      <w:r>
        <w:t xml:space="preserve"> </w:t>
      </w:r>
      <w:r>
        <w:t xml:space="preserve">You'll be asked to create a PIN for the key itself (this serves as a backup verification method).</w:t>
      </w:r>
    </w:p>
    <w:p>
      <w:pPr>
        <w:numPr>
          <w:ilvl w:val="0"/>
          <w:numId w:val="1021"/>
        </w:numPr>
      </w:pPr>
      <w:r>
        <w:rPr>
          <w:b/>
          <w:bCs/>
        </w:rPr>
        <w:t xml:space="preserve">You're done!</w:t>
      </w:r>
      <w:r>
        <w:t xml:space="preserve"> </w:t>
      </w:r>
      <w:r>
        <w:t xml:space="preserve">To sign in going forward: insert the key → tap → done.</w:t>
      </w:r>
    </w:p>
    <w:tbl>
      <w:tblPr>
        <w:tblStyle w:val="Table"/>
        <w:tblW w:type="pct" w:w="5027"/>
        <w:tblLayout w:type="fixed"/>
        <w:tblLook w:firstRow="0" w:lastRow="0" w:firstColumn="0" w:lastColumn="0" w:noHBand="0" w:noVBand="0" w:val="0000"/>
      </w:tblPr>
      <w:tblGrid>
        <w:gridCol w:w="7963"/>
      </w:tblGrid>
      <w:tr>
        <w:tc>
          <w:tcPr/>
          <w:p>
            <w:pPr>
              <w:pStyle w:val="FirstParagraph"/>
            </w:pPr>
            <w:r>
              <w:rPr>
                <w:b/>
                <w:bCs/>
              </w:rPr>
              <w:t xml:space="preserve">Note</w:t>
            </w:r>
          </w:p>
          <w:p>
            <w:pPr>
              <w:pStyle w:val="BodyText"/>
            </w:pPr>
            <w:r>
              <w:t xml:space="preserve">Security keys are mainly used for shared workstations, kiosks, or high-security environments. Most users will use Windows Hello or the Authenticator app for their day-to-day sign-in.</w:t>
            </w:r>
          </w:p>
        </w:tc>
      </w:tr>
    </w:tbl>
    <w:bookmarkEnd w:id="64"/>
    <w:bookmarkEnd w:id="65"/>
    <w:bookmarkStart w:id="73" w:name="understanding-conditional-access"/>
    <w:p>
      <w:pPr>
        <w:pStyle w:val="Heading2"/>
      </w:pPr>
      <w:r>
        <w:t xml:space="preserve">3 — Understanding Conditional Access</w:t>
      </w:r>
    </w:p>
    <w:bookmarkStart w:id="66" w:name="what-is-conditional-access"/>
    <w:p>
      <w:pPr>
        <w:pStyle w:val="Heading3"/>
      </w:pPr>
      <w:r>
        <w:t xml:space="preserve">3.1 — What Is Conditional Access?</w:t>
      </w:r>
    </w:p>
    <w:p>
      <w:pPr>
        <w:pStyle w:val="FirstParagraph"/>
      </w:pPr>
      <w:r>
        <w:t xml:space="preserve">Think of Conditional Access as a</w:t>
      </w:r>
      <w:r>
        <w:t xml:space="preserve"> </w:t>
      </w:r>
      <w:r>
        <w:rPr>
          <w:b/>
          <w:bCs/>
        </w:rPr>
        <w:t xml:space="preserve">smart security guard</w:t>
      </w:r>
      <w:r>
        <w:t xml:space="preserve"> </w:t>
      </w:r>
      <w:r>
        <w:t xml:space="preserve">for your work apps and data. Every time you sign in or access a resource, it quietly checks a few things in the background:</w:t>
      </w:r>
    </w:p>
    <w:p>
      <w:pPr>
        <w:numPr>
          <w:ilvl w:val="0"/>
          <w:numId w:val="1022"/>
        </w:numPr>
      </w:pPr>
      <w:r>
        <w:rPr>
          <w:b/>
          <w:bCs/>
        </w:rPr>
        <w:t xml:space="preserve">Who you are</w:t>
      </w:r>
      <w:r>
        <w:t xml:space="preserve"> </w:t>
      </w:r>
      <w:r>
        <w:t xml:space="preserve">— Is your identity verified?</w:t>
      </w:r>
    </w:p>
    <w:p>
      <w:pPr>
        <w:numPr>
          <w:ilvl w:val="0"/>
          <w:numId w:val="1022"/>
        </w:numPr>
      </w:pPr>
      <w:r>
        <w:rPr>
          <w:b/>
          <w:bCs/>
        </w:rPr>
        <w:t xml:space="preserve">Where you are</w:t>
      </w:r>
      <w:r>
        <w:t xml:space="preserve"> </w:t>
      </w:r>
      <w:r>
        <w:t xml:space="preserve">— Are you on a trusted network (e.g., the office) or somewhere else?</w:t>
      </w:r>
    </w:p>
    <w:p>
      <w:pPr>
        <w:numPr>
          <w:ilvl w:val="0"/>
          <w:numId w:val="1022"/>
        </w:numPr>
      </w:pPr>
      <w:r>
        <w:rPr>
          <w:b/>
          <w:bCs/>
        </w:rPr>
        <w:t xml:space="preserve">What device you're using</w:t>
      </w:r>
      <w:r>
        <w:t xml:space="preserve"> </w:t>
      </w:r>
      <w:r>
        <w:t xml:space="preserve">— Is it a managed, compliant work device?</w:t>
      </w:r>
    </w:p>
    <w:p>
      <w:pPr>
        <w:numPr>
          <w:ilvl w:val="0"/>
          <w:numId w:val="1022"/>
        </w:numPr>
      </w:pPr>
      <w:r>
        <w:rPr>
          <w:b/>
          <w:bCs/>
        </w:rPr>
        <w:t xml:space="preserve">What you're trying to access</w:t>
      </w:r>
      <w:r>
        <w:t xml:space="preserve"> </w:t>
      </w:r>
      <w:r>
        <w:t xml:space="preserve">— Is it a general app or something sensitive?</w:t>
      </w:r>
    </w:p>
    <w:p>
      <w:pPr>
        <w:pStyle w:val="FirstParagraph"/>
      </w:pPr>
      <w:r>
        <w:t xml:space="preserve">Based on these factors, Conditional Access makes a decision:</w:t>
      </w:r>
      <w:r>
        <w:t xml:space="preserve"> </w:t>
      </w:r>
      <w:r>
        <w:rPr>
          <w:b/>
          <w:bCs/>
        </w:rPr>
        <w:t xml:space="preserve">allow access</w:t>
      </w:r>
      <w:r>
        <w:t xml:space="preserve">,</w:t>
      </w:r>
      <w:r>
        <w:t xml:space="preserve"> </w:t>
      </w:r>
      <w:r>
        <w:rPr>
          <w:b/>
          <w:bCs/>
        </w:rPr>
        <w:t xml:space="preserve">require extra verification</w:t>
      </w:r>
      <w:r>
        <w:t xml:space="preserve"> </w:t>
      </w:r>
      <w:r>
        <w:t xml:space="preserve">(like an Authenticator prompt), or</w:t>
      </w:r>
      <w:r>
        <w:t xml:space="preserve"> </w:t>
      </w:r>
      <w:r>
        <w:rPr>
          <w:b/>
          <w:bCs/>
        </w:rPr>
        <w:t xml:space="preserve">block access</w:t>
      </w:r>
      <w:r>
        <w:t xml:space="preserve"> </w:t>
      </w:r>
      <w:r>
        <w:t xml:space="preserve">entirely. The great news is that</w:t>
      </w:r>
      <w:r>
        <w:t xml:space="preserve"> </w:t>
      </w:r>
      <w:r>
        <w:rPr>
          <w:b/>
          <w:bCs/>
        </w:rPr>
        <w:t xml:space="preserve">you don't need to do anything</w:t>
      </w:r>
      <w:r>
        <w:t xml:space="preserve"> </w:t>
      </w:r>
      <w:r>
        <w:t xml:space="preserve">— it works automatically in the background. Most of the time, you won't even notice it.</w:t>
      </w:r>
    </w:p>
    <w:bookmarkEnd w:id="66"/>
    <w:bookmarkStart w:id="67" w:name="what-you-might-experience"/>
    <w:p>
      <w:pPr>
        <w:pStyle w:val="Heading3"/>
      </w:pPr>
      <w:r>
        <w:t xml:space="preserve">3.2 — What You Might Experience</w:t>
      </w:r>
    </w:p>
    <w:p>
      <w:pPr>
        <w:pStyle w:val="FirstParagraph"/>
      </w:pPr>
      <w:r>
        <w:t xml:space="preserve">Here are some common scenarios you might encounter, along with friendly explanations of why they happen:</w:t>
      </w:r>
    </w:p>
    <w:tbl>
      <w:tblPr>
        <w:tblStyle w:val="Table"/>
        <w:tblW w:type="pct" w:w="4949"/>
        <w:tblLayout w:type="fixed"/>
        <w:tblLook w:firstRow="1" w:lastRow="0" w:firstColumn="0" w:lastColumn="0" w:noHBand="0" w:noVBand="0" w:val="0020"/>
      </w:tblPr>
      <w:tblGrid>
        <w:gridCol w:w="2960"/>
        <w:gridCol w:w="4880"/>
      </w:tblGrid>
      <w:tr>
        <w:trPr>
          <w:tblHeader w:val="on"/>
        </w:trPr>
        <w:tc>
          <w:tcPr/>
          <w:p>
            <w:pPr>
              <w:pStyle w:val="Compact"/>
              <w:jc w:val="left"/>
            </w:pPr>
            <w:r>
              <w:rPr>
                <w:b/>
                <w:bCs/>
              </w:rPr>
              <w:t xml:space="preserve">What You See</w:t>
            </w:r>
          </w:p>
        </w:tc>
        <w:tc>
          <w:tcPr/>
          <w:p>
            <w:pPr>
              <w:pStyle w:val="Compact"/>
              <w:jc w:val="left"/>
            </w:pPr>
            <w:r>
              <w:rPr>
                <w:b/>
                <w:bCs/>
              </w:rPr>
              <w:t xml:space="preserve">Why It Happens</w:t>
            </w:r>
          </w:p>
        </w:tc>
      </w:tr>
      <w:tr>
        <w:tc>
          <w:tcPr/>
          <w:p>
            <w:pPr>
              <w:pStyle w:val="Compact"/>
              <w:jc w:val="left"/>
            </w:pPr>
            <w:r>
              <w:rPr>
                <w:i/>
                <w:iCs/>
              </w:rPr>
              <w:t xml:space="preserve">"I was asked to verify on my phone even though I'm at the office."</w:t>
            </w:r>
          </w:p>
        </w:tc>
        <w:tc>
          <w:tcPr/>
          <w:p>
            <w:pPr>
              <w:pStyle w:val="Compact"/>
              <w:jc w:val="left"/>
            </w:pPr>
            <w:r>
              <w:t xml:space="preserve">Your device might not be recognized yet, or you're accessing sensitive data that always requires extra verification.</w:t>
            </w:r>
          </w:p>
        </w:tc>
      </w:tr>
      <w:tr>
        <w:tc>
          <w:tcPr/>
          <w:p>
            <w:pPr>
              <w:pStyle w:val="Compact"/>
              <w:jc w:val="left"/>
            </w:pPr>
            <w:r>
              <w:rPr>
                <w:i/>
                <w:iCs/>
              </w:rPr>
              <w:t xml:space="preserve">"I can access Outlook but got blocked from SharePoint."</w:t>
            </w:r>
          </w:p>
        </w:tc>
        <w:tc>
          <w:tcPr/>
          <w:p>
            <w:pPr>
              <w:pStyle w:val="Compact"/>
              <w:jc w:val="left"/>
            </w:pPr>
            <w:r>
              <w:t xml:space="preserve">Different apps can have different security requirements. SharePoint may require a compliant device or specific network.</w:t>
            </w:r>
          </w:p>
        </w:tc>
      </w:tr>
      <w:tr>
        <w:tc>
          <w:tcPr/>
          <w:p>
            <w:pPr>
              <w:pStyle w:val="Compact"/>
              <w:jc w:val="left"/>
            </w:pPr>
            <w:r>
              <w:rPr>
                <w:i/>
                <w:iCs/>
              </w:rPr>
              <w:t xml:space="preserve">"I can't access work apps from my personal laptop."</w:t>
            </w:r>
          </w:p>
        </w:tc>
        <w:tc>
          <w:tcPr/>
          <w:p>
            <w:pPr>
              <w:pStyle w:val="Compact"/>
              <w:jc w:val="left"/>
            </w:pPr>
            <w:r>
              <w:t xml:space="preserve">Your organization may require managed (company-owned or enrolled) devices for certain applications.</w:t>
            </w:r>
          </w:p>
        </w:tc>
      </w:tr>
      <w:tr>
        <w:tc>
          <w:tcPr/>
          <w:p>
            <w:pPr>
              <w:pStyle w:val="Compact"/>
              <w:jc w:val="left"/>
            </w:pPr>
            <w:r>
              <w:rPr>
                <w:i/>
                <w:iCs/>
              </w:rPr>
              <w:t xml:space="preserve">"I was asked to update my device."</w:t>
            </w:r>
          </w:p>
        </w:tc>
        <w:tc>
          <w:tcPr/>
          <w:p>
            <w:pPr>
              <w:pStyle w:val="Compact"/>
              <w:jc w:val="left"/>
            </w:pPr>
            <w:r>
              <w:t xml:space="preserve">Your device needs a security update before it meets compliance requirements for accessing work resources.</w:t>
            </w:r>
          </w:p>
        </w:tc>
      </w:tr>
      <w:tr>
        <w:tc>
          <w:tcPr/>
          <w:p>
            <w:pPr>
              <w:pStyle w:val="Compact"/>
              <w:jc w:val="left"/>
            </w:pPr>
            <w:r>
              <w:rPr>
                <w:i/>
                <w:iCs/>
              </w:rPr>
              <w:t xml:space="preserve">"I got a 'You can't get there from here' message."</w:t>
            </w:r>
          </w:p>
        </w:tc>
        <w:tc>
          <w:tcPr/>
          <w:p>
            <w:pPr>
              <w:pStyle w:val="Compact"/>
              <w:jc w:val="left"/>
            </w:pPr>
            <w:r>
              <w:t xml:space="preserve">You may be on an untrusted network or an unmanaged device. Try from your work PC or connect to VPN first.</w:t>
            </w:r>
          </w:p>
        </w:tc>
      </w:tr>
    </w:tbl>
    <w:bookmarkEnd w:id="67"/>
    <w:bookmarkStart w:id="72" w:name="what-to-do-if-youre-blocked"/>
    <w:p>
      <w:pPr>
        <w:pStyle w:val="Heading3"/>
      </w:pPr>
      <w:r>
        <w:t xml:space="preserve">3.3 — What to Do If You’re Blocked</w:t>
      </w:r>
    </w:p>
    <w:p>
      <w:pPr>
        <w:pStyle w:val="FirstParagraph"/>
      </w:pPr>
      <w:r>
        <w:t xml:space="preserve">If you're unable to access a work resource, follow these steps:</w:t>
      </w:r>
    </w:p>
    <w:p>
      <w:pPr>
        <w:numPr>
          <w:ilvl w:val="0"/>
          <w:numId w:val="1023"/>
        </w:numPr>
      </w:pPr>
      <w:r>
        <w:rPr>
          <w:b/>
          <w:bCs/>
        </w:rPr>
        <w:t xml:space="preserve">Check the basics.</w:t>
      </w:r>
      <w:r>
        <w:t xml:space="preserve"> </w:t>
      </w:r>
      <w:r>
        <w:t xml:space="preserve">Are you on your work device? Are you connected to the office network or VPN?</w:t>
      </w:r>
    </w:p>
    <w:p>
      <w:pPr>
        <w:numPr>
          <w:ilvl w:val="0"/>
          <w:numId w:val="1023"/>
        </w:numPr>
      </w:pPr>
      <w:r>
        <w:rPr>
          <w:b/>
          <w:bCs/>
        </w:rPr>
        <w:t xml:space="preserve">Check for Windows Updates.</w:t>
      </w:r>
      <w:r>
        <w:t xml:space="preserve"> </w:t>
      </w:r>
      <w:r>
        <w:t xml:space="preserve">Go to</w:t>
      </w:r>
      <w:r>
        <w:t xml:space="preserve"> </w:t>
      </w:r>
      <w:r>
        <w:rPr>
          <w:b/>
          <w:bCs/>
        </w:rPr>
        <w:t xml:space="preserve">Settings → Windows Update</w:t>
      </w:r>
      <w:r>
        <w:t xml:space="preserve"> </w:t>
      </w:r>
      <w:r>
        <w:t xml:space="preserve">(Windows 11) or</w:t>
      </w:r>
      <w:r>
        <w:t xml:space="preserve"> </w:t>
      </w:r>
      <w:r>
        <w:rPr>
          <w:b/>
          <w:bCs/>
        </w:rPr>
        <w:t xml:space="preserve">Settings → Update &amp; Security → Windows Update</w:t>
      </w:r>
      <w:r>
        <w:t xml:space="preserve"> </w:t>
      </w:r>
      <w:r>
        <w:t xml:space="preserve">(Windows 10) and install any pending updates.</w:t>
      </w:r>
    </w:p>
    <w:p>
      <w:pPr>
        <w:numPr>
          <w:ilvl w:val="0"/>
          <w:numId w:val="1023"/>
        </w:numPr>
      </w:pPr>
      <w:r>
        <w:rPr>
          <w:b/>
          <w:bCs/>
        </w:rPr>
        <w:t xml:space="preserve">Update your Authenticator app.</w:t>
      </w:r>
      <w:r>
        <w:t xml:space="preserve"> </w:t>
      </w:r>
      <w:r>
        <w:t xml:space="preserve">Open your phone's app store and make sure Microsoft Authenticator is up to date.</w:t>
      </w:r>
    </w:p>
    <w:p>
      <w:pPr>
        <w:numPr>
          <w:ilvl w:val="0"/>
          <w:numId w:val="1023"/>
        </w:numPr>
      </w:pPr>
      <w:r>
        <w:rPr>
          <w:b/>
          <w:bCs/>
        </w:rPr>
        <w:t xml:space="preserve">Contact IT if still blocked.</w:t>
      </w:r>
      <w:r>
        <w:t xml:space="preserve"> </w:t>
      </w:r>
      <w:r>
        <w:t xml:space="preserve">Reach out to the IT Help Desk and be ready to share:</w:t>
      </w:r>
    </w:p>
    <w:p>
      <w:pPr>
        <w:numPr>
          <w:ilvl w:val="1"/>
          <w:numId w:val="1024"/>
        </w:numPr>
      </w:pPr>
      <w:r>
        <w:t xml:space="preserve">Your username</w:t>
      </w:r>
    </w:p>
    <w:p>
      <w:pPr>
        <w:numPr>
          <w:ilvl w:val="1"/>
          <w:numId w:val="1024"/>
        </w:numPr>
      </w:pPr>
      <w:r>
        <w:t xml:space="preserve">The app you were trying to access</w:t>
      </w:r>
    </w:p>
    <w:p>
      <w:pPr>
        <w:numPr>
          <w:ilvl w:val="1"/>
          <w:numId w:val="1024"/>
        </w:numPr>
      </w:pPr>
      <w:r>
        <w:t xml:space="preserve">The error message displayed</w:t>
      </w:r>
    </w:p>
    <w:p>
      <w:pPr>
        <w:numPr>
          <w:ilvl w:val="1"/>
          <w:numId w:val="1024"/>
        </w:numPr>
      </w:pPr>
      <w:r>
        <w:t xml:space="preserve">The</w:t>
      </w:r>
      <w:r>
        <w:t xml:space="preserve"> </w:t>
      </w:r>
      <w:r>
        <w:rPr>
          <w:b/>
          <w:bCs/>
        </w:rPr>
        <w:t xml:space="preserve">correlation ID</w:t>
      </w:r>
      <w:r>
        <w:t xml:space="preserve"> </w:t>
      </w:r>
      <w:r>
        <w:t xml:space="preserve">(shown at the bottom of the error page — see image below)</w:t>
      </w:r>
    </w:p>
    <w:bookmarkStart w:id="71" w:name="fig-end-user-training-image-04"/>
    <w:p>
      <w:pPr>
        <w:pStyle w:val="CaptionedFigure"/>
      </w:pPr>
      <w:r>
        <w:drawing>
          <wp:inline>
            <wp:extent cx="5334000" cy="5334000"/>
            <wp:effectExtent b="0" l="0" r="0" t="0"/>
            <wp:docPr descr="Conditional Access block-page mockup" title="" id="69" name="Picture"/>
            <a:graphic>
              <a:graphicData uri="http://schemas.openxmlformats.org/drawingml/2006/picture">
                <pic:pic>
                  <pic:nvPicPr>
                    <pic:cNvPr descr="/home/runner/work/modernization-workbook/modernization-workbook/docs/images/operational-guides/end-user-training-image-04-conditional-access-block-page-mo.png" id="70" name="Picture"/>
                    <pic:cNvPicPr>
                      <a:picLocks noChangeArrowheads="1" noChangeAspect="1"/>
                    </pic:cNvPicPr>
                  </pic:nvPicPr>
                  <pic:blipFill>
                    <a:blip r:embed="rId68"/>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Conditional Access block-page mockup</w:t>
      </w:r>
    </w:p>
    <w:bookmarkEnd w:id="71"/>
    <w:tbl>
      <w:tblPr>
        <w:tblStyle w:val="Table"/>
        <w:tblW w:type="pct" w:w="5023"/>
        <w:tblLayout w:type="fixed"/>
        <w:tblLook w:firstRow="0" w:lastRow="0" w:firstColumn="0" w:lastColumn="0" w:noHBand="0" w:noVBand="0" w:val="0000"/>
      </w:tblPr>
      <w:tblGrid>
        <w:gridCol w:w="7957"/>
      </w:tblGrid>
      <w:tr>
        <w:tc>
          <w:tcPr/>
          <w:p>
            <w:pPr>
              <w:pStyle w:val="FirstParagraph"/>
            </w:pPr>
            <w:r>
              <w:rPr>
                <w:b/>
                <w:bCs/>
              </w:rPr>
              <w:t xml:space="preserve">Tip — Screenshot the Error</w:t>
            </w:r>
          </w:p>
          <w:p>
            <w:pPr>
              <w:pStyle w:val="BodyText"/>
            </w:pPr>
            <w:r>
              <w:t xml:space="preserve">When you see a block or error page, take a quick screenshot (press</w:t>
            </w:r>
            <w:r>
              <w:t xml:space="preserve"> </w:t>
            </w:r>
            <w:r>
              <w:rPr>
                <w:b/>
                <w:bCs/>
              </w:rPr>
              <w:t xml:space="preserve">Win + Shift + S</w:t>
            </w:r>
            <w:r>
              <w:t xml:space="preserve">) before closing the page. This captures the correlation ID and error details, which makes it much faster for IT to help you.</w:t>
            </w:r>
          </w:p>
        </w:tc>
      </w:tr>
    </w:tbl>
    <w:bookmarkEnd w:id="72"/>
    <w:bookmarkEnd w:id="73"/>
    <w:bookmarkStart w:id="76" w:name="Xcdf3827117128c40d4f4cc71d5c7c1024133084"/>
    <w:p>
      <w:pPr>
        <w:pStyle w:val="Heading2"/>
      </w:pPr>
      <w:r>
        <w:t xml:space="preserve">4 — Certificate-Based Authentication (Entra CBA)</w:t>
      </w:r>
    </w:p>
    <w:bookmarkStart w:id="74" w:name="what-is-certificate-based-authentication"/>
    <w:p>
      <w:pPr>
        <w:pStyle w:val="Heading3"/>
      </w:pPr>
      <w:r>
        <w:t xml:space="preserve">4.1 — What Is Certificate-Based Authentication?</w:t>
      </w:r>
    </w:p>
    <w:p>
      <w:pPr>
        <w:pStyle w:val="FirstParagraph"/>
      </w:pPr>
      <w:r>
        <w:t xml:space="preserve">Some applications use</w:t>
      </w:r>
      <w:r>
        <w:t xml:space="preserve"> </w:t>
      </w:r>
      <w:r>
        <w:rPr>
          <w:b/>
          <w:bCs/>
        </w:rPr>
        <w:t xml:space="preserve">digital certificates</w:t>
      </w:r>
      <w:r>
        <w:t xml:space="preserve"> </w:t>
      </w:r>
      <w:r>
        <w:t xml:space="preserve">instead of passwords to verify your identity. Think of a certificate as a</w:t>
      </w:r>
      <w:r>
        <w:t xml:space="preserve"> </w:t>
      </w:r>
      <w:r>
        <w:rPr>
          <w:b/>
          <w:bCs/>
        </w:rPr>
        <w:t xml:space="preserve">digital ID card</w:t>
      </w:r>
      <w:r>
        <w:t xml:space="preserve"> </w:t>
      </w:r>
      <w:r>
        <w:t xml:space="preserve">stored securely on your device. It proves who you are without you typing anything — your device handles the entire process automatically behind the scenes.</w:t>
      </w:r>
    </w:p>
    <w:p>
      <w:pPr>
        <w:pStyle w:val="BodyText"/>
      </w:pPr>
      <w:r>
        <w:t xml:space="preserve">Here's the best part:</w:t>
      </w:r>
      <w:r>
        <w:t xml:space="preserve"> </w:t>
      </w:r>
      <w:r>
        <w:rPr>
          <w:b/>
          <w:bCs/>
        </w:rPr>
        <w:t xml:space="preserve">your IT team manages all the certificates for you.</w:t>
      </w:r>
      <w:r>
        <w:t xml:space="preserve"> </w:t>
      </w:r>
      <w:r>
        <w:t xml:space="preserve">You don't need to install, renew, or manage them yourself. They're deployed to your device automatically through Intune.</w:t>
      </w:r>
    </w:p>
    <w:bookmarkEnd w:id="74"/>
    <w:bookmarkStart w:id="75" w:name="what-youll-notice"/>
    <w:p>
      <w:pPr>
        <w:pStyle w:val="Heading3"/>
      </w:pPr>
      <w:r>
        <w:t xml:space="preserve">4.2 — What You’ll Notice</w:t>
      </w:r>
    </w:p>
    <w:p>
      <w:pPr>
        <w:numPr>
          <w:ilvl w:val="0"/>
          <w:numId w:val="1025"/>
        </w:numPr>
      </w:pPr>
      <w:r>
        <w:t xml:space="preserve">For apps that use certificate-based authentication, your device usually selects the right certificate automatically (IT can configure browsers to auto-select via Intune policy). You may not see any prompt at all.</w:t>
      </w:r>
    </w:p>
    <w:p>
      <w:pPr>
        <w:numPr>
          <w:ilvl w:val="0"/>
          <w:numId w:val="1025"/>
        </w:numPr>
      </w:pPr>
      <w:r>
        <w:t xml:space="preserve">If a</w:t>
      </w:r>
      <w:r>
        <w:t xml:space="preserve"> </w:t>
      </w:r>
      <w:r>
        <w:rPr>
          <w:b/>
          <w:bCs/>
        </w:rPr>
        <w:t xml:space="preserve">"Select a certificate"</w:t>
      </w:r>
      <w:r>
        <w:t xml:space="preserve"> </w:t>
      </w:r>
      <w:r>
        <w:t xml:space="preserve">popup</w:t>
      </w:r>
      <w:r>
        <w:t xml:space="preserve"> </w:t>
      </w:r>
      <w:r>
        <w:rPr>
          <w:i/>
          <w:iCs/>
        </w:rPr>
        <w:t xml:space="preserve">does</w:t>
      </w:r>
      <w:r>
        <w:t xml:space="preserve"> </w:t>
      </w:r>
      <w:r>
        <w:t xml:space="preserve">appear, choose the certificate that</w:t>
      </w:r>
      <w:r>
        <w:t xml:space="preserve"> </w:t>
      </w:r>
      <w:r>
        <w:rPr>
          <w:b/>
          <w:bCs/>
        </w:rPr>
        <w:t xml:space="preserve">matches your work email address</w:t>
      </w:r>
      <w:r>
        <w:t xml:space="preserve">. The issuer name will typically include your organization's name.</w:t>
      </w:r>
    </w:p>
    <w:p>
      <w:pPr>
        <w:numPr>
          <w:ilvl w:val="0"/>
          <w:numId w:val="1025"/>
        </w:numPr>
      </w:pPr>
      <w:r>
        <w:t xml:space="preserve">After you select it the first time, your browser</w:t>
      </w:r>
      <w:r>
        <w:t xml:space="preserve"> </w:t>
      </w:r>
      <w:r>
        <w:rPr>
          <w:b/>
          <w:bCs/>
        </w:rPr>
        <w:t xml:space="preserve">remembers your choice</w:t>
      </w:r>
      <w:r>
        <w:t xml:space="preserve"> </w:t>
      </w:r>
      <w:r>
        <w:t xml:space="preserve">— you won't be asked again for that app.</w:t>
      </w:r>
    </w:p>
    <w:p>
      <w:pPr>
        <w:numPr>
          <w:ilvl w:val="0"/>
          <w:numId w:val="1025"/>
        </w:numPr>
      </w:pPr>
      <w:r>
        <w:t xml:space="preserve">If your certificate expires,</w:t>
      </w:r>
      <w:r>
        <w:t xml:space="preserve"> </w:t>
      </w:r>
      <w:r>
        <w:rPr>
          <w:b/>
          <w:bCs/>
        </w:rPr>
        <w:t xml:space="preserve">IT will push a new one automatically</w:t>
      </w:r>
      <w:r>
        <w:t xml:space="preserve"> </w:t>
      </w:r>
      <w:r>
        <w:t xml:space="preserve">via Intune. You shouldn't need to do anything.</w:t>
      </w:r>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Tip — Picking the Right Certificate</w:t>
            </w:r>
          </w:p>
          <w:p>
            <w:pPr>
              <w:pStyle w:val="BodyText"/>
            </w:pPr>
            <w:r>
              <w:t xml:space="preserve">If you see a certificate prompt and aren't sure which one to pick, choose the one issued by your organization (the issuer name will include your company name). When in doubt, contact IT — they can confirm which certificate to select.</w:t>
            </w:r>
          </w:p>
        </w:tc>
      </w:tr>
    </w:tbl>
    <w:bookmarkEnd w:id="75"/>
    <w:bookmarkEnd w:id="76"/>
    <w:bookmarkStart w:id="85" w:name="onedrive-known-folder-move"/>
    <w:p>
      <w:pPr>
        <w:pStyle w:val="Heading2"/>
      </w:pPr>
      <w:r>
        <w:t xml:space="preserve">5 — OneDrive Known Folder Move</w:t>
      </w:r>
    </w:p>
    <w:bookmarkStart w:id="77" w:name="whats-happening-to-my-files"/>
    <w:p>
      <w:pPr>
        <w:pStyle w:val="Heading3"/>
      </w:pPr>
      <w:r>
        <w:t xml:space="preserve">5.1 — What’s Happening to My Files?</w:t>
      </w:r>
    </w:p>
    <w:p>
      <w:pPr>
        <w:pStyle w:val="FirstParagraph"/>
      </w:pPr>
      <w:r>
        <w:t xml:space="preserve">Your</w:t>
      </w:r>
      <w:r>
        <w:t xml:space="preserve"> </w:t>
      </w:r>
      <w:r>
        <w:rPr>
          <w:b/>
          <w:bCs/>
        </w:rPr>
        <w:t xml:space="preserve">Desktop</w:t>
      </w:r>
      <w:r>
        <w:t xml:space="preserve">,</w:t>
      </w:r>
      <w:r>
        <w:t xml:space="preserve"> </w:t>
      </w:r>
      <w:r>
        <w:rPr>
          <w:b/>
          <w:bCs/>
        </w:rPr>
        <w:t xml:space="preserve">Documents</w:t>
      </w:r>
      <w:r>
        <w:t xml:space="preserve">, and</w:t>
      </w:r>
      <w:r>
        <w:t xml:space="preserve"> </w:t>
      </w:r>
      <w:r>
        <w:rPr>
          <w:b/>
          <w:bCs/>
        </w:rPr>
        <w:t xml:space="preserve">Pictures</w:t>
      </w:r>
      <w:r>
        <w:t xml:space="preserve"> </w:t>
      </w:r>
      <w:r>
        <w:t xml:space="preserve">folders are being backed up to OneDrive — Microsoft's cloud storage service. This is called</w:t>
      </w:r>
      <w:r>
        <w:t xml:space="preserve"> </w:t>
      </w:r>
      <w:r>
        <w:rPr>
          <w:b/>
          <w:bCs/>
        </w:rPr>
        <w:t xml:space="preserve">Known Folder Move</w:t>
      </w:r>
      <w:r>
        <w:t xml:space="preserve">, and it's one of the best things happening in this transition.</w:t>
      </w:r>
    </w:p>
    <w:p>
      <w:pPr>
        <w:pStyle w:val="BodyText"/>
      </w:pPr>
      <w:r>
        <w:t xml:space="preserve">Here's what it means for you:</w:t>
      </w:r>
    </w:p>
    <w:p>
      <w:pPr>
        <w:numPr>
          <w:ilvl w:val="0"/>
          <w:numId w:val="1026"/>
        </w:numPr>
      </w:pPr>
      <w:r>
        <w:rPr>
          <w:b/>
          <w:bCs/>
        </w:rPr>
        <w:t xml:space="preserve">Your files are automatically backed up</w:t>
      </w:r>
      <w:r>
        <w:t xml:space="preserve"> </w:t>
      </w:r>
      <w:r>
        <w:t xml:space="preserve">to the cloud, so if your PC ever crashes, gets lost, or needs to be replaced, your files are safe and sound.</w:t>
      </w:r>
    </w:p>
    <w:p>
      <w:pPr>
        <w:numPr>
          <w:ilvl w:val="0"/>
          <w:numId w:val="1026"/>
        </w:numPr>
      </w:pPr>
      <w:r>
        <w:rPr>
          <w:b/>
          <w:bCs/>
        </w:rPr>
        <w:t xml:space="preserve">You can find your files in the same places on your PC.</w:t>
      </w:r>
      <w:r>
        <w:t xml:space="preserve"> </w:t>
      </w:r>
      <w:r>
        <w:t xml:space="preserve">Nothing moves on your screen — your Desktop is still your Desktop, your Documents folder is still your Documents folder.</w:t>
      </w:r>
    </w:p>
    <w:p>
      <w:pPr>
        <w:numPr>
          <w:ilvl w:val="0"/>
          <w:numId w:val="1026"/>
        </w:numPr>
      </w:pPr>
      <w:r>
        <w:rPr>
          <w:b/>
          <w:bCs/>
        </w:rPr>
        <w:t xml:space="preserve">Access your files from any device</w:t>
      </w:r>
      <w:r>
        <w:t xml:space="preserve"> </w:t>
      </w:r>
      <w:r>
        <w:t xml:space="preserve">— your phone, a loaner laptop, or a web browser at home.</w:t>
      </w:r>
    </w:p>
    <w:bookmarkEnd w:id="77"/>
    <w:bookmarkStart w:id="78" w:name="what-youll-see"/>
    <w:p>
      <w:pPr>
        <w:pStyle w:val="Heading3"/>
      </w:pPr>
      <w:r>
        <w:t xml:space="preserve">5.2 — What You’ll See</w:t>
      </w:r>
    </w:p>
    <w:p>
      <w:pPr>
        <w:pStyle w:val="FirstParagraph"/>
      </w:pPr>
      <w:r>
        <w:t xml:space="preserve">Here's the step-by-step experience when Known Folder Move activates:</w:t>
      </w:r>
    </w:p>
    <w:p>
      <w:pPr>
        <w:numPr>
          <w:ilvl w:val="0"/>
          <w:numId w:val="1027"/>
        </w:numPr>
      </w:pPr>
      <w:r>
        <w:rPr>
          <w:b/>
          <w:bCs/>
        </w:rPr>
        <w:t xml:space="preserve">A notification appears</w:t>
      </w:r>
      <w:r>
        <w:t xml:space="preserve"> </w:t>
      </w:r>
      <w:r>
        <w:t xml:space="preserve">saying</w:t>
      </w:r>
      <w:r>
        <w:t xml:space="preserve"> </w:t>
      </w:r>
      <w:r>
        <w:rPr>
          <w:i/>
          <w:iCs/>
        </w:rPr>
        <w:t xml:space="preserve">"Your IT administrator has enabled backup of your important folders."</w:t>
      </w:r>
    </w:p>
    <w:p>
      <w:pPr>
        <w:numPr>
          <w:ilvl w:val="0"/>
          <w:numId w:val="1027"/>
        </w:numPr>
      </w:pPr>
      <w:r>
        <w:rPr>
          <w:b/>
          <w:bCs/>
        </w:rPr>
        <w:t xml:space="preserve">Click "Start backup"</w:t>
      </w:r>
      <w:r>
        <w:t xml:space="preserve"> </w:t>
      </w:r>
      <w:r>
        <w:t xml:space="preserve">(or it may happen automatically, depending on your organization's settings).</w:t>
      </w:r>
    </w:p>
    <w:p>
      <w:pPr>
        <w:numPr>
          <w:ilvl w:val="0"/>
          <w:numId w:val="1027"/>
        </w:numPr>
      </w:pPr>
      <w:r>
        <w:rPr>
          <w:b/>
          <w:bCs/>
        </w:rPr>
        <w:t xml:space="preserve">Look for the OneDrive cloud icon</w:t>
      </w:r>
      <w:r>
        <w:t xml:space="preserve"> </w:t>
      </w:r>
      <w:r>
        <w:t xml:space="preserve">in your system tray (bottom-right corner of your screen, near the clock).</w:t>
      </w:r>
    </w:p>
    <w:p>
      <w:pPr>
        <w:numPr>
          <w:ilvl w:val="0"/>
          <w:numId w:val="1027"/>
        </w:numPr>
      </w:pPr>
      <w:r>
        <w:rPr>
          <w:b/>
          <w:bCs/>
        </w:rPr>
        <w:t xml:space="preserve">A blue sync icon</w:t>
      </w:r>
      <w:r>
        <w:t xml:space="preserve"> </w:t>
      </w:r>
      <w:r>
        <w:t xml:space="preserve">will appear briefly on your files as they upload to the cloud.</w:t>
      </w:r>
    </w:p>
    <w:p>
      <w:pPr>
        <w:numPr>
          <w:ilvl w:val="0"/>
          <w:numId w:val="1027"/>
        </w:numPr>
      </w:pPr>
      <w:r>
        <w:rPr>
          <w:b/>
          <w:bCs/>
        </w:rPr>
        <w:t xml:space="preserve">When complete, your files show a green checkmark</w:t>
      </w:r>
      <w:r>
        <w:t xml:space="preserve"> </w:t>
      </w:r>
      <w:r>
        <w:t xml:space="preserve">— they're safely backed up!</w:t>
      </w:r>
    </w:p>
    <w:bookmarkEnd w:id="78"/>
    <w:bookmarkStart w:id="83" w:name="working-with-onedrive-files"/>
    <w:p>
      <w:pPr>
        <w:pStyle w:val="Heading3"/>
      </w:pPr>
      <w:r>
        <w:t xml:space="preserve">5.3 — Working with OneDrive Files</w:t>
      </w:r>
    </w:p>
    <w:p>
      <w:pPr>
        <w:pStyle w:val="FirstParagraph"/>
      </w:pPr>
      <w:r>
        <w:t xml:space="preserve">Once Known Folder Move is active, you'll notice small status icons on your files in File Explorer. Here's what they mean:</w:t>
      </w:r>
    </w:p>
    <w:tbl>
      <w:tblPr>
        <w:tblStyle w:val="Table"/>
        <w:tblW w:type="pct" w:w="4912"/>
        <w:tblLayout w:type="fixed"/>
        <w:tblLook w:firstRow="1" w:lastRow="0" w:firstColumn="0" w:lastColumn="0" w:noHBand="0" w:noVBand="0" w:val="0020"/>
      </w:tblPr>
      <w:tblGrid>
        <w:gridCol w:w="764"/>
        <w:gridCol w:w="1945"/>
        <w:gridCol w:w="5071"/>
      </w:tblGrid>
      <w:tr>
        <w:trPr>
          <w:tblHeader w:val="on"/>
        </w:trPr>
        <w:tc>
          <w:tcPr/>
          <w:p>
            <w:pPr>
              <w:pStyle w:val="Compact"/>
              <w:jc w:val="left"/>
            </w:pPr>
            <w:r>
              <w:rPr>
                <w:b/>
                <w:bCs/>
              </w:rPr>
              <w:t xml:space="preserve">Icon</w:t>
            </w:r>
          </w:p>
        </w:tc>
        <w:tc>
          <w:tcPr/>
          <w:p>
            <w:pPr>
              <w:pStyle w:val="Compact"/>
              <w:jc w:val="left"/>
            </w:pPr>
            <w:r>
              <w:rPr>
                <w:b/>
                <w:bCs/>
              </w:rPr>
              <w:t xml:space="preserve">Status</w:t>
            </w:r>
          </w:p>
        </w:tc>
        <w:tc>
          <w:tcPr/>
          <w:p>
            <w:pPr>
              <w:pStyle w:val="Compact"/>
              <w:jc w:val="left"/>
            </w:pPr>
            <w:r>
              <w:rPr>
                <w:b/>
                <w:bCs/>
              </w:rPr>
              <w:t xml:space="preserve">What It Means</w:t>
            </w:r>
          </w:p>
        </w:tc>
      </w:tr>
      <w:tr>
        <w:tc>
          <w:tcPr/>
          <w:p>
            <w:pPr>
              <w:pStyle w:val="Compact"/>
              <w:jc w:val="left"/>
            </w:pPr>
            <w:r>
              <w:t xml:space="preserve">✔</w:t>
            </w:r>
          </w:p>
        </w:tc>
        <w:tc>
          <w:tcPr/>
          <w:p>
            <w:pPr>
              <w:pStyle w:val="Compact"/>
              <w:jc w:val="left"/>
            </w:pPr>
            <w:r>
              <w:rPr>
                <w:b/>
                <w:bCs/>
              </w:rPr>
              <w:t xml:space="preserve">Green checkmark</w:t>
            </w:r>
          </w:p>
        </w:tc>
        <w:tc>
          <w:tcPr/>
          <w:p>
            <w:pPr>
              <w:pStyle w:val="Compact"/>
              <w:jc w:val="left"/>
            </w:pPr>
            <w:r>
              <w:t xml:space="preserve">Saved on your PC</w:t>
            </w:r>
            <w:r>
              <w:t xml:space="preserve"> </w:t>
            </w:r>
            <w:r>
              <w:rPr>
                <w:i/>
                <w:iCs/>
              </w:rPr>
              <w:t xml:space="preserve">and</w:t>
            </w:r>
            <w:r>
              <w:t xml:space="preserve"> </w:t>
            </w:r>
            <w:r>
              <w:t xml:space="preserve">in the cloud — fully synced</w:t>
            </w:r>
          </w:p>
        </w:tc>
      </w:tr>
      <w:tr>
        <w:tc>
          <w:tcPr/>
          <w:p>
            <w:pPr>
              <w:pStyle w:val="Compact"/>
              <w:jc w:val="left"/>
            </w:pPr>
            <w:r>
              <w:t xml:space="preserve">☁</w:t>
            </w:r>
          </w:p>
        </w:tc>
        <w:tc>
          <w:tcPr/>
          <w:p>
            <w:pPr>
              <w:pStyle w:val="Compact"/>
              <w:jc w:val="left"/>
            </w:pPr>
            <w:r>
              <w:rPr>
                <w:b/>
                <w:bCs/>
              </w:rPr>
              <w:t xml:space="preserve">Blue cloud</w:t>
            </w:r>
          </w:p>
        </w:tc>
        <w:tc>
          <w:tcPr/>
          <w:p>
            <w:pPr>
              <w:pStyle w:val="Compact"/>
              <w:jc w:val="left"/>
            </w:pPr>
            <w:r>
              <w:t xml:space="preserve">Available online only — saves disk space; downloads when you open it</w:t>
            </w:r>
          </w:p>
        </w:tc>
      </w:tr>
      <w:tr>
        <w:tc>
          <w:tcPr/>
          <w:p>
            <w:pPr>
              <w:pStyle w:val="Compact"/>
              <w:jc w:val="left"/>
            </w:pPr>
            <w:r>
              <w:t xml:space="preserve">↻</w:t>
            </w:r>
          </w:p>
        </w:tc>
        <w:tc>
          <w:tcPr/>
          <w:p>
            <w:pPr>
              <w:pStyle w:val="Compact"/>
              <w:jc w:val="left"/>
            </w:pPr>
            <w:r>
              <w:rPr>
                <w:b/>
                <w:bCs/>
              </w:rPr>
              <w:t xml:space="preserve">Blue arrows (syncing)</w:t>
            </w:r>
          </w:p>
        </w:tc>
        <w:tc>
          <w:tcPr/>
          <w:p>
            <w:pPr>
              <w:pStyle w:val="Compact"/>
              <w:jc w:val="left"/>
            </w:pPr>
            <w:r>
              <w:t xml:space="preserve">Currently uploading or downloading — give it a moment</w:t>
            </w:r>
          </w:p>
        </w:tc>
      </w:tr>
      <w:tr>
        <w:tc>
          <w:tcPr/>
          <w:p>
            <w:pPr>
              <w:pStyle w:val="Compact"/>
              <w:jc w:val="left"/>
            </w:pPr>
            <w:r>
              <w:t xml:space="preserve">✘</w:t>
            </w:r>
          </w:p>
        </w:tc>
        <w:tc>
          <w:tcPr/>
          <w:p>
            <w:pPr>
              <w:pStyle w:val="Compact"/>
              <w:jc w:val="left"/>
            </w:pPr>
            <w:r>
              <w:rPr>
                <w:b/>
                <w:bCs/>
              </w:rPr>
              <w:t xml:space="preserve">Red X</w:t>
            </w:r>
          </w:p>
        </w:tc>
        <w:tc>
          <w:tcPr/>
          <w:p>
            <w:pPr>
              <w:pStyle w:val="Compact"/>
              <w:jc w:val="left"/>
            </w:pPr>
            <w:r>
              <w:t xml:space="preserve">Sync error — click the OneDrive icon in the system tray for details</w:t>
            </w:r>
          </w:p>
        </w:tc>
      </w:tr>
    </w:tbl>
    <w:p>
      <w:pPr>
        <w:pStyle w:val="BodyText"/>
      </w:pPr>
      <w:r>
        <w:rPr>
          <w:b/>
          <w:bCs/>
        </w:rPr>
        <w:t xml:space="preserve">Useful things you can do:</w:t>
      </w:r>
    </w:p>
    <w:p>
      <w:pPr>
        <w:numPr>
          <w:ilvl w:val="0"/>
          <w:numId w:val="1028"/>
        </w:numPr>
      </w:pPr>
      <w:r>
        <w:rPr>
          <w:b/>
          <w:bCs/>
        </w:rPr>
        <w:t xml:space="preserve">Keep a file available offline:</w:t>
      </w:r>
      <w:r>
        <w:t xml:space="preserve"> </w:t>
      </w:r>
      <w:r>
        <w:t xml:space="preserve">Right-click the file →</w:t>
      </w:r>
      <w:r>
        <w:t xml:space="preserve"> </w:t>
      </w:r>
      <w:r>
        <w:rPr>
          <w:i/>
          <w:iCs/>
        </w:rPr>
        <w:t xml:space="preserve">"Always keep on this device"</w:t>
      </w:r>
    </w:p>
    <w:p>
      <w:pPr>
        <w:numPr>
          <w:ilvl w:val="0"/>
          <w:numId w:val="1028"/>
        </w:numPr>
      </w:pPr>
      <w:r>
        <w:rPr>
          <w:b/>
          <w:bCs/>
        </w:rPr>
        <w:t xml:space="preserve">Share a file with a coworker:</w:t>
      </w:r>
      <w:r>
        <w:t xml:space="preserve"> </w:t>
      </w:r>
      <w:r>
        <w:t xml:space="preserve">Right-click →</w:t>
      </w:r>
      <w:r>
        <w:t xml:space="preserve"> </w:t>
      </w:r>
      <w:r>
        <w:rPr>
          <w:i/>
          <w:iCs/>
        </w:rPr>
        <w:t xml:space="preserve">"Share"</w:t>
      </w:r>
      <w:r>
        <w:t xml:space="preserve"> </w:t>
      </w:r>
      <w:r>
        <w:t xml:space="preserve">→ enter a name or email</w:t>
      </w:r>
    </w:p>
    <w:p>
      <w:pPr>
        <w:numPr>
          <w:ilvl w:val="0"/>
          <w:numId w:val="1028"/>
        </w:numPr>
      </w:pPr>
      <w:r>
        <w:rPr>
          <w:b/>
          <w:bCs/>
        </w:rPr>
        <w:t xml:space="preserve">Recover an older version:</w:t>
      </w:r>
      <w:r>
        <w:t xml:space="preserve"> </w:t>
      </w:r>
      <w:r>
        <w:t xml:space="preserve">Right-click →</w:t>
      </w:r>
      <w:r>
        <w:t xml:space="preserve"> </w:t>
      </w:r>
      <w:r>
        <w:rPr>
          <w:i/>
          <w:iCs/>
        </w:rPr>
        <w:t xml:space="preserve">"Version history"</w:t>
      </w:r>
      <w:r>
        <w:t xml:space="preserve"> </w:t>
      </w:r>
      <w:r>
        <w:t xml:space="preserve">to browse and restore previous versions</w:t>
      </w:r>
    </w:p>
    <w:bookmarkStart w:id="82" w:name="fig-end-user-training-image-05"/>
    <w:p>
      <w:pPr>
        <w:pStyle w:val="CaptionedFigure"/>
      </w:pPr>
      <w:r>
        <w:drawing>
          <wp:inline>
            <wp:extent cx="5334000" cy="5334000"/>
            <wp:effectExtent b="0" l="0" r="0" t="0"/>
            <wp:docPr descr="OneDrive sync status reference card" title="" id="80" name="Picture"/>
            <a:graphic>
              <a:graphicData uri="http://schemas.openxmlformats.org/drawingml/2006/picture">
                <pic:pic>
                  <pic:nvPicPr>
                    <pic:cNvPr descr="/home/runner/work/modernization-workbook/modernization-workbook/docs/images/operational-guides/end-user-training-image-05-onedrive-sync-status-reference-c.png" id="81" name="Picture"/>
                    <pic:cNvPicPr>
                      <a:picLocks noChangeArrowheads="1" noChangeAspect="1"/>
                    </pic:cNvPicPr>
                  </pic:nvPicPr>
                  <pic:blipFill>
                    <a:blip r:embed="rId7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OneDrive sync status reference card</w:t>
      </w:r>
    </w:p>
    <w:bookmarkEnd w:id="82"/>
    <w:bookmarkEnd w:id="83"/>
    <w:bookmarkStart w:id="84" w:name="what-about-my-mapped-drives-h-s-etc."/>
    <w:p>
      <w:pPr>
        <w:pStyle w:val="Heading3"/>
      </w:pPr>
      <w:r>
        <w:t xml:space="preserve">5.4 — What About My Mapped Drives (H:, S:, etc.)?</w:t>
      </w:r>
    </w:p>
    <w:p>
      <w:pPr>
        <w:pStyle w:val="FirstParagraph"/>
      </w:pPr>
      <w:r>
        <w:t xml:space="preserve">If you currently use mapped network drives (like H: for your personal drive or S: for a shared team drive), here's what to expect:</w:t>
      </w:r>
    </w:p>
    <w:p>
      <w:pPr>
        <w:numPr>
          <w:ilvl w:val="0"/>
          <w:numId w:val="1029"/>
        </w:numPr>
      </w:pPr>
      <w:r>
        <w:rPr>
          <w:b/>
          <w:bCs/>
        </w:rPr>
        <w:t xml:space="preserve">Personal drives (H:)</w:t>
      </w:r>
      <w:r>
        <w:t xml:space="preserve"> </w:t>
      </w:r>
      <w:r>
        <w:t xml:space="preserve">are being replaced by</w:t>
      </w:r>
      <w:r>
        <w:t xml:space="preserve"> </w:t>
      </w:r>
      <w:r>
        <w:rPr>
          <w:b/>
          <w:bCs/>
        </w:rPr>
        <w:t xml:space="preserve">OneDrive</w:t>
      </w:r>
      <w:r>
        <w:t xml:space="preserve">. Your Known Folder Move (above) handles this transition.</w:t>
      </w:r>
    </w:p>
    <w:p>
      <w:pPr>
        <w:numPr>
          <w:ilvl w:val="0"/>
          <w:numId w:val="1029"/>
        </w:numPr>
      </w:pPr>
      <w:r>
        <w:rPr>
          <w:b/>
          <w:bCs/>
        </w:rPr>
        <w:t xml:space="preserve">Shared/team drives (S:, etc.)</w:t>
      </w:r>
      <w:r>
        <w:t xml:space="preserve"> </w:t>
      </w:r>
      <w:r>
        <w:t xml:space="preserve">are moving to</w:t>
      </w:r>
      <w:r>
        <w:t xml:space="preserve"> </w:t>
      </w:r>
      <w:r>
        <w:rPr>
          <w:b/>
          <w:bCs/>
        </w:rPr>
        <w:t xml:space="preserve">SharePoint team sites</w:t>
      </w:r>
      <w:r>
        <w:t xml:space="preserve">. Your team's files will be accessible at your tenant SharePoint URL (your IT team will share the exact address — it looks like</w:t>
      </w:r>
      <w:r>
        <w:t xml:space="preserve"> </w:t>
      </w:r>
      <w:r>
        <w:rPr>
          <w:rStyle w:val="VerbatimChar"/>
        </w:rPr>
        <w:t xml:space="preserve">https://&lt;your-tenant&gt;.sharepoint.com</w:t>
      </w:r>
      <w:r>
        <w:t xml:space="preserve">) or by syncing SharePoint libraries to File Explorer.</w:t>
      </w:r>
    </w:p>
    <w:p>
      <w:pPr>
        <w:numPr>
          <w:ilvl w:val="0"/>
          <w:numId w:val="1029"/>
        </w:numPr>
      </w:pPr>
      <w:r>
        <w:rPr>
          <w:b/>
          <w:bCs/>
        </w:rPr>
        <w:t xml:space="preserve">During the transition, both old drives and new locations will be available</w:t>
      </w:r>
      <w:r>
        <w:t xml:space="preserve"> </w:t>
      </w:r>
      <w:r>
        <w:t xml:space="preserve">side by side, so you won't lose access to anything.</w:t>
      </w:r>
    </w:p>
    <w:p>
      <w:pPr>
        <w:numPr>
          <w:ilvl w:val="0"/>
          <w:numId w:val="1029"/>
        </w:numPr>
      </w:pPr>
      <w:r>
        <w:t xml:space="preserve">Your IT team will communicate the</w:t>
      </w:r>
      <w:r>
        <w:t xml:space="preserve"> </w:t>
      </w:r>
      <w:r>
        <w:rPr>
          <w:b/>
          <w:bCs/>
        </w:rPr>
        <w:t xml:space="preserve">specific timeline</w:t>
      </w:r>
      <w:r>
        <w:t xml:space="preserve"> </w:t>
      </w:r>
      <w:r>
        <w:t xml:space="preserve">for your team's migration from mapped drives to SharePoint.</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Important</w:t>
            </w:r>
          </w:p>
          <w:p>
            <w:pPr>
              <w:pStyle w:val="BodyText"/>
            </w:pPr>
            <w:r>
              <w:t xml:space="preserve">Don't delete files from the old mapped drives yourself. IT will handle the migration and decommission of old drives on a coordinated schedule. If you delete files prematurely, they may not be recoverable.</w:t>
            </w:r>
          </w:p>
        </w:tc>
      </w:tr>
    </w:tbl>
    <w:bookmarkEnd w:id="84"/>
    <w:bookmarkEnd w:id="85"/>
    <w:bookmarkStart w:id="94" w:name="intune-company-portal"/>
    <w:p>
      <w:pPr>
        <w:pStyle w:val="Heading2"/>
      </w:pPr>
      <w:r>
        <w:t xml:space="preserve">6 — Intune Company Portal</w:t>
      </w:r>
    </w:p>
    <w:bookmarkStart w:id="86" w:name="what-is-company-portal"/>
    <w:p>
      <w:pPr>
        <w:pStyle w:val="Heading3"/>
      </w:pPr>
      <w:r>
        <w:t xml:space="preserve">6.1 — What Is Company Portal?</w:t>
      </w:r>
    </w:p>
    <w:p>
      <w:pPr>
        <w:pStyle w:val="FirstParagraph"/>
      </w:pPr>
      <w:r>
        <w:rPr>
          <w:b/>
          <w:bCs/>
        </w:rPr>
        <w:t xml:space="preserve">Company Portal</w:t>
      </w:r>
      <w:r>
        <w:t xml:space="preserve"> </w:t>
      </w:r>
      <w:r>
        <w:t xml:space="preserve">is your one-stop shop for work applications. Think of it like an app store — but specifically for apps that have been approved and configured by your IT team. It also shows you the compliance status of your device, so you can make sure everything is up to date.</w:t>
      </w:r>
    </w:p>
    <w:bookmarkEnd w:id="86"/>
    <w:bookmarkStart w:id="87" w:name="installing-company-portal"/>
    <w:p>
      <w:pPr>
        <w:pStyle w:val="Heading3"/>
      </w:pPr>
      <w:r>
        <w:t xml:space="preserve">6.2 — Installing Company Portal</w:t>
      </w:r>
    </w:p>
    <w:tbl>
      <w:tblPr>
        <w:tblStyle w:val="Table"/>
        <w:tblW w:type="pct" w:w="4898"/>
        <w:tblLayout w:type="fixed"/>
        <w:tblLook w:firstRow="1" w:lastRow="0" w:firstColumn="0" w:lastColumn="0" w:noHBand="0" w:noVBand="0" w:val="0020"/>
      </w:tblPr>
      <w:tblGrid>
        <w:gridCol w:w="1939"/>
        <w:gridCol w:w="5818"/>
      </w:tblGrid>
      <w:tr>
        <w:trPr>
          <w:tblHeader w:val="on"/>
        </w:trPr>
        <w:tc>
          <w:tcPr/>
          <w:p>
            <w:pPr>
              <w:pStyle w:val="Compact"/>
              <w:jc w:val="left"/>
            </w:pPr>
            <w:r>
              <w:rPr>
                <w:b/>
                <w:bCs/>
              </w:rPr>
              <w:t xml:space="preserve">Platform</w:t>
            </w:r>
          </w:p>
        </w:tc>
        <w:tc>
          <w:tcPr/>
          <w:p>
            <w:pPr>
              <w:pStyle w:val="Compact"/>
              <w:jc w:val="left"/>
            </w:pPr>
            <w:r>
              <w:rPr>
                <w:b/>
                <w:bCs/>
              </w:rPr>
              <w:t xml:space="preserve">How to Get It</w:t>
            </w:r>
          </w:p>
        </w:tc>
      </w:tr>
      <w:tr>
        <w:tc>
          <w:tcPr/>
          <w:p>
            <w:pPr>
              <w:pStyle w:val="Compact"/>
              <w:jc w:val="left"/>
            </w:pPr>
            <w:r>
              <w:rPr>
                <w:b/>
                <w:bCs/>
              </w:rPr>
              <w:t xml:space="preserve">Windows</w:t>
            </w:r>
          </w:p>
        </w:tc>
        <w:tc>
          <w:tcPr/>
          <w:p>
            <w:pPr>
              <w:pStyle w:val="Compact"/>
              <w:jc w:val="left"/>
            </w:pPr>
            <w:r>
              <w:t xml:space="preserve">Pre-installed on managed devices, or install from the Microsoft Store</w:t>
            </w:r>
          </w:p>
        </w:tc>
      </w:tr>
      <w:tr>
        <w:tc>
          <w:tcPr/>
          <w:p>
            <w:pPr>
              <w:pStyle w:val="Compact"/>
              <w:jc w:val="left"/>
            </w:pPr>
            <w:r>
              <w:rPr>
                <w:b/>
                <w:bCs/>
              </w:rPr>
              <w:t xml:space="preserve">iOS (iPhone/iPad)</w:t>
            </w:r>
          </w:p>
        </w:tc>
        <w:tc>
          <w:tcPr/>
          <w:p>
            <w:pPr>
              <w:pStyle w:val="Compact"/>
              <w:jc w:val="left"/>
            </w:pPr>
            <w:r>
              <w:t xml:space="preserve">Download from the Apple App Store</w:t>
            </w:r>
          </w:p>
        </w:tc>
      </w:tr>
      <w:tr>
        <w:tc>
          <w:tcPr/>
          <w:p>
            <w:pPr>
              <w:pStyle w:val="Compact"/>
              <w:jc w:val="left"/>
            </w:pPr>
            <w:r>
              <w:rPr>
                <w:b/>
                <w:bCs/>
              </w:rPr>
              <w:t xml:space="preserve">Android</w:t>
            </w:r>
          </w:p>
        </w:tc>
        <w:tc>
          <w:tcPr/>
          <w:p>
            <w:pPr>
              <w:pStyle w:val="Compact"/>
              <w:jc w:val="left"/>
            </w:pPr>
            <w:r>
              <w:t xml:space="preserve">Download from the Google Play Store</w:t>
            </w:r>
          </w:p>
        </w:tc>
      </w:tr>
    </w:tbl>
    <w:p>
      <w:pPr>
        <w:pStyle w:val="BodyText"/>
      </w:pPr>
      <w:r>
        <w:t xml:space="preserve">Once installed,</w:t>
      </w:r>
      <w:r>
        <w:t xml:space="preserve"> </w:t>
      </w:r>
      <w:r>
        <w:rPr>
          <w:b/>
          <w:bCs/>
        </w:rPr>
        <w:t xml:space="preserve">sign in with your work email address</w:t>
      </w:r>
      <w:r>
        <w:t xml:space="preserve"> </w:t>
      </w:r>
      <w:r>
        <w:t xml:space="preserve">to see your available apps and device status.</w:t>
      </w:r>
    </w:p>
    <w:bookmarkEnd w:id="87"/>
    <w:bookmarkStart w:id="88" w:name="using-company-portal"/>
    <w:p>
      <w:pPr>
        <w:pStyle w:val="Heading3"/>
      </w:pPr>
      <w:r>
        <w:t xml:space="preserve">6.3 — Using Company Portal</w:t>
      </w:r>
    </w:p>
    <w:p>
      <w:pPr>
        <w:numPr>
          <w:ilvl w:val="0"/>
          <w:numId w:val="1030"/>
        </w:numPr>
      </w:pPr>
      <w:r>
        <w:rPr>
          <w:b/>
          <w:bCs/>
        </w:rPr>
        <w:t xml:space="preserve">Browse available apps:</w:t>
      </w:r>
      <w:r>
        <w:t xml:space="preserve"> </w:t>
      </w:r>
      <w:r>
        <w:t xml:space="preserve">Open Company Portal → click the</w:t>
      </w:r>
      <w:r>
        <w:t xml:space="preserve"> </w:t>
      </w:r>
      <w:r>
        <w:rPr>
          <w:b/>
          <w:bCs/>
        </w:rPr>
        <w:t xml:space="preserve">"Apps"</w:t>
      </w:r>
      <w:r>
        <w:t xml:space="preserve"> </w:t>
      </w:r>
      <w:r>
        <w:t xml:space="preserve">tab to see all applications available to you.</w:t>
      </w:r>
    </w:p>
    <w:p>
      <w:pPr>
        <w:numPr>
          <w:ilvl w:val="0"/>
          <w:numId w:val="1030"/>
        </w:numPr>
      </w:pPr>
      <w:r>
        <w:rPr>
          <w:b/>
          <w:bCs/>
        </w:rPr>
        <w:t xml:space="preserve">Install an app:</w:t>
      </w:r>
      <w:r>
        <w:t xml:space="preserve"> </w:t>
      </w:r>
      <w:r>
        <w:t xml:space="preserve">Click the app you need → click</w:t>
      </w:r>
      <w:r>
        <w:t xml:space="preserve"> </w:t>
      </w:r>
      <w:r>
        <w:rPr>
          <w:b/>
          <w:bCs/>
        </w:rPr>
        <w:t xml:space="preserve">"Install"</w:t>
      </w:r>
      <w:r>
        <w:t xml:space="preserve"> </w:t>
      </w:r>
      <w:r>
        <w:t xml:space="preserve">→ follow any prompts. The app installs automatically.</w:t>
      </w:r>
    </w:p>
    <w:p>
      <w:pPr>
        <w:numPr>
          <w:ilvl w:val="0"/>
          <w:numId w:val="1030"/>
        </w:numPr>
      </w:pPr>
      <w:r>
        <w:rPr>
          <w:b/>
          <w:bCs/>
        </w:rPr>
        <w:t xml:space="preserve">Check device compliance:</w:t>
      </w:r>
      <w:r>
        <w:t xml:space="preserve"> </w:t>
      </w:r>
      <w:r>
        <w:t xml:space="preserve">Click the</w:t>
      </w:r>
      <w:r>
        <w:t xml:space="preserve"> </w:t>
      </w:r>
      <w:r>
        <w:rPr>
          <w:b/>
          <w:bCs/>
        </w:rPr>
        <w:t xml:space="preserve">"Devices"</w:t>
      </w:r>
      <w:r>
        <w:t xml:space="preserve"> </w:t>
      </w:r>
      <w:r>
        <w:t xml:space="preserve">tab → select your device → view your compliance status.</w:t>
      </w:r>
    </w:p>
    <w:p>
      <w:pPr>
        <w:numPr>
          <w:ilvl w:val="0"/>
          <w:numId w:val="1030"/>
        </w:numPr>
      </w:pPr>
      <w:r>
        <w:rPr>
          <w:b/>
          <w:bCs/>
        </w:rPr>
        <w:t xml:space="preserve">Fix compliance issues:</w:t>
      </w:r>
      <w:r>
        <w:t xml:space="preserve"> </w:t>
      </w:r>
      <w:r>
        <w:t xml:space="preserve">If your device shows</w:t>
      </w:r>
      <w:r>
        <w:t xml:space="preserve"> </w:t>
      </w:r>
      <w:r>
        <w:rPr>
          <w:i/>
          <w:iCs/>
        </w:rPr>
        <w:t xml:space="preserve">"Not compliant,"</w:t>
      </w:r>
      <w:r>
        <w:t xml:space="preserve"> </w:t>
      </w:r>
      <w:r>
        <w:t xml:space="preserve">click on the issue to see what needs to be fixed. It's usually a pending Windows update or a security setting that needs to be enabled.</w:t>
      </w:r>
    </w:p>
    <w:bookmarkEnd w:id="88"/>
    <w:bookmarkStart w:id="93" w:name="enrolling-a-new-device"/>
    <w:p>
      <w:pPr>
        <w:pStyle w:val="Heading3"/>
      </w:pPr>
      <w:r>
        <w:t xml:space="preserve">6.4 — Enrolling a New Device</w:t>
      </w:r>
    </w:p>
    <w:p>
      <w:pPr>
        <w:pStyle w:val="FirstParagraph"/>
      </w:pPr>
      <w:r>
        <w:t xml:space="preserve">If you receive a new work PC or need to enroll your device in management, follow these steps:</w:t>
      </w:r>
    </w:p>
    <w:p>
      <w:pPr>
        <w:numPr>
          <w:ilvl w:val="0"/>
          <w:numId w:val="1031"/>
        </w:numPr>
      </w:pPr>
      <w:r>
        <w:t xml:space="preserve">Go to</w:t>
      </w:r>
      <w:r>
        <w:t xml:space="preserve"> </w:t>
      </w:r>
      <w:r>
        <w:rPr>
          <w:b/>
          <w:bCs/>
        </w:rPr>
        <w:t xml:space="preserve">Settings → Accounts → "Access work or school" → "Connect."</w:t>
      </w:r>
    </w:p>
    <w:p>
      <w:pPr>
        <w:numPr>
          <w:ilvl w:val="0"/>
          <w:numId w:val="1031"/>
        </w:numPr>
      </w:pPr>
      <w:r>
        <w:t xml:space="preserve">Enter your</w:t>
      </w:r>
      <w:r>
        <w:t xml:space="preserve"> </w:t>
      </w:r>
      <w:r>
        <w:rPr>
          <w:b/>
          <w:bCs/>
        </w:rPr>
        <w:t xml:space="preserve">work email address</w:t>
      </w:r>
      <w:r>
        <w:t xml:space="preserve"> </w:t>
      </w:r>
      <w:r>
        <w:t xml:space="preserve">and follow the on-screen prompts.</w:t>
      </w:r>
    </w:p>
    <w:p>
      <w:pPr>
        <w:numPr>
          <w:ilvl w:val="0"/>
          <w:numId w:val="1031"/>
        </w:numPr>
      </w:pPr>
      <w:r>
        <w:rPr>
          <w:b/>
          <w:bCs/>
        </w:rPr>
        <w:t xml:space="preserve">Company Portal will install automatically</w:t>
      </w:r>
      <w:r>
        <w:t xml:space="preserve"> </w:t>
      </w:r>
      <w:r>
        <w:t xml:space="preserve">once enrollment is complete.</w:t>
      </w:r>
    </w:p>
    <w:p>
      <w:pPr>
        <w:numPr>
          <w:ilvl w:val="0"/>
          <w:numId w:val="1031"/>
        </w:numPr>
      </w:pPr>
      <w:r>
        <w:t xml:space="preserve">Your device will begin receiving</w:t>
      </w:r>
      <w:r>
        <w:t xml:space="preserve"> </w:t>
      </w:r>
      <w:r>
        <w:rPr>
          <w:b/>
          <w:bCs/>
        </w:rPr>
        <w:t xml:space="preserve">security policies</w:t>
      </w:r>
      <w:r>
        <w:t xml:space="preserve"> </w:t>
      </w:r>
      <w:r>
        <w:t xml:space="preserve">and</w:t>
      </w:r>
      <w:r>
        <w:t xml:space="preserve"> </w:t>
      </w:r>
      <w:r>
        <w:rPr>
          <w:b/>
          <w:bCs/>
        </w:rPr>
        <w:t xml:space="preserve">approved apps</w:t>
      </w:r>
      <w:r>
        <w:t xml:space="preserve"> </w:t>
      </w:r>
      <w:r>
        <w:t xml:space="preserve">from your IT team.</w:t>
      </w:r>
    </w:p>
    <w:bookmarkStart w:id="92" w:name="fig-end-user-training-image-06"/>
    <w:p>
      <w:pPr>
        <w:pStyle w:val="CaptionedFigure"/>
      </w:pPr>
      <w:r>
        <w:drawing>
          <wp:inline>
            <wp:extent cx="5334000" cy="5334000"/>
            <wp:effectExtent b="0" l="0" r="0" t="0"/>
            <wp:docPr descr="Microsoft Intune Company Portal main-screen mockup, Windows 11 styling" title="" id="90" name="Picture"/>
            <a:graphic>
              <a:graphicData uri="http://schemas.openxmlformats.org/drawingml/2006/picture">
                <pic:pic>
                  <pic:nvPicPr>
                    <pic:cNvPr descr="/home/runner/work/modernization-workbook/modernization-workbook/docs/images/operational-guides/end-user-training-image-06-microsoft-intune-company-portal.png" id="91" name="Picture"/>
                    <pic:cNvPicPr>
                      <a:picLocks noChangeArrowheads="1" noChangeAspect="1"/>
                    </pic:cNvPicPr>
                  </pic:nvPicPr>
                  <pic:blipFill>
                    <a:blip r:embed="rId8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Microsoft Intune Company Portal main-screen mockup, Windows 11 styling</w:t>
      </w:r>
    </w:p>
    <w:bookmarkEnd w:id="92"/>
    <w:tbl>
      <w:tblPr>
        <w:tblStyle w:val="Table"/>
        <w:tblW w:type="pct" w:w="5026"/>
        <w:tblLayout w:type="fixed"/>
        <w:tblLook w:firstRow="0" w:lastRow="0" w:firstColumn="0" w:lastColumn="0" w:noHBand="0" w:noVBand="0" w:val="0000"/>
      </w:tblPr>
      <w:tblGrid>
        <w:gridCol w:w="7961"/>
      </w:tblGrid>
      <w:tr>
        <w:tc>
          <w:tcPr/>
          <w:p>
            <w:pPr>
              <w:pStyle w:val="FirstParagraph"/>
            </w:pPr>
            <w:r>
              <w:rPr>
                <w:b/>
                <w:bCs/>
              </w:rPr>
              <w:t xml:space="preserve">Tip — Bookmark Company Portal</w:t>
            </w:r>
          </w:p>
          <w:p>
            <w:pPr>
              <w:pStyle w:val="BodyText"/>
            </w:pPr>
            <w:r>
              <w:t xml:space="preserve">Pin Company Portal to your taskbar for quick access. Right-click the Company Portal icon →</w:t>
            </w:r>
            <w:r>
              <w:t xml:space="preserve"> </w:t>
            </w:r>
            <w:r>
              <w:rPr>
                <w:i/>
                <w:iCs/>
              </w:rPr>
              <w:t xml:space="preserve">"Pin to taskbar."</w:t>
            </w:r>
            <w:r>
              <w:t xml:space="preserve"> </w:t>
            </w:r>
            <w:r>
              <w:t xml:space="preserve">This way, installing new apps or checking compliance is always one click away.</w:t>
            </w:r>
          </w:p>
        </w:tc>
      </w:tr>
    </w:tbl>
    <w:bookmarkEnd w:id="93"/>
    <w:bookmarkEnd w:id="94"/>
    <w:bookmarkStart w:id="100" w:name="self-service-password-reset-sspr"/>
    <w:p>
      <w:pPr>
        <w:pStyle w:val="Heading2"/>
      </w:pPr>
      <w:r>
        <w:t xml:space="preserve">7 — Self-Service Password Reset (SSPR)</w:t>
      </w:r>
    </w:p>
    <w:bookmarkStart w:id="95" w:name="setting-up-sspr"/>
    <w:p>
      <w:pPr>
        <w:pStyle w:val="Heading3"/>
      </w:pPr>
      <w:r>
        <w:t xml:space="preserve">7.1 — Setting Up SSPR</w:t>
      </w:r>
    </w:p>
    <w:p>
      <w:pPr>
        <w:pStyle w:val="FirstParagraph"/>
      </w:pPr>
      <w:r>
        <w:t xml:space="preserve">Before you ever need to reset your password, take five minutes to set up your recovery methods. This way, if you're ever locked out, you can get back in on your own — no help desk call needed.</w:t>
      </w:r>
    </w:p>
    <w:p>
      <w:pPr>
        <w:numPr>
          <w:ilvl w:val="0"/>
          <w:numId w:val="1032"/>
        </w:numPr>
      </w:pPr>
      <w:r>
        <w:t xml:space="preserve">Open your browser and go to</w:t>
      </w:r>
      <w:r>
        <w:t xml:space="preserve"> </w:t>
      </w:r>
      <w:r>
        <w:rPr>
          <w:b/>
          <w:bCs/>
        </w:rPr>
        <w:t xml:space="preserve">https://mysignins.microsoft.com</w:t>
      </w:r>
      <w:r>
        <w:t xml:space="preserve">.</w:t>
      </w:r>
    </w:p>
    <w:p>
      <w:pPr>
        <w:numPr>
          <w:ilvl w:val="0"/>
          <w:numId w:val="1032"/>
        </w:numPr>
      </w:pPr>
      <w:r>
        <w:t xml:space="preserve">Click</w:t>
      </w:r>
      <w:r>
        <w:t xml:space="preserve"> </w:t>
      </w:r>
      <w:r>
        <w:rPr>
          <w:b/>
          <w:bCs/>
        </w:rPr>
        <w:t xml:space="preserve">"Security info."</w:t>
      </w:r>
    </w:p>
    <w:p>
      <w:pPr>
        <w:numPr>
          <w:ilvl w:val="0"/>
          <w:numId w:val="1032"/>
        </w:numPr>
      </w:pPr>
      <w:r>
        <w:t xml:space="preserve">Make sure you have</w:t>
      </w:r>
      <w:r>
        <w:t xml:space="preserve"> </w:t>
      </w:r>
      <w:r>
        <w:rPr>
          <w:b/>
          <w:bCs/>
        </w:rPr>
        <w:t xml:space="preserve">at least TWO methods</w:t>
      </w:r>
      <w:r>
        <w:t xml:space="preserve"> </w:t>
      </w:r>
      <w:r>
        <w:t xml:space="preserve">registered from the following:</w:t>
      </w:r>
    </w:p>
    <w:p>
      <w:pPr>
        <w:numPr>
          <w:ilvl w:val="1"/>
          <w:numId w:val="1033"/>
        </w:numPr>
      </w:pPr>
      <w:r>
        <w:rPr>
          <w:b/>
          <w:bCs/>
        </w:rPr>
        <w:t xml:space="preserve">Microsoft Authenticator app</w:t>
      </w:r>
      <w:r>
        <w:t xml:space="preserve"> </w:t>
      </w:r>
      <w:r>
        <w:t xml:space="preserve">(recommended — you may have already set this up in Section 2)</w:t>
      </w:r>
    </w:p>
    <w:p>
      <w:pPr>
        <w:numPr>
          <w:ilvl w:val="1"/>
          <w:numId w:val="1033"/>
        </w:numPr>
      </w:pPr>
      <w:r>
        <w:rPr>
          <w:b/>
          <w:bCs/>
        </w:rPr>
        <w:t xml:space="preserve">Phone number</w:t>
      </w:r>
      <w:r>
        <w:t xml:space="preserve"> </w:t>
      </w:r>
      <w:r>
        <w:t xml:space="preserve">(for SMS text codes or phone calls)</w:t>
      </w:r>
    </w:p>
    <w:p>
      <w:pPr>
        <w:numPr>
          <w:ilvl w:val="1"/>
          <w:numId w:val="1033"/>
        </w:numPr>
      </w:pPr>
      <w:r>
        <w:rPr>
          <w:b/>
          <w:bCs/>
        </w:rPr>
        <w:t xml:space="preserve">Alternate email</w:t>
      </w:r>
      <w:r>
        <w:t xml:space="preserve"> </w:t>
      </w:r>
      <w:r>
        <w:t xml:space="preserve">(a personal email address for recovery)</w:t>
      </w:r>
    </w:p>
    <w:tbl>
      <w:tblPr>
        <w:tblStyle w:val="Table"/>
        <w:tblW w:type="pct" w:w="5026"/>
        <w:tblLayout w:type="fixed"/>
        <w:tblLook w:firstRow="0" w:lastRow="0" w:firstColumn="0" w:lastColumn="0" w:noHBand="0" w:noVBand="0" w:val="0000"/>
      </w:tblPr>
      <w:tblGrid>
        <w:gridCol w:w="7961"/>
      </w:tblGrid>
      <w:tr>
        <w:tc>
          <w:tcPr/>
          <w:p>
            <w:pPr>
              <w:pStyle w:val="FirstParagraph"/>
            </w:pPr>
            <w:r>
              <w:rPr>
                <w:b/>
                <w:bCs/>
              </w:rPr>
              <w:t xml:space="preserve">Important — Do This Now</w:t>
            </w:r>
          </w:p>
          <w:p>
            <w:pPr>
              <w:pStyle w:val="BodyText"/>
            </w:pPr>
            <w:r>
              <w:t xml:space="preserve">Don't wait until you're locked out to set up SSPR. Take a moment right now to go to https://mysignins.microsoft.com and register your recovery methods. Future-you will thank present-you!</w:t>
            </w:r>
          </w:p>
        </w:tc>
      </w:tr>
    </w:tbl>
    <w:bookmarkEnd w:id="95"/>
    <w:bookmarkStart w:id="98" w:name="resetting-your-password"/>
    <w:p>
      <w:pPr>
        <w:pStyle w:val="Heading3"/>
      </w:pPr>
      <w:r>
        <w:t xml:space="preserve">7.2 — Resetting Your Password</w:t>
      </w:r>
    </w:p>
    <w:p>
      <w:pPr>
        <w:pStyle w:val="FirstParagraph"/>
      </w:pPr>
      <w:r>
        <w:t xml:space="preserve">If you forget your password or it expires, you have two ways to reset it:</w:t>
      </w:r>
    </w:p>
    <w:bookmarkStart w:id="96" w:name="option-a-from-the-windows-sign-in-screen"/>
    <w:p>
      <w:pPr>
        <w:pStyle w:val="Heading4"/>
      </w:pPr>
      <w:r>
        <w:t xml:space="preserve">Option A — From the Windows Sign-In Screen</w:t>
      </w:r>
    </w:p>
    <w:p>
      <w:pPr>
        <w:numPr>
          <w:ilvl w:val="0"/>
          <w:numId w:val="1034"/>
        </w:numPr>
      </w:pPr>
      <w:r>
        <w:t xml:space="preserve">On the Windows sign-in screen, click</w:t>
      </w:r>
      <w:r>
        <w:t xml:space="preserve"> </w:t>
      </w:r>
      <w:r>
        <w:rPr>
          <w:b/>
          <w:bCs/>
        </w:rPr>
        <w:t xml:space="preserve">"I forgot my password"</w:t>
      </w:r>
      <w:r>
        <w:t xml:space="preserve"> </w:t>
      </w:r>
      <w:r>
        <w:t xml:space="preserve">(or</w:t>
      </w:r>
      <w:r>
        <w:t xml:space="preserve"> </w:t>
      </w:r>
      <w:r>
        <w:rPr>
          <w:i/>
          <w:iCs/>
        </w:rPr>
        <w:t xml:space="preserve">"Reset password"</w:t>
      </w:r>
      <w:r>
        <w:t xml:space="preserve">).</w:t>
      </w:r>
    </w:p>
    <w:p>
      <w:pPr>
        <w:numPr>
          <w:ilvl w:val="0"/>
          <w:numId w:val="1034"/>
        </w:numPr>
      </w:pPr>
      <w:r>
        <w:t xml:space="preserve">Enter your</w:t>
      </w:r>
      <w:r>
        <w:t xml:space="preserve"> </w:t>
      </w:r>
      <w:r>
        <w:rPr>
          <w:b/>
          <w:bCs/>
        </w:rPr>
        <w:t xml:space="preserve">work email address</w:t>
      </w:r>
      <w:r>
        <w:t xml:space="preserve">.</w:t>
      </w:r>
    </w:p>
    <w:p>
      <w:pPr>
        <w:numPr>
          <w:ilvl w:val="0"/>
          <w:numId w:val="1034"/>
        </w:numPr>
      </w:pPr>
      <w:r>
        <w:rPr>
          <w:b/>
          <w:bCs/>
        </w:rPr>
        <w:t xml:space="preserve">Complete verification:</w:t>
      </w:r>
      <w:r>
        <w:t xml:space="preserve"> </w:t>
      </w:r>
      <w:r>
        <w:t xml:space="preserve">Approve the notification on your Authenticator app, or enter the SMS code sent to your phone.</w:t>
      </w:r>
    </w:p>
    <w:p>
      <w:pPr>
        <w:numPr>
          <w:ilvl w:val="0"/>
          <w:numId w:val="1034"/>
        </w:numPr>
      </w:pPr>
      <w:r>
        <w:rPr>
          <w:b/>
          <w:bCs/>
        </w:rPr>
        <w:t xml:space="preserve">Create a new password.</w:t>
      </w:r>
      <w:r>
        <w:t xml:space="preserve"> </w:t>
      </w:r>
      <w:r>
        <w:t xml:space="preserve">Your new password must meet complexity requirements:</w:t>
      </w:r>
      <w:r>
        <w:t xml:space="preserve"> </w:t>
      </w:r>
      <w:r>
        <w:rPr>
          <w:b/>
          <w:bCs/>
        </w:rPr>
        <w:t xml:space="preserve">14+ characters</w:t>
      </w:r>
      <w:r>
        <w:t xml:space="preserve">, with a mix of uppercase letters, lowercase letters, numbers, and special characters.</w:t>
      </w:r>
    </w:p>
    <w:p>
      <w:pPr>
        <w:numPr>
          <w:ilvl w:val="0"/>
          <w:numId w:val="1034"/>
        </w:numPr>
      </w:pPr>
      <w:r>
        <w:rPr>
          <w:b/>
          <w:bCs/>
        </w:rPr>
        <w:t xml:space="preserve">Sign in</w:t>
      </w:r>
      <w:r>
        <w:t xml:space="preserve"> </w:t>
      </w:r>
      <w:r>
        <w:t xml:space="preserve">with your new password.</w:t>
      </w:r>
    </w:p>
    <w:bookmarkEnd w:id="96"/>
    <w:bookmarkStart w:id="97" w:name="option-b-from-any-web-browser"/>
    <w:p>
      <w:pPr>
        <w:pStyle w:val="Heading4"/>
      </w:pPr>
      <w:r>
        <w:t xml:space="preserve">Option B — From Any Web Browser</w:t>
      </w:r>
    </w:p>
    <w:p>
      <w:pPr>
        <w:numPr>
          <w:ilvl w:val="0"/>
          <w:numId w:val="1035"/>
        </w:numPr>
      </w:pPr>
      <w:r>
        <w:t xml:space="preserve">Go to</w:t>
      </w:r>
      <w:r>
        <w:t xml:space="preserve"> </w:t>
      </w:r>
      <w:r>
        <w:rPr>
          <w:b/>
          <w:bCs/>
        </w:rPr>
        <w:t xml:space="preserve">https://passwordreset.microsoftonline.com</w:t>
      </w:r>
      <w:r>
        <w:t xml:space="preserve">.</w:t>
      </w:r>
    </w:p>
    <w:p>
      <w:pPr>
        <w:numPr>
          <w:ilvl w:val="0"/>
          <w:numId w:val="1035"/>
        </w:numPr>
      </w:pPr>
      <w:r>
        <w:t xml:space="preserve">Follow the same verification and password creation steps as above.</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Tip — Passwordless Means Fewer Resets</w:t>
            </w:r>
          </w:p>
          <w:p>
            <w:pPr>
              <w:pStyle w:val="BodyText"/>
            </w:pPr>
            <w:r>
              <w:t xml:space="preserve">Once you've set up passwordless sign-in (Windows Hello or Authenticator), you'll rarely need to reset your password. But it's always a good idea to have SSPR configured as a safety net — just in case!</w:t>
            </w:r>
          </w:p>
        </w:tc>
      </w:tr>
    </w:tbl>
    <w:bookmarkEnd w:id="97"/>
    <w:bookmarkEnd w:id="98"/>
    <w:bookmarkStart w:id="99" w:name="unlocking-your-account"/>
    <w:p>
      <w:pPr>
        <w:pStyle w:val="Heading3"/>
      </w:pPr>
      <w:r>
        <w:t xml:space="preserve">7.3 — Unlocking Your Account</w:t>
      </w:r>
    </w:p>
    <w:p>
      <w:pPr>
        <w:pStyle w:val="FirstParagraph"/>
      </w:pPr>
      <w:r>
        <w:t xml:space="preserve">If your account gets locked (usually because of too many incorrect sign-in attempts), here's what to do:</w:t>
      </w:r>
    </w:p>
    <w:p>
      <w:pPr>
        <w:numPr>
          <w:ilvl w:val="0"/>
          <w:numId w:val="1036"/>
        </w:numPr>
      </w:pPr>
      <w:r>
        <w:rPr>
          <w:b/>
          <w:bCs/>
        </w:rPr>
        <w:t xml:space="preserve">Wait for smart-lockout to expire.</w:t>
      </w:r>
      <w:r>
        <w:t xml:space="preserve"> </w:t>
      </w:r>
      <w:r>
        <w:t xml:space="preserve">Microsoft Entra ID’s smart-lockout starts at about one minute and increases with repeated bad attempts. After it expires, try signing in again.</w:t>
      </w:r>
    </w:p>
    <w:p>
      <w:pPr>
        <w:numPr>
          <w:ilvl w:val="0"/>
          <w:numId w:val="1036"/>
        </w:numPr>
      </w:pPr>
      <w:r>
        <w:rPr>
          <w:b/>
          <w:bCs/>
        </w:rPr>
        <w:t xml:space="preserve">Or use SSPR</w:t>
      </w:r>
      <w:r>
        <w:t xml:space="preserve"> </w:t>
      </w:r>
      <w:r>
        <w:t xml:space="preserve">to reset your password, which also unlocks your account immediately.</w:t>
      </w:r>
    </w:p>
    <w:p>
      <w:pPr>
        <w:numPr>
          <w:ilvl w:val="0"/>
          <w:numId w:val="1036"/>
        </w:numPr>
      </w:pPr>
      <w:r>
        <w:rPr>
          <w:b/>
          <w:bCs/>
        </w:rPr>
        <w:t xml:space="preserve">If neither works,</w:t>
      </w:r>
      <w:r>
        <w:t xml:space="preserve"> </w:t>
      </w:r>
      <w:r>
        <w:t xml:space="preserve">contact the IT Help Desk for assistance.</w:t>
      </w:r>
    </w:p>
    <w:tbl>
      <w:tblPr>
        <w:tblStyle w:val="Table"/>
        <w:tblW w:type="pct" w:w="5022"/>
        <w:tblLayout w:type="fixed"/>
        <w:tblLook w:firstRow="0" w:lastRow="0" w:firstColumn="0" w:lastColumn="0" w:noHBand="0" w:noVBand="0" w:val="0000"/>
      </w:tblPr>
      <w:tblGrid>
        <w:gridCol w:w="7954"/>
      </w:tblGrid>
      <w:tr>
        <w:tc>
          <w:tcPr/>
          <w:p>
            <w:pPr>
              <w:pStyle w:val="FirstParagraph"/>
            </w:pPr>
            <w:r>
              <w:rPr>
                <w:b/>
                <w:bCs/>
              </w:rPr>
              <w:t xml:space="preserve">Note</w:t>
            </w:r>
          </w:p>
          <w:p>
            <w:pPr>
              <w:pStyle w:val="BodyText"/>
            </w:pPr>
            <w:r>
              <w:t xml:space="preserve">If your account is getting locked frequently and you're not entering the wrong password, this could indicate that someone else is trying to sign in as you. Contact IT immediately so they can investigate and secure your account.</w:t>
            </w:r>
          </w:p>
        </w:tc>
      </w:tr>
    </w:tbl>
    <w:bookmarkEnd w:id="99"/>
    <w:bookmarkEnd w:id="100"/>
    <w:bookmarkStart w:id="103" w:name="self-service-group-management"/>
    <w:p>
      <w:pPr>
        <w:pStyle w:val="Heading2"/>
      </w:pPr>
      <w:r>
        <w:t xml:space="preserve">8 — Self-Service Group Management</w:t>
      </w:r>
    </w:p>
    <w:bookmarkStart w:id="101" w:name="managing-your-groups"/>
    <w:p>
      <w:pPr>
        <w:pStyle w:val="Heading3"/>
      </w:pPr>
      <w:r>
        <w:t xml:space="preserve">8.1 — Managing Your Groups</w:t>
      </w:r>
    </w:p>
    <w:p>
      <w:pPr>
        <w:pStyle w:val="FirstParagraph"/>
      </w:pPr>
      <w:r>
        <w:t xml:space="preserve">Groups control access to shared resources like SharePoint sites, Teams channels, shared mailboxes, and applications. You can view and manage your group memberships through a self-service portal.</w:t>
      </w:r>
    </w:p>
    <w:p>
      <w:pPr>
        <w:numPr>
          <w:ilvl w:val="0"/>
          <w:numId w:val="1037"/>
        </w:numPr>
      </w:pPr>
      <w:r>
        <w:t xml:space="preserve">Go to</w:t>
      </w:r>
      <w:r>
        <w:t xml:space="preserve"> </w:t>
      </w:r>
      <w:r>
        <w:rPr>
          <w:b/>
          <w:bCs/>
        </w:rPr>
        <w:t xml:space="preserve">https://myaccount.microsoft.com</w:t>
      </w:r>
      <w:r>
        <w:t xml:space="preserve">.</w:t>
      </w:r>
    </w:p>
    <w:p>
      <w:pPr>
        <w:numPr>
          <w:ilvl w:val="0"/>
          <w:numId w:val="1037"/>
        </w:numPr>
      </w:pPr>
      <w:r>
        <w:t xml:space="preserve">Click</w:t>
      </w:r>
      <w:r>
        <w:t xml:space="preserve"> </w:t>
      </w:r>
      <w:r>
        <w:rPr>
          <w:b/>
          <w:bCs/>
        </w:rPr>
        <w:t xml:space="preserve">"Groups"</w:t>
      </w:r>
      <w:r>
        <w:t xml:space="preserve"> </w:t>
      </w:r>
      <w:r>
        <w:t xml:space="preserve">in the left navigation.</w:t>
      </w:r>
    </w:p>
    <w:p>
      <w:pPr>
        <w:numPr>
          <w:ilvl w:val="0"/>
          <w:numId w:val="1037"/>
        </w:numPr>
      </w:pPr>
      <w:r>
        <w:t xml:space="preserve">You'll see all groups you currently belong to.</w:t>
      </w:r>
    </w:p>
    <w:p>
      <w:pPr>
        <w:pStyle w:val="FirstParagraph"/>
      </w:pPr>
      <w:r>
        <w:t xml:space="preserve">For groups that have</w:t>
      </w:r>
      <w:r>
        <w:t xml:space="preserve"> </w:t>
      </w:r>
      <w:r>
        <w:rPr>
          <w:b/>
          <w:bCs/>
        </w:rPr>
        <w:t xml:space="preserve">self-service enabled</w:t>
      </w:r>
      <w:r>
        <w:t xml:space="preserve">, you can:</w:t>
      </w:r>
    </w:p>
    <w:p>
      <w:pPr>
        <w:numPr>
          <w:ilvl w:val="0"/>
          <w:numId w:val="1038"/>
        </w:numPr>
      </w:pPr>
      <w:r>
        <w:rPr>
          <w:b/>
          <w:bCs/>
        </w:rPr>
        <w:t xml:space="preserve">Join a group</w:t>
      </w:r>
      <w:r>
        <w:t xml:space="preserve"> </w:t>
      </w:r>
      <w:r>
        <w:t xml:space="preserve">— some require owner approval, others are open</w:t>
      </w:r>
    </w:p>
    <w:p>
      <w:pPr>
        <w:numPr>
          <w:ilvl w:val="0"/>
          <w:numId w:val="1038"/>
        </w:numPr>
      </w:pPr>
      <w:r>
        <w:rPr>
          <w:b/>
          <w:bCs/>
        </w:rPr>
        <w:t xml:space="preserve">Leave a group</w:t>
      </w:r>
      <w:r>
        <w:t xml:space="preserve"> </w:t>
      </w:r>
      <w:r>
        <w:t xml:space="preserve">you no longer need</w:t>
      </w:r>
    </w:p>
    <w:p>
      <w:pPr>
        <w:numPr>
          <w:ilvl w:val="0"/>
          <w:numId w:val="1038"/>
        </w:numPr>
      </w:pPr>
      <w:r>
        <w:rPr>
          <w:b/>
          <w:bCs/>
        </w:rPr>
        <w:t xml:space="preserve">View group members</w:t>
      </w:r>
      <w:r>
        <w:t xml:space="preserve"> </w:t>
      </w:r>
      <w:r>
        <w:t xml:space="preserve">to see who else is in the group</w:t>
      </w:r>
    </w:p>
    <w:bookmarkEnd w:id="101"/>
    <w:bookmarkStart w:id="102" w:name="requesting-access-to-resources"/>
    <w:p>
      <w:pPr>
        <w:pStyle w:val="Heading3"/>
      </w:pPr>
      <w:r>
        <w:t xml:space="preserve">8.2 — Requesting Access to Resources</w:t>
      </w:r>
    </w:p>
    <w:p>
      <w:pPr>
        <w:pStyle w:val="FirstParagraph"/>
      </w:pPr>
      <w:r>
        <w:t xml:space="preserve">Need access to a SharePoint site, Teams channel, or application? Here's how:</w:t>
      </w:r>
    </w:p>
    <w:p>
      <w:pPr>
        <w:numPr>
          <w:ilvl w:val="0"/>
          <w:numId w:val="1039"/>
        </w:numPr>
      </w:pPr>
      <w:r>
        <w:rPr>
          <w:b/>
          <w:bCs/>
        </w:rPr>
        <w:t xml:space="preserve">Click "Request access"</w:t>
      </w:r>
      <w:r>
        <w:t xml:space="preserve"> </w:t>
      </w:r>
      <w:r>
        <w:t xml:space="preserve">on the resource if the option is available, or ask the group owner directly.</w:t>
      </w:r>
    </w:p>
    <w:p>
      <w:pPr>
        <w:numPr>
          <w:ilvl w:val="0"/>
          <w:numId w:val="1039"/>
        </w:numPr>
      </w:pPr>
      <w:r>
        <w:t xml:space="preserve">Approvals are handled automatically — you'll receive an</w:t>
      </w:r>
      <w:r>
        <w:t xml:space="preserve"> </w:t>
      </w:r>
      <w:r>
        <w:rPr>
          <w:b/>
          <w:bCs/>
        </w:rPr>
        <w:t xml:space="preserve">email notification</w:t>
      </w:r>
      <w:r>
        <w:t xml:space="preserve"> </w:t>
      </w:r>
      <w:r>
        <w:t xml:space="preserve">when your request is approved or denied.</w:t>
      </w:r>
    </w:p>
    <w:p>
      <w:pPr>
        <w:numPr>
          <w:ilvl w:val="0"/>
          <w:numId w:val="1039"/>
        </w:numPr>
      </w:pPr>
      <w:r>
        <w:t xml:space="preserve">If you need access</w:t>
      </w:r>
      <w:r>
        <w:t xml:space="preserve"> </w:t>
      </w:r>
      <w:r>
        <w:rPr>
          <w:b/>
          <w:bCs/>
        </w:rPr>
        <w:t xml:space="preserve">urgently</w:t>
      </w:r>
      <w:r>
        <w:t xml:space="preserve">, contact the group owner directly or reach out to the IT Help Desk.</w:t>
      </w:r>
    </w:p>
    <w:tbl>
      <w:tblPr>
        <w:tblStyle w:val="Table"/>
        <w:tblW w:type="pct" w:w="5028"/>
        <w:tblLayout w:type="fixed"/>
        <w:tblLook w:firstRow="0" w:lastRow="0" w:firstColumn="0" w:lastColumn="0" w:noHBand="0" w:noVBand="0" w:val="0000"/>
      </w:tblPr>
      <w:tblGrid>
        <w:gridCol w:w="7964"/>
      </w:tblGrid>
      <w:tr>
        <w:tc>
          <w:tcPr/>
          <w:p>
            <w:pPr>
              <w:pStyle w:val="FirstParagraph"/>
            </w:pPr>
            <w:r>
              <w:rPr>
                <w:b/>
                <w:bCs/>
              </w:rPr>
              <w:t xml:space="preserve">Tip — Finding the Group Owner</w:t>
            </w:r>
          </w:p>
          <w:p>
            <w:pPr>
              <w:pStyle w:val="BodyText"/>
            </w:pPr>
            <w:r>
              <w:t xml:space="preserve">Not sure who owns a group? Go to</w:t>
            </w:r>
            <w:r>
              <w:t xml:space="preserve"> </w:t>
            </w:r>
            <w:r>
              <w:rPr>
                <w:b/>
                <w:bCs/>
              </w:rPr>
              <w:t xml:space="preserve">myaccount.microsoft.com → Groups</w:t>
            </w:r>
            <w:r>
              <w:t xml:space="preserve">, search for the group, and the owner's name will be listed. You can click their name to send them an email.</w:t>
            </w:r>
          </w:p>
        </w:tc>
      </w:tr>
    </w:tbl>
    <w:bookmarkEnd w:id="102"/>
    <w:bookmarkEnd w:id="103"/>
    <w:bookmarkStart w:id="108" w:name="frequently-asked-questions"/>
    <w:p>
      <w:pPr>
        <w:pStyle w:val="Heading2"/>
      </w:pPr>
      <w:r>
        <w:t xml:space="preserve">9 — Frequently Asked Questions</w:t>
      </w:r>
    </w:p>
    <w:p>
      <w:pPr>
        <w:pStyle w:val="FirstParagraph"/>
      </w:pPr>
      <w:r>
        <w:t xml:space="preserve">Below are answers to the most common questions about the transition. If your question isn't here, don't hesitate to reach out to the IT Help Desk.</w:t>
      </w:r>
    </w:p>
    <w:bookmarkStart w:id="104" w:name="sign-in-authentication"/>
    <w:p>
      <w:pPr>
        <w:pStyle w:val="Heading3"/>
      </w:pPr>
      <w:r>
        <w:t xml:space="preserve">Sign-In &amp; Authentication</w:t>
      </w:r>
    </w:p>
    <w:p>
      <w:pPr>
        <w:pStyle w:val="FirstParagraph"/>
      </w:pPr>
      <w:r>
        <w:rPr>
          <w:b/>
          <w:bCs/>
        </w:rPr>
        <w:t xml:space="preserve">Q: "Why do I have to set up a PIN? Isn't that less secure than a password?"</w:t>
      </w:r>
    </w:p>
    <w:p>
      <w:pPr>
        <w:pStyle w:val="BlockText"/>
      </w:pPr>
      <w:r>
        <w:rPr>
          <w:b/>
          <w:bCs/>
        </w:rPr>
        <w:t xml:space="preserve">A:</w:t>
      </w:r>
      <w:r>
        <w:t xml:space="preserve"> </w:t>
      </w:r>
      <w:r>
        <w:t xml:space="preserve">Great question — and it's actually the opposite! Your Windows Hello PIN is</w:t>
      </w:r>
      <w:r>
        <w:t xml:space="preserve"> </w:t>
      </w:r>
      <w:r>
        <w:rPr>
          <w:i/>
          <w:iCs/>
        </w:rPr>
        <w:t xml:space="preserve">more</w:t>
      </w:r>
      <w:r>
        <w:t xml:space="preserve"> </w:t>
      </w:r>
      <w:r>
        <w:t xml:space="preserve">secure than a password because it only works on your specific device and is backed by hardware security (a special chip called a TPM). Even if someone watches you type your PIN, they can't use it on any other computer. A password, by contrast, works from anywhere in the world.</w:t>
      </w:r>
    </w:p>
    <w:p>
      <w:pPr>
        <w:pStyle w:val="FirstParagraph"/>
      </w:pPr>
      <w:r>
        <w:rPr>
          <w:b/>
          <w:bCs/>
        </w:rPr>
        <w:t xml:space="preserve">Q: "I set up Windows Hello but I'm still being asked for a password sometimes. Why?"</w:t>
      </w:r>
    </w:p>
    <w:p>
      <w:pPr>
        <w:pStyle w:val="BlockText"/>
      </w:pPr>
      <w:r>
        <w:rPr>
          <w:b/>
          <w:bCs/>
        </w:rPr>
        <w:t xml:space="preserve">A:</w:t>
      </w:r>
      <w:r>
        <w:t xml:space="preserve"> </w:t>
      </w:r>
      <w:r>
        <w:t xml:space="preserve">Some older applications haven't been updated to support modern authentication yet. As we continue modernizing, these password prompts will gradually disappear. In the meantime, your password still works for those apps — and you can use SSPR (Section 7) if you ever forget it.</w:t>
      </w:r>
    </w:p>
    <w:p>
      <w:pPr>
        <w:pStyle w:val="FirstParagraph"/>
      </w:pPr>
      <w:r>
        <w:rPr>
          <w:b/>
          <w:bCs/>
        </w:rPr>
        <w:t xml:space="preserve">Q: "What if I lose my phone with the Authenticator app?"</w:t>
      </w:r>
    </w:p>
    <w:p>
      <w:pPr>
        <w:pStyle w:val="BlockText"/>
      </w:pPr>
      <w:r>
        <w:rPr>
          <w:b/>
          <w:bCs/>
        </w:rPr>
        <w:t xml:space="preserve">A:</w:t>
      </w:r>
      <w:r>
        <w:t xml:space="preserve"> </w:t>
      </w:r>
      <w:r>
        <w:t xml:space="preserve">Contact the IT Help Desk immediately. They can revoke access from your old phone and help you set up the Authenticator on a new device. Your account remains secure because the Authenticator requires your phone's biometrics (fingerprint or face) or lock screen PIN to approve any sign-in.</w:t>
      </w:r>
    </w:p>
    <w:p>
      <w:pPr>
        <w:pStyle w:val="FirstParagraph"/>
      </w:pPr>
      <w:r>
        <w:rPr>
          <w:b/>
          <w:bCs/>
        </w:rPr>
        <w:t xml:space="preserve">Q: "Can I use my personal phone for the Authenticator app?"</w:t>
      </w:r>
    </w:p>
    <w:p>
      <w:pPr>
        <w:pStyle w:val="BlockText"/>
      </w:pPr>
      <w:r>
        <w:rPr>
          <w:b/>
          <w:bCs/>
        </w:rPr>
        <w:t xml:space="preserve">A:</w:t>
      </w:r>
      <w:r>
        <w:t xml:space="preserve"> </w:t>
      </w:r>
      <w:r>
        <w:t xml:space="preserve">Yes! The Microsoft Authenticator app does</w:t>
      </w:r>
      <w:r>
        <w:t xml:space="preserve"> </w:t>
      </w:r>
      <w:r>
        <w:rPr>
          <w:i/>
          <w:iCs/>
        </w:rPr>
        <w:t xml:space="preserve">not</w:t>
      </w:r>
      <w:r>
        <w:t xml:space="preserve"> </w:t>
      </w:r>
      <w:r>
        <w:t xml:space="preserve">give your organization access to your personal phone, photos, messages, or browsing. It only handles sign-in approvals and nothing else. Your personal data stays completely private.</w:t>
      </w:r>
    </w:p>
    <w:p>
      <w:pPr>
        <w:pStyle w:val="FirstParagraph"/>
      </w:pPr>
      <w:r>
        <w:rPr>
          <w:b/>
          <w:bCs/>
        </w:rPr>
        <w:t xml:space="preserve">Q: "I'm getting too many MFA prompts. Is something wrong?"</w:t>
      </w:r>
    </w:p>
    <w:p>
      <w:pPr>
        <w:pStyle w:val="BlockText"/>
      </w:pPr>
      <w:r>
        <w:rPr>
          <w:b/>
          <w:bCs/>
        </w:rPr>
        <w:t xml:space="preserve">A:</w:t>
      </w:r>
      <w:r>
        <w:t xml:space="preserve"> </w:t>
      </w:r>
      <w:r>
        <w:t xml:space="preserve">If you're on a managed work device connected to the office network, you shouldn't be prompted frequently. If you are, contact IT — it could indicate a configuration issue, or in rare cases, it might mean someone else is trying to sign in to your account. Better safe than sorry!</w:t>
      </w:r>
    </w:p>
    <w:bookmarkEnd w:id="104"/>
    <w:bookmarkStart w:id="105" w:name="files-onedrive"/>
    <w:p>
      <w:pPr>
        <w:pStyle w:val="Heading3"/>
      </w:pPr>
      <w:r>
        <w:t xml:space="preserve">Files &amp; OneDrive</w:t>
      </w:r>
    </w:p>
    <w:p>
      <w:pPr>
        <w:pStyle w:val="FirstParagraph"/>
      </w:pPr>
      <w:r>
        <w:rPr>
          <w:b/>
          <w:bCs/>
        </w:rPr>
        <w:t xml:space="preserve">Q: "What happens if I accidentally delete a file from OneDrive?"</w:t>
      </w:r>
    </w:p>
    <w:p>
      <w:pPr>
        <w:pStyle w:val="BlockText"/>
      </w:pPr>
      <w:r>
        <w:rPr>
          <w:b/>
          <w:bCs/>
        </w:rPr>
        <w:t xml:space="preserve">A:</w:t>
      </w:r>
      <w:r>
        <w:t xml:space="preserve"> </w:t>
      </w:r>
      <w:r>
        <w:t xml:space="preserve">Don't panic! OneDrive has a Recycle Bin. Go to</w:t>
      </w:r>
      <w:r>
        <w:t xml:space="preserve"> </w:t>
      </w:r>
      <w:r>
        <w:rPr>
          <w:b/>
          <w:bCs/>
        </w:rPr>
        <w:t xml:space="preserve">https://onedrive.com</w:t>
      </w:r>
      <w:r>
        <w:t xml:space="preserve"> </w:t>
      </w:r>
      <w:r>
        <w:t xml:space="preserve">→ click</w:t>
      </w:r>
      <w:r>
        <w:t xml:space="preserve"> </w:t>
      </w:r>
      <w:r>
        <w:rPr>
          <w:b/>
          <w:bCs/>
        </w:rPr>
        <w:t xml:space="preserve">"Recycle bin"</w:t>
      </w:r>
      <w:r>
        <w:t xml:space="preserve"> </w:t>
      </w:r>
      <w:r>
        <w:t xml:space="preserve">in the left panel → find your file → click</w:t>
      </w:r>
      <w:r>
        <w:t xml:space="preserve"> </w:t>
      </w:r>
      <w:r>
        <w:rPr>
          <w:b/>
          <w:bCs/>
        </w:rPr>
        <w:t xml:space="preserve">"Restore."</w:t>
      </w:r>
      <w:r>
        <w:t xml:space="preserve"> </w:t>
      </w:r>
      <w:r>
        <w:t xml:space="preserve">Files stay in the Recycle Bin for up to 93 days, so you have plenty of time to recover them.</w:t>
      </w:r>
    </w:p>
    <w:p>
      <w:pPr>
        <w:pStyle w:val="FirstParagraph"/>
      </w:pPr>
      <w:r>
        <w:rPr>
          <w:b/>
          <w:bCs/>
        </w:rPr>
        <w:t xml:space="preserve">Q: "My OneDrive is full. What do I do?"</w:t>
      </w:r>
    </w:p>
    <w:p>
      <w:pPr>
        <w:pStyle w:val="BlockText"/>
      </w:pPr>
      <w:r>
        <w:rPr>
          <w:b/>
          <w:bCs/>
        </w:rPr>
        <w:t xml:space="preserve">A:</w:t>
      </w:r>
      <w:r>
        <w:t xml:space="preserve"> </w:t>
      </w:r>
      <w:r>
        <w:t xml:space="preserve">Check your storage at</w:t>
      </w:r>
      <w:r>
        <w:t xml:space="preserve"> </w:t>
      </w:r>
      <w:r>
        <w:rPr>
          <w:b/>
          <w:bCs/>
        </w:rPr>
        <w:t xml:space="preserve">https://onedrive.com</w:t>
      </w:r>
      <w:r>
        <w:t xml:space="preserve"> </w:t>
      </w:r>
      <w:r>
        <w:t xml:space="preserve">→</w:t>
      </w:r>
      <w:r>
        <w:t xml:space="preserve"> </w:t>
      </w:r>
      <w:r>
        <w:rPr>
          <w:b/>
          <w:bCs/>
        </w:rPr>
        <w:t xml:space="preserve">Settings → Storage</w:t>
      </w:r>
      <w:r>
        <w:t xml:space="preserve">. Consider moving large files you don't access regularly to a SharePoint site (which has separate, larger storage). If you still need more space, contact IT to discuss your options.</w:t>
      </w:r>
    </w:p>
    <w:p>
      <w:pPr>
        <w:pStyle w:val="FirstParagraph"/>
      </w:pPr>
      <w:r>
        <w:rPr>
          <w:b/>
          <w:bCs/>
        </w:rPr>
        <w:t xml:space="preserve">Q: "Can I access my files from my phone?"</w:t>
      </w:r>
    </w:p>
    <w:p>
      <w:pPr>
        <w:pStyle w:val="BlockText"/>
      </w:pPr>
      <w:r>
        <w:rPr>
          <w:b/>
          <w:bCs/>
        </w:rPr>
        <w:t xml:space="preserve">A:</w:t>
      </w:r>
      <w:r>
        <w:t xml:space="preserve"> </w:t>
      </w:r>
      <w:r>
        <w:t xml:space="preserve">Absolutely! Install the</w:t>
      </w:r>
      <w:r>
        <w:t xml:space="preserve"> </w:t>
      </w:r>
      <w:r>
        <w:rPr>
          <w:b/>
          <w:bCs/>
        </w:rPr>
        <w:t xml:space="preserve">OneDrive app</w:t>
      </w:r>
      <w:r>
        <w:t xml:space="preserve"> </w:t>
      </w:r>
      <w:r>
        <w:t xml:space="preserve">on your phone (available on both iPhone and Android) and sign in with your work account. You can view, edit, and share files from anywhere with an internet connection.</w:t>
      </w:r>
    </w:p>
    <w:bookmarkEnd w:id="105"/>
    <w:bookmarkStart w:id="106" w:name="device-compliance"/>
    <w:p>
      <w:pPr>
        <w:pStyle w:val="Heading3"/>
      </w:pPr>
      <w:r>
        <w:t xml:space="preserve">Device &amp; Compliance</w:t>
      </w:r>
    </w:p>
    <w:p>
      <w:pPr>
        <w:pStyle w:val="FirstParagraph"/>
      </w:pPr>
      <w:r>
        <w:rPr>
          <w:b/>
          <w:bCs/>
        </w:rPr>
        <w:t xml:space="preserve">Q: "Company Portal says my device isn't compliant. Will I lose access?"</w:t>
      </w:r>
    </w:p>
    <w:p>
      <w:pPr>
        <w:pStyle w:val="BlockText"/>
      </w:pPr>
      <w:r>
        <w:rPr>
          <w:b/>
          <w:bCs/>
        </w:rPr>
        <w:t xml:space="preserve">A:</w:t>
      </w:r>
      <w:r>
        <w:t xml:space="preserve"> </w:t>
      </w:r>
      <w:r>
        <w:t xml:space="preserve">You'll typically have a</w:t>
      </w:r>
      <w:r>
        <w:t xml:space="preserve"> </w:t>
      </w:r>
      <w:r>
        <w:rPr>
          <w:b/>
          <w:bCs/>
        </w:rPr>
        <w:t xml:space="preserve">grace period</w:t>
      </w:r>
      <w:r>
        <w:t xml:space="preserve"> </w:t>
      </w:r>
      <w:r>
        <w:t xml:space="preserve">(usually 24–72 hours) to fix the issue before access is restricted. Open Company Portal, click on the compliance issue, and it will tell you exactly what needs to be fixed — it's usually a pending Windows update. Install the update, restart your PC, and you should be back to compliant.</w:t>
      </w:r>
    </w:p>
    <w:p>
      <w:pPr>
        <w:pStyle w:val="FirstParagraph"/>
      </w:pPr>
      <w:r>
        <w:rPr>
          <w:b/>
          <w:bCs/>
        </w:rPr>
        <w:t xml:space="preserve">Q: "I got a new computer. How do I get my work apps back?"</w:t>
      </w:r>
    </w:p>
    <w:p>
      <w:pPr>
        <w:pStyle w:val="BlockText"/>
      </w:pPr>
      <w:r>
        <w:rPr>
          <w:b/>
          <w:bCs/>
        </w:rPr>
        <w:t xml:space="preserve">A:</w:t>
      </w:r>
      <w:r>
        <w:t xml:space="preserve"> </w:t>
      </w:r>
      <w:r>
        <w:t xml:space="preserve">Sign in with your work account during Windows setup. Your files will sync automatically from OneDrive. Open Company Portal to reinstall your work applications. Most of your settings will transfer automatically through your Microsoft account and Intune policies.</w:t>
      </w:r>
    </w:p>
    <w:bookmarkEnd w:id="106"/>
    <w:bookmarkStart w:id="107" w:name="general"/>
    <w:p>
      <w:pPr>
        <w:pStyle w:val="Heading3"/>
      </w:pPr>
      <w:r>
        <w:t xml:space="preserve">General</w:t>
      </w:r>
    </w:p>
    <w:p>
      <w:pPr>
        <w:pStyle w:val="FirstParagraph"/>
      </w:pPr>
      <w:r>
        <w:rPr>
          <w:b/>
          <w:bCs/>
        </w:rPr>
        <w:t xml:space="preserve">Q: "Who do I contact if something isn't working?"</w:t>
      </w:r>
    </w:p>
    <w:p>
      <w:pPr>
        <w:pStyle w:val="BlockText"/>
      </w:pPr>
      <w:r>
        <w:rPr>
          <w:b/>
          <w:bCs/>
        </w:rPr>
        <w:t xml:space="preserve">A:</w:t>
      </w:r>
      <w:r>
        <w:t xml:space="preserve"> </w:t>
      </w:r>
      <w:r>
        <w:t xml:space="preserve">Contact the</w:t>
      </w:r>
      <w:r>
        <w:t xml:space="preserve"> </w:t>
      </w:r>
      <w:r>
        <w:rPr>
          <w:b/>
          <w:bCs/>
        </w:rPr>
        <w:t xml:space="preserve">IT Help Desk</w:t>
      </w:r>
      <w:r>
        <w:t xml:space="preserve"> </w:t>
      </w:r>
      <w:r>
        <w:t xml:space="preserve">at [your help desk contact info]. When you call or email, please have the following ready: your</w:t>
      </w:r>
      <w:r>
        <w:t xml:space="preserve"> </w:t>
      </w:r>
      <w:r>
        <w:rPr>
          <w:b/>
          <w:bCs/>
        </w:rPr>
        <w:t xml:space="preserve">username</w:t>
      </w:r>
      <w:r>
        <w:t xml:space="preserve">, your</w:t>
      </w:r>
      <w:r>
        <w:t xml:space="preserve"> </w:t>
      </w:r>
      <w:r>
        <w:rPr>
          <w:b/>
          <w:bCs/>
        </w:rPr>
        <w:t xml:space="preserve">device name</w:t>
      </w:r>
      <w:r>
        <w:t xml:space="preserve"> </w:t>
      </w:r>
      <w:r>
        <w:t xml:space="preserve">(find it at Settings → System → About → "Device name"), and any</w:t>
      </w:r>
      <w:r>
        <w:t xml:space="preserve"> </w:t>
      </w:r>
      <w:r>
        <w:rPr>
          <w:b/>
          <w:bCs/>
        </w:rPr>
        <w:t xml:space="preserve">error messages or screenshots</w:t>
      </w:r>
      <w:r>
        <w:t xml:space="preserve"> </w:t>
      </w:r>
      <w:r>
        <w:t xml:space="preserve">you captured.</w:t>
      </w:r>
    </w:p>
    <w:p>
      <w:pPr>
        <w:pStyle w:val="FirstParagraph"/>
      </w:pPr>
      <w:r>
        <w:rPr>
          <w:b/>
          <w:bCs/>
        </w:rPr>
        <w:t xml:space="preserve">Q: "Will these changes affect my personal Microsoft account?"</w:t>
      </w:r>
    </w:p>
    <w:p>
      <w:pPr>
        <w:pStyle w:val="BlockText"/>
      </w:pPr>
      <w:r>
        <w:rPr>
          <w:b/>
          <w:bCs/>
        </w:rPr>
        <w:t xml:space="preserve">A:</w:t>
      </w:r>
      <w:r>
        <w:t xml:space="preserve"> </w:t>
      </w:r>
      <w:r>
        <w:t xml:space="preserve">No. Your personal Microsoft account (used for Outlook.com, Xbox, personal OneDrive, etc.) is completely separate from your work account. Changes to your work identity have zero impact on your personal accounts.</w:t>
      </w:r>
    </w:p>
    <w:p>
      <w:pPr>
        <w:pStyle w:val="FirstParagraph"/>
      </w:pPr>
      <w:r>
        <w:rPr>
          <w:b/>
          <w:bCs/>
        </w:rPr>
        <w:t xml:space="preserve">Q: "Can my organization see my personal files or browsing history?"</w:t>
      </w:r>
    </w:p>
    <w:p>
      <w:pPr>
        <w:pStyle w:val="BlockText"/>
      </w:pPr>
      <w:r>
        <w:rPr>
          <w:b/>
          <w:bCs/>
        </w:rPr>
        <w:t xml:space="preserve">A:</w:t>
      </w:r>
      <w:r>
        <w:t xml:space="preserve"> </w:t>
      </w:r>
      <w:r>
        <w:t xml:space="preserve">No. Intune and Company Portal only manage work-related settings, security policies, and approved work apps. Your personal files, photos, browsing history, text messages, and personal apps are private and remain private. Your organization cannot access them.</w:t>
      </w:r>
    </w:p>
    <w:p>
      <w:pPr>
        <w:pStyle w:val="FirstParagraph"/>
      </w:pPr>
      <w:r>
        <w:rPr>
          <w:b/>
          <w:bCs/>
        </w:rPr>
        <w:t xml:space="preserve">Q: "What if I'm traveling and don't have internet?"</w:t>
      </w:r>
    </w:p>
    <w:p>
      <w:pPr>
        <w:pStyle w:val="BlockText"/>
      </w:pPr>
      <w:r>
        <w:rPr>
          <w:b/>
          <w:bCs/>
        </w:rPr>
        <w:t xml:space="preserve">A:</w:t>
      </w:r>
      <w:r>
        <w:t xml:space="preserve"> </w:t>
      </w:r>
      <w:r>
        <w:t xml:space="preserve">Files you've marked</w:t>
      </w:r>
      <w:r>
        <w:t xml:space="preserve"> </w:t>
      </w:r>
      <w:r>
        <w:rPr>
          <w:i/>
          <w:iCs/>
        </w:rPr>
        <w:t xml:space="preserve">"Always keep on this device"</w:t>
      </w:r>
      <w:r>
        <w:t xml:space="preserve"> </w:t>
      </w:r>
      <w:r>
        <w:t xml:space="preserve">in OneDrive work fully offline. Any changes you make will sync automatically the next time you connect to the internet. For sign-in, Windows Hello (face, fingerprint, or PIN) works offline — you don't need internet to unlock your PC.</w:t>
      </w:r>
    </w:p>
    <w:p>
      <w:pPr>
        <w:pStyle w:val="FirstParagraph"/>
      </w:pPr>
      <w:r>
        <w:rPr>
          <w:b/>
          <w:bCs/>
        </w:rPr>
        <w:t xml:space="preserve">Q: "These changes seem overwhelming. Do I have to do everything at once?"</w:t>
      </w:r>
    </w:p>
    <w:p>
      <w:pPr>
        <w:pStyle w:val="BlockText"/>
      </w:pPr>
      <w:r>
        <w:rPr>
          <w:b/>
          <w:bCs/>
        </w:rPr>
        <w:t xml:space="preserve">A:</w:t>
      </w:r>
      <w:r>
        <w:t xml:space="preserve"> </w:t>
      </w:r>
      <w:r>
        <w:t xml:space="preserve">Not at all! Changes are rolling out in phases, and you'll be supported every step of the way. If you want to get ahead, start with the</w:t>
      </w:r>
      <w:r>
        <w:t xml:space="preserve"> </w:t>
      </w:r>
      <w:r>
        <w:rPr>
          <w:b/>
          <w:bCs/>
        </w:rPr>
        <w:t xml:space="preserve">Authenticator app setup</w:t>
      </w:r>
      <w:r>
        <w:t xml:space="preserve"> </w:t>
      </w:r>
      <w:r>
        <w:t xml:space="preserve">(Section 2.3) — it takes about 5 minutes and is the single most impactful thing you can do. Everything else follows naturally from there.</w:t>
      </w:r>
    </w:p>
    <w:bookmarkEnd w:id="107"/>
    <w:bookmarkEnd w:id="108"/>
    <w:bookmarkStart w:id="109" w:name="quick-reference-card"/>
    <w:p>
      <w:pPr>
        <w:pStyle w:val="Heading2"/>
      </w:pPr>
      <w:r>
        <w:t xml:space="preserve">10 — Quick Reference Card</w:t>
      </w:r>
    </w:p>
    <w:p>
      <w:pPr>
        <w:pStyle w:val="FirstParagraph"/>
      </w:pPr>
      <w:r>
        <w:rPr>
          <w:i/>
          <w:iCs/>
        </w:rPr>
        <w:t xml:space="preserve">Print this page and keep it at your desk for quick access to the most common tasks and links.</w:t>
      </w:r>
    </w:p>
    <w:tbl>
      <w:tblPr>
        <w:tblStyle w:val="Table"/>
        <w:tblW w:type="pct" w:w="4913"/>
        <w:tblLayout w:type="fixed"/>
        <w:tblLook w:firstRow="1" w:lastRow="0" w:firstColumn="0" w:lastColumn="0" w:noHBand="0" w:noVBand="0" w:val="0020"/>
      </w:tblPr>
      <w:tblGrid>
        <w:gridCol w:w="2823"/>
        <w:gridCol w:w="4958"/>
      </w:tblGrid>
      <w:tr>
        <w:trPr>
          <w:tblHeader w:val="on"/>
        </w:trPr>
        <w:tc>
          <w:tcPr/>
          <w:p>
            <w:pPr>
              <w:pStyle w:val="Compact"/>
              <w:jc w:val="left"/>
            </w:pPr>
            <w:r>
              <w:rPr>
                <w:b/>
                <w:bCs/>
              </w:rPr>
              <w:t xml:space="preserve">Task</w:t>
            </w:r>
          </w:p>
        </w:tc>
        <w:tc>
          <w:tcPr/>
          <w:p>
            <w:pPr>
              <w:pStyle w:val="Compact"/>
              <w:jc w:val="left"/>
            </w:pPr>
            <w:r>
              <w:rPr>
                <w:b/>
                <w:bCs/>
              </w:rPr>
              <w:t xml:space="preserve">Where to Go</w:t>
            </w:r>
          </w:p>
        </w:tc>
      </w:tr>
      <w:tr>
        <w:tc>
          <w:tcPr/>
          <w:p>
            <w:pPr>
              <w:pStyle w:val="Compact"/>
              <w:jc w:val="left"/>
            </w:pPr>
            <w:r>
              <w:rPr>
                <w:b/>
                <w:bCs/>
              </w:rPr>
              <w:t xml:space="preserve">Sign-in settings &amp; security info</w:t>
            </w:r>
          </w:p>
        </w:tc>
        <w:tc>
          <w:tcPr/>
          <w:p>
            <w:pPr>
              <w:pStyle w:val="Compact"/>
              <w:jc w:val="left"/>
            </w:pPr>
            <w:r>
              <w:t xml:space="preserve">https://mysignins.microsoft.com</w:t>
            </w:r>
          </w:p>
        </w:tc>
      </w:tr>
      <w:tr>
        <w:tc>
          <w:tcPr/>
          <w:p>
            <w:pPr>
              <w:pStyle w:val="Compact"/>
              <w:jc w:val="left"/>
            </w:pPr>
            <w:r>
              <w:rPr>
                <w:b/>
                <w:bCs/>
              </w:rPr>
              <w:t xml:space="preserve">Reset your password</w:t>
            </w:r>
          </w:p>
        </w:tc>
        <w:tc>
          <w:tcPr/>
          <w:p>
            <w:pPr>
              <w:pStyle w:val="Compact"/>
              <w:jc w:val="left"/>
            </w:pPr>
            <w:r>
              <w:t xml:space="preserve">https://passwordreset.microsoftonline.com</w:t>
            </w:r>
          </w:p>
        </w:tc>
      </w:tr>
      <w:tr>
        <w:tc>
          <w:tcPr/>
          <w:p>
            <w:pPr>
              <w:pStyle w:val="Compact"/>
              <w:jc w:val="left"/>
            </w:pPr>
            <w:r>
              <w:rPr>
                <w:b/>
                <w:bCs/>
              </w:rPr>
              <w:t xml:space="preserve">My account info &amp; groups</w:t>
            </w:r>
          </w:p>
        </w:tc>
        <w:tc>
          <w:tcPr/>
          <w:p>
            <w:pPr>
              <w:pStyle w:val="Compact"/>
              <w:jc w:val="left"/>
            </w:pPr>
            <w:r>
              <w:t xml:space="preserve">https://myaccount.microsoft.com</w:t>
            </w:r>
          </w:p>
        </w:tc>
      </w:tr>
      <w:tr>
        <w:tc>
          <w:tcPr/>
          <w:p>
            <w:pPr>
              <w:pStyle w:val="Compact"/>
              <w:jc w:val="left"/>
            </w:pPr>
            <w:r>
              <w:rPr>
                <w:b/>
                <w:bCs/>
              </w:rPr>
              <w:t xml:space="preserve">OneDrive files (web)</w:t>
            </w:r>
          </w:p>
        </w:tc>
        <w:tc>
          <w:tcPr/>
          <w:p>
            <w:pPr>
              <w:pStyle w:val="Compact"/>
              <w:jc w:val="left"/>
            </w:pPr>
            <w:r>
              <w:t xml:space="preserve">https://onedrive.com</w:t>
            </w:r>
          </w:p>
        </w:tc>
      </w:tr>
      <w:tr>
        <w:tc>
          <w:tcPr/>
          <w:p>
            <w:pPr>
              <w:pStyle w:val="Compact"/>
              <w:jc w:val="left"/>
            </w:pPr>
            <w:r>
              <w:rPr>
                <w:b/>
                <w:bCs/>
              </w:rPr>
              <w:t xml:space="preserve">SharePoint team sites</w:t>
            </w:r>
          </w:p>
        </w:tc>
        <w:tc>
          <w:tcPr/>
          <w:p>
            <w:pPr>
              <w:pStyle w:val="Compact"/>
              <w:jc w:val="left"/>
            </w:pPr>
            <w:r>
              <w:t xml:space="preserve">https://&lt;your-tenant&gt;.sharepoint.com (ask IT for your exact URL)</w:t>
            </w:r>
          </w:p>
        </w:tc>
      </w:tr>
      <w:tr>
        <w:tc>
          <w:tcPr/>
          <w:p>
            <w:pPr>
              <w:pStyle w:val="Compact"/>
              <w:jc w:val="left"/>
            </w:pPr>
            <w:r>
              <w:rPr>
                <w:b/>
                <w:bCs/>
              </w:rPr>
              <w:t xml:space="preserve">Company Portal (apps &amp; compliance)</w:t>
            </w:r>
          </w:p>
        </w:tc>
        <w:tc>
          <w:tcPr/>
          <w:p>
            <w:pPr>
              <w:pStyle w:val="Compact"/>
              <w:jc w:val="left"/>
            </w:pPr>
            <w:r>
              <w:t xml:space="preserve">Pre-installed on managed devices, or install from the Microsoft Store</w:t>
            </w:r>
          </w:p>
        </w:tc>
      </w:tr>
      <w:tr>
        <w:tc>
          <w:tcPr/>
          <w:p>
            <w:pPr>
              <w:pStyle w:val="Compact"/>
              <w:jc w:val="left"/>
            </w:pPr>
            <w:r>
              <w:rPr>
                <w:b/>
                <w:bCs/>
              </w:rPr>
              <w:t xml:space="preserve">Group management</w:t>
            </w:r>
          </w:p>
        </w:tc>
        <w:tc>
          <w:tcPr/>
          <w:p>
            <w:pPr>
              <w:pStyle w:val="Compact"/>
              <w:jc w:val="left"/>
            </w:pPr>
            <w:r>
              <w:t xml:space="preserve">https://myaccount.microsoft.com → Groups</w:t>
            </w:r>
          </w:p>
        </w:tc>
      </w:tr>
      <w:tr>
        <w:tc>
          <w:tcPr/>
          <w:p>
            <w:pPr>
              <w:pStyle w:val="Compact"/>
              <w:jc w:val="left"/>
            </w:pPr>
            <w:r>
              <w:rPr>
                <w:b/>
                <w:bCs/>
              </w:rPr>
              <w:t xml:space="preserve">IT Help Desk</w:t>
            </w:r>
          </w:p>
        </w:tc>
        <w:tc>
          <w:tcPr/>
          <w:p>
            <w:pPr>
              <w:pStyle w:val="Compact"/>
              <w:jc w:val="left"/>
            </w:pPr>
            <w:r>
              <w:t xml:space="preserve">[Contact info — phone, email, support portal]</w:t>
            </w:r>
          </w:p>
        </w:tc>
      </w:tr>
    </w:tbl>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Tip — Your Top 3 Actions</w:t>
            </w:r>
          </w:p>
          <w:p>
            <w:pPr>
              <w:pStyle w:val="BodyText"/>
            </w:pPr>
            <w:r>
              <w:t xml:space="preserve">If you do nothing else today, do these three things:</w:t>
            </w:r>
            <w:r>
              <w:t xml:space="preserve"> </w:t>
            </w:r>
            <w:r>
              <w:rPr>
                <w:b/>
                <w:bCs/>
              </w:rPr>
              <w:t xml:space="preserve">(1)</w:t>
            </w:r>
            <w:r>
              <w:t xml:space="preserve"> </w:t>
            </w:r>
            <w:r>
              <w:t xml:space="preserve">Set up the Microsoft Authenticator app (Section 2.3).</w:t>
            </w:r>
            <w:r>
              <w:t xml:space="preserve"> </w:t>
            </w:r>
            <w:r>
              <w:rPr>
                <w:b/>
                <w:bCs/>
              </w:rPr>
              <w:t xml:space="preserve">(2)</w:t>
            </w:r>
            <w:r>
              <w:t xml:space="preserve"> </w:t>
            </w:r>
            <w:r>
              <w:t xml:space="preserve">Register your SSPR recovery methods (Section 7.1).</w:t>
            </w:r>
            <w:r>
              <w:t xml:space="preserve"> </w:t>
            </w:r>
            <w:r>
              <w:rPr>
                <w:b/>
                <w:bCs/>
              </w:rPr>
              <w:t xml:space="preserve">(3)</w:t>
            </w:r>
            <w:r>
              <w:t xml:space="preserve"> </w:t>
            </w:r>
            <w:r>
              <w:t xml:space="preserve">Confirm your OneDrive is syncing (look for the green checkmarks in File Explorer). These three steps cover 90% of what you need for a smooth transition.</w:t>
            </w:r>
          </w:p>
        </w:tc>
      </w:tr>
    </w:tbl>
    <w:bookmarkEnd w:id="109"/>
    <w:bookmarkStart w:id="110" w:name="appendix-a-glossary"/>
    <w:p>
      <w:pPr>
        <w:pStyle w:val="Heading2"/>
      </w:pPr>
      <w:r>
        <w:t xml:space="preserve">Appendix A — Glossary</w:t>
      </w:r>
    </w:p>
    <w:p>
      <w:pPr>
        <w:pStyle w:val="FirstParagraph"/>
      </w:pPr>
      <w:r>
        <w:t xml:space="preserve">Here are the key terms used in this guide, explained in plain language:</w:t>
      </w:r>
    </w:p>
    <w:tbl>
      <w:tblPr>
        <w:tblStyle w:val="Table"/>
        <w:tblW w:type="pct" w:w="4968"/>
        <w:tblLayout w:type="fixed"/>
        <w:tblLook w:firstRow="1" w:lastRow="0" w:firstColumn="0" w:lastColumn="0" w:noHBand="0" w:noVBand="0" w:val="0020"/>
      </w:tblPr>
      <w:tblGrid>
        <w:gridCol w:w="1127"/>
        <w:gridCol w:w="6742"/>
      </w:tblGrid>
      <w:tr>
        <w:trPr>
          <w:tblHeader w:val="on"/>
        </w:trPr>
        <w:tc>
          <w:tcPr/>
          <w:p>
            <w:pPr>
              <w:pStyle w:val="Compact"/>
              <w:jc w:val="left"/>
            </w:pPr>
            <w:r>
              <w:rPr>
                <w:b/>
                <w:bCs/>
              </w:rPr>
              <w:t xml:space="preserve">Term</w:t>
            </w:r>
          </w:p>
        </w:tc>
        <w:tc>
          <w:tcPr/>
          <w:p>
            <w:pPr>
              <w:pStyle w:val="Compact"/>
              <w:jc w:val="left"/>
            </w:pPr>
            <w:r>
              <w:rPr>
                <w:b/>
                <w:bCs/>
              </w:rPr>
              <w:t xml:space="preserve">What It Means</w:t>
            </w:r>
          </w:p>
        </w:tc>
      </w:tr>
      <w:tr>
        <w:tc>
          <w:tcPr/>
          <w:p>
            <w:pPr>
              <w:pStyle w:val="Compact"/>
              <w:jc w:val="left"/>
            </w:pPr>
            <w:r>
              <w:rPr>
                <w:b/>
                <w:bCs/>
              </w:rPr>
              <w:t xml:space="preserve">Microsoft Entra ID</w:t>
            </w:r>
          </w:p>
        </w:tc>
        <w:tc>
          <w:tcPr/>
          <w:p>
            <w:pPr>
              <w:pStyle w:val="Compact"/>
              <w:jc w:val="left"/>
            </w:pPr>
            <w:r>
              <w:t xml:space="preserve">Formerly known as Azure Active Directory (Azure AD). This is Microsoft's cloud-based identity service that manages who you are and what you're allowed to access. Think of it as the modern replacement for the traditional Active Directory your organization has used.</w:t>
            </w:r>
          </w:p>
        </w:tc>
      </w:tr>
      <w:tr>
        <w:tc>
          <w:tcPr/>
          <w:p>
            <w:pPr>
              <w:pStyle w:val="Compact"/>
              <w:jc w:val="left"/>
            </w:pPr>
            <w:r>
              <w:rPr>
                <w:b/>
                <w:bCs/>
              </w:rPr>
              <w:t xml:space="preserve">Conditional Access</w:t>
            </w:r>
          </w:p>
        </w:tc>
        <w:tc>
          <w:tcPr/>
          <w:p>
            <w:pPr>
              <w:pStyle w:val="Compact"/>
              <w:jc w:val="left"/>
            </w:pPr>
            <w:r>
              <w:t xml:space="preserve">Smart security rules that automatically check your identity, device, and location before granting access to work resources. It's like a security guard that makes decisions based on context — no action needed from you.</w:t>
            </w:r>
          </w:p>
        </w:tc>
      </w:tr>
      <w:tr>
        <w:tc>
          <w:tcPr/>
          <w:p>
            <w:pPr>
              <w:pStyle w:val="Compact"/>
              <w:jc w:val="left"/>
            </w:pPr>
            <w:r>
              <w:rPr>
                <w:b/>
                <w:bCs/>
              </w:rPr>
              <w:t xml:space="preserve">FIDO2</w:t>
            </w:r>
          </w:p>
        </w:tc>
        <w:tc>
          <w:tcPr/>
          <w:p>
            <w:pPr>
              <w:pStyle w:val="Compact"/>
              <w:jc w:val="left"/>
            </w:pPr>
            <w:r>
              <w:t xml:space="preserve">An industry standard for passwordless security keys. FIDO2 keys are small USB devices that let you sign in by inserting the key and tapping a button — no password needed.</w:t>
            </w:r>
          </w:p>
        </w:tc>
      </w:tr>
      <w:tr>
        <w:tc>
          <w:tcPr/>
          <w:p>
            <w:pPr>
              <w:pStyle w:val="Compact"/>
              <w:jc w:val="left"/>
            </w:pPr>
            <w:r>
              <w:rPr>
                <w:b/>
                <w:bCs/>
              </w:rPr>
              <w:t xml:space="preserve">Intune</w:t>
            </w:r>
          </w:p>
        </w:tc>
        <w:tc>
          <w:tcPr/>
          <w:p>
            <w:pPr>
              <w:pStyle w:val="Compact"/>
              <w:jc w:val="left"/>
            </w:pPr>
            <w:r>
              <w:t xml:space="preserve">Microsoft's device management service. It keeps your work device secure and up to date by pushing security policies, updates, and approved apps. It's what powers the Company Portal app.</w:t>
            </w:r>
          </w:p>
        </w:tc>
      </w:tr>
      <w:tr>
        <w:tc>
          <w:tcPr/>
          <w:p>
            <w:pPr>
              <w:pStyle w:val="Compact"/>
              <w:jc w:val="left"/>
            </w:pPr>
            <w:r>
              <w:rPr>
                <w:b/>
                <w:bCs/>
              </w:rPr>
              <w:t xml:space="preserve">Multi-Factor Authentication (MFA)</w:t>
            </w:r>
          </w:p>
        </w:tc>
        <w:tc>
          <w:tcPr/>
          <w:p>
            <w:pPr>
              <w:pStyle w:val="Compact"/>
              <w:jc w:val="left"/>
            </w:pPr>
            <w:r>
              <w:t xml:space="preserve">Verifying your identity using two or more methods — typically something you know (password or PIN) plus something you have (your phone or security key). MFA makes it much harder for attackers to access your account.</w:t>
            </w:r>
          </w:p>
        </w:tc>
      </w:tr>
      <w:tr>
        <w:tc>
          <w:tcPr/>
          <w:p>
            <w:pPr>
              <w:pStyle w:val="Compact"/>
              <w:jc w:val="left"/>
            </w:pPr>
            <w:r>
              <w:rPr>
                <w:b/>
                <w:bCs/>
              </w:rPr>
              <w:t xml:space="preserve">OneDrive</w:t>
            </w:r>
          </w:p>
        </w:tc>
        <w:tc>
          <w:tcPr/>
          <w:p>
            <w:pPr>
              <w:pStyle w:val="Compact"/>
              <w:jc w:val="left"/>
            </w:pPr>
            <w:r>
              <w:t xml:space="preserve">Your personal cloud storage for work files. It automatically backs up your Desktop, Documents, and Pictures folders so your files are safe and accessible from any device.</w:t>
            </w:r>
          </w:p>
        </w:tc>
      </w:tr>
      <w:tr>
        <w:tc>
          <w:tcPr/>
          <w:p>
            <w:pPr>
              <w:pStyle w:val="Compact"/>
              <w:jc w:val="left"/>
            </w:pPr>
            <w:r>
              <w:rPr>
                <w:b/>
                <w:bCs/>
              </w:rPr>
              <w:t xml:space="preserve">SharePoint</w:t>
            </w:r>
          </w:p>
        </w:tc>
        <w:tc>
          <w:tcPr/>
          <w:p>
            <w:pPr>
              <w:pStyle w:val="Compact"/>
              <w:jc w:val="left"/>
            </w:pPr>
            <w:r>
              <w:t xml:space="preserve">Your team's cloud storage and collaboration platform. SharePoint sites replace traditional shared network drives (like S: drives) and allow real-time collaboration, version history, and secure sharing.</w:t>
            </w:r>
          </w:p>
        </w:tc>
      </w:tr>
      <w:tr>
        <w:tc>
          <w:tcPr/>
          <w:p>
            <w:pPr>
              <w:pStyle w:val="Compact"/>
              <w:jc w:val="left"/>
            </w:pPr>
            <w:r>
              <w:rPr>
                <w:b/>
                <w:bCs/>
              </w:rPr>
              <w:t xml:space="preserve">Single Sign-On (SSO)</w:t>
            </w:r>
          </w:p>
        </w:tc>
        <w:tc>
          <w:tcPr/>
          <w:p>
            <w:pPr>
              <w:pStyle w:val="Compact"/>
              <w:jc w:val="left"/>
            </w:pPr>
            <w:r>
              <w:t xml:space="preserve">Sign in once and get access to all your work apps — Outlook, Teams, SharePoint, and more — without being asked to sign in again for each one.</w:t>
            </w:r>
          </w:p>
        </w:tc>
      </w:tr>
      <w:tr>
        <w:tc>
          <w:tcPr/>
          <w:p>
            <w:pPr>
              <w:pStyle w:val="Compact"/>
              <w:jc w:val="left"/>
            </w:pPr>
            <w:r>
              <w:rPr>
                <w:b/>
                <w:bCs/>
              </w:rPr>
              <w:t xml:space="preserve">Windows Hello</w:t>
            </w:r>
          </w:p>
        </w:tc>
        <w:tc>
          <w:tcPr/>
          <w:p>
            <w:pPr>
              <w:pStyle w:val="Compact"/>
              <w:jc w:val="left"/>
            </w:pPr>
            <w:r>
              <w:t xml:space="preserve">A Windows feature that lets you sign in using your face, fingerprint, or a device-specific PIN instead of a password. It's fast, convenient, and more secure than traditional passwords.</w:t>
            </w:r>
          </w:p>
        </w:tc>
      </w:tr>
      <w:tr>
        <w:tc>
          <w:tcPr/>
          <w:p>
            <w:pPr>
              <w:pStyle w:val="Compact"/>
              <w:jc w:val="left"/>
            </w:pPr>
            <w:r>
              <w:rPr>
                <w:b/>
                <w:bCs/>
              </w:rPr>
              <w:t xml:space="preserve">Certificate-Based Authentication (CBA)</w:t>
            </w:r>
          </w:p>
        </w:tc>
        <w:tc>
          <w:tcPr/>
          <w:p>
            <w:pPr>
              <w:pStyle w:val="Compact"/>
              <w:jc w:val="left"/>
            </w:pPr>
            <w:r>
              <w:t xml:space="preserve">A method of proving your identity using a digital certificate stored on your device. Your device handles the authentication automatically — you don't need to type anything. IT manages the certificates for you.</w:t>
            </w:r>
          </w:p>
        </w:tc>
      </w:tr>
    </w:tbl>
    <w:bookmarkEnd w:id="110"/>
    <w:bookmarkStart w:id="111" w:name="appendix-b-cross-references"/>
    <w:p>
      <w:pPr>
        <w:pStyle w:val="Heading2"/>
      </w:pPr>
      <w:r>
        <w:t xml:space="preserve">Appendix B — Cross-References</w:t>
      </w:r>
    </w:p>
    <w:p>
      <w:pPr>
        <w:pStyle w:val="FirstParagraph"/>
      </w:pPr>
      <w:r>
        <w:t xml:space="preserve">The following companion documents are available in the Federal Modernization Program repository for IT administrators and technical staff. These provide deeper technical detail behind the user-facing changes described in this guide.</w:t>
      </w:r>
    </w:p>
    <w:tbl>
      <w:tblPr>
        <w:tblStyle w:val="Table"/>
        <w:tblW w:type="pct" w:w="4944"/>
        <w:tblLayout w:type="fixed"/>
        <w:tblLook w:firstRow="1" w:lastRow="0" w:firstColumn="0" w:lastColumn="0" w:noHBand="0" w:noVBand="0" w:val="0020"/>
      </w:tblPr>
      <w:tblGrid>
        <w:gridCol w:w="2002"/>
        <w:gridCol w:w="4938"/>
        <w:gridCol w:w="889"/>
      </w:tblGrid>
      <w:tr>
        <w:trPr>
          <w:tblHeader w:val="on"/>
        </w:trPr>
        <w:tc>
          <w:tcPr/>
          <w:p>
            <w:pPr>
              <w:pStyle w:val="Compact"/>
              <w:jc w:val="left"/>
            </w:pPr>
            <w:r>
              <w:rPr>
                <w:b/>
                <w:bCs/>
              </w:rPr>
              <w:t xml:space="preserve">Document</w:t>
            </w:r>
          </w:p>
        </w:tc>
        <w:tc>
          <w:tcPr/>
          <w:p>
            <w:pPr>
              <w:pStyle w:val="Compact"/>
              <w:jc w:val="left"/>
            </w:pPr>
            <w:r>
              <w:rPr>
                <w:b/>
                <w:bCs/>
              </w:rPr>
              <w:t xml:space="preserve">Description</w:t>
            </w:r>
          </w:p>
        </w:tc>
        <w:tc>
          <w:tcPr/>
          <w:p>
            <w:pPr>
              <w:pStyle w:val="Compact"/>
              <w:jc w:val="left"/>
            </w:pPr>
            <w:r>
              <w:rPr>
                <w:b/>
                <w:bCs/>
              </w:rPr>
              <w:t xml:space="preserve">Audience</w:t>
            </w:r>
          </w:p>
        </w:tc>
      </w:tr>
      <w:tr>
        <w:tc>
          <w:tcPr/>
          <w:p>
            <w:pPr>
              <w:pStyle w:val="Compact"/>
              <w:jc w:val="left"/>
            </w:pPr>
            <w:r>
              <w:t xml:space="preserve">**The Federal Modernization Program Identity</w:t>
            </w:r>
          </w:p>
        </w:tc>
        <w:tc>
          <w:tcPr/>
          <w:p>
            <w:pPr>
              <w:pStyle w:val="Compact"/>
              <w:jc w:val="left"/>
            </w:pPr>
            <w:r>
              <w:t xml:space="preserve">Modernization Guide** Comprehensive guide for IT administrators managing the identity transition from Ac</w:t>
            </w:r>
          </w:p>
        </w:tc>
        <w:tc>
          <w:tcPr/>
          <w:p>
            <w:pPr>
              <w:pStyle w:val="Compact"/>
              <w:jc w:val="left"/>
            </w:pPr>
            <w:r>
              <w:t xml:space="preserve">tive Directory to Entra ID IT Administrators</w:t>
            </w:r>
          </w:p>
        </w:tc>
      </w:tr>
      <w:tr>
        <w:tc>
          <w:tcPr/>
          <w:p>
            <w:pPr>
              <w:pStyle w:val="Compact"/>
              <w:jc w:val="left"/>
            </w:pPr>
            <w:r>
              <w:t xml:space="preserve">**The Federal Modernization Program Condition</w:t>
            </w:r>
          </w:p>
        </w:tc>
        <w:tc>
          <w:tcPr/>
          <w:p>
            <w:pPr>
              <w:pStyle w:val="Compact"/>
              <w:jc w:val="left"/>
            </w:pPr>
            <w:r>
              <w:t xml:space="preserve">al Access Policy Library** Reference library for IT administrators configuring and managing Conditional Acces</w:t>
            </w:r>
          </w:p>
        </w:tc>
        <w:tc>
          <w:tcPr/>
          <w:p>
            <w:pPr>
              <w:pStyle w:val="Compact"/>
              <w:jc w:val="left"/>
            </w:pPr>
            <w:r>
              <w:t xml:space="preserve">s policies IT Administrators</w:t>
            </w:r>
          </w:p>
        </w:tc>
      </w:tr>
      <w:tr>
        <w:tc>
          <w:tcPr/>
          <w:p>
            <w:pPr>
              <w:pStyle w:val="Compact"/>
              <w:jc w:val="left"/>
            </w:pPr>
            <w:r>
              <w:t xml:space="preserve">**The Federal Modernization Program Intune Po</w:t>
            </w:r>
          </w:p>
        </w:tc>
        <w:tc>
          <w:tcPr/>
          <w:p>
            <w:pPr>
              <w:pStyle w:val="Compact"/>
              <w:jc w:val="left"/>
            </w:pPr>
            <w:r>
              <w:t xml:space="preserve">licy Templates** Templates and configuration guides for IT administrators managing device complianc</w:t>
            </w:r>
          </w:p>
        </w:tc>
        <w:tc>
          <w:tcPr/>
          <w:p>
            <w:pPr>
              <w:pStyle w:val="Compact"/>
              <w:jc w:val="left"/>
            </w:pPr>
            <w:r>
              <w:t xml:space="preserve">e through Intune IT Administrators</w:t>
            </w:r>
          </w:p>
        </w:tc>
      </w:tr>
      <w:tr>
        <w:tc>
          <w:tcPr/>
          <w:p>
            <w:pPr>
              <w:pStyle w:val="Compact"/>
              <w:jc w:val="left"/>
            </w:pPr>
            <w:r>
              <w:t xml:space="preserve">**The Federal Modernization Program Operation</w:t>
            </w:r>
          </w:p>
        </w:tc>
        <w:tc>
          <w:tcPr/>
          <w:p>
            <w:pPr>
              <w:pStyle w:val="Compact"/>
              <w:jc w:val="left"/>
            </w:pPr>
            <w:r>
              <w:t xml:space="preserve">s Runbook** Day-to-day operational procedures for IT administrators handling identity, device,</w:t>
            </w:r>
          </w:p>
        </w:tc>
        <w:tc>
          <w:tcPr/>
          <w:p>
            <w:pPr>
              <w:pStyle w:val="Compact"/>
              <w:jc w:val="left"/>
            </w:pPr>
            <w:r>
              <w:t xml:space="preserve">and access management IT Administrators</w:t>
            </w:r>
          </w:p>
        </w:tc>
      </w:tr>
    </w:tbl>
    <w:p>
      <w:pPr>
        <w:pStyle w:val="BodyText"/>
      </w:pPr>
      <w:r>
        <w:t xml:space="preserve">All documents are maintained in the Federal Modernization Program repository: https://github.com/WhalerMike/modernization-workbook</w:t>
      </w:r>
    </w:p>
    <w:p>
      <w:pPr>
        <w:pStyle w:val="BodyText"/>
      </w:pPr>
      <w:r>
        <w:rPr>
          <w:b/>
          <w:bCs/>
        </w:rPr>
        <w:t xml:space="preserve">The Federal Modernization Program End User Training Guide</w:t>
      </w:r>
      <w:r>
        <w:t xml:space="preserve"> </w:t>
      </w:r>
      <w:r>
        <w:t xml:space="preserve">— Version 1.0.0 — April 21, 2026</w:t>
      </w:r>
    </w:p>
    <w:p>
      <w:pPr>
        <w:pStyle w:val="BodyText"/>
      </w:pPr>
      <w:r>
        <w:t xml:space="preserve">Author: Michael Stratton</w:t>
      </w:r>
    </w:p>
    <w:p>
      <w:pPr>
        <w:pStyle w:val="BodyText"/>
      </w:pPr>
      <w:r>
        <w:t xml:space="preserve">Classification: Controlled | Boundary: GCC-Moderate</w:t>
      </w:r>
    </w:p>
    <w:p>
      <w:pPr>
        <w:pStyle w:val="BodyText"/>
      </w:pPr>
      <w:r>
        <w:t xml:space="preserve">Repository: https://github.com/WhalerMike/modernization-workbook</w:t>
      </w:r>
    </w:p>
    <w:p>
      <w:pPr>
        <w:pStyle w:val="BodyText"/>
      </w:pPr>
      <w:r>
        <w:rPr>
          <w:b/>
          <w:bCs/>
        </w:rPr>
        <w:t xml:space="preserve">CONTROLLED | GCC-MODERATE</w:t>
      </w:r>
    </w:p>
    <w:p>
      <w:r>
        <w:pict>
          <v:rect style="width:0;height:1.5pt" o:hralign="center" o:hrstd="t" o:hr="t"/>
        </w:pict>
      </w:r>
    </w:p>
    <w:bookmarkEnd w:id="111"/>
    <w:bookmarkStart w:id="115" w:name="X3e12a19aa4a8a20f2c7f1fa94e6875c92231499"/>
    <w:p>
      <w:pPr>
        <w:pStyle w:val="Heading2"/>
      </w:pPr>
      <w:r>
        <w:t xml:space="preserve">Compliance Amendment — IT Staff Training, Records, and Phishing Simulation (</w:t>
      </w:r>
      <w:r>
        <w:rPr>
          <w:rStyle w:val="VerbatimChar"/>
        </w:rPr>
        <w:t xml:space="preserve">AT-3</w:t>
      </w:r>
      <w:r>
        <w:t xml:space="preserve">,</w:t>
      </w:r>
      <w:r>
        <w:t xml:space="preserve"> </w:t>
      </w:r>
      <w:r>
        <w:rPr>
          <w:rStyle w:val="VerbatimChar"/>
        </w:rPr>
        <w:t xml:space="preserve">AT-4</w:t>
      </w:r>
      <w:r>
        <w:t xml:space="preserve">)</w:t>
      </w:r>
    </w:p>
    <w:p>
      <w:pPr>
        <w:pStyle w:val="FirstParagraph"/>
      </w:pPr>
      <w:r>
        <w:t xml:space="preserve">This end-user material is complemented by the role-based requirements in the Federal Modernization Program Security Awareness and Training Program (</w:t>
      </w:r>
      <w:r>
        <w:rPr>
          <w:rStyle w:val="VerbatimChar"/>
        </w:rPr>
        <w:t xml:space="preserve">FMP_187</w:t>
      </w:r>
      <w:r>
        <w:t xml:space="preserve">).</w:t>
      </w:r>
    </w:p>
    <w:bookmarkStart w:id="112" w:name="it-staff-security-training-at-3"/>
    <w:p>
      <w:pPr>
        <w:pStyle w:val="Heading3"/>
      </w:pPr>
      <w:r>
        <w:t xml:space="preserve">IT staff security training (</w:t>
      </w:r>
      <w:r>
        <w:rPr>
          <w:rStyle w:val="VerbatimChar"/>
        </w:rPr>
        <w:t xml:space="preserve">AT-3</w:t>
      </w:r>
      <w:r>
        <w:t xml:space="preserve">)</w:t>
      </w:r>
    </w:p>
    <w:p>
      <w:pPr>
        <w:pStyle w:val="FirstParagraph"/>
      </w:pPr>
      <w:r>
        <w:t xml:space="preserve">Personnel in IT and security-significant roles (administrators, operators, developers) complete role-based security training beyond the end-user baseline — covering privileged-access governance, incident-response duties, and secure operations — before assuming the role and annually thereafter.</w:t>
      </w:r>
    </w:p>
    <w:bookmarkEnd w:id="112"/>
    <w:bookmarkStart w:id="113" w:name="training-records-at-4"/>
    <w:p>
      <w:pPr>
        <w:pStyle w:val="Heading3"/>
      </w:pPr>
      <w:r>
        <w:t xml:space="preserve">Training records (</w:t>
      </w:r>
      <w:r>
        <w:rPr>
          <w:rStyle w:val="VerbatimChar"/>
        </w:rPr>
        <w:t xml:space="preserve">AT-4</w:t>
      </w:r>
      <w:r>
        <w:t xml:space="preserve">)</w:t>
      </w:r>
    </w:p>
    <w:p>
      <w:pPr>
        <w:pStyle w:val="FirstParagraph"/>
      </w:pPr>
      <w:r>
        <w:t xml:space="preserve">Training completion is tracked per individual with completion and next-due dates; outstanding training is reported to the system owner and retained as assessment evidence.</w:t>
      </w:r>
    </w:p>
    <w:bookmarkEnd w:id="113"/>
    <w:bookmarkStart w:id="114" w:name="phishing-simulation"/>
    <w:p>
      <w:pPr>
        <w:pStyle w:val="Heading3"/>
      </w:pPr>
      <w:r>
        <w:t xml:space="preserve">Phishing simulation</w:t>
      </w:r>
    </w:p>
    <w:p>
      <w:pPr>
        <w:pStyle w:val="FirstParagraph"/>
      </w:pPr>
      <w:r>
        <w:t xml:space="preserve">A phishing-simulation program runs on a defined cadence; click and report rates are tracked, and repeat clickers receive targeted follow-up training.</w:t>
      </w:r>
    </w:p>
    <w:bookmarkEnd w:id="114"/>
    <w:bookmarkEnd w:id="115"/>
    <w:bookmarkEnd w:id="116"/>
    <w:bookmarkStart w:id="121" w:name="gpo-modernization-parse-and-crosswalk"/>
    <w:p>
      <w:pPr>
        <w:pStyle w:val="Heading1"/>
      </w:pPr>
      <w:r>
        <w:t xml:space="preserve">GPO Modernization — Parse and Crosswalk</w:t>
      </w:r>
    </w:p>
    <w:p>
      <w:pPr>
        <w:pStyle w:val="FirstParagraph"/>
      </w:pPr>
      <w:r>
        <w:t xml:space="preserve">Method for analyzing Group Policy before translation or retirement.</w:t>
      </w:r>
    </w:p>
    <w:bookmarkStart w:id="117" w:name="purpose-2"/>
    <w:p>
      <w:pPr>
        <w:pStyle w:val="Heading2"/>
      </w:pPr>
      <w:r>
        <w:t xml:space="preserve">Purpose</w:t>
      </w:r>
    </w:p>
    <w:p>
      <w:pPr>
        <w:pStyle w:val="FirstParagraph"/>
      </w:pPr>
      <w:r>
        <w:t xml:space="preserve">Before any GPO setting is translated to Intune or Conditional Access, it must be inventoried, classified, and crosswalked. This document describes the parse and crosswalk steps that prevent literal copying of obsolete or high-risk settings.</w:t>
      </w:r>
    </w:p>
    <w:bookmarkEnd w:id="117"/>
    <w:bookmarkStart w:id="118" w:name="steps"/>
    <w:p>
      <w:pPr>
        <w:pStyle w:val="Heading2"/>
      </w:pPr>
      <w:r>
        <w:t xml:space="preserve">Steps</w:t>
      </w:r>
    </w:p>
    <w:p>
      <w:pPr>
        <w:pStyle w:val="Compact"/>
        <w:numPr>
          <w:ilvl w:val="0"/>
          <w:numId w:val="1040"/>
        </w:numPr>
      </w:pPr>
      <w:r>
        <w:rPr>
          <w:b/>
          <w:bCs/>
        </w:rPr>
        <w:t xml:space="preserve">Parse</w:t>
      </w:r>
      <w:r>
        <w:t xml:space="preserve"> </w:t>
      </w:r>
      <w:r>
        <w:t xml:space="preserve">— Extract every setting from every linked GPO. Record GPO name, link path, setting path, and current value.</w:t>
      </w:r>
    </w:p>
    <w:p>
      <w:pPr>
        <w:pStyle w:val="Compact"/>
        <w:numPr>
          <w:ilvl w:val="0"/>
          <w:numId w:val="1040"/>
        </w:numPr>
      </w:pPr>
      <w:r>
        <w:rPr>
          <w:b/>
          <w:bCs/>
        </w:rPr>
        <w:t xml:space="preserve">Classify</w:t>
      </w:r>
      <w:r>
        <w:t xml:space="preserve"> </w:t>
      </w:r>
      <w:r>
        <w:t xml:space="preserve">— Tag each setting as required, obsolete, high-risk, or redundant.</w:t>
      </w:r>
    </w:p>
    <w:p>
      <w:pPr>
        <w:pStyle w:val="Compact"/>
        <w:numPr>
          <w:ilvl w:val="0"/>
          <w:numId w:val="1040"/>
        </w:numPr>
      </w:pPr>
      <w:r>
        <w:rPr>
          <w:b/>
          <w:bCs/>
        </w:rPr>
        <w:t xml:space="preserve">Crosswalk</w:t>
      </w:r>
      <w:r>
        <w:t xml:space="preserve"> </w:t>
      </w:r>
      <w:r>
        <w:t xml:space="preserve">— Map required settings to the closest Intune, Endpoint Security, or Conditional Access equivalent. Note where no equivalent exists.</w:t>
      </w:r>
    </w:p>
    <w:p>
      <w:pPr>
        <w:pStyle w:val="Compact"/>
        <w:numPr>
          <w:ilvl w:val="0"/>
          <w:numId w:val="1040"/>
        </w:numPr>
      </w:pPr>
      <w:r>
        <w:rPr>
          <w:b/>
          <w:bCs/>
        </w:rPr>
        <w:t xml:space="preserve">Decide</w:t>
      </w:r>
      <w:r>
        <w:t xml:space="preserve"> </w:t>
      </w:r>
      <w:r>
        <w:t xml:space="preserve">— For each setting, record the disposition: translate, retire, or retain with exception.</w:t>
      </w:r>
    </w:p>
    <w:p>
      <w:pPr>
        <w:pStyle w:val="Compact"/>
        <w:numPr>
          <w:ilvl w:val="0"/>
          <w:numId w:val="1040"/>
        </w:numPr>
      </w:pPr>
      <w:r>
        <w:rPr>
          <w:b/>
          <w:bCs/>
        </w:rPr>
        <w:t xml:space="preserve">Sequence</w:t>
      </w:r>
      <w:r>
        <w:t xml:space="preserve"> </w:t>
      </w:r>
      <w:r>
        <w:t xml:space="preserve">— Order the work so that high-risk and high-dependency settings are addressed before broad rollout.</w:t>
      </w:r>
    </w:p>
    <w:bookmarkEnd w:id="118"/>
    <w:bookmarkStart w:id="119" w:name="classification-guidance"/>
    <w:p>
      <w:pPr>
        <w:pStyle w:val="Heading2"/>
      </w:pPr>
      <w:r>
        <w:t xml:space="preserve">Classification guidance</w:t>
      </w:r>
    </w:p>
    <w:tbl>
      <w:tblPr>
        <w:tblStyle w:val="Table"/>
        <w:tblW w:type="pct" w:w="5000"/>
        <w:tblLayout w:type="fixed"/>
        <w:tblLook w:firstRow="1" w:lastRow="0" w:firstColumn="0" w:lastColumn="0" w:noHBand="0" w:noVBand="0" w:val="0020"/>
      </w:tblPr>
      <w:tblGrid>
        <w:gridCol w:w="1320"/>
        <w:gridCol w:w="2376"/>
        <w:gridCol w:w="4224"/>
      </w:tblGrid>
      <w:tr>
        <w:trPr>
          <w:tblHeader w:val="on"/>
        </w:trPr>
        <w:tc>
          <w:tcPr/>
          <w:p>
            <w:pPr>
              <w:pStyle w:val="Compact"/>
            </w:pPr>
            <w:r>
              <w:t xml:space="preserve">Tag</w:t>
            </w:r>
          </w:p>
        </w:tc>
        <w:tc>
          <w:tcPr/>
          <w:p>
            <w:pPr>
              <w:pStyle w:val="Compact"/>
            </w:pPr>
            <w:r>
              <w:t xml:space="preserve">Meaning</w:t>
            </w:r>
          </w:p>
        </w:tc>
        <w:tc>
          <w:tcPr/>
          <w:p>
            <w:pPr>
              <w:pStyle w:val="Compact"/>
            </w:pPr>
            <w:r>
              <w:t xml:space="preserve">Typical action</w:t>
            </w:r>
          </w:p>
        </w:tc>
      </w:tr>
      <w:tr>
        <w:tc>
          <w:tcPr/>
          <w:p>
            <w:pPr>
              <w:pStyle w:val="Compact"/>
            </w:pPr>
            <w:r>
              <w:t xml:space="preserve">Required</w:t>
            </w:r>
          </w:p>
        </w:tc>
        <w:tc>
          <w:tcPr/>
          <w:p>
            <w:pPr>
              <w:pStyle w:val="Compact"/>
            </w:pPr>
            <w:r>
              <w:t xml:space="preserve">Still needed in the target model</w:t>
            </w:r>
          </w:p>
        </w:tc>
        <w:tc>
          <w:tcPr/>
          <w:p>
            <w:pPr>
              <w:pStyle w:val="Compact"/>
            </w:pPr>
            <w:r>
              <w:t xml:space="preserve">Translate to modern control</w:t>
            </w:r>
          </w:p>
        </w:tc>
      </w:tr>
      <w:tr>
        <w:tc>
          <w:tcPr/>
          <w:p>
            <w:pPr>
              <w:pStyle w:val="Compact"/>
            </w:pPr>
            <w:r>
              <w:t xml:space="preserve">Obsolete</w:t>
            </w:r>
          </w:p>
        </w:tc>
        <w:tc>
          <w:tcPr/>
          <w:p>
            <w:pPr>
              <w:pStyle w:val="Compact"/>
            </w:pPr>
            <w:r>
              <w:t xml:space="preserve">No longer relevant</w:t>
            </w:r>
          </w:p>
        </w:tc>
        <w:tc>
          <w:tcPr/>
          <w:p>
            <w:pPr>
              <w:pStyle w:val="Compact"/>
            </w:pPr>
            <w:r>
              <w:t xml:space="preserve">Retire</w:t>
            </w:r>
          </w:p>
        </w:tc>
      </w:tr>
      <w:tr>
        <w:tc>
          <w:tcPr/>
          <w:p>
            <w:pPr>
              <w:pStyle w:val="Compact"/>
            </w:pPr>
            <w:r>
              <w:t xml:space="preserve">High-risk</w:t>
            </w:r>
          </w:p>
        </w:tc>
        <w:tc>
          <w:tcPr/>
          <w:p>
            <w:pPr>
              <w:pStyle w:val="Compact"/>
            </w:pPr>
            <w:r>
              <w:t xml:space="preserve">Weakens security or creates operational hazard</w:t>
            </w:r>
          </w:p>
        </w:tc>
        <w:tc>
          <w:tcPr/>
          <w:p>
            <w:pPr>
              <w:pStyle w:val="Compact"/>
            </w:pPr>
            <w:r>
              <w:t xml:space="preserve">Retire or replace with stronger control</w:t>
            </w:r>
          </w:p>
        </w:tc>
      </w:tr>
      <w:tr>
        <w:tc>
          <w:tcPr/>
          <w:p>
            <w:pPr>
              <w:pStyle w:val="Compact"/>
            </w:pPr>
            <w:r>
              <w:t xml:space="preserve">Redundant</w:t>
            </w:r>
          </w:p>
        </w:tc>
        <w:tc>
          <w:tcPr/>
          <w:p>
            <w:pPr>
              <w:pStyle w:val="Compact"/>
            </w:pPr>
            <w:r>
              <w:t xml:space="preserve">Duplicated by another control</w:t>
            </w:r>
          </w:p>
        </w:tc>
        <w:tc>
          <w:tcPr/>
          <w:p>
            <w:pPr>
              <w:pStyle w:val="Compact"/>
            </w:pPr>
            <w:r>
              <w:t xml:space="preserve">Retire</w:t>
            </w:r>
          </w:p>
        </w:tc>
      </w:tr>
    </w:tbl>
    <w:bookmarkEnd w:id="119"/>
    <w:bookmarkStart w:id="120" w:name="output"/>
    <w:p>
      <w:pPr>
        <w:pStyle w:val="Heading2"/>
      </w:pPr>
      <w:r>
        <w:t xml:space="preserve">Output</w:t>
      </w:r>
    </w:p>
    <w:p>
      <w:pPr>
        <w:pStyle w:val="FirstParagraph"/>
      </w:pPr>
      <w:r>
        <w:t xml:space="preserve">A decision record per GPO and per setting that feeds the GPO Sunset Program and the Conditional Access Policy Library.</w:t>
      </w:r>
    </w:p>
    <w:p>
      <w:r>
        <w:pict>
          <v:rect style="width:0;height:1.5pt" o:hralign="center" o:hrstd="t" o:hr="t"/>
        </w:pict>
      </w:r>
    </w:p>
    <w:p>
      <w:pPr>
        <w:pStyle w:val="FirstParagraph"/>
      </w:pPr>
      <w:r>
        <w:rPr>
          <w:i/>
          <w:iCs/>
        </w:rPr>
        <w:t xml:space="preserve">Cleaned extraction for project use.</w:t>
      </w:r>
    </w:p>
    <w:bookmarkEnd w:id="120"/>
    <w:bookmarkEnd w:id="121"/>
    <w:bookmarkStart w:id="129" w:name="gpo-sunset-program"/>
    <w:p>
      <w:pPr>
        <w:pStyle w:val="Heading1"/>
      </w:pPr>
      <w:r>
        <w:t xml:space="preserve">GPO Sunset Program</w:t>
      </w:r>
    </w:p>
    <w:p>
      <w:pPr>
        <w:pStyle w:val="FirstParagraph"/>
      </w:pPr>
      <w:r>
        <w:t xml:space="preserve">Existing-fleet GPO replacement — a phased migration to Intune.</w:t>
      </w:r>
    </w:p>
    <w:bookmarkStart w:id="122" w:name="purpose-3"/>
    <w:p>
      <w:pPr>
        <w:pStyle w:val="Heading2"/>
      </w:pPr>
      <w:r>
        <w:t xml:space="preserve">Purpose</w:t>
      </w:r>
    </w:p>
    <w:p>
      <w:pPr>
        <w:pStyle w:val="FirstParagraph"/>
      </w:pPr>
      <w:r>
        <w:t xml:space="preserve">This document describes a structured program for replacing Active Directory Group Policy Objects with Microsoft Intune policies on currently deployed endpoints. The goal is formal GPO retirement after coexistence and verification, not a literal copy of every legacy setting.</w:t>
      </w:r>
    </w:p>
    <w:bookmarkEnd w:id="122"/>
    <w:bookmarkStart w:id="123" w:name="scope-distinction"/>
    <w:p>
      <w:pPr>
        <w:pStyle w:val="Heading2"/>
      </w:pPr>
      <w:r>
        <w:t xml:space="preserve">Scope distinction</w:t>
      </w:r>
    </w:p>
    <w:p>
      <w:pPr>
        <w:pStyle w:val="FirstParagraph"/>
      </w:pPr>
      <w:r>
        <w:t xml:space="preserve">Three related but distinct activities touch Intune during modernization:</w:t>
      </w:r>
    </w:p>
    <w:p>
      <w:pPr>
        <w:pStyle w:val="Compact"/>
        <w:numPr>
          <w:ilvl w:val="0"/>
          <w:numId w:val="1041"/>
        </w:numPr>
      </w:pPr>
      <w:r>
        <w:rPr>
          <w:b/>
          <w:bCs/>
        </w:rPr>
        <w:t xml:space="preserve">Intune-First Asset Onboarding</w:t>
      </w:r>
      <w:r>
        <w:t xml:space="preserve"> </w:t>
      </w:r>
      <w:r>
        <w:t xml:space="preserve">— Net-new devices receive governance at procurement time.</w:t>
      </w:r>
    </w:p>
    <w:p>
      <w:pPr>
        <w:pStyle w:val="Compact"/>
        <w:numPr>
          <w:ilvl w:val="0"/>
          <w:numId w:val="1041"/>
        </w:numPr>
      </w:pPr>
      <w:r>
        <w:rPr>
          <w:b/>
          <w:bCs/>
        </w:rPr>
        <w:t xml:space="preserve">GPO Sunset Program</w:t>
      </w:r>
      <w:r>
        <w:t xml:space="preserve"> </w:t>
      </w:r>
      <w:r>
        <w:t xml:space="preserve">(this document) — Existing fleet. Phased replacement of GPOs on currently deployed endpoints, ending in formal GPO retirement.</w:t>
      </w:r>
    </w:p>
    <w:p>
      <w:pPr>
        <w:pStyle w:val="Compact"/>
        <w:numPr>
          <w:ilvl w:val="0"/>
          <w:numId w:val="1041"/>
        </w:numPr>
      </w:pPr>
      <w:r>
        <w:rPr>
          <w:b/>
          <w:bCs/>
        </w:rPr>
        <w:t xml:space="preserve">Policy Transformation Pattern</w:t>
      </w:r>
      <w:r>
        <w:t xml:space="preserve"> </w:t>
      </w:r>
      <w:r>
        <w:t xml:space="preserve">— The philosophy that governs how replacement policies are authored: regenerate, do not copy.</w:t>
      </w:r>
    </w:p>
    <w:p>
      <w:pPr>
        <w:pStyle w:val="FirstParagraph"/>
      </w:pPr>
      <w:r>
        <w:t xml:space="preserve">The setting-level mapping that accompanies this program is a semantic translation reference. It is not a prescription to reproduce every GPO setting one-for-one.</w:t>
      </w:r>
    </w:p>
    <w:bookmarkEnd w:id="123"/>
    <w:bookmarkStart w:id="124" w:name="seven-phase-sequence"/>
    <w:p>
      <w:pPr>
        <w:pStyle w:val="Heading2"/>
      </w:pPr>
      <w:r>
        <w:t xml:space="preserve">Seven-phase sequence</w:t>
      </w:r>
    </w:p>
    <w:tbl>
      <w:tblPr>
        <w:tblStyle w:val="Table"/>
        <w:tblW w:type="pct" w:w="5000"/>
        <w:tblLayout w:type="fixed"/>
        <w:tblLook w:firstRow="1" w:lastRow="0" w:firstColumn="0" w:lastColumn="0" w:noHBand="0" w:noVBand="0" w:val="0020"/>
      </w:tblPr>
      <w:tblGrid>
        <w:gridCol w:w="1848"/>
        <w:gridCol w:w="1848"/>
        <w:gridCol w:w="4224"/>
      </w:tblGrid>
      <w:tr>
        <w:trPr>
          <w:tblHeader w:val="on"/>
        </w:trPr>
        <w:tc>
          <w:tcPr/>
          <w:p>
            <w:pPr>
              <w:pStyle w:val="Compact"/>
            </w:pPr>
            <w:r>
              <w:t xml:space="preserve">Phase</w:t>
            </w:r>
          </w:p>
        </w:tc>
        <w:tc>
          <w:tcPr/>
          <w:p>
            <w:pPr>
              <w:pStyle w:val="Compact"/>
            </w:pPr>
            <w:r>
              <w:t xml:space="preserve">Focus</w:t>
            </w:r>
          </w:p>
        </w:tc>
        <w:tc>
          <w:tcPr/>
          <w:p>
            <w:pPr>
              <w:pStyle w:val="Compact"/>
            </w:pPr>
            <w:r>
              <w:t xml:space="preserve">Exit condition</w:t>
            </w:r>
          </w:p>
        </w:tc>
      </w:tr>
      <w:tr>
        <w:tc>
          <w:tcPr/>
          <w:p>
            <w:pPr>
              <w:pStyle w:val="Compact"/>
            </w:pPr>
            <w:r>
              <w:t xml:space="preserve">1</w:t>
            </w:r>
          </w:p>
        </w:tc>
        <w:tc>
          <w:tcPr/>
          <w:p>
            <w:pPr>
              <w:pStyle w:val="Compact"/>
            </w:pPr>
            <w:r>
              <w:t xml:space="preserve">Inventory and classify</w:t>
            </w:r>
          </w:p>
        </w:tc>
        <w:tc>
          <w:tcPr/>
          <w:p>
            <w:pPr>
              <w:pStyle w:val="Compact"/>
            </w:pPr>
            <w:r>
              <w:t xml:space="preserve">Complete GPO and setting inventory; high-risk and obsolete settings identified</w:t>
            </w:r>
          </w:p>
        </w:tc>
      </w:tr>
      <w:tr>
        <w:tc>
          <w:tcPr/>
          <w:p>
            <w:pPr>
              <w:pStyle w:val="Compact"/>
            </w:pPr>
            <w:r>
              <w:t xml:space="preserve">2</w:t>
            </w:r>
          </w:p>
        </w:tc>
        <w:tc>
          <w:tcPr/>
          <w:p>
            <w:pPr>
              <w:pStyle w:val="Compact"/>
            </w:pPr>
            <w:r>
              <w:t xml:space="preserve">Coexistence planning</w:t>
            </w:r>
          </w:p>
        </w:tc>
        <w:tc>
          <w:tcPr/>
          <w:p>
            <w:pPr>
              <w:pStyle w:val="Compact"/>
            </w:pPr>
            <w:r>
              <w:t xml:space="preserve">Workload authority (SCCM vs Intune) decided per category; dual-write risks documented</w:t>
            </w:r>
          </w:p>
        </w:tc>
      </w:tr>
      <w:tr>
        <w:tc>
          <w:tcPr/>
          <w:p>
            <w:pPr>
              <w:pStyle w:val="Compact"/>
            </w:pPr>
            <w:r>
              <w:t xml:space="preserve">3</w:t>
            </w:r>
          </w:p>
        </w:tc>
        <w:tc>
          <w:tcPr/>
          <w:p>
            <w:pPr>
              <w:pStyle w:val="Compact"/>
            </w:pPr>
            <w:r>
              <w:t xml:space="preserve">Baseline policy authoring</w:t>
            </w:r>
          </w:p>
        </w:tc>
        <w:tc>
          <w:tcPr/>
          <w:p>
            <w:pPr>
              <w:pStyle w:val="Compact"/>
            </w:pPr>
            <w:r>
              <w:t xml:space="preserve">Compliance, configuration, and endpoint security baselines defined for the target state</w:t>
            </w:r>
          </w:p>
        </w:tc>
      </w:tr>
      <w:tr>
        <w:tc>
          <w:tcPr/>
          <w:p>
            <w:pPr>
              <w:pStyle w:val="Compact"/>
            </w:pPr>
            <w:r>
              <w:t xml:space="preserve">4</w:t>
            </w:r>
          </w:p>
        </w:tc>
        <w:tc>
          <w:tcPr/>
          <w:p>
            <w:pPr>
              <w:pStyle w:val="Compact"/>
            </w:pPr>
            <w:r>
              <w:t xml:space="preserve">Pilot deployment</w:t>
            </w:r>
          </w:p>
        </w:tc>
        <w:tc>
          <w:tcPr/>
          <w:p>
            <w:pPr>
              <w:pStyle w:val="Compact"/>
            </w:pPr>
            <w:r>
              <w:t xml:space="preserve">Representative devices receive Intune policies; GPO still present; conflicts measured</w:t>
            </w:r>
          </w:p>
        </w:tc>
      </w:tr>
      <w:tr>
        <w:tc>
          <w:tcPr/>
          <w:p>
            <w:pPr>
              <w:pStyle w:val="Compact"/>
            </w:pPr>
            <w:r>
              <w:t xml:space="preserve">5</w:t>
            </w:r>
          </w:p>
        </w:tc>
        <w:tc>
          <w:tcPr/>
          <w:p>
            <w:pPr>
              <w:pStyle w:val="Compact"/>
            </w:pPr>
            <w:r>
              <w:t xml:space="preserve">Workload cutover</w:t>
            </w:r>
          </w:p>
        </w:tc>
        <w:tc>
          <w:tcPr/>
          <w:p>
            <w:pPr>
              <w:pStyle w:val="Compact"/>
            </w:pPr>
            <w:r>
              <w:t xml:space="preserve">Authority for each workload moves to Intune; GPO links disabled for those workloads</w:t>
            </w:r>
          </w:p>
        </w:tc>
      </w:tr>
      <w:tr>
        <w:tc>
          <w:tcPr/>
          <w:p>
            <w:pPr>
              <w:pStyle w:val="Compact"/>
            </w:pPr>
            <w:r>
              <w:t xml:space="preserve">6</w:t>
            </w:r>
          </w:p>
        </w:tc>
        <w:tc>
          <w:tcPr/>
          <w:p>
            <w:pPr>
              <w:pStyle w:val="Compact"/>
            </w:pPr>
            <w:r>
              <w:t xml:space="preserve">Verification and residual cleanup</w:t>
            </w:r>
          </w:p>
        </w:tc>
        <w:tc>
          <w:tcPr/>
          <w:p>
            <w:pPr>
              <w:pStyle w:val="Compact"/>
            </w:pPr>
            <w:r>
              <w:t xml:space="preserve">Residual GPO settings confirmed absent or intentionally retained; evidence collected</w:t>
            </w:r>
          </w:p>
        </w:tc>
      </w:tr>
      <w:tr>
        <w:tc>
          <w:tcPr/>
          <w:p>
            <w:pPr>
              <w:pStyle w:val="Compact"/>
            </w:pPr>
            <w:r>
              <w:t xml:space="preserve">7</w:t>
            </w:r>
          </w:p>
        </w:tc>
        <w:tc>
          <w:tcPr/>
          <w:p>
            <w:pPr>
              <w:pStyle w:val="Compact"/>
            </w:pPr>
            <w:r>
              <w:t xml:space="preserve">Formal retirement</w:t>
            </w:r>
          </w:p>
        </w:tc>
        <w:tc>
          <w:tcPr/>
          <w:p>
            <w:pPr>
              <w:pStyle w:val="Compact"/>
            </w:pPr>
            <w:r>
              <w:t xml:space="preserve">GPO objects retired or retained only for documented exceptions; program close</w:t>
            </w:r>
          </w:p>
        </w:tc>
      </w:tr>
    </w:tbl>
    <w:p>
      <w:pPr>
        <w:pStyle w:val="BodyText"/>
      </w:pPr>
      <w:r>
        <w:t xml:space="preserve">Typical duration for a large fleet is measured in months, not weeks. The exact timeline depends on inventory size, co-management state, and exception volume.</w:t>
      </w:r>
    </w:p>
    <w:bookmarkEnd w:id="124"/>
    <w:bookmarkStart w:id="125" w:name="policy-families"/>
    <w:p>
      <w:pPr>
        <w:pStyle w:val="Heading2"/>
      </w:pPr>
      <w:r>
        <w:t xml:space="preserve">Policy families</w:t>
      </w:r>
    </w:p>
    <w:p>
      <w:pPr>
        <w:pStyle w:val="FirstParagraph"/>
      </w:pPr>
      <w:r>
        <w:t xml:space="preserve">Replacement policies fall into three families:</w:t>
      </w:r>
    </w:p>
    <w:p>
      <w:pPr>
        <w:pStyle w:val="Compact"/>
        <w:numPr>
          <w:ilvl w:val="0"/>
          <w:numId w:val="1042"/>
        </w:numPr>
      </w:pPr>
      <w:r>
        <w:rPr>
          <w:b/>
          <w:bCs/>
        </w:rPr>
        <w:t xml:space="preserve">Compliance policies</w:t>
      </w:r>
      <w:r>
        <w:t xml:space="preserve"> </w:t>
      </w:r>
      <w:r>
        <w:t xml:space="preserve">— Minimum device posture required before Conditional Access grants resource access.</w:t>
      </w:r>
    </w:p>
    <w:p>
      <w:pPr>
        <w:pStyle w:val="Compact"/>
        <w:numPr>
          <w:ilvl w:val="0"/>
          <w:numId w:val="1042"/>
        </w:numPr>
      </w:pPr>
      <w:r>
        <w:rPr>
          <w:b/>
          <w:bCs/>
        </w:rPr>
        <w:t xml:space="preserve">Configuration profiles</w:t>
      </w:r>
      <w:r>
        <w:t xml:space="preserve"> </w:t>
      </w:r>
      <w:r>
        <w:t xml:space="preserve">— Settings Catalog and administrative template equivalents.</w:t>
      </w:r>
    </w:p>
    <w:p>
      <w:pPr>
        <w:pStyle w:val="Compact"/>
        <w:numPr>
          <w:ilvl w:val="0"/>
          <w:numId w:val="1042"/>
        </w:numPr>
      </w:pPr>
      <w:r>
        <w:rPr>
          <w:b/>
          <w:bCs/>
        </w:rPr>
        <w:t xml:space="preserve">Endpoint security policies</w:t>
      </w:r>
      <w:r>
        <w:t xml:space="preserve"> </w:t>
      </w:r>
      <w:r>
        <w:t xml:space="preserve">— Defender, firewall, disk encryption, and related controls.</w:t>
      </w:r>
    </w:p>
    <w:p>
      <w:pPr>
        <w:pStyle w:val="FirstParagraph"/>
      </w:pPr>
      <w:r>
        <w:t xml:space="preserve">Each policy should include:</w:t>
      </w:r>
    </w:p>
    <w:p>
      <w:pPr>
        <w:pStyle w:val="Compact"/>
        <w:numPr>
          <w:ilvl w:val="0"/>
          <w:numId w:val="1043"/>
        </w:numPr>
      </w:pPr>
      <w:r>
        <w:t xml:space="preserve">Target population (expressed as dynamic groups or filters derived from a canonical attribute model)</w:t>
      </w:r>
    </w:p>
    <w:p>
      <w:pPr>
        <w:pStyle w:val="Compact"/>
        <w:numPr>
          <w:ilvl w:val="0"/>
          <w:numId w:val="1043"/>
        </w:numPr>
      </w:pPr>
      <w:r>
        <w:t xml:space="preserve">Setting table with intended values</w:t>
      </w:r>
    </w:p>
    <w:p>
      <w:pPr>
        <w:pStyle w:val="Compact"/>
        <w:numPr>
          <w:ilvl w:val="0"/>
          <w:numId w:val="1043"/>
        </w:numPr>
      </w:pPr>
      <w:r>
        <w:t xml:space="preserve">Mapping to the GPO setting(s) it replaces</w:t>
      </w:r>
    </w:p>
    <w:p>
      <w:pPr>
        <w:pStyle w:val="Compact"/>
        <w:numPr>
          <w:ilvl w:val="0"/>
          <w:numId w:val="1043"/>
        </w:numPr>
      </w:pPr>
      <w:r>
        <w:t xml:space="preserve">Verification method</w:t>
      </w:r>
    </w:p>
    <w:bookmarkEnd w:id="125"/>
    <w:bookmarkStart w:id="126" w:name="coexistence-caution"/>
    <w:p>
      <w:pPr>
        <w:pStyle w:val="Heading2"/>
      </w:pPr>
      <w:r>
        <w:t xml:space="preserve">Coexistence caution</w:t>
      </w:r>
    </w:p>
    <w:p>
      <w:pPr>
        <w:pStyle w:val="FirstParagraph"/>
      </w:pPr>
      <w:r>
        <w:t xml:space="preserve">When SCCM and Intune both manage the same workload, devices can receive conflicting settings. The workload slider (or equivalent authority control) must designate a single authority before Intune policies for that workload are deployed. Deploying Intune policies while the workload remains under SCCM causes the Intune policy to be ignored.</w:t>
      </w:r>
    </w:p>
    <w:bookmarkEnd w:id="126"/>
    <w:bookmarkStart w:id="127" w:name="translation-philosophy"/>
    <w:p>
      <w:pPr>
        <w:pStyle w:val="Heading2"/>
      </w:pPr>
      <w:r>
        <w:t xml:space="preserve">Translation philosophy</w:t>
      </w:r>
    </w:p>
    <w:p>
      <w:pPr>
        <w:pStyle w:val="FirstParagraph"/>
      </w:pPr>
      <w:r>
        <w:t xml:space="preserve">Use the GPO-to-Intune mapping as a lookup, not a copy list. For each setting ask:</w:t>
      </w:r>
    </w:p>
    <w:p>
      <w:pPr>
        <w:pStyle w:val="Compact"/>
        <w:numPr>
          <w:ilvl w:val="0"/>
          <w:numId w:val="1044"/>
        </w:numPr>
      </w:pPr>
      <w:r>
        <w:t xml:space="preserve">Is this still required in the target operating model?</w:t>
      </w:r>
    </w:p>
    <w:p>
      <w:pPr>
        <w:pStyle w:val="Compact"/>
        <w:numPr>
          <w:ilvl w:val="0"/>
          <w:numId w:val="1044"/>
        </w:numPr>
      </w:pPr>
      <w:r>
        <w:t xml:space="preserve">Does a native Intune or Endpoint Security equivalent exist?</w:t>
      </w:r>
    </w:p>
    <w:p>
      <w:pPr>
        <w:pStyle w:val="Compact"/>
        <w:numPr>
          <w:ilvl w:val="0"/>
          <w:numId w:val="1044"/>
        </w:numPr>
      </w:pPr>
      <w:r>
        <w:t xml:space="preserve">Should the control be expressed as a compliance requirement, a configuration setting, or both?</w:t>
      </w:r>
    </w:p>
    <w:p>
      <w:pPr>
        <w:pStyle w:val="Compact"/>
        <w:numPr>
          <w:ilvl w:val="0"/>
          <w:numId w:val="1044"/>
        </w:numPr>
      </w:pPr>
      <w:r>
        <w:t xml:space="preserve">What evidence will prove the control is in effect?</w:t>
      </w:r>
    </w:p>
    <w:p>
      <w:pPr>
        <w:pStyle w:val="FirstParagraph"/>
      </w:pPr>
      <w:r>
        <w:t xml:space="preserve">Obsolete, redundant, or high-risk settings should be retired rather than translated.</w:t>
      </w:r>
    </w:p>
    <w:bookmarkEnd w:id="127"/>
    <w:bookmarkStart w:id="128" w:name="bottom-line"/>
    <w:p>
      <w:pPr>
        <w:pStyle w:val="Heading2"/>
      </w:pPr>
      <w:r>
        <w:t xml:space="preserve">Bottom line</w:t>
      </w:r>
    </w:p>
    <w:p>
      <w:pPr>
        <w:pStyle w:val="FirstParagraph"/>
      </w:pPr>
      <w:r>
        <w:t xml:space="preserve">GPO sunset is a multi-phase program that ends in formal retirement of the legacy policy surface. Success depends on inventory, authority decisions, coexistence discipline, and a regenerate-not-copy authoring approach — not on volume of settings migrated.</w:t>
      </w:r>
    </w:p>
    <w:p>
      <w:r>
        <w:pict>
          <v:rect style="width:0;height:1.5pt" o:hralign="center" o:hrstd="t" o:hr="t"/>
        </w:pict>
      </w:r>
    </w:p>
    <w:p>
      <w:pPr>
        <w:pStyle w:val="FirstParagraph"/>
      </w:pPr>
      <w:r>
        <w:rPr>
          <w:i/>
          <w:iCs/>
        </w:rPr>
        <w:t xml:space="preserve">Cleaned extraction for project use. No internal branding or document identifiers.</w:t>
      </w:r>
    </w:p>
    <w:bookmarkEnd w:id="128"/>
    <w:bookmarkEnd w:id="129"/>
    <w:bookmarkStart w:id="134" w:name="pim-self-request-with-approval"/>
    <w:p>
      <w:pPr>
        <w:pStyle w:val="Heading1"/>
      </w:pPr>
      <w:r>
        <w:t xml:space="preserve">PIM Self-Request with Approval</w:t>
      </w:r>
    </w:p>
    <w:p>
      <w:pPr>
        <w:pStyle w:val="FirstParagraph"/>
      </w:pPr>
      <w:r>
        <w:t xml:space="preserve">Pattern for just-in-time privileged access with recorded approval.</w:t>
      </w:r>
    </w:p>
    <w:bookmarkStart w:id="130" w:name="purpose-4"/>
    <w:p>
      <w:pPr>
        <w:pStyle w:val="Heading2"/>
      </w:pPr>
      <w:r>
        <w:t xml:space="preserve">Purpose</w:t>
      </w:r>
    </w:p>
    <w:p>
      <w:pPr>
        <w:pStyle w:val="FirstParagraph"/>
      </w:pPr>
      <w:r>
        <w:t xml:space="preserve">Privileged Identity Management allows eligible users to request activation of a privileged role for a limited time. This document describes the self-request pattern with approval, evidence requirements, and residual risk controls.</w:t>
      </w:r>
    </w:p>
    <w:bookmarkEnd w:id="130"/>
    <w:bookmarkStart w:id="131" w:name="pattern"/>
    <w:p>
      <w:pPr>
        <w:pStyle w:val="Heading2"/>
      </w:pPr>
      <w:r>
        <w:t xml:space="preserve">Pattern</w:t>
      </w:r>
    </w:p>
    <w:p>
      <w:pPr>
        <w:pStyle w:val="Compact"/>
        <w:numPr>
          <w:ilvl w:val="0"/>
          <w:numId w:val="1045"/>
        </w:numPr>
      </w:pPr>
      <w:r>
        <w:t xml:space="preserve">User is assigned eligibility for a role (not standing membership).</w:t>
      </w:r>
    </w:p>
    <w:p>
      <w:pPr>
        <w:pStyle w:val="Compact"/>
        <w:numPr>
          <w:ilvl w:val="0"/>
          <w:numId w:val="1045"/>
        </w:numPr>
      </w:pPr>
      <w:r>
        <w:t xml:space="preserve">User requests activation and supplies a justification.</w:t>
      </w:r>
    </w:p>
    <w:p>
      <w:pPr>
        <w:pStyle w:val="Compact"/>
        <w:numPr>
          <w:ilvl w:val="0"/>
          <w:numId w:val="1045"/>
        </w:numPr>
      </w:pPr>
      <w:r>
        <w:t xml:space="preserve">Designated approver reviews and approves or denies.</w:t>
      </w:r>
    </w:p>
    <w:p>
      <w:pPr>
        <w:pStyle w:val="Compact"/>
        <w:numPr>
          <w:ilvl w:val="0"/>
          <w:numId w:val="1045"/>
        </w:numPr>
      </w:pPr>
      <w:r>
        <w:t xml:space="preserve">Role is activated for the approved duration.</w:t>
      </w:r>
    </w:p>
    <w:p>
      <w:pPr>
        <w:pStyle w:val="Compact"/>
        <w:numPr>
          <w:ilvl w:val="0"/>
          <w:numId w:val="1045"/>
        </w:numPr>
      </w:pPr>
      <w:r>
        <w:t xml:space="preserve">Activation and approval are recorded as evidence.</w:t>
      </w:r>
    </w:p>
    <w:p>
      <w:pPr>
        <w:pStyle w:val="Compact"/>
        <w:numPr>
          <w:ilvl w:val="0"/>
          <w:numId w:val="1045"/>
        </w:numPr>
      </w:pPr>
      <w:r>
        <w:t xml:space="preserve">Role expires automatically.</w:t>
      </w:r>
    </w:p>
    <w:bookmarkEnd w:id="131"/>
    <w:bookmarkStart w:id="132" w:name="requirements"/>
    <w:p>
      <w:pPr>
        <w:pStyle w:val="Heading2"/>
      </w:pPr>
      <w:r>
        <w:t xml:space="preserve">Requirements</w:t>
      </w:r>
    </w:p>
    <w:tbl>
      <w:tblPr>
        <w:tblStyle w:val="Table"/>
        <w:tblW w:type="pct" w:w="5000"/>
        <w:tblLayout w:type="fixed"/>
        <w:tblLook w:firstRow="1" w:lastRow="0" w:firstColumn="0" w:lastColumn="0" w:noHBand="0" w:noVBand="0" w:val="0020"/>
      </w:tblPr>
      <w:tblGrid>
        <w:gridCol w:w="3240"/>
        <w:gridCol w:w="4680"/>
      </w:tblGrid>
      <w:tr>
        <w:trPr>
          <w:tblHeader w:val="on"/>
        </w:trPr>
        <w:tc>
          <w:tcPr/>
          <w:p>
            <w:pPr>
              <w:pStyle w:val="Compact"/>
            </w:pPr>
            <w:r>
              <w:t xml:space="preserve">Element</w:t>
            </w:r>
          </w:p>
        </w:tc>
        <w:tc>
          <w:tcPr/>
          <w:p>
            <w:pPr>
              <w:pStyle w:val="Compact"/>
            </w:pPr>
            <w:r>
              <w:t xml:space="preserve">Requirement</w:t>
            </w:r>
          </w:p>
        </w:tc>
      </w:tr>
      <w:tr>
        <w:tc>
          <w:tcPr/>
          <w:p>
            <w:pPr>
              <w:pStyle w:val="Compact"/>
            </w:pPr>
            <w:r>
              <w:t xml:space="preserve">Eligibility</w:t>
            </w:r>
          </w:p>
        </w:tc>
        <w:tc>
          <w:tcPr/>
          <w:p>
            <w:pPr>
              <w:pStyle w:val="Compact"/>
            </w:pPr>
            <w:r>
              <w:t xml:space="preserve">Assigned by governance, not by the user</w:t>
            </w:r>
          </w:p>
        </w:tc>
      </w:tr>
      <w:tr>
        <w:tc>
          <w:tcPr/>
          <w:p>
            <w:pPr>
              <w:pStyle w:val="Compact"/>
            </w:pPr>
            <w:r>
              <w:t xml:space="preserve">Justification</w:t>
            </w:r>
          </w:p>
        </w:tc>
        <w:tc>
          <w:tcPr/>
          <w:p>
            <w:pPr>
              <w:pStyle w:val="Compact"/>
            </w:pPr>
            <w:r>
              <w:t xml:space="preserve">Required and retained</w:t>
            </w:r>
          </w:p>
        </w:tc>
      </w:tr>
      <w:tr>
        <w:tc>
          <w:tcPr/>
          <w:p>
            <w:pPr>
              <w:pStyle w:val="Compact"/>
            </w:pPr>
            <w:r>
              <w:t xml:space="preserve">Approval</w:t>
            </w:r>
          </w:p>
        </w:tc>
        <w:tc>
          <w:tcPr/>
          <w:p>
            <w:pPr>
              <w:pStyle w:val="Compact"/>
            </w:pPr>
            <w:r>
              <w:t xml:space="preserve">Required for high-privilege roles; optional for lower tiers</w:t>
            </w:r>
          </w:p>
        </w:tc>
      </w:tr>
      <w:tr>
        <w:tc>
          <w:tcPr/>
          <w:p>
            <w:pPr>
              <w:pStyle w:val="Compact"/>
            </w:pPr>
            <w:r>
              <w:t xml:space="preserve">Duration</w:t>
            </w:r>
          </w:p>
        </w:tc>
        <w:tc>
          <w:tcPr/>
          <w:p>
            <w:pPr>
              <w:pStyle w:val="Compact"/>
            </w:pPr>
            <w:r>
              <w:t xml:space="preserve">Maximum activation window defined per role</w:t>
            </w:r>
          </w:p>
        </w:tc>
      </w:tr>
      <w:tr>
        <w:tc>
          <w:tcPr/>
          <w:p>
            <w:pPr>
              <w:pStyle w:val="Compact"/>
            </w:pPr>
            <w:r>
              <w:t xml:space="preserve">Evidence</w:t>
            </w:r>
          </w:p>
        </w:tc>
        <w:tc>
          <w:tcPr/>
          <w:p>
            <w:pPr>
              <w:pStyle w:val="Compact"/>
            </w:pPr>
            <w:r>
              <w:t xml:space="preserve">Request, approver, timestamp, and duration recorded</w:t>
            </w:r>
          </w:p>
        </w:tc>
      </w:tr>
      <w:tr>
        <w:tc>
          <w:tcPr/>
          <w:p>
            <w:pPr>
              <w:pStyle w:val="Compact"/>
            </w:pPr>
            <w:r>
              <w:t xml:space="preserve">Monitoring</w:t>
            </w:r>
          </w:p>
        </w:tc>
        <w:tc>
          <w:tcPr/>
          <w:p>
            <w:pPr>
              <w:pStyle w:val="Compact"/>
            </w:pPr>
            <w:r>
              <w:t xml:space="preserve">Alert on activation outside expected patterns</w:t>
            </w:r>
          </w:p>
        </w:tc>
      </w:tr>
    </w:tbl>
    <w:bookmarkEnd w:id="132"/>
    <w:bookmarkStart w:id="133" w:name="residual-risk"/>
    <w:p>
      <w:pPr>
        <w:pStyle w:val="Heading2"/>
      </w:pPr>
      <w:r>
        <w:t xml:space="preserve">Residual risk</w:t>
      </w:r>
    </w:p>
    <w:p>
      <w:pPr>
        <w:pStyle w:val="Compact"/>
        <w:numPr>
          <w:ilvl w:val="0"/>
          <w:numId w:val="1046"/>
        </w:numPr>
      </w:pPr>
      <w:r>
        <w:t xml:space="preserve">Approver fatigue if volume is high</w:t>
      </w:r>
    </w:p>
    <w:p>
      <w:pPr>
        <w:pStyle w:val="Compact"/>
        <w:numPr>
          <w:ilvl w:val="0"/>
          <w:numId w:val="1046"/>
        </w:numPr>
      </w:pPr>
      <w:r>
        <w:t xml:space="preserve">Standing eligibility that is never reviewed</w:t>
      </w:r>
    </w:p>
    <w:p>
      <w:pPr>
        <w:pStyle w:val="Compact"/>
        <w:numPr>
          <w:ilvl w:val="0"/>
          <w:numId w:val="1046"/>
        </w:numPr>
      </w:pPr>
      <w:r>
        <w:t xml:space="preserve">Break-glass accounts that bypass the pattern</w:t>
      </w:r>
    </w:p>
    <w:p>
      <w:pPr>
        <w:pStyle w:val="FirstParagraph"/>
      </w:pPr>
      <w:r>
        <w:t xml:space="preserve">Mitigate by periodic eligibility review, volume monitoring, and separate break-glass procedures.</w:t>
      </w:r>
    </w:p>
    <w:p>
      <w:r>
        <w:pict>
          <v:rect style="width:0;height:1.5pt" o:hralign="center" o:hrstd="t" o:hr="t"/>
        </w:pict>
      </w:r>
    </w:p>
    <w:p>
      <w:pPr>
        <w:pStyle w:val="FirstParagraph"/>
      </w:pPr>
      <w:r>
        <w:rPr>
          <w:i/>
          <w:iCs/>
        </w:rPr>
        <w:t xml:space="preserve">Cleaned extraction for project use.</w:t>
      </w:r>
    </w:p>
    <w:bookmarkEnd w:id="133"/>
    <w:bookmarkEnd w:id="134"/>
    <w:bookmarkStart w:id="143" w:name="X4e502b7dac6507796612211d1d52c0f9b1ead2a"/>
    <w:p>
      <w:pPr>
        <w:pStyle w:val="Heading1"/>
      </w:pPr>
      <w:r>
        <w:t xml:space="preserve">The Federal Modernization Program PKI Modernization Guide</w:t>
      </w:r>
    </w:p>
    <w:bookmarkStart w:id="138" w:name="fig-pki-modernization-image-03"/>
    <w:p>
      <w:pPr>
        <w:pStyle w:val="CaptionedFigure"/>
      </w:pPr>
      <w:r>
        <w:drawing>
          <wp:inline>
            <wp:extent cx="5334000" cy="5334000"/>
            <wp:effectExtent b="0" l="0" r="0" t="0"/>
            <wp:docPr descr="hybrid coexistence and cross-trust pattern" title="" id="136" name="Picture"/>
            <a:graphic>
              <a:graphicData uri="http://schemas.openxmlformats.org/drawingml/2006/picture">
                <pic:pic>
                  <pic:nvPicPr>
                    <pic:cNvPr descr="/home/runner/work/modernization-workbook/modernization-workbook/docs/images/operational-guides/read-only-ad-assessment-image-03-output-directory-gitea-manifest.png" id="137" name="Picture"/>
                    <pic:cNvPicPr>
                      <a:picLocks noChangeArrowheads="1" noChangeAspect="1"/>
                    </pic:cNvPicPr>
                  </pic:nvPicPr>
                  <pic:blipFill>
                    <a:blip r:embed="rId13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hybrid coexistence and cross-trust pattern</w:t>
      </w:r>
    </w:p>
    <w:bookmarkEnd w:id="138"/>
    <w:p>
      <w:pPr>
        <w:pStyle w:val="BodyText"/>
      </w:pPr>
      <w:r>
        <w:t xml:space="preserve">The Federal Modernization Program PKI Modernization Guide</w:t>
      </w:r>
    </w:p>
    <w:p>
      <w:pPr>
        <w:pStyle w:val="BodyText"/>
      </w:pPr>
      <w:r>
        <w:rPr>
          <w:b/>
          <w:bCs/>
        </w:rPr>
        <w:t xml:space="preserve">ADCS to Cloud PKI and Entra CBA</w:t>
      </w:r>
    </w:p>
    <w:p>
      <w:pPr>
        <w:pStyle w:val="BodyText"/>
      </w:pPr>
      <w:r>
        <w:rPr>
          <w:b/>
          <w:bCs/>
        </w:rPr>
        <w:t xml:space="preserve">Series:</w:t>
      </w:r>
      <w:r>
        <w:t xml:space="preserve"> </w:t>
      </w:r>
      <w:r>
        <w:t xml:space="preserve">the Federal Modernization Program — Identity &amp; Certificate Services</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p>
    <w:p>
      <w:pPr>
        <w:pStyle w:val="BodyText"/>
      </w:pPr>
      <w:r>
        <w:rPr>
          <w:b/>
          <w:bCs/>
        </w:rPr>
        <w:t xml:space="preserve">Version:</w:t>
      </w:r>
      <w:r>
        <w:t xml:space="preserve"> </w:t>
      </w:r>
      <w:r>
        <w:t xml:space="preserve">1.0 |</w:t>
      </w:r>
      <w:r>
        <w:t xml:space="preserve"> </w:t>
      </w:r>
      <w:r>
        <w:rPr>
          <w:b/>
          <w:bCs/>
        </w:rPr>
        <w:t xml:space="preserve">Date:</w:t>
      </w:r>
      <w:r>
        <w:t xml:space="preserve"> </w:t>
      </w:r>
      <w:r>
        <w:t xml:space="preserve">April 21, 2026</w:t>
      </w:r>
    </w:p>
    <w:p>
      <w:pPr>
        <w:pStyle w:val="BodyText"/>
      </w:pPr>
      <w:r>
        <w:rPr>
          <w:b/>
          <w:bCs/>
        </w:rPr>
        <w:t xml:space="preserve">Repository:</w:t>
      </w:r>
      <w:r>
        <w:t xml:space="preserve"> </w:t>
      </w:r>
      <w:r>
        <w:t xml:space="preserve">https://github.com/WhalerMike/modernization-workbook</w:t>
      </w:r>
    </w:p>
    <w:p>
      <w:pPr>
        <w:pStyle w:val="BodyText"/>
      </w:pPr>
      <w:r>
        <w:rPr>
          <w:b/>
          <w:bCs/>
        </w:rPr>
        <w:t xml:space="preserve">Author:</w:t>
      </w:r>
      <w:r>
        <w:t xml:space="preserve"> </w:t>
      </w:r>
      <w:r>
        <w:t xml:space="preserve">the Federal Modernization Program Governance Team</w:t>
      </w:r>
    </w:p>
    <w:tbl>
      <w:tblPr>
        <w:tblStyle w:val="Table"/>
        <w:tblW w:type="pct" w:w="5016"/>
        <w:tblLayout w:type="fixed"/>
        <w:tblLook w:firstRow="0" w:lastRow="0" w:firstColumn="0" w:lastColumn="0" w:noHBand="0" w:noVBand="0" w:val="0000"/>
      </w:tblPr>
      <w:tblGrid>
        <w:gridCol w:w="7945"/>
      </w:tblGrid>
      <w:tr>
        <w:tc>
          <w:tcPr/>
          <w:p>
            <w:pPr>
              <w:pStyle w:val="Compact"/>
            </w:pPr>
            <w:r>
              <w:rPr>
                <w:b/>
                <w:bCs/>
              </w:rPr>
              <w:t xml:space="preserve">Classification Notice</w:t>
            </w:r>
            <w:r>
              <w:t xml:space="preserve"> </w:t>
            </w:r>
            <w:r>
              <w:t xml:space="preserve">|</w:t>
            </w:r>
            <w:r>
              <w:t xml:space="preserve"> </w:t>
            </w:r>
            <w:r>
              <w:t xml:space="preserve">|</w:t>
            </w:r>
            <w:r>
              <w:t xml:space="preserve"> </w:t>
            </w:r>
            <w:r>
              <w:t xml:space="preserve">This document is classified</w:t>
            </w:r>
            <w:r>
              <w:t xml:space="preserve"> </w:t>
            </w:r>
            <w:r>
              <w:rPr>
                <w:b/>
                <w:bCs/>
              </w:rPr>
              <w:t xml:space="preserve">Controlled</w:t>
            </w:r>
            <w:r>
              <w:t xml:space="preserve"> </w:t>
            </w:r>
            <w:r>
              <w:t xml:space="preserve">within the GCC-Moderate boundary. Distribution is limited to authorized personnel supporting the Federal Modernization Program PKI modernization operations. This document does not carry FOUO markings. Handle in accordance with organizational data handling policies.</w:t>
            </w:r>
          </w:p>
        </w:tc>
      </w:tr>
    </w:tbl>
    <w:bookmarkStart w:id="139" w:name="canon-phase-mapping-the-program-decision"/>
    <w:p>
      <w:pPr>
        <w:pStyle w:val="Heading2"/>
      </w:pPr>
      <w:r>
        <w:t xml:space="preserve">Canon Phase Mapping (the program decision)</w:t>
      </w:r>
    </w:p>
    <w:p>
      <w:pPr>
        <w:pStyle w:val="FirstParagraph"/>
      </w:pPr>
      <w:r>
        <w:t xml:space="preserve">This guide’s 6 operational phases refine the canonical six-phase Directory Migration model published in</w:t>
      </w:r>
      <w:r>
        <w:t xml:space="preserve"> </w:t>
      </w:r>
      <w:r>
        <w:rPr>
          <w:rStyle w:val="VerbatimChar"/>
        </w:rPr>
        <w:t xml:space="preserve">docs/customer-documents/reference-architecture/directory-migration.qmd</w:t>
      </w:r>
      <w:r>
        <w:t xml:space="preserve">. The mapping below shows which canon phase each PKI phase executes. Per [the program decision], the customer-side detail (weeks, gates, rollback windows, runbook material) is preserved unchanged; the mapping is purely a navigational anchor so readers can trace customer phases back to canon scaffold.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Customer phase (this guide)</w:t>
            </w:r>
          </w:p>
        </w:tc>
        <w:tc>
          <w:tcPr/>
          <w:p>
            <w:pPr>
              <w:pStyle w:val="Compact"/>
            </w:pPr>
            <w:r>
              <w:t xml:space="preserve">Canon phase (the program decision)</w:t>
            </w:r>
          </w:p>
        </w:tc>
      </w:tr>
      <w:tr>
        <w:tc>
          <w:tcPr/>
          <w:p>
            <w:pPr>
              <w:pStyle w:val="Compact"/>
            </w:pPr>
            <w:r>
              <w:t xml:space="preserve">Phase 1 — Assessment (Weeks 1–4)</w:t>
            </w:r>
          </w:p>
        </w:tc>
        <w:tc>
          <w:tcPr/>
          <w:p>
            <w:pPr>
              <w:pStyle w:val="Compact"/>
            </w:pPr>
            <w:r>
              <w:t xml:space="preserve">1. Discover</w:t>
            </w:r>
          </w:p>
        </w:tc>
      </w:tr>
      <w:tr>
        <w:tc>
          <w:tcPr/>
          <w:p>
            <w:pPr>
              <w:pStyle w:val="Compact"/>
            </w:pPr>
            <w:r>
              <w:t xml:space="preserve">Phase 2 — Foundation (Weeks 5–8)</w:t>
            </w:r>
          </w:p>
        </w:tc>
        <w:tc>
          <w:tcPr/>
          <w:p>
            <w:pPr>
              <w:pStyle w:val="Compact"/>
            </w:pPr>
            <w:r>
              <w:t xml:space="preserve">2. Normalize + 3. Map</w:t>
            </w:r>
          </w:p>
        </w:tc>
      </w:tr>
      <w:tr>
        <w:tc>
          <w:tcPr/>
          <w:p>
            <w:pPr>
              <w:pStyle w:val="Compact"/>
            </w:pPr>
            <w:r>
              <w:t xml:space="preserve">Phase 3 — Pilot (Weeks 9–16)</w:t>
            </w:r>
          </w:p>
        </w:tc>
        <w:tc>
          <w:tcPr/>
          <w:p>
            <w:pPr>
              <w:pStyle w:val="Compact"/>
            </w:pPr>
            <w:r>
              <w:t xml:space="preserve">4. Migrate</w:t>
            </w:r>
            <w:r>
              <w:t xml:space="preserve"> </w:t>
            </w:r>
            <w:r>
              <w:rPr>
                <w:i/>
                <w:iCs/>
              </w:rPr>
              <w:t xml:space="preserve">(initial cohort)</w:t>
            </w:r>
          </w:p>
        </w:tc>
      </w:tr>
      <w:tr>
        <w:tc>
          <w:tcPr/>
          <w:p>
            <w:pPr>
              <w:pStyle w:val="Compact"/>
            </w:pPr>
            <w:r>
              <w:t xml:space="preserve">Phase 4 — Scale (Weeks 17–28)</w:t>
            </w:r>
          </w:p>
        </w:tc>
        <w:tc>
          <w:tcPr/>
          <w:p>
            <w:pPr>
              <w:pStyle w:val="Compact"/>
            </w:pPr>
            <w:r>
              <w:t xml:space="preserve">4. Migrate</w:t>
            </w:r>
            <w:r>
              <w:t xml:space="preserve"> </w:t>
            </w:r>
            <w:r>
              <w:rPr>
                <w:i/>
                <w:iCs/>
              </w:rPr>
              <w:t xml:space="preserve">(rollout)</w:t>
            </w:r>
          </w:p>
        </w:tc>
      </w:tr>
      <w:tr>
        <w:tc>
          <w:tcPr/>
          <w:p>
            <w:pPr>
              <w:pStyle w:val="Compact"/>
            </w:pPr>
            <w:r>
              <w:t xml:space="preserve">Phase 5 — Cutover (Weeks 29–36)</w:t>
            </w:r>
          </w:p>
        </w:tc>
        <w:tc>
          <w:tcPr/>
          <w:p>
            <w:pPr>
              <w:pStyle w:val="Compact"/>
            </w:pPr>
            <w:r>
              <w:t xml:space="preserve">4. Migrate + 5. Validate</w:t>
            </w:r>
          </w:p>
        </w:tc>
      </w:tr>
      <w:tr>
        <w:tc>
          <w:tcPr/>
          <w:p>
            <w:pPr>
              <w:pStyle w:val="Compact"/>
            </w:pPr>
            <w:r>
              <w:t xml:space="preserve">Phase 6 — Decommission (Weeks 37–44)</w:t>
            </w:r>
          </w:p>
        </w:tc>
        <w:tc>
          <w:tcPr/>
          <w:p>
            <w:pPr>
              <w:pStyle w:val="Compact"/>
            </w:pPr>
            <w:r>
              <w:t xml:space="preserve">6. Decommission</w:t>
            </w:r>
          </w:p>
        </w:tc>
      </w:tr>
    </w:tbl>
    <w:p>
      <w:pPr>
        <w:pStyle w:val="BodyText"/>
      </w:pPr>
      <w:r>
        <w:t xml:space="preserve">The PKI customer and canon models both have six phases, but the semantics differ. PKI Phase 2 (Foundation) combines canon Normalize and Map — rationalizing certificate templates and mapping them to Cloud PKI / Intune SCEP/PKCS equivalents are a single operational workstream in the guide. PKI Phases 3 (Pilot), 4 (Scale), and 5 (Cutover) all execute canon Phase 4 (Migrate) at different rollout depths, with Cutover also covering canon Validate before the 30-day rollback window opens. PKI Phase 6 (Decommission) is a 1:1 refinement of canon Phase 6.</w:t>
      </w:r>
    </w:p>
    <w:p>
      <w:pPr>
        <w:pStyle w:val="BodyText"/>
      </w:pPr>
      <w:r>
        <w:t xml:space="preserve">Table of Contents</w:t>
      </w:r>
    </w:p>
    <w:p>
      <w:pPr>
        <w:numPr>
          <w:ilvl w:val="0"/>
          <w:numId w:val="1047"/>
        </w:numPr>
      </w:pPr>
      <w:r>
        <w:t xml:space="preserve">Purpose and Scope</w:t>
      </w:r>
    </w:p>
    <w:p>
      <w:pPr>
        <w:numPr>
          <w:ilvl w:val="0"/>
          <w:numId w:val="1047"/>
        </w:numPr>
      </w:pPr>
      <w:r>
        <w:t xml:space="preserve">ADCS Architecture Baseline</w:t>
      </w:r>
    </w:p>
    <w:p>
      <w:pPr>
        <w:numPr>
          <w:ilvl w:val="0"/>
          <w:numId w:val="1047"/>
        </w:numPr>
      </w:pPr>
      <w:r>
        <w:t xml:space="preserve">ADCS Security Assessment (ESC Vulnerabilities)</w:t>
      </w:r>
    </w:p>
    <w:p>
      <w:pPr>
        <w:numPr>
          <w:ilvl w:val="0"/>
          <w:numId w:val="1047"/>
        </w:numPr>
      </w:pPr>
      <w:r>
        <w:t xml:space="preserve">Certificate Inventory and Classification</w:t>
      </w:r>
    </w:p>
    <w:p>
      <w:pPr>
        <w:numPr>
          <w:ilvl w:val="0"/>
          <w:numId w:val="1047"/>
        </w:numPr>
      </w:pPr>
      <w:r>
        <w:t xml:space="preserve">Target Architecture: Microsoft Cloud PKI</w:t>
      </w:r>
    </w:p>
    <w:p>
      <w:pPr>
        <w:numPr>
          <w:ilvl w:val="0"/>
          <w:numId w:val="1047"/>
        </w:numPr>
      </w:pPr>
      <w:r>
        <w:t xml:space="preserve">Intune Certificate Deployment</w:t>
      </w:r>
    </w:p>
    <w:p>
      <w:pPr>
        <w:numPr>
          <w:ilvl w:val="0"/>
          <w:numId w:val="1047"/>
        </w:numPr>
      </w:pPr>
      <w:r>
        <w:t xml:space="preserve">Entra ID Certificate-Based Authentication (CBA)</w:t>
      </w:r>
    </w:p>
    <w:p>
      <w:pPr>
        <w:numPr>
          <w:ilvl w:val="0"/>
          <w:numId w:val="1047"/>
        </w:numPr>
      </w:pPr>
      <w:r>
        <w:t xml:space="preserve">Hybrid Coexistence Architecture</w:t>
      </w:r>
    </w:p>
    <w:p>
      <w:pPr>
        <w:numPr>
          <w:ilvl w:val="0"/>
          <w:numId w:val="1047"/>
        </w:numPr>
      </w:pPr>
      <w:r>
        <w:t xml:space="preserve">Migration Execution Playbook</w:t>
      </w:r>
    </w:p>
    <w:p>
      <w:pPr>
        <w:numPr>
          <w:ilvl w:val="0"/>
          <w:numId w:val="1047"/>
        </w:numPr>
      </w:pPr>
      <w:r>
        <w:t xml:space="preserve">Monitoring, Compliance, and Drift Detection</w:t>
      </w:r>
    </w:p>
    <w:p>
      <w:pPr>
        <w:numPr>
          <w:ilvl w:val="0"/>
          <w:numId w:val="1047"/>
        </w:numPr>
      </w:pPr>
      <w:r>
        <w:t xml:space="preserve">Security Hardening</w:t>
      </w:r>
    </w:p>
    <w:p>
      <w:pPr>
        <w:numPr>
          <w:ilvl w:val="0"/>
          <w:numId w:val="1047"/>
        </w:numPr>
      </w:pPr>
      <w:r>
        <w:t xml:space="preserve">Troubleshooting Reference</w:t>
      </w:r>
    </w:p>
    <w:p>
      <w:pPr>
        <w:numPr>
          <w:ilvl w:val="0"/>
          <w:numId w:val="1047"/>
        </w:numPr>
      </w:pPr>
      <w:r>
        <w:t xml:space="preserve">Companion Document Cross-Reference</w:t>
      </w:r>
    </w:p>
    <w:p>
      <w:pPr>
        <w:numPr>
          <w:ilvl w:val="0"/>
          <w:numId w:val="1047"/>
        </w:numPr>
      </w:pPr>
      <w:r>
        <w:t xml:space="preserve">Appendix A — Cloud PKI Deployment Checklist</w:t>
      </w:r>
    </w:p>
    <w:p>
      <w:pPr>
        <w:numPr>
          <w:ilvl w:val="0"/>
          <w:numId w:val="1047"/>
        </w:numPr>
      </w:pPr>
      <w:r>
        <w:t xml:space="preserve">Appendix B — Certificate Template Migration Matrix</w:t>
      </w:r>
    </w:p>
    <w:p>
      <w:pPr>
        <w:numPr>
          <w:ilvl w:val="0"/>
          <w:numId w:val="1047"/>
        </w:numPr>
      </w:pPr>
      <w:r>
        <w:t xml:space="preserve">Appendix C — PowerShell PKI Assessment Module</w:t>
      </w:r>
    </w:p>
    <w:p>
      <w:pPr>
        <w:numPr>
          <w:ilvl w:val="0"/>
          <w:numId w:val="1047"/>
        </w:numPr>
      </w:pPr>
      <w:r>
        <w:t xml:space="preserve">Appendix D — Entra CBA Configuration Checklist</w:t>
      </w:r>
    </w:p>
    <w:p>
      <w:pPr>
        <w:pStyle w:val="FirstParagraph"/>
      </w:pPr>
      <w:r>
        <w:t xml:space="preserve">1. Purpose and Scope</w:t>
      </w:r>
    </w:p>
    <w:p>
      <w:pPr>
        <w:pStyle w:val="BodyText"/>
      </w:pPr>
      <w:r>
        <w:t xml:space="preserve">This guide provides a comprehensive, phased methodology for migrating on-premises Active Directory Certificate Services (ADCS) to a cloud-native Public Key Infrastructure (PKI) using Microsoft Cloud PKI, Intune certificate deployment (SCEP/PKCS), and Microsoft Entra ID Certificate-Based Authentication (CBA). It is part of the Federal Modernization Program document corpus and is designed to operate within the GCC-Moderate boundary.</w:t>
      </w:r>
    </w:p>
    <w:p>
      <w:pPr>
        <w:pStyle w:val="BodyText"/>
      </w:pPr>
      <w:r>
        <w:t xml:space="preserve">1.1 Scope Definition</w:t>
      </w:r>
    </w:p>
    <w:p>
      <w:pPr>
        <w:pStyle w:val="BodyText"/>
      </w:pPr>
      <w:r>
        <w:t xml:space="preserve">This document covers the following domains:</w:t>
      </w:r>
    </w:p>
    <w:p>
      <w:pPr>
        <w:numPr>
          <w:ilvl w:val="0"/>
          <w:numId w:val="1048"/>
        </w:numPr>
      </w:pPr>
      <w:r>
        <w:rPr>
          <w:b/>
          <w:bCs/>
        </w:rPr>
        <w:t xml:space="preserve">Assessment:</w:t>
      </w:r>
      <w:r>
        <w:t xml:space="preserve"> </w:t>
      </w:r>
      <w:r>
        <w:t xml:space="preserve">Comprehensive inventory and security audit of existing ADCS infrastructure, including ESC vulnerability analysis (ESC1–ESC8).</w:t>
      </w:r>
    </w:p>
    <w:p>
      <w:pPr>
        <w:numPr>
          <w:ilvl w:val="0"/>
          <w:numId w:val="1048"/>
        </w:numPr>
      </w:pPr>
      <w:r>
        <w:rPr>
          <w:b/>
          <w:bCs/>
        </w:rPr>
        <w:t xml:space="preserve">Architecture:</w:t>
      </w:r>
      <w:r>
        <w:t xml:space="preserve"> </w:t>
      </w:r>
      <w:r>
        <w:t xml:space="preserve">Target-state design using Microsoft Cloud PKI (Cloud Root CA and BYOCA models) integrated with Microsoft Intune.</w:t>
      </w:r>
    </w:p>
    <w:p>
      <w:pPr>
        <w:numPr>
          <w:ilvl w:val="0"/>
          <w:numId w:val="1048"/>
        </w:numPr>
      </w:pPr>
      <w:r>
        <w:rPr>
          <w:b/>
          <w:bCs/>
        </w:rPr>
        <w:t xml:space="preserve">Certificate Deployment:</w:t>
      </w:r>
      <w:r>
        <w:t xml:space="preserve"> </w:t>
      </w:r>
      <w:r>
        <w:t xml:space="preserve">Intune-managed certificate profiles — Trusted Root, SCEP, and PKCS — with strong mapping enforcement (KB5014754).</w:t>
      </w:r>
    </w:p>
    <w:p>
      <w:pPr>
        <w:numPr>
          <w:ilvl w:val="0"/>
          <w:numId w:val="1048"/>
        </w:numPr>
      </w:pPr>
      <w:r>
        <w:rPr>
          <w:b/>
          <w:bCs/>
        </w:rPr>
        <w:t xml:space="preserve">Authentication:</w:t>
      </w:r>
      <w:r>
        <w:t xml:space="preserve"> </w:t>
      </w:r>
      <w:r>
        <w:t xml:space="preserve">Entra ID CBA configuration, user binding methods, staged rollout, and migration from ADFS certificate authentication.</w:t>
      </w:r>
    </w:p>
    <w:p>
      <w:pPr>
        <w:numPr>
          <w:ilvl w:val="0"/>
          <w:numId w:val="1048"/>
        </w:numPr>
      </w:pPr>
      <w:r>
        <w:rPr>
          <w:b/>
          <w:bCs/>
        </w:rPr>
        <w:t xml:space="preserve">Hybrid Coexistence:</w:t>
      </w:r>
      <w:r>
        <w:t xml:space="preserve"> </w:t>
      </w:r>
      <w:r>
        <w:t xml:space="preserve">Parallel operation of ADCS and Cloud PKI during transition, including DC certificates, LDAPS, and cross-trust scenarios.</w:t>
      </w:r>
    </w:p>
    <w:p>
      <w:pPr>
        <w:numPr>
          <w:ilvl w:val="0"/>
          <w:numId w:val="1048"/>
        </w:numPr>
      </w:pPr>
      <w:r>
        <w:rPr>
          <w:b/>
          <w:bCs/>
        </w:rPr>
        <w:t xml:space="preserve">Migration Execution:</w:t>
      </w:r>
      <w:r>
        <w:t xml:space="preserve"> </w:t>
      </w:r>
      <w:r>
        <w:t xml:space="preserve">Six-phase playbook with gates, rollback procedures, and dynamic-group targeting.</w:t>
      </w:r>
    </w:p>
    <w:p>
      <w:pPr>
        <w:numPr>
          <w:ilvl w:val="0"/>
          <w:numId w:val="1048"/>
        </w:numPr>
      </w:pPr>
      <w:r>
        <w:rPr>
          <w:b/>
          <w:bCs/>
        </w:rPr>
        <w:t xml:space="preserve">Monitoring:</w:t>
      </w:r>
      <w:r>
        <w:t xml:space="preserve"> </w:t>
      </w:r>
      <w:r>
        <w:t xml:space="preserve">Certificate health, compliance, and drift detection with Gitea integration for assessment persistence.</w:t>
      </w:r>
    </w:p>
    <w:p>
      <w:pPr>
        <w:pStyle w:val="FirstParagraph"/>
      </w:pPr>
      <w:r>
        <w:t xml:space="preserve">1.2 Classification and Handling</w:t>
      </w:r>
    </w:p>
    <w:tbl>
      <w:tblPr>
        <w:tblStyle w:val="Table"/>
        <w:tblW w:type="pct" w:w="4865"/>
        <w:tblLayout w:type="fixed"/>
        <w:tblLook w:firstRow="1" w:lastRow="0" w:firstColumn="0" w:lastColumn="0" w:noHBand="0" w:noVBand="0" w:val="0020"/>
      </w:tblPr>
      <w:tblGrid>
        <w:gridCol w:w="1819"/>
        <w:gridCol w:w="5886"/>
      </w:tblGrid>
      <w:tr>
        <w:trPr>
          <w:tblHeader w:val="on"/>
        </w:trPr>
        <w:tc>
          <w:tcPr/>
          <w:p>
            <w:pPr>
              <w:pStyle w:val="Compact"/>
              <w:jc w:val="left"/>
            </w:pPr>
            <w:r>
              <w:rPr>
                <w:b/>
                <w:bCs/>
              </w:rPr>
              <w:t xml:space="preserve">Attribute</w:t>
            </w:r>
          </w:p>
        </w:tc>
        <w:tc>
          <w:tcPr/>
          <w:p>
            <w:pPr>
              <w:pStyle w:val="Compact"/>
              <w:jc w:val="left"/>
            </w:pPr>
            <w:r>
              <w:rPr>
                <w:b/>
                <w:bCs/>
              </w:rPr>
              <w:t xml:space="preserve">Value</w:t>
            </w:r>
          </w:p>
        </w:tc>
      </w:tr>
      <w:tr>
        <w:tc>
          <w:tcPr/>
          <w:p>
            <w:pPr>
              <w:pStyle w:val="Compact"/>
              <w:jc w:val="left"/>
            </w:pPr>
            <w:r>
              <w:t xml:space="preserve">Classification</w:t>
            </w:r>
          </w:p>
        </w:tc>
        <w:tc>
          <w:tcPr/>
          <w:p>
            <w:pPr>
              <w:pStyle w:val="Compact"/>
              <w:jc w:val="left"/>
            </w:pPr>
            <w:r>
              <w:t xml:space="preserve">Controlled</w:t>
            </w:r>
          </w:p>
        </w:tc>
      </w:tr>
      <w:tr>
        <w:tc>
          <w:tcPr/>
          <w:p>
            <w:pPr>
              <w:pStyle w:val="Compact"/>
              <w:jc w:val="left"/>
            </w:pPr>
            <w:r>
              <w:t xml:space="preserve">Boundary</w:t>
            </w:r>
          </w:p>
        </w:tc>
        <w:tc>
          <w:tcPr/>
          <w:p>
            <w:pPr>
              <w:pStyle w:val="Compact"/>
              <w:jc w:val="left"/>
            </w:pPr>
            <w:r>
              <w:t xml:space="preserve">GCC-Moderate</w:t>
            </w:r>
          </w:p>
        </w:tc>
      </w:tr>
      <w:tr>
        <w:tc>
          <w:tcPr/>
          <w:p>
            <w:pPr>
              <w:pStyle w:val="Compact"/>
              <w:jc w:val="left"/>
            </w:pPr>
            <w:r>
              <w:t xml:space="preserve">Distribution</w:t>
            </w:r>
          </w:p>
        </w:tc>
        <w:tc>
          <w:tcPr/>
          <w:p>
            <w:pPr>
              <w:pStyle w:val="Compact"/>
              <w:jc w:val="left"/>
            </w:pPr>
            <w:r>
              <w:t xml:space="preserve">Authorized the Federal Modernization Program personnel and designated contractors</w:t>
            </w:r>
          </w:p>
        </w:tc>
      </w:tr>
      <w:tr>
        <w:tc>
          <w:tcPr/>
          <w:p>
            <w:pPr>
              <w:pStyle w:val="Compact"/>
              <w:jc w:val="left"/>
            </w:pPr>
            <w:r>
              <w:t xml:space="preserve">Retention</w:t>
            </w:r>
          </w:p>
        </w:tc>
        <w:tc>
          <w:tcPr/>
          <w:p>
            <w:pPr>
              <w:pStyle w:val="Compact"/>
              <w:jc w:val="left"/>
            </w:pPr>
            <w:r>
              <w:t xml:space="preserve">Active — review annually or upon major PKI change</w:t>
            </w:r>
          </w:p>
        </w:tc>
      </w:tr>
    </w:tbl>
    <w:p>
      <w:pPr>
        <w:pStyle w:val="BodyText"/>
      </w:pPr>
      <w:r>
        <w:t xml:space="preserve">1.3 Companion Document Cross-References</w:t>
      </w:r>
    </w:p>
    <w:p>
      <w:pPr>
        <w:pStyle w:val="BodyText"/>
      </w:pPr>
      <w:r>
        <w:t xml:space="preserve">This guide operates in conjunction with the following the Federal Modernization Program documents:</w:t>
      </w:r>
    </w:p>
    <w:p>
      <w:pPr>
        <w:numPr>
          <w:ilvl w:val="0"/>
          <w:numId w:val="1049"/>
        </w:numPr>
      </w:pPr>
      <w:r>
        <w:rPr>
          <w:b/>
          <w:bCs/>
        </w:rPr>
        <w:t xml:space="preserve">AD Interaction Guide:</w:t>
      </w:r>
      <w:r>
        <w:t xml:space="preserve"> </w:t>
      </w:r>
      <w:r>
        <w:t xml:space="preserve">The ADCS assessment performed in this guide feeds the broader AD assessment framework. Certificate template and CA inventory data flows into the AD Interaction Guide's assessment outputs.</w:t>
      </w:r>
    </w:p>
    <w:p>
      <w:pPr>
        <w:numPr>
          <w:ilvl w:val="0"/>
          <w:numId w:val="1049"/>
        </w:numPr>
      </w:pPr>
      <w:r>
        <w:rPr>
          <w:b/>
          <w:bCs/>
        </w:rPr>
        <w:t xml:space="preserve">Identity Modernization Guide:</w:t>
      </w:r>
      <w:r>
        <w:t xml:space="preserve"> </w:t>
      </w:r>
      <w:r>
        <w:t xml:space="preserve">Entra CBA deployment depends on Entra readiness as defined in the Identity Modernization Guide. Staged rollout and domain conversion must align with identity migration timelines.</w:t>
      </w:r>
    </w:p>
    <w:p>
      <w:pPr>
        <w:numPr>
          <w:ilvl w:val="0"/>
          <w:numId w:val="1049"/>
        </w:numPr>
      </w:pPr>
      <w:r>
        <w:rPr>
          <w:b/>
          <w:bCs/>
        </w:rPr>
        <w:t xml:space="preserve">AD Computer Object Conversion Guide:</w:t>
      </w:r>
      <w:r>
        <w:t xml:space="preserve"> </w:t>
      </w:r>
      <w:r>
        <w:t xml:space="preserve">Device certificates issued via Intune SCEP/PKCS profiles depend on devices being enrolled in Intune. The Computer Object Conversion Guide governs the process of moving device management from Group Policy to Intune.</w:t>
      </w:r>
    </w:p>
    <w:p>
      <w:pPr>
        <w:pStyle w:val="FirstParagraph"/>
      </w:pPr>
      <w:r>
        <w:t xml:space="preserve">1.4 Audience</w:t>
      </w:r>
    </w:p>
    <w:p>
      <w:pPr>
        <w:numPr>
          <w:ilvl w:val="0"/>
          <w:numId w:val="1050"/>
        </w:numPr>
      </w:pPr>
      <w:r>
        <w:t xml:space="preserve">PKI administrators and certificate services operators</w:t>
      </w:r>
    </w:p>
    <w:p>
      <w:pPr>
        <w:numPr>
          <w:ilvl w:val="0"/>
          <w:numId w:val="1050"/>
        </w:numPr>
      </w:pPr>
      <w:r>
        <w:t xml:space="preserve">Identity and access management (IAM) architects</w:t>
      </w:r>
    </w:p>
    <w:p>
      <w:pPr>
        <w:numPr>
          <w:ilvl w:val="0"/>
          <w:numId w:val="1050"/>
        </w:numPr>
      </w:pPr>
      <w:r>
        <w:t xml:space="preserve">Intune and endpoint management administrators</w:t>
      </w:r>
    </w:p>
    <w:p>
      <w:pPr>
        <w:numPr>
          <w:ilvl w:val="0"/>
          <w:numId w:val="1050"/>
        </w:numPr>
      </w:pPr>
      <w:r>
        <w:t xml:space="preserve">Security operations and compliance teams</w:t>
      </w:r>
    </w:p>
    <w:p>
      <w:pPr>
        <w:numPr>
          <w:ilvl w:val="0"/>
          <w:numId w:val="1050"/>
        </w:numPr>
      </w:pPr>
      <w:r>
        <w:t xml:space="preserve">The Federal Modernization Program governance leads and project managers</w:t>
      </w:r>
    </w:p>
    <w:p>
      <w:pPr>
        <w:pStyle w:val="FirstParagraph"/>
      </w:pPr>
      <w:r>
        <w:t xml:space="preserve">2. ADCS Architecture Baseline</w:t>
      </w:r>
    </w:p>
    <w:p>
      <w:pPr>
        <w:pStyle w:val="BodyText"/>
      </w:pPr>
      <w:r>
        <w:t xml:space="preserve">Before migrating to Cloud PKI, organizations must establish a thorough baseline of their existing ADCS infrastructure. This section documents the typical enterprise ADCS topology, certificate template categories, and auto-enrollment configuration that will be assessed and migrated.</w:t>
      </w:r>
    </w:p>
    <w:p>
      <w:pPr>
        <w:pStyle w:val="BodyText"/>
      </w:pPr>
      <w:r>
        <w:t xml:space="preserve">2.1 Typical ADCS Topology</w:t>
      </w:r>
    </w:p>
    <w:p>
      <w:pPr>
        <w:pStyle w:val="BodyText"/>
      </w:pPr>
      <w:r>
        <w:t xml:space="preserve">Enterprise ADCS deployments generally follow a two-tier or three-tier hierarchy:</w:t>
      </w:r>
    </w:p>
    <w:p>
      <w:pPr>
        <w:numPr>
          <w:ilvl w:val="0"/>
          <w:numId w:val="1051"/>
        </w:numPr>
      </w:pPr>
      <w:r>
        <w:rPr>
          <w:b/>
          <w:bCs/>
        </w:rPr>
        <w:t xml:space="preserve">Offline Root CA:</w:t>
      </w:r>
      <w:r>
        <w:t xml:space="preserve"> </w:t>
      </w:r>
      <w:r>
        <w:t xml:space="preserve">Air-gapped certificate authority that signs the Issuing CA certificate(s). Typically hosted on a hardened, non-domain-joined server stored in a secure location. Brought online only for Issuing CA certificate renewal or CRL signing.</w:t>
      </w:r>
    </w:p>
    <w:p>
      <w:pPr>
        <w:numPr>
          <w:ilvl w:val="0"/>
          <w:numId w:val="1051"/>
        </w:numPr>
      </w:pPr>
      <w:r>
        <w:rPr>
          <w:b/>
          <w:bCs/>
        </w:rPr>
        <w:t xml:space="preserve">Online Issuing CA(s):</w:t>
      </w:r>
      <w:r>
        <w:t xml:space="preserve"> </w:t>
      </w:r>
      <w:r>
        <w:t xml:space="preserve">One or more enterprise CAs joined to Active Directory, responsible for all day-to-day certificate issuance. Published to AD for auto-enrollment discovery.</w:t>
      </w:r>
    </w:p>
    <w:p>
      <w:pPr>
        <w:numPr>
          <w:ilvl w:val="0"/>
          <w:numId w:val="1051"/>
        </w:numPr>
      </w:pPr>
      <w:r>
        <w:rPr>
          <w:b/>
          <w:bCs/>
        </w:rPr>
        <w:t xml:space="preserve">NDES (Network Device Enrollment Service):</w:t>
      </w:r>
      <w:r>
        <w:t xml:space="preserve"> </w:t>
      </w:r>
      <w:r>
        <w:t xml:space="preserve">Provides SCEP protocol endpoint for non-domain-joined devices (network equipment, mobile devices via Intune).</w:t>
      </w:r>
    </w:p>
    <w:p>
      <w:pPr>
        <w:numPr>
          <w:ilvl w:val="0"/>
          <w:numId w:val="1051"/>
        </w:numPr>
      </w:pPr>
      <w:r>
        <w:rPr>
          <w:b/>
          <w:bCs/>
        </w:rPr>
        <w:t xml:space="preserve">CES/CEP (Certificate Enrollment Service / Certificate Enrollment Policy):</w:t>
      </w:r>
      <w:r>
        <w:t xml:space="preserve"> </w:t>
      </w:r>
      <w:r>
        <w:t xml:space="preserve">Web-based enrollment for devices outside the corporate network. Often paired with Web Application Proxy or Azure AD Application Proxy.</w:t>
      </w:r>
    </w:p>
    <w:p>
      <w:pPr>
        <w:numPr>
          <w:ilvl w:val="0"/>
          <w:numId w:val="1051"/>
        </w:numPr>
      </w:pPr>
      <w:r>
        <w:rPr>
          <w:b/>
          <w:bCs/>
        </w:rPr>
        <w:t xml:space="preserve">CRL Distribution Points (CDPs):</w:t>
      </w:r>
      <w:r>
        <w:t xml:space="preserve"> </w:t>
      </w:r>
      <w:r>
        <w:t xml:space="preserve">HTTP and LDAP locations where Certificate Revocation Lists are published.</w:t>
      </w:r>
    </w:p>
    <w:p>
      <w:pPr>
        <w:numPr>
          <w:ilvl w:val="0"/>
          <w:numId w:val="1051"/>
        </w:numPr>
      </w:pPr>
      <w:r>
        <w:rPr>
          <w:b/>
          <w:bCs/>
        </w:rPr>
        <w:t xml:space="preserve">Authority Information Access (AIA):</w:t>
      </w:r>
      <w:r>
        <w:t xml:space="preserve"> </w:t>
      </w:r>
      <w:r>
        <w:t xml:space="preserve">HTTP and LDAP locations for CA certificate chain retrieval.</w:t>
      </w:r>
    </w:p>
    <w:p>
      <w:pPr>
        <w:numPr>
          <w:ilvl w:val="0"/>
          <w:numId w:val="1051"/>
        </w:numPr>
      </w:pPr>
      <w:r>
        <w:rPr>
          <w:b/>
          <w:bCs/>
        </w:rPr>
        <w:t xml:space="preserve">OCSP Responder (optional):</w:t>
      </w:r>
      <w:r>
        <w:t xml:space="preserve"> </w:t>
      </w:r>
      <w:r>
        <w:t xml:space="preserve">Online Certificate Status Protocol responder for real-time revocation checking.</w:t>
      </w:r>
    </w:p>
    <w:tbl>
      <w:tblPr>
        <w:tblStyle w:val="Table"/>
        <w:tblW w:type="pct" w:w="5000"/>
        <w:jc w:val="left"/>
        <w:tblInd w:w="720" w:type="dxa"/>
        <w:tblLayout w:type="fixed"/>
        <w:tblLook w:firstRow="0" w:lastRow="0" w:firstColumn="0" w:lastColumn="0" w:noHBand="0" w:noVBand="0" w:val="0000"/>
      </w:tblPr>
      <w:tblGrid>
        <w:gridCol w:w="7920"/>
      </w:tblGrid>
      <w:tr>
        <w:tc>
          <w:tcPr/>
          <w:p>
            <w:pPr>
              <w:pStyle w:val="Compact"/>
              <w:jc w:val="left"/>
            </w:pPr>
            <w:r>
              <w:rPr>
                <w:i/>
                <w:iCs/>
              </w:rPr>
              <w:t xml:space="preserve">[Placeholder — Diagram PKI-001: ADCS Topology — 800×450px — Shows offline Root CA, Issuing CAs, NDES, CRL/AIA distribution points, and certificate consumers]</w:t>
            </w:r>
          </w:p>
        </w:tc>
      </w:tr>
    </w:tbl>
    <w:p>
      <w:pPr>
        <w:pStyle w:val="FirstParagraph"/>
      </w:pPr>
      <w:r>
        <w:t xml:space="preserve">2.2 CA Component Inventory</w:t>
      </w:r>
    </w:p>
    <w:p>
      <w:pPr>
        <w:pStyle w:val="BodyText"/>
      </w:pPr>
      <w:r>
        <w:t xml:space="preserve">Document each CA using the following inventory template:</w:t>
      </w:r>
    </w:p>
    <w:tbl>
      <w:tblPr>
        <w:tblStyle w:val="Table"/>
        <w:tblW w:type="pct" w:w="4900"/>
        <w:tblLayout w:type="fixed"/>
        <w:tblLook w:firstRow="1" w:lastRow="0" w:firstColumn="0" w:lastColumn="0" w:noHBand="0" w:noVBand="0" w:val="0020"/>
      </w:tblPr>
      <w:tblGrid>
        <w:gridCol w:w="2059"/>
        <w:gridCol w:w="1742"/>
        <w:gridCol w:w="1980"/>
        <w:gridCol w:w="1980"/>
      </w:tblGrid>
      <w:tr>
        <w:trPr>
          <w:tblHeader w:val="on"/>
        </w:trPr>
        <w:tc>
          <w:tcPr/>
          <w:p>
            <w:pPr>
              <w:pStyle w:val="Compact"/>
              <w:jc w:val="left"/>
            </w:pPr>
            <w:r>
              <w:rPr>
                <w:b/>
                <w:bCs/>
              </w:rPr>
              <w:t xml:space="preserve">Attribute</w:t>
            </w:r>
          </w:p>
        </w:tc>
        <w:tc>
          <w:tcPr/>
          <w:p>
            <w:pPr>
              <w:pStyle w:val="Compact"/>
              <w:jc w:val="left"/>
            </w:pPr>
            <w:r>
              <w:rPr>
                <w:b/>
                <w:bCs/>
              </w:rPr>
              <w:t xml:space="preserve">Root CA</w:t>
            </w:r>
          </w:p>
        </w:tc>
        <w:tc>
          <w:tcPr/>
          <w:p>
            <w:pPr>
              <w:pStyle w:val="Compact"/>
              <w:jc w:val="left"/>
            </w:pPr>
            <w:r>
              <w:rPr>
                <w:b/>
                <w:bCs/>
              </w:rPr>
              <w:t xml:space="preserve">Issuing CA 1</w:t>
            </w:r>
          </w:p>
        </w:tc>
        <w:tc>
          <w:tcPr/>
          <w:p>
            <w:pPr>
              <w:pStyle w:val="Compact"/>
              <w:jc w:val="left"/>
            </w:pPr>
            <w:r>
              <w:rPr>
                <w:b/>
                <w:bCs/>
              </w:rPr>
              <w:t xml:space="preserve">Issuing CA 2</w:t>
            </w:r>
          </w:p>
        </w:tc>
      </w:tr>
      <w:tr>
        <w:tc>
          <w:tcPr/>
          <w:p>
            <w:pPr>
              <w:pStyle w:val="Compact"/>
              <w:jc w:val="left"/>
            </w:pPr>
            <w:r>
              <w:t xml:space="preserve">CA Type</w:t>
            </w:r>
          </w:p>
        </w:tc>
        <w:tc>
          <w:tcPr/>
          <w:p>
            <w:pPr>
              <w:pStyle w:val="Compact"/>
              <w:jc w:val="left"/>
            </w:pPr>
            <w:r>
              <w:t xml:space="preserve">Standalone Root</w:t>
            </w:r>
          </w:p>
        </w:tc>
        <w:tc>
          <w:tcPr/>
          <w:p>
            <w:pPr>
              <w:pStyle w:val="Compact"/>
              <w:jc w:val="left"/>
            </w:pPr>
            <w:r>
              <w:t xml:space="preserve">Enterprise Subordinate</w:t>
            </w:r>
          </w:p>
        </w:tc>
        <w:tc>
          <w:tcPr/>
          <w:p>
            <w:pPr>
              <w:pStyle w:val="Compact"/>
              <w:jc w:val="left"/>
            </w:pPr>
            <w:r>
              <w:t xml:space="preserve">Enterprise Subordinate</w:t>
            </w:r>
          </w:p>
        </w:tc>
      </w:tr>
      <w:tr>
        <w:tc>
          <w:tcPr/>
          <w:p>
            <w:pPr>
              <w:pStyle w:val="Compact"/>
              <w:jc w:val="left"/>
            </w:pPr>
            <w:r>
              <w:t xml:space="preserve">Server Name</w:t>
            </w:r>
          </w:p>
        </w:tc>
        <w:tc>
          <w:tcPr/>
          <w:p>
            <w:pPr>
              <w:pStyle w:val="Compact"/>
              <w:jc w:val="left"/>
            </w:pPr>
            <w:r>
              <w:t xml:space="preserve">[YOURORG]-ROOT-CA</w:t>
            </w:r>
          </w:p>
        </w:tc>
        <w:tc>
          <w:tcPr/>
          <w:p>
            <w:pPr>
              <w:pStyle w:val="Compact"/>
              <w:jc w:val="left"/>
            </w:pPr>
            <w:r>
              <w:t xml:space="preserve">[YOURORG]-ISS-CA01</w:t>
            </w:r>
          </w:p>
        </w:tc>
        <w:tc>
          <w:tcPr/>
          <w:p>
            <w:pPr>
              <w:pStyle w:val="Compact"/>
              <w:jc w:val="left"/>
            </w:pPr>
            <w:r>
              <w:t xml:space="preserve">[YOURORG]-ISS-CA02</w:t>
            </w:r>
          </w:p>
        </w:tc>
      </w:tr>
      <w:tr>
        <w:tc>
          <w:tcPr/>
          <w:p>
            <w:pPr>
              <w:pStyle w:val="Compact"/>
              <w:jc w:val="left"/>
            </w:pPr>
            <w:r>
              <w:t xml:space="preserve">Operating System</w:t>
            </w:r>
          </w:p>
        </w:tc>
        <w:tc>
          <w:tcPr/>
          <w:p>
            <w:pPr>
              <w:pStyle w:val="Compact"/>
              <w:jc w:val="left"/>
            </w:pPr>
            <w:r>
              <w:t xml:space="preserve">Windows Server 2019</w:t>
            </w:r>
          </w:p>
        </w:tc>
        <w:tc>
          <w:tcPr/>
          <w:p>
            <w:pPr>
              <w:pStyle w:val="Compact"/>
              <w:jc w:val="left"/>
            </w:pPr>
            <w:r>
              <w:t xml:space="preserve">Windows Server 2022</w:t>
            </w:r>
          </w:p>
        </w:tc>
        <w:tc>
          <w:tcPr/>
          <w:p>
            <w:pPr>
              <w:pStyle w:val="Compact"/>
              <w:jc w:val="left"/>
            </w:pPr>
            <w:r>
              <w:t xml:space="preserve">Windows Server 2022</w:t>
            </w:r>
          </w:p>
        </w:tc>
      </w:tr>
      <w:tr>
        <w:tc>
          <w:tcPr/>
          <w:p>
            <w:pPr>
              <w:pStyle w:val="Compact"/>
              <w:jc w:val="left"/>
            </w:pPr>
            <w:r>
              <w:t xml:space="preserve">Key Length</w:t>
            </w:r>
          </w:p>
        </w:tc>
        <w:tc>
          <w:tcPr/>
          <w:p>
            <w:pPr>
              <w:pStyle w:val="Compact"/>
              <w:jc w:val="left"/>
            </w:pPr>
            <w:r>
              <w:t xml:space="preserve">4096-bit RSA</w:t>
            </w:r>
          </w:p>
        </w:tc>
        <w:tc>
          <w:tcPr/>
          <w:p>
            <w:pPr>
              <w:pStyle w:val="Compact"/>
              <w:jc w:val="left"/>
            </w:pPr>
            <w:r>
              <w:t xml:space="preserve">2048-bit RSA</w:t>
            </w:r>
          </w:p>
        </w:tc>
        <w:tc>
          <w:tcPr/>
          <w:p>
            <w:pPr>
              <w:pStyle w:val="Compact"/>
              <w:jc w:val="left"/>
            </w:pPr>
            <w:r>
              <w:t xml:space="preserve">2048-bit RSA</w:t>
            </w:r>
          </w:p>
        </w:tc>
      </w:tr>
      <w:tr>
        <w:tc>
          <w:tcPr/>
          <w:p>
            <w:pPr>
              <w:pStyle w:val="Compact"/>
              <w:jc w:val="left"/>
            </w:pPr>
            <w:r>
              <w:t xml:space="preserve">Hash Algorithm</w:t>
            </w:r>
          </w:p>
        </w:tc>
        <w:tc>
          <w:tcPr/>
          <w:p>
            <w:pPr>
              <w:pStyle w:val="Compact"/>
              <w:jc w:val="left"/>
            </w:pPr>
            <w:r>
              <w:t xml:space="preserve">SHA-256</w:t>
            </w:r>
          </w:p>
        </w:tc>
        <w:tc>
          <w:tcPr/>
          <w:p>
            <w:pPr>
              <w:pStyle w:val="Compact"/>
              <w:jc w:val="left"/>
            </w:pPr>
            <w:r>
              <w:t xml:space="preserve">SHA-256</w:t>
            </w:r>
          </w:p>
        </w:tc>
        <w:tc>
          <w:tcPr/>
          <w:p>
            <w:pPr>
              <w:pStyle w:val="Compact"/>
              <w:jc w:val="left"/>
            </w:pPr>
            <w:r>
              <w:t xml:space="preserve">SHA-256</w:t>
            </w:r>
          </w:p>
        </w:tc>
      </w:tr>
      <w:tr>
        <w:tc>
          <w:tcPr/>
          <w:p>
            <w:pPr>
              <w:pStyle w:val="Compact"/>
              <w:jc w:val="left"/>
            </w:pPr>
            <w:r>
              <w:t xml:space="preserve">Validity Period</w:t>
            </w:r>
          </w:p>
        </w:tc>
        <w:tc>
          <w:tcPr/>
          <w:p>
            <w:pPr>
              <w:pStyle w:val="Compact"/>
              <w:jc w:val="left"/>
            </w:pPr>
            <w:r>
              <w:t xml:space="preserve">20 years</w:t>
            </w:r>
          </w:p>
        </w:tc>
        <w:tc>
          <w:tcPr/>
          <w:p>
            <w:pPr>
              <w:pStyle w:val="Compact"/>
              <w:jc w:val="left"/>
            </w:pPr>
            <w:r>
              <w:t xml:space="preserve">5 years</w:t>
            </w:r>
          </w:p>
        </w:tc>
        <w:tc>
          <w:tcPr/>
          <w:p>
            <w:pPr>
              <w:pStyle w:val="Compact"/>
              <w:jc w:val="left"/>
            </w:pPr>
            <w:r>
              <w:t xml:space="preserve">5 years</w:t>
            </w:r>
          </w:p>
        </w:tc>
      </w:tr>
      <w:tr>
        <w:tc>
          <w:tcPr/>
          <w:p>
            <w:pPr>
              <w:pStyle w:val="Compact"/>
              <w:jc w:val="left"/>
            </w:pPr>
            <w:r>
              <w:t xml:space="preserve">CRL Distribution Points</w:t>
            </w:r>
          </w:p>
        </w:tc>
        <w:tc>
          <w:tcPr/>
          <w:p>
            <w:pPr>
              <w:pStyle w:val="Compact"/>
              <w:jc w:val="left"/>
            </w:pPr>
            <w:r>
              <w:t xml:space="preserve">HTTP, LDAP</w:t>
            </w:r>
          </w:p>
        </w:tc>
        <w:tc>
          <w:tcPr/>
          <w:p>
            <w:pPr>
              <w:pStyle w:val="Compact"/>
              <w:jc w:val="left"/>
            </w:pPr>
            <w:r>
              <w:t xml:space="preserve">HTTP, LDAP</w:t>
            </w:r>
          </w:p>
        </w:tc>
        <w:tc>
          <w:tcPr/>
          <w:p>
            <w:pPr>
              <w:pStyle w:val="Compact"/>
              <w:jc w:val="left"/>
            </w:pPr>
            <w:r>
              <w:t xml:space="preserve">HTTP, LDAP</w:t>
            </w:r>
          </w:p>
        </w:tc>
      </w:tr>
      <w:tr>
        <w:tc>
          <w:tcPr/>
          <w:p>
            <w:pPr>
              <w:pStyle w:val="Compact"/>
              <w:jc w:val="left"/>
            </w:pPr>
            <w:r>
              <w:t xml:space="preserve">AIA Locations</w:t>
            </w:r>
          </w:p>
        </w:tc>
        <w:tc>
          <w:tcPr/>
          <w:p>
            <w:pPr>
              <w:pStyle w:val="Compact"/>
              <w:jc w:val="left"/>
            </w:pPr>
            <w:r>
              <w:t xml:space="preserve">HTTP, LDAP</w:t>
            </w:r>
          </w:p>
        </w:tc>
        <w:tc>
          <w:tcPr/>
          <w:p>
            <w:pPr>
              <w:pStyle w:val="Compact"/>
              <w:jc w:val="left"/>
            </w:pPr>
            <w:r>
              <w:t xml:space="preserve">HTTP, LDAP</w:t>
            </w:r>
          </w:p>
        </w:tc>
        <w:tc>
          <w:tcPr/>
          <w:p>
            <w:pPr>
              <w:pStyle w:val="Compact"/>
              <w:jc w:val="left"/>
            </w:pPr>
            <w:r>
              <w:t xml:space="preserve">HTTP, LDAP</w:t>
            </w:r>
          </w:p>
        </w:tc>
      </w:tr>
      <w:tr>
        <w:tc>
          <w:tcPr/>
          <w:p>
            <w:pPr>
              <w:pStyle w:val="Compact"/>
              <w:jc w:val="left"/>
            </w:pPr>
            <w:r>
              <w:t xml:space="preserve">OCSP Configured</w:t>
            </w:r>
          </w:p>
        </w:tc>
        <w:tc>
          <w:tcPr/>
          <w:p>
            <w:pPr>
              <w:pStyle w:val="Compact"/>
              <w:jc w:val="left"/>
            </w:pPr>
            <w:r>
              <w:t xml:space="preserve">No</w:t>
            </w:r>
          </w:p>
        </w:tc>
        <w:tc>
          <w:tcPr/>
          <w:p>
            <w:pPr>
              <w:pStyle w:val="Compact"/>
              <w:jc w:val="left"/>
            </w:pPr>
            <w:r>
              <w:t xml:space="preserve">Yes / No</w:t>
            </w:r>
          </w:p>
        </w:tc>
        <w:tc>
          <w:tcPr/>
          <w:p>
            <w:pPr>
              <w:pStyle w:val="Compact"/>
              <w:jc w:val="left"/>
            </w:pPr>
            <w:r>
              <w:t xml:space="preserve">Yes / No</w:t>
            </w:r>
          </w:p>
        </w:tc>
      </w:tr>
      <w:tr>
        <w:tc>
          <w:tcPr/>
          <w:p>
            <w:pPr>
              <w:pStyle w:val="Compact"/>
              <w:jc w:val="left"/>
            </w:pPr>
            <w:r>
              <w:t xml:space="preserve">HSM Protected</w:t>
            </w:r>
          </w:p>
        </w:tc>
        <w:tc>
          <w:tcPr/>
          <w:p>
            <w:pPr>
              <w:pStyle w:val="Compact"/>
              <w:jc w:val="left"/>
            </w:pPr>
            <w:r>
              <w:t xml:space="preserve">Yes / No</w:t>
            </w:r>
          </w:p>
        </w:tc>
        <w:tc>
          <w:tcPr/>
          <w:p>
            <w:pPr>
              <w:pStyle w:val="Compact"/>
              <w:jc w:val="left"/>
            </w:pPr>
            <w:r>
              <w:t xml:space="preserve">Yes / No</w:t>
            </w:r>
          </w:p>
        </w:tc>
        <w:tc>
          <w:tcPr/>
          <w:p>
            <w:pPr>
              <w:pStyle w:val="Compact"/>
              <w:jc w:val="left"/>
            </w:pPr>
            <w:r>
              <w:t xml:space="preserve">Yes / No</w:t>
            </w:r>
          </w:p>
        </w:tc>
      </w:tr>
    </w:tbl>
    <w:p>
      <w:pPr>
        <w:pStyle w:val="BodyText"/>
      </w:pPr>
      <w:r>
        <w:t xml:space="preserve">2.3 Certificate Template Categories</w:t>
      </w:r>
    </w:p>
    <w:p>
      <w:pPr>
        <w:pStyle w:val="BodyText"/>
      </w:pPr>
      <w:r>
        <w:t xml:space="preserve">ADCS templates are organized by use case. The following categories are commonly deployed:</w:t>
      </w:r>
    </w:p>
    <w:tbl>
      <w:tblPr>
        <w:tblStyle w:val="Table"/>
        <w:tblW w:type="pct" w:w="4936"/>
        <w:tblLayout w:type="fixed"/>
        <w:tblLook w:firstRow="1" w:lastRow="0" w:firstColumn="0" w:lastColumn="0" w:noHBand="0" w:noVBand="0" w:val="0020"/>
      </w:tblPr>
      <w:tblGrid>
        <w:gridCol w:w="1320"/>
        <w:gridCol w:w="2284"/>
        <w:gridCol w:w="2690"/>
        <w:gridCol w:w="1523"/>
      </w:tblGrid>
      <w:tr>
        <w:trPr>
          <w:tblHeader w:val="on"/>
        </w:trPr>
        <w:tc>
          <w:tcPr/>
          <w:p>
            <w:pPr>
              <w:pStyle w:val="Compact"/>
              <w:jc w:val="left"/>
            </w:pPr>
            <w:r>
              <w:rPr>
                <w:b/>
                <w:bCs/>
              </w:rPr>
              <w:t xml:space="preserve">Category</w:t>
            </w:r>
          </w:p>
        </w:tc>
        <w:tc>
          <w:tcPr/>
          <w:p>
            <w:pPr>
              <w:pStyle w:val="Compact"/>
              <w:jc w:val="left"/>
            </w:pPr>
            <w:r>
              <w:rPr>
                <w:b/>
                <w:bCs/>
              </w:rPr>
              <w:t xml:space="preserve">Template Name(s)</w:t>
            </w:r>
          </w:p>
        </w:tc>
        <w:tc>
          <w:tcPr/>
          <w:p>
            <w:pPr>
              <w:pStyle w:val="Compact"/>
              <w:jc w:val="left"/>
            </w:pPr>
            <w:r>
              <w:rPr>
                <w:b/>
                <w:bCs/>
              </w:rPr>
              <w:t xml:space="preserve">EKU</w:t>
            </w:r>
          </w:p>
        </w:tc>
        <w:tc>
          <w:tcPr/>
          <w:p>
            <w:pPr>
              <w:pStyle w:val="Compact"/>
              <w:jc w:val="left"/>
            </w:pPr>
            <w:r>
              <w:rPr>
                <w:b/>
                <w:bCs/>
              </w:rPr>
              <w:t xml:space="preserve">Typical Subjects</w:t>
            </w:r>
          </w:p>
        </w:tc>
      </w:tr>
      <w:tr>
        <w:tc>
          <w:tcPr/>
          <w:p>
            <w:pPr>
              <w:pStyle w:val="Compact"/>
              <w:jc w:val="left"/>
            </w:pPr>
            <w:r>
              <w:t xml:space="preserve">User Authentication</w:t>
            </w:r>
          </w:p>
        </w:tc>
        <w:tc>
          <w:tcPr/>
          <w:p>
            <w:pPr>
              <w:pStyle w:val="Compact"/>
              <w:jc w:val="left"/>
            </w:pPr>
            <w:r>
              <w:t xml:space="preserve">User, Smartcard User</w:t>
            </w:r>
          </w:p>
        </w:tc>
        <w:tc>
          <w:tcPr/>
          <w:p>
            <w:pPr>
              <w:pStyle w:val="Compact"/>
              <w:jc w:val="left"/>
            </w:pPr>
            <w:r>
              <w:t xml:space="preserve">Client Authentication (1.3.6.1.5.5.7.3.2)</w:t>
            </w:r>
          </w:p>
        </w:tc>
        <w:tc>
          <w:tcPr/>
          <w:p>
            <w:pPr>
              <w:pStyle w:val="Compact"/>
              <w:jc w:val="left"/>
            </w:pPr>
            <w:r>
              <w:t xml:space="preserve">Domain users</w:t>
            </w:r>
          </w:p>
        </w:tc>
      </w:tr>
      <w:tr>
        <w:tc>
          <w:tcPr/>
          <w:p>
            <w:pPr>
              <w:pStyle w:val="Compact"/>
              <w:jc w:val="left"/>
            </w:pPr>
            <w:r>
              <w:t xml:space="preserve">Computer Authentication</w:t>
            </w:r>
          </w:p>
        </w:tc>
        <w:tc>
          <w:tcPr/>
          <w:p>
            <w:pPr>
              <w:pStyle w:val="Compact"/>
              <w:jc w:val="left"/>
            </w:pPr>
            <w:r>
              <w:t xml:space="preserve">Machine, Computer</w:t>
            </w:r>
          </w:p>
        </w:tc>
        <w:tc>
          <w:tcPr/>
          <w:p>
            <w:pPr>
              <w:pStyle w:val="Compact"/>
              <w:jc w:val="left"/>
            </w:pPr>
            <w:r>
              <w:t xml:space="preserve">Client Authentication (1.3.6.1.5.5.7.3.2)</w:t>
            </w:r>
          </w:p>
        </w:tc>
        <w:tc>
          <w:tcPr/>
          <w:p>
            <w:pPr>
              <w:pStyle w:val="Compact"/>
              <w:jc w:val="left"/>
            </w:pPr>
            <w:r>
              <w:t xml:space="preserve">Domain-joined computers</w:t>
            </w:r>
          </w:p>
        </w:tc>
      </w:tr>
      <w:tr>
        <w:tc>
          <w:tcPr/>
          <w:p>
            <w:pPr>
              <w:pStyle w:val="Compact"/>
              <w:jc w:val="left"/>
            </w:pPr>
            <w:r>
              <w:t xml:space="preserve">Web Server TLS</w:t>
            </w:r>
          </w:p>
        </w:tc>
        <w:tc>
          <w:tcPr/>
          <w:p>
            <w:pPr>
              <w:pStyle w:val="Compact"/>
              <w:jc w:val="left"/>
            </w:pPr>
            <w:r>
              <w:t xml:space="preserve">Web Server</w:t>
            </w:r>
          </w:p>
        </w:tc>
        <w:tc>
          <w:tcPr/>
          <w:p>
            <w:pPr>
              <w:pStyle w:val="Compact"/>
              <w:jc w:val="left"/>
            </w:pPr>
            <w:r>
              <w:t xml:space="preserve">Server Authentication (1.3.6.1.5.5.7.3.1)</w:t>
            </w:r>
          </w:p>
        </w:tc>
        <w:tc>
          <w:tcPr/>
          <w:p>
            <w:pPr>
              <w:pStyle w:val="Compact"/>
              <w:jc w:val="left"/>
            </w:pPr>
            <w:r>
              <w:t xml:space="preserve">IIS servers, load balancers</w:t>
            </w:r>
          </w:p>
        </w:tc>
      </w:tr>
      <w:tr>
        <w:tc>
          <w:tcPr/>
          <w:p>
            <w:pPr>
              <w:pStyle w:val="Compact"/>
              <w:jc w:val="left"/>
            </w:pPr>
            <w:r>
              <w:t xml:space="preserve">Code Signing</w:t>
            </w:r>
          </w:p>
        </w:tc>
        <w:tc>
          <w:tcPr/>
          <w:p>
            <w:pPr>
              <w:pStyle w:val="Compact"/>
              <w:jc w:val="left"/>
            </w:pPr>
            <w:r>
              <w:t xml:space="preserve">Code Signing</w:t>
            </w:r>
          </w:p>
        </w:tc>
        <w:tc>
          <w:tcPr/>
          <w:p>
            <w:pPr>
              <w:pStyle w:val="Compact"/>
              <w:jc w:val="left"/>
            </w:pPr>
            <w:r>
              <w:t xml:space="preserve">Code Signing (1.3.6.1.5.5.7.3.3)</w:t>
            </w:r>
          </w:p>
        </w:tc>
        <w:tc>
          <w:tcPr/>
          <w:p>
            <w:pPr>
              <w:pStyle w:val="Compact"/>
              <w:jc w:val="left"/>
            </w:pPr>
            <w:r>
              <w:t xml:space="preserve">Developers, build servers</w:t>
            </w:r>
          </w:p>
        </w:tc>
      </w:tr>
      <w:tr>
        <w:tc>
          <w:tcPr/>
          <w:p>
            <w:pPr>
              <w:pStyle w:val="Compact"/>
              <w:jc w:val="left"/>
            </w:pPr>
            <w:r>
              <w:t xml:space="preserve">EFS</w:t>
            </w:r>
          </w:p>
        </w:tc>
        <w:tc>
          <w:tcPr/>
          <w:p>
            <w:pPr>
              <w:pStyle w:val="Compact"/>
              <w:jc w:val="left"/>
            </w:pPr>
            <w:r>
              <w:t xml:space="preserve">Basic EFS, EFS Recovery Agent</w:t>
            </w:r>
          </w:p>
        </w:tc>
        <w:tc>
          <w:tcPr/>
          <w:p>
            <w:pPr>
              <w:pStyle w:val="Compact"/>
              <w:jc w:val="left"/>
            </w:pPr>
            <w:r>
              <w:t xml:space="preserve">Encrypting File System (1.3.6.1.4.1.311.10.3.4)</w:t>
            </w:r>
          </w:p>
        </w:tc>
        <w:tc>
          <w:tcPr/>
          <w:p>
            <w:pPr>
              <w:pStyle w:val="Compact"/>
              <w:jc w:val="left"/>
            </w:pPr>
            <w:r>
              <w:t xml:space="preserve">Domain users</w:t>
            </w:r>
          </w:p>
        </w:tc>
      </w:tr>
      <w:tr>
        <w:tc>
          <w:tcPr/>
          <w:p>
            <w:pPr>
              <w:pStyle w:val="Compact"/>
              <w:jc w:val="left"/>
            </w:pPr>
            <w:r>
              <w:t xml:space="preserve">Smart Card Logon</w:t>
            </w:r>
          </w:p>
        </w:tc>
        <w:tc>
          <w:tcPr/>
          <w:p>
            <w:pPr>
              <w:pStyle w:val="Compact"/>
              <w:jc w:val="left"/>
            </w:pPr>
            <w:r>
              <w:t xml:space="preserve">Smartcard Logon</w:t>
            </w:r>
          </w:p>
        </w:tc>
        <w:tc>
          <w:tcPr/>
          <w:p>
            <w:pPr>
              <w:pStyle w:val="Compact"/>
              <w:jc w:val="left"/>
            </w:pPr>
            <w:r>
              <w:t xml:space="preserve">Smart Card Logon (1.3.6.1.4.1.311.20.2.2)</w:t>
            </w:r>
          </w:p>
        </w:tc>
        <w:tc>
          <w:tcPr/>
          <w:p>
            <w:pPr>
              <w:pStyle w:val="Compact"/>
              <w:jc w:val="left"/>
            </w:pPr>
            <w:r>
              <w:t xml:space="preserve">PIV/CAC holders</w:t>
            </w:r>
          </w:p>
        </w:tc>
      </w:tr>
      <w:tr>
        <w:tc>
          <w:tcPr/>
          <w:p>
            <w:pPr>
              <w:pStyle w:val="Compact"/>
              <w:jc w:val="left"/>
            </w:pPr>
            <w:r>
              <w:t xml:space="preserve">DC Authentication</w:t>
            </w:r>
          </w:p>
        </w:tc>
        <w:tc>
          <w:tcPr/>
          <w:p>
            <w:pPr>
              <w:pStyle w:val="Compact"/>
              <w:jc w:val="left"/>
            </w:pPr>
            <w:r>
              <w:t xml:space="preserve">Domain Controller, Kerberos Authentication</w:t>
            </w:r>
          </w:p>
        </w:tc>
        <w:tc>
          <w:tcPr/>
          <w:p>
            <w:pPr>
              <w:pStyle w:val="Compact"/>
              <w:jc w:val="left"/>
            </w:pPr>
            <w:r>
              <w:t xml:space="preserve">KDC Authentication (1.3.6.1.5.2.3.5)</w:t>
            </w:r>
          </w:p>
        </w:tc>
        <w:tc>
          <w:tcPr/>
          <w:p>
            <w:pPr>
              <w:pStyle w:val="Compact"/>
              <w:jc w:val="left"/>
            </w:pPr>
            <w:r>
              <w:t xml:space="preserve">Domain controllers</w:t>
            </w:r>
          </w:p>
        </w:tc>
      </w:tr>
      <w:tr>
        <w:tc>
          <w:tcPr/>
          <w:p>
            <w:pPr>
              <w:pStyle w:val="Compact"/>
              <w:jc w:val="left"/>
            </w:pPr>
            <w:r>
              <w:t xml:space="preserve">OCSP Signing</w:t>
            </w:r>
          </w:p>
        </w:tc>
        <w:tc>
          <w:tcPr/>
          <w:p>
            <w:pPr>
              <w:pStyle w:val="Compact"/>
              <w:jc w:val="left"/>
            </w:pPr>
            <w:r>
              <w:t xml:space="preserve">OCSP Response Signing</w:t>
            </w:r>
          </w:p>
        </w:tc>
        <w:tc>
          <w:tcPr/>
          <w:p>
            <w:pPr>
              <w:pStyle w:val="Compact"/>
              <w:jc w:val="left"/>
            </w:pPr>
            <w:r>
              <w:t xml:space="preserve">OCSP Signing (1.3.6.1.5.5.7.3.9)</w:t>
            </w:r>
          </w:p>
        </w:tc>
        <w:tc>
          <w:tcPr/>
          <w:p>
            <w:pPr>
              <w:pStyle w:val="Compact"/>
              <w:jc w:val="left"/>
            </w:pPr>
            <w:r>
              <w:t xml:space="preserve">OCSP Responders</w:t>
            </w:r>
          </w:p>
        </w:tc>
      </w:tr>
      <w:tr>
        <w:tc>
          <w:tcPr/>
          <w:p>
            <w:pPr>
              <w:pStyle w:val="Compact"/>
              <w:jc w:val="left"/>
            </w:pPr>
            <w:r>
              <w:t xml:space="preserve">IPSec</w:t>
            </w:r>
          </w:p>
        </w:tc>
        <w:tc>
          <w:tcPr/>
          <w:p>
            <w:pPr>
              <w:pStyle w:val="Compact"/>
              <w:jc w:val="left"/>
            </w:pPr>
            <w:r>
              <w:t xml:space="preserve">IPSec (Offline Request)</w:t>
            </w:r>
          </w:p>
        </w:tc>
        <w:tc>
          <w:tcPr/>
          <w:p>
            <w:pPr>
              <w:pStyle w:val="Compact"/>
              <w:jc w:val="left"/>
            </w:pPr>
            <w:r>
              <w:t xml:space="preserve">IP Security IKE Intermediate (1.3.6.1.5.5.8.2.2)</w:t>
            </w:r>
          </w:p>
        </w:tc>
        <w:tc>
          <w:tcPr/>
          <w:p>
            <w:pPr>
              <w:pStyle w:val="Compact"/>
              <w:jc w:val="left"/>
            </w:pPr>
            <w:r>
              <w:t xml:space="preserve">VPN gateways</w:t>
            </w:r>
          </w:p>
        </w:tc>
      </w:tr>
      <w:tr>
        <w:tc>
          <w:tcPr/>
          <w:p>
            <w:pPr>
              <w:pStyle w:val="Compact"/>
              <w:jc w:val="left"/>
            </w:pPr>
            <w:r>
              <w:t xml:space="preserve">Enrollment Agent</w:t>
            </w:r>
          </w:p>
        </w:tc>
        <w:tc>
          <w:tcPr/>
          <w:p>
            <w:pPr>
              <w:pStyle w:val="Compact"/>
              <w:jc w:val="left"/>
            </w:pPr>
            <w:r>
              <w:t xml:space="preserve">Enrollment Agent</w:t>
            </w:r>
          </w:p>
        </w:tc>
        <w:tc>
          <w:tcPr/>
          <w:p>
            <w:pPr>
              <w:pStyle w:val="Compact"/>
              <w:jc w:val="left"/>
            </w:pPr>
            <w:r>
              <w:t xml:space="preserve">Certificate Request Agent (1.3.6.1.4.1.311.20.2.1)</w:t>
            </w:r>
          </w:p>
        </w:tc>
        <w:tc>
          <w:tcPr/>
          <w:p>
            <w:pPr>
              <w:pStyle w:val="Compact"/>
              <w:jc w:val="left"/>
            </w:pPr>
            <w:r>
              <w:t xml:space="preserve">Enrollment stations</w:t>
            </w:r>
          </w:p>
        </w:tc>
      </w:tr>
    </w:tbl>
    <w:p>
      <w:pPr>
        <w:pStyle w:val="BodyText"/>
      </w:pPr>
      <w:r>
        <w:t xml:space="preserve">2.4 Auto-Enrollment Configuration</w:t>
      </w:r>
    </w:p>
    <w:p>
      <w:pPr>
        <w:pStyle w:val="BodyText"/>
      </w:pPr>
      <w:r>
        <w:t xml:space="preserve">ADCS auto-enrollment is controlled by Group Policy and template permissions:</w:t>
      </w:r>
    </w:p>
    <w:p>
      <w:pPr>
        <w:numPr>
          <w:ilvl w:val="0"/>
          <w:numId w:val="1052"/>
        </w:numPr>
      </w:pPr>
      <w:r>
        <w:rPr>
          <w:b/>
          <w:bCs/>
        </w:rPr>
        <w:t xml:space="preserve">GPO Setting:</w:t>
      </w:r>
      <w:r>
        <w:t xml:space="preserve"> </w:t>
      </w:r>
      <w:r>
        <w:t xml:space="preserve">Computer Configuration → Policies → Windows Settings → Security Settings → Public Key Policies → Certificate Services Client - Auto-Enrollment. Must be set to</w:t>
      </w:r>
      <w:r>
        <w:t xml:space="preserve"> </w:t>
      </w:r>
      <w:r>
        <w:rPr>
          <w:i/>
          <w:iCs/>
        </w:rPr>
        <w:t xml:space="preserve">Enabled</w:t>
      </w:r>
      <w:r>
        <w:t xml:space="preserve"> </w:t>
      </w:r>
      <w:r>
        <w:t xml:space="preserve">with both "Renew expired certificates" and "Update certificates that use certificate templates" checked.</w:t>
      </w:r>
    </w:p>
    <w:p>
      <w:pPr>
        <w:numPr>
          <w:ilvl w:val="0"/>
          <w:numId w:val="1052"/>
        </w:numPr>
      </w:pPr>
      <w:r>
        <w:rPr>
          <w:b/>
          <w:bCs/>
        </w:rPr>
        <w:t xml:space="preserve">Template Permissions:</w:t>
      </w:r>
      <w:r>
        <w:t xml:space="preserve"> </w:t>
      </w:r>
      <w:r>
        <w:t xml:space="preserve">Security groups must have both</w:t>
      </w:r>
      <w:r>
        <w:t xml:space="preserve"> </w:t>
      </w:r>
      <w:r>
        <w:rPr>
          <w:i/>
          <w:iCs/>
        </w:rPr>
        <w:t xml:space="preserve">Enroll</w:t>
      </w:r>
      <w:r>
        <w:t xml:space="preserve"> </w:t>
      </w:r>
      <w:r>
        <w:t xml:space="preserve">and</w:t>
      </w:r>
      <w:r>
        <w:t xml:space="preserve"> </w:t>
      </w:r>
      <w:r>
        <w:rPr>
          <w:i/>
          <w:iCs/>
        </w:rPr>
        <w:t xml:space="preserve">Autoenroll</w:t>
      </w:r>
      <w:r>
        <w:t xml:space="preserve"> </w:t>
      </w:r>
      <w:r>
        <w:t xml:space="preserve">permissions on the template. Enrollment is denied if either permission is missing.</w:t>
      </w:r>
    </w:p>
    <w:p>
      <w:pPr>
        <w:numPr>
          <w:ilvl w:val="0"/>
          <w:numId w:val="1052"/>
        </w:numPr>
      </w:pPr>
      <w:r>
        <w:rPr>
          <w:b/>
          <w:bCs/>
        </w:rPr>
        <w:t xml:space="preserve">Enrollment Agent Restrictions:</w:t>
      </w:r>
      <w:r>
        <w:t xml:space="preserve"> </w:t>
      </w:r>
      <w:r>
        <w:t xml:space="preserve">CA-level restrictions can limit which enrollment agents may enroll on behalf of which users and for which templates. Verify via certsrv.msc → CA Properties → Enrollment Agents.</w:t>
      </w:r>
    </w:p>
    <w:tbl>
      <w:tblPr>
        <w:tblStyle w:val="Table"/>
        <w:tblW w:type="pct" w:w="5018"/>
        <w:tblLayout w:type="fixed"/>
        <w:tblLook w:firstRow="0" w:lastRow="0" w:firstColumn="0" w:lastColumn="0" w:noHBand="0" w:noVBand="0" w:val="0000"/>
      </w:tblPr>
      <w:tblGrid>
        <w:gridCol w:w="7947"/>
      </w:tblGrid>
      <w:tr>
        <w:tc>
          <w:tcPr/>
          <w:p>
            <w:pPr>
              <w:pStyle w:val="FirstParagraph"/>
            </w:pPr>
            <w:r>
              <w:rPr>
                <w:b/>
                <w:bCs/>
              </w:rPr>
              <w:t xml:space="preserve">Assessment Note</w:t>
            </w:r>
          </w:p>
          <w:p>
            <w:pPr>
              <w:pStyle w:val="BodyText"/>
            </w:pPr>
            <w:r>
              <w:t xml:space="preserve">Capture the current auto-enrollment GPO configuration before migration. During transition, auto-enrollment GPOs will need to be scoped to exclude devices that have been migrated to Intune-managed certificate profiles. The AD Interaction Guide provides the GPO assessment framework.</w:t>
            </w:r>
          </w:p>
        </w:tc>
      </w:tr>
    </w:tbl>
    <w:p>
      <w:pPr>
        <w:pStyle w:val="BodyText"/>
      </w:pPr>
      <w:r>
        <w:t xml:space="preserve">3. ADCS Security Assessment (ESC Vulnerabilities)</w:t>
      </w:r>
    </w:p>
    <w:p>
      <w:pPr>
        <w:pStyle w:val="BodyText"/>
      </w:pPr>
      <w:r>
        <w:t xml:space="preserve">Before migrating any certificate workload, the existing ADCS infrastructure must be audited for known privilege escalation vulnerabilities. The ESC (Escalation) vulnerability classes, originally documented by SpecterOps in 2021, remain among the most critical attack vectors in Active Directory environments. A misconfigured certificate template can provide an attacker with a direct path to domain administrator privileges.</w:t>
      </w:r>
    </w:p>
    <w:tbl>
      <w:tblPr>
        <w:tblStyle w:val="Table"/>
        <w:tblW w:type="pct" w:w="5020"/>
        <w:tblLayout w:type="fixed"/>
        <w:tblLook w:firstRow="0" w:lastRow="0" w:firstColumn="0" w:lastColumn="0" w:noHBand="0" w:noVBand="0" w:val="0000"/>
      </w:tblPr>
      <w:tblGrid>
        <w:gridCol w:w="7952"/>
      </w:tblGrid>
      <w:tr>
        <w:tc>
          <w:tcPr/>
          <w:p>
            <w:pPr>
              <w:pStyle w:val="FirstParagraph"/>
            </w:pPr>
            <w:r>
              <w:rPr>
                <w:b/>
                <w:bCs/>
              </w:rPr>
              <w:t xml:space="preserve">Migration Gate</w:t>
            </w:r>
          </w:p>
          <w:p>
            <w:pPr>
              <w:pStyle w:val="BodyText"/>
            </w:pPr>
            <w:r>
              <w:t xml:space="preserve">ESC vulnerabilities rated</w:t>
            </w:r>
            <w:r>
              <w:t xml:space="preserve"> </w:t>
            </w:r>
            <w:r>
              <w:rPr>
                <w:b/>
                <w:bCs/>
              </w:rPr>
              <w:t xml:space="preserve">Critical</w:t>
            </w:r>
            <w:r>
              <w:t xml:space="preserve"> </w:t>
            </w:r>
            <w:r>
              <w:t xml:space="preserve">or</w:t>
            </w:r>
            <w:r>
              <w:t xml:space="preserve"> </w:t>
            </w:r>
            <w:r>
              <w:rPr>
                <w:b/>
                <w:bCs/>
              </w:rPr>
              <w:t xml:space="preserve">High</w:t>
            </w:r>
            <w:r>
              <w:t xml:space="preserve"> </w:t>
            </w:r>
            <w:r>
              <w:t xml:space="preserve">must be remediated before migration proceeds. Migrating certificate workloads from a compromised ADCS infrastructure risks propagating trust chain vulnerabilities into the cloud PKI environment.</w:t>
            </w:r>
          </w:p>
        </w:tc>
      </w:tr>
    </w:tbl>
    <w:p>
      <w:pPr>
        <w:pStyle w:val="BodyText"/>
      </w:pPr>
      <w:r>
        <w:t xml:space="preserve">3.1 ESC1 — Misconfigured Template Allowing Requestor-Specified SAN</w:t>
      </w:r>
    </w:p>
    <w:tbl>
      <w:tblPr>
        <w:tblStyle w:val="Table"/>
        <w:tblW w:type="pct" w:w="4975"/>
        <w:tblLayout w:type="fixed"/>
        <w:tblLook w:firstRow="1" w:lastRow="0" w:firstColumn="0" w:lastColumn="0" w:noHBand="0" w:noVBand="0" w:val="0020"/>
      </w:tblPr>
      <w:tblGrid>
        <w:gridCol w:w="322"/>
        <w:gridCol w:w="7557"/>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A certificate template has CT_FLAG_ENROLLEE_SUPPLIES_SUBJECT enabled, includes Client Authentication EKU, and grants Enroll rights to low-privilege groups (Domain Users, Domain Computers, Authenticated Users). An attacker can request a certificate with any Subject Alternative Name (SAN), including the UPN of a Domain Admin, and use it for Kerberos PKINIT authentication.</w:t>
            </w:r>
          </w:p>
        </w:tc>
      </w:tr>
      <w:tr>
        <w:tc>
          <w:tcPr/>
          <w:p>
            <w:pPr>
              <w:pStyle w:val="Compact"/>
              <w:jc w:val="left"/>
            </w:pPr>
            <w:r>
              <w:t xml:space="preserve">Impact</w:t>
            </w:r>
          </w:p>
        </w:tc>
        <w:tc>
          <w:tcPr/>
          <w:p>
            <w:pPr>
              <w:pStyle w:val="Compact"/>
              <w:jc w:val="left"/>
            </w:pPr>
            <w:r>
              <w:t xml:space="preserve">Full domain compromise. Attacker obtains TGT as any user.</w:t>
            </w:r>
          </w:p>
        </w:tc>
      </w:tr>
    </w:tbl>
    <w:p>
      <w:pPr>
        <w:pStyle w:val="BodyText"/>
      </w:pPr>
      <w:r>
        <w:rPr>
          <w:b/>
          <w:bCs/>
        </w:rPr>
        <w:t xml:space="preserve">Detection Script:</w:t>
      </w:r>
    </w:p>
    <w:p>
      <w:pPr>
        <w:pStyle w:val="BodyText"/>
      </w:pPr>
      <w:r>
        <w:t xml:space="preserve"># ESC1 Detection — Requires RSAT AD PowerShell module Import-Module ActiveDirectory $configNC = (Get-ADRootDSE).configurationNamingContext $templates = Get-ADObject -SearchBase "CN=Certificate Templates,CN=Public Key Services,CN=Services,$configNC" ` -Filter * -Properties msPKI-Certificate-Name-Flag, msPKI-Certificate-Application-Policy, ` pkiExtendedKeyUsage, nTSecurityDescriptor, displayName foreach ($tmpl in $templates) { $nameFlag = $tmpl.'msPKI-Certificate-Name-Flag' $ekus = @($tmpl.pkiExtendedKeyUsage) + @($tmpl.'msPKI-Certificate-Application-Policy') # CT_FLAG_ENROLLEE_SUPPLIES_SUBJECT = 1 if ($nameFlag -band 1) { $hasClientAuth = $ekus -contains '1.3.6.1.5.5.7.3.2' $hasAnyPurpose = $ekus -contains '2.5.29.37.0' if ($hasClientAuth -or $hasAnyPurpose) { $acl = Get-Acl "AD:$($tmpl.DistinguishedName)" $vulnerableEntries = $acl.Access | Where-Object { $_.ActiveDirectoryRights -match 'ExtendedRight' -and $_.ObjectType -eq '0e10c968-78fb-11d2-90d4-00c04f79dc55' -and # Enroll $_.IdentityReference -match 'Domain Users|Authenticated Users|Domain Computers|Everyone' } if ($vulnerableEntries) { Write-Warning "ESC1 VULNERABLE: $($tmpl.displayName)" Write-Output " Template: $($tmpl.DistinguishedName)" Write-Output " Enrollable by: $($vulnerableEntries.IdentityReference -join ', ')" } } } }</w:t>
      </w:r>
    </w:p>
    <w:p>
      <w:pPr>
        <w:pStyle w:val="BodyText"/>
      </w:pPr>
      <w:r>
        <w:rPr>
          <w:b/>
          <w:bCs/>
        </w:rPr>
        <w:t xml:space="preserve">Remediation:</w:t>
      </w:r>
    </w:p>
    <w:p>
      <w:pPr>
        <w:numPr>
          <w:ilvl w:val="0"/>
          <w:numId w:val="1053"/>
        </w:numPr>
      </w:pPr>
      <w:r>
        <w:t xml:space="preserve">Disable CT_FLAG_ENROLLEE_SUPPLIES_SUBJECT on the template (Subject Name tab → select "Build from Active Directory information").</w:t>
      </w:r>
    </w:p>
    <w:p>
      <w:pPr>
        <w:numPr>
          <w:ilvl w:val="0"/>
          <w:numId w:val="1053"/>
        </w:numPr>
      </w:pPr>
      <w:r>
        <w:t xml:space="preserve">Restrict Enroll permissions to only the specific security groups that require the template.</w:t>
      </w:r>
    </w:p>
    <w:p>
      <w:pPr>
        <w:numPr>
          <w:ilvl w:val="0"/>
          <w:numId w:val="1053"/>
        </w:numPr>
      </w:pPr>
      <w:r>
        <w:t xml:space="preserve">Enable Manager Approval on sensitive templates requiring SAN specification.</w:t>
      </w:r>
    </w:p>
    <w:p>
      <w:pPr>
        <w:numPr>
          <w:ilvl w:val="0"/>
          <w:numId w:val="1053"/>
        </w:numPr>
      </w:pPr>
      <w:r>
        <w:t xml:space="preserve">Monitor certificate requests with non-matching SANs via CA audit logs (Event ID 4887).</w:t>
      </w:r>
    </w:p>
    <w:p>
      <w:pPr>
        <w:pStyle w:val="FirstParagraph"/>
      </w:pPr>
      <w:r>
        <w:t xml:space="preserve">3.2 ESC2 — Any Purpose or SubCA EKU</w:t>
      </w:r>
    </w:p>
    <w:tbl>
      <w:tblPr>
        <w:tblStyle w:val="Table"/>
        <w:tblW w:type="pct" w:w="4958"/>
        <w:tblLayout w:type="fixed"/>
        <w:tblLook w:firstRow="1" w:lastRow="0" w:firstColumn="0" w:lastColumn="0" w:noHBand="0" w:noVBand="0" w:val="0020"/>
      </w:tblPr>
      <w:tblGrid>
        <w:gridCol w:w="532"/>
        <w:gridCol w:w="732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A template includes the Any Purpose EKU (2.5.29.37.0) or the Subordinate CA EKU, allowing the issued certificate to be used for any purpose including client authentication, code signing, or acting as a subordinate CA.</w:t>
            </w:r>
          </w:p>
        </w:tc>
      </w:tr>
      <w:tr>
        <w:tc>
          <w:tcPr/>
          <w:p>
            <w:pPr>
              <w:pStyle w:val="Compact"/>
              <w:jc w:val="left"/>
            </w:pPr>
            <w:r>
              <w:t xml:space="preserve">Impact</w:t>
            </w:r>
          </w:p>
        </w:tc>
        <w:tc>
          <w:tcPr/>
          <w:p>
            <w:pPr>
              <w:pStyle w:val="Compact"/>
              <w:jc w:val="left"/>
            </w:pPr>
            <w:r>
              <w:t xml:space="preserve">Privilege escalation; potential to create a rogue subordinate CA.</w:t>
            </w:r>
          </w:p>
        </w:tc>
      </w:tr>
    </w:tbl>
    <w:p>
      <w:pPr>
        <w:pStyle w:val="BodyText"/>
      </w:pPr>
      <w:r>
        <w:rPr>
          <w:b/>
          <w:bCs/>
        </w:rPr>
        <w:t xml:space="preserve">Detection Script:</w:t>
      </w:r>
    </w:p>
    <w:p>
      <w:pPr>
        <w:pStyle w:val="BodyText"/>
      </w:pPr>
      <w:r>
        <w:t xml:space="preserve"># ESC2 Detection $configNC = (Get-ADRootDSE).configurationNamingContext $templates = Get-ADObject -SearchBase "CN=Certificate Templates,CN=Public Key Services,CN=Services,$configNC" ` -Filter * -Properties msPKI-Certificate-Application-Policy, pkiExtendedKeyUsage, displayName foreach ($tmpl in $templates) { $ekus = @($tmpl.pkiExtendedKeyUsage) + @($tmpl.'msPKI-Certificate-Application-Policy') $hasAnyPurpose = $ekus -contains '2.5.29.37.0' $hasSubCA = ($ekus.Count -eq 0) # No EKU = SubCA behavior if ($hasAnyPurpose -or $hasSubCA) { Write-Warning "ESC2 VULNERABLE: $($tmpl.displayName)" if ($hasAnyPurpose) { Write-Output " Issue: Any Purpose EKU present" } if ($hasSubCA) { Write-Output " Issue: No EKU restrictions (SubCA equivalent)" } } }</w:t>
      </w:r>
    </w:p>
    <w:p>
      <w:pPr>
        <w:pStyle w:val="BodyText"/>
      </w:pPr>
      <w:r>
        <w:rPr>
          <w:b/>
          <w:bCs/>
        </w:rPr>
        <w:t xml:space="preserve">Remediation:</w:t>
      </w:r>
      <w:r>
        <w:t xml:space="preserve"> </w:t>
      </w:r>
      <w:r>
        <w:t xml:space="preserve">Replace the Any Purpose EKU with specific EKUs matching the template's intended use. Remove or restrict templates with no EKU constraints. Limit enrollment to administrative groups only.</w:t>
      </w:r>
    </w:p>
    <w:p>
      <w:pPr>
        <w:pStyle w:val="BodyText"/>
      </w:pPr>
      <w:r>
        <w:t xml:space="preserve">3.3 ESC3 — Certificate Request Agent Abuse</w:t>
      </w:r>
    </w:p>
    <w:tbl>
      <w:tblPr>
        <w:tblStyle w:val="Table"/>
        <w:tblW w:type="pct" w:w="4962"/>
        <w:tblLayout w:type="fixed"/>
        <w:tblLook w:firstRow="1" w:lastRow="0" w:firstColumn="0" w:lastColumn="0" w:noHBand="0" w:noVBand="0" w:val="0020"/>
      </w:tblPr>
      <w:tblGrid>
        <w:gridCol w:w="480"/>
        <w:gridCol w:w="7380"/>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A template with the Certificate Request Agent EKU (1.3.6.1.4.1.311.20.2.1) grants Enroll rights to non-administrative users. An attacker enrolls as a request agent, then requests certificates on behalf of other users, including administrators.</w:t>
            </w:r>
          </w:p>
        </w:tc>
      </w:tr>
      <w:tr>
        <w:tc>
          <w:tcPr/>
          <w:p>
            <w:pPr>
              <w:pStyle w:val="Compact"/>
              <w:jc w:val="left"/>
            </w:pPr>
            <w:r>
              <w:t xml:space="preserve">Impact</w:t>
            </w:r>
          </w:p>
        </w:tc>
        <w:tc>
          <w:tcPr/>
          <w:p>
            <w:pPr>
              <w:pStyle w:val="Compact"/>
              <w:jc w:val="left"/>
            </w:pPr>
            <w:r>
              <w:t xml:space="preserve">Privilege escalation via enrollment agent impersonation.</w:t>
            </w:r>
          </w:p>
        </w:tc>
      </w:tr>
    </w:tbl>
    <w:p>
      <w:pPr>
        <w:pStyle w:val="BodyText"/>
      </w:pPr>
      <w:r>
        <w:rPr>
          <w:b/>
          <w:bCs/>
        </w:rPr>
        <w:t xml:space="preserve">Detection Script:</w:t>
      </w:r>
    </w:p>
    <w:p>
      <w:pPr>
        <w:pStyle w:val="BodyText"/>
      </w:pPr>
      <w:r>
        <w:t xml:space="preserve"># ESC3 Detection $configNC = (Get-ADRootDSE).configurationNamingContext $templates = Get-ADObject -SearchBase "CN=Certificate Templates,CN=Public Key Services,CN=Services,$configNC" ` -Filter * -Properties msPKI-Certificate-Application-Policy, pkiExtendedKeyUsage, ` nTSecurityDescriptor, displayName foreach ($tmpl in $templates) { $ekus = @($tmpl.pkiExtendedKeyUsage) + @($tmpl.'msPKI-Certificate-Application-Policy') if ($ekus -contains '1.3.6.1.4.1.311.20.2.1') { $acl = Get-Acl "AD:$($tmpl.DistinguishedName)" $broadEnroll = $acl.Access | Where-Object { $_.ActiveDirectoryRights -match 'ExtendedRight' -and $_.IdentityReference -match 'Domain Users|Authenticated Users|Everyone' } if ($broadEnroll) { Write-Warning "ESC3 VULNERABLE: $($tmpl.displayName)" Write-Output " Certificate Request Agent enrollable by: $($broadEnroll.IdentityReference -join ', ')" } } }</w:t>
      </w:r>
    </w:p>
    <w:p>
      <w:pPr>
        <w:pStyle w:val="BodyText"/>
      </w:pPr>
      <w:r>
        <w:rPr>
          <w:b/>
          <w:bCs/>
        </w:rPr>
        <w:t xml:space="preserve">Remediation:</w:t>
      </w:r>
      <w:r>
        <w:t xml:space="preserve"> </w:t>
      </w:r>
      <w:r>
        <w:t xml:space="preserve">Restrict enrollment on Request Agent templates to designated enrollment agent accounts only. Configure CA-level Enrollment Agent Restrictions to limit which agents can request which templates on behalf of which users.</w:t>
      </w:r>
    </w:p>
    <w:p>
      <w:pPr>
        <w:pStyle w:val="BodyText"/>
      </w:pPr>
      <w:r>
        <w:t xml:space="preserve">3.4 ESC4 — Vulnerable Template ACLs</w:t>
      </w:r>
    </w:p>
    <w:tbl>
      <w:tblPr>
        <w:tblStyle w:val="Table"/>
        <w:tblW w:type="pct" w:w="4961"/>
        <w:tblLayout w:type="fixed"/>
        <w:tblLook w:firstRow="1" w:lastRow="0" w:firstColumn="0" w:lastColumn="0" w:noHBand="0" w:noVBand="0" w:val="0020"/>
      </w:tblPr>
      <w:tblGrid>
        <w:gridCol w:w="495"/>
        <w:gridCol w:w="7363"/>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Low-privilege users have WriteDacl, WriteOwner, or WriteProperty permissions on certificate template AD objects. An attacker modifies the template to enable ESC1 conditions, requests a privileged certificate, then reverts the template.</w:t>
            </w:r>
          </w:p>
        </w:tc>
      </w:tr>
      <w:tr>
        <w:tc>
          <w:tcPr/>
          <w:p>
            <w:pPr>
              <w:pStyle w:val="Compact"/>
              <w:jc w:val="left"/>
            </w:pPr>
            <w:r>
              <w:t xml:space="preserve">Impact</w:t>
            </w:r>
          </w:p>
        </w:tc>
        <w:tc>
          <w:tcPr/>
          <w:p>
            <w:pPr>
              <w:pStyle w:val="Compact"/>
              <w:jc w:val="left"/>
            </w:pPr>
            <w:r>
              <w:t xml:space="preserve">Template manipulation leading to domain compromise.</w:t>
            </w:r>
          </w:p>
        </w:tc>
      </w:tr>
    </w:tbl>
    <w:p>
      <w:pPr>
        <w:pStyle w:val="BodyText"/>
      </w:pPr>
      <w:r>
        <w:rPr>
          <w:b/>
          <w:bCs/>
        </w:rPr>
        <w:t xml:space="preserve">Detection Script:</w:t>
      </w:r>
    </w:p>
    <w:p>
      <w:pPr>
        <w:pStyle w:val="BodyText"/>
      </w:pPr>
      <w:r>
        <w:t xml:space="preserve"># ESC4 Detection $configNC = (Get-ADRootDSE).configurationNamingContext $templates = Get-ADObject -SearchBase "CN=Certificate Templates,CN=Public Key Services,CN=Services,$configNC" ` -Filter * -Properties nTSecurityDescriptor, displayName foreach ($tmpl in $templates) { $acl = Get-Acl "AD:$($tmpl.DistinguishedName)" $dangerousPerms = $acl.Access | Where-Object { ($_.ActiveDirectoryRights -match 'WriteDacl|WriteOwner|WriteProperty|GenericAll|GenericWrite') -and $_.IdentityReference -notmatch 'SYSTEM|Domain Admins|Enterprise Admins|Cert Publishers|Administrator' } if ($dangerousPerms) { Write-Warning "ESC4 VULNERABLE: $($tmpl.displayName)" foreach ($perm in $dangerousPerms) { Write-Output " $($perm.IdentityReference): $($perm.ActiveDirectoryRights)" } } }</w:t>
      </w:r>
    </w:p>
    <w:p>
      <w:pPr>
        <w:pStyle w:val="BodyText"/>
      </w:pPr>
      <w:r>
        <w:rPr>
          <w:b/>
          <w:bCs/>
        </w:rPr>
        <w:t xml:space="preserve">Remediation:</w:t>
      </w:r>
      <w:r>
        <w:t xml:space="preserve"> </w:t>
      </w:r>
      <w:r>
        <w:t xml:space="preserve">Remove WriteDacl, WriteOwner, WriteProperty, GenericAll, and GenericWrite permissions for non-administrative principals on all certificate template objects. Audit template ACLs quarterly.</w:t>
      </w:r>
    </w:p>
    <w:p>
      <w:pPr>
        <w:pStyle w:val="BodyText"/>
      </w:pPr>
      <w:r>
        <w:t xml:space="preserve">3.5 ESC5 — Vulnerable PKI Object ACLs</w:t>
      </w:r>
    </w:p>
    <w:tbl>
      <w:tblPr>
        <w:tblStyle w:val="Table"/>
        <w:tblW w:type="pct" w:w="4965"/>
        <w:tblLayout w:type="fixed"/>
        <w:tblLook w:firstRow="1" w:lastRow="0" w:firstColumn="0" w:lastColumn="0" w:noHBand="0" w:noVBand="0" w:val="0020"/>
      </w:tblPr>
      <w:tblGrid>
        <w:gridCol w:w="446"/>
        <w:gridCol w:w="7418"/>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Non-administrative users have dangerous permissions on PKI-related AD objects: the CA server's pKIEnrollmentService object, the NTAuthCertificates object, or the Certificate Templates container. Compromise of these objects can subvert the entire PKI trust chain.</w:t>
            </w:r>
          </w:p>
        </w:tc>
      </w:tr>
      <w:tr>
        <w:tc>
          <w:tcPr/>
          <w:p>
            <w:pPr>
              <w:pStyle w:val="Compact"/>
              <w:jc w:val="left"/>
            </w:pPr>
            <w:r>
              <w:t xml:space="preserve">Impact</w:t>
            </w:r>
          </w:p>
        </w:tc>
        <w:tc>
          <w:tcPr/>
          <w:p>
            <w:pPr>
              <w:pStyle w:val="Compact"/>
              <w:jc w:val="left"/>
            </w:pPr>
            <w:r>
              <w:t xml:space="preserve">CA trust manipulation, rogue certificate issuance.</w:t>
            </w:r>
          </w:p>
        </w:tc>
      </w:tr>
    </w:tbl>
    <w:p>
      <w:pPr>
        <w:pStyle w:val="BodyText"/>
      </w:pPr>
      <w:r>
        <w:rPr>
          <w:b/>
          <w:bCs/>
        </w:rPr>
        <w:t xml:space="preserve">Detection Script:</w:t>
      </w:r>
    </w:p>
    <w:p>
      <w:pPr>
        <w:pStyle w:val="BodyText"/>
      </w:pPr>
      <w:r>
        <w:t xml:space="preserve"># ESC5 Detection — Check pKIEnrollmentService objects $configNC = (Get-ADRootDSE).configurationNamingContext $enrollSvc = Get-ADObject -SearchBase "CN=Enrollment Services,CN=Public Key Services,CN=Services,$configNC" ` -Filter * -Properties nTSecurityDescriptor, displayName foreach ($svc in $enrollSvc) { $acl = Get-Acl "AD:$($svc.DistinguishedName)" $dangerousPerms = $acl.Access | Where-Object { ($_.ActiveDirectoryRights -match 'WriteDacl|WriteOwner|GenericAll|GenericWrite') -and $_.IdentityReference -notmatch 'SYSTEM|Domain Admins|Enterprise Admins|Administrator' } if ($dangerousPerms) { Write-Warning "ESC5 VULNERABLE: $($svc.displayName)" foreach ($perm in $dangerousPerms) { Write-Output " $($perm.IdentityReference): $($perm.ActiveDirectoryRights)" } } }</w:t>
      </w:r>
    </w:p>
    <w:p>
      <w:pPr>
        <w:pStyle w:val="BodyText"/>
      </w:pPr>
      <w:r>
        <w:rPr>
          <w:b/>
          <w:bCs/>
        </w:rPr>
        <w:t xml:space="preserve">Remediation:</w:t>
      </w:r>
      <w:r>
        <w:t xml:space="preserve"> </w:t>
      </w:r>
      <w:r>
        <w:t xml:space="preserve">Restrict write permissions on all Public Key Services objects to Enterprise Admins, Domain Admins, and the CA service account only. Monitor changes to NTAuthCertificates via AD audit policies.</w:t>
      </w:r>
    </w:p>
    <w:p>
      <w:pPr>
        <w:pStyle w:val="BodyText"/>
      </w:pPr>
      <w:r>
        <w:t xml:space="preserve">3.6 ESC6 — EDITF_ATTRIBUTESUBJECTALTNAME2 Flag</w:t>
      </w:r>
    </w:p>
    <w:tbl>
      <w:tblPr>
        <w:tblStyle w:val="Table"/>
        <w:tblW w:type="pct" w:w="4956"/>
        <w:tblLayout w:type="fixed"/>
        <w:tblLook w:firstRow="1" w:lastRow="0" w:firstColumn="0" w:lastColumn="0" w:noHBand="0" w:noVBand="0" w:val="0020"/>
      </w:tblPr>
      <w:tblGrid>
        <w:gridCol w:w="553"/>
        <w:gridCol w:w="7297"/>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The CA has the EDITF_ATTRIBUTESUBJECTALTNAME2 flag enabled in its policy module, allowing any enrollee to specify an arbitrary SAN on any template — regardless of the template's Subject Name configuration.</w:t>
            </w:r>
          </w:p>
        </w:tc>
      </w:tr>
      <w:tr>
        <w:tc>
          <w:tcPr/>
          <w:p>
            <w:pPr>
              <w:pStyle w:val="Compact"/>
              <w:jc w:val="left"/>
            </w:pPr>
            <w:r>
              <w:t xml:space="preserve">Impact</w:t>
            </w:r>
          </w:p>
        </w:tc>
        <w:tc>
          <w:tcPr/>
          <w:p>
            <w:pPr>
              <w:pStyle w:val="Compact"/>
              <w:jc w:val="left"/>
            </w:pPr>
            <w:r>
              <w:t xml:space="preserve">Any authenticated user with enrollment rights to any template can impersonate any user.</w:t>
            </w:r>
          </w:p>
        </w:tc>
      </w:tr>
    </w:tbl>
    <w:p>
      <w:pPr>
        <w:pStyle w:val="BodyText"/>
      </w:pPr>
      <w:r>
        <w:rPr>
          <w:b/>
          <w:bCs/>
        </w:rPr>
        <w:t xml:space="preserve">Detection Script:</w:t>
      </w:r>
    </w:p>
    <w:p>
      <w:pPr>
        <w:pStyle w:val="BodyText"/>
      </w:pPr>
      <w:r>
        <w:t xml:space="preserve"># ESC6 Detection $editFlags = certutil -getreg policy\EditFlags 2&gt;&amp;1 if ($editFlags -match 'EDITF_ATTRIBUTESUBJECTALTNAME2') { Write-Warning "ESC6 VULNERABLE: EDITF_ATTRIBUTESUBJECTALTNAME2 is ENABLED" Write-Output " Any enrollee can specify arbitrary SAN on any template." } else { Write-Output "ESC6: EDITF_ATTRIBUTESUBJECTALTNAME2 is not enabled (safe)." }</w:t>
      </w:r>
    </w:p>
    <w:p>
      <w:pPr>
        <w:pStyle w:val="BodyText"/>
      </w:pPr>
      <w:r>
        <w:rPr>
          <w:b/>
          <w:bCs/>
        </w:rPr>
        <w:t xml:space="preserve">Remediation:</w:t>
      </w:r>
      <w:r>
        <w:t xml:space="preserve"> </w:t>
      </w:r>
      <w:r>
        <w:t xml:space="preserve">Remove the flag immediately: certutil -setreg policy\EditFlags -EDITF_ATTRIBUTESUBJECTALTNAME2, then restart the CA service. Apply the May 2022 security update (KB5014754) which restricts SAN override behavior.</w:t>
      </w:r>
    </w:p>
    <w:p>
      <w:pPr>
        <w:pStyle w:val="BodyText"/>
      </w:pPr>
      <w:r>
        <w:t xml:space="preserve">3.7 ESC7 — Vulnerable CA Security Descriptors</w:t>
      </w:r>
    </w:p>
    <w:tbl>
      <w:tblPr>
        <w:tblStyle w:val="Table"/>
        <w:tblW w:type="pct" w:w="4969"/>
        <w:tblLayout w:type="fixed"/>
        <w:tblLook w:firstRow="1" w:lastRow="0" w:firstColumn="0" w:lastColumn="0" w:noHBand="0" w:noVBand="0" w:val="0020"/>
      </w:tblPr>
      <w:tblGrid>
        <w:gridCol w:w="392"/>
        <w:gridCol w:w="7478"/>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High</w:t>
            </w:r>
          </w:p>
        </w:tc>
      </w:tr>
      <w:tr>
        <w:tc>
          <w:tcPr/>
          <w:p>
            <w:pPr>
              <w:pStyle w:val="Compact"/>
              <w:jc w:val="left"/>
            </w:pPr>
            <w:r>
              <w:t xml:space="preserve">Description</w:t>
            </w:r>
          </w:p>
        </w:tc>
        <w:tc>
          <w:tcPr/>
          <w:p>
            <w:pPr>
              <w:pStyle w:val="Compact"/>
              <w:jc w:val="left"/>
            </w:pPr>
            <w:r>
              <w:t xml:space="preserve">Non-administrative users or groups have ManageCA or ManageCertificates rights on the CA. ManageCA allows changing CA configuration (including enabling ESC6). ManageCertificates allows approving pending certificate requests, including those with arbitrary SANs when Manager Approval is the only control.</w:t>
            </w:r>
          </w:p>
        </w:tc>
      </w:tr>
      <w:tr>
        <w:tc>
          <w:tcPr/>
          <w:p>
            <w:pPr>
              <w:pStyle w:val="Compact"/>
              <w:jc w:val="left"/>
            </w:pPr>
            <w:r>
              <w:t xml:space="preserve">Impact</w:t>
            </w:r>
          </w:p>
        </w:tc>
        <w:tc>
          <w:tcPr/>
          <w:p>
            <w:pPr>
              <w:pStyle w:val="Compact"/>
              <w:jc w:val="left"/>
            </w:pPr>
            <w:r>
              <w:t xml:space="preserve">CA configuration manipulation, unauthorized certificate approval.</w:t>
            </w:r>
          </w:p>
        </w:tc>
      </w:tr>
    </w:tbl>
    <w:p>
      <w:pPr>
        <w:pStyle w:val="BodyText"/>
      </w:pPr>
      <w:r>
        <w:rPr>
          <w:b/>
          <w:bCs/>
        </w:rPr>
        <w:t xml:space="preserve">Detection Script:</w:t>
      </w:r>
    </w:p>
    <w:p>
      <w:pPr>
        <w:pStyle w:val="BodyText"/>
      </w:pPr>
      <w:r>
        <w:t xml:space="preserve"># ESC7 Detection $caSecurity = certutil -getreg CA\Security 2&gt;&amp;1 Write-Output "=== CA Security Descriptor ===" Write-Output $caSecurity Write-Output "" Write-Output "Review for non-admin principals with ManageCA or ManageCertificates rights." Write-Output "Expected: Only Domain Admins, Enterprise Admins, CA Admins, SYSTEM."</w:t>
      </w:r>
    </w:p>
    <w:p>
      <w:pPr>
        <w:pStyle w:val="BodyText"/>
      </w:pPr>
      <w:r>
        <w:rPr>
          <w:b/>
          <w:bCs/>
        </w:rPr>
        <w:t xml:space="preserve">Remediation:</w:t>
      </w:r>
      <w:r>
        <w:t xml:space="preserve"> </w:t>
      </w:r>
      <w:r>
        <w:t xml:space="preserve">Remove ManageCA and ManageCertificates permissions for all non-administrative principals. Use dedicated CA Admin and Certificate Manager role groups.</w:t>
      </w:r>
    </w:p>
    <w:p>
      <w:pPr>
        <w:pStyle w:val="BodyText"/>
      </w:pPr>
      <w:r>
        <w:t xml:space="preserve">3.8 ESC8 — HTTP Enrollment NTLM Relay</w:t>
      </w:r>
    </w:p>
    <w:tbl>
      <w:tblPr>
        <w:tblStyle w:val="Table"/>
        <w:tblW w:type="pct" w:w="4977"/>
        <w:tblLayout w:type="fixed"/>
        <w:tblLook w:firstRow="1" w:lastRow="0" w:firstColumn="0" w:lastColumn="0" w:noHBand="0" w:noVBand="0" w:val="0020"/>
      </w:tblPr>
      <w:tblGrid>
        <w:gridCol w:w="287"/>
        <w:gridCol w:w="7596"/>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Risk Level</w:t>
            </w:r>
          </w:p>
        </w:tc>
        <w:tc>
          <w:tcPr/>
          <w:p>
            <w:pPr>
              <w:pStyle w:val="Compact"/>
              <w:jc w:val="left"/>
            </w:pPr>
            <w:r>
              <w:rPr>
                <w:b/>
                <w:bCs/>
              </w:rPr>
              <w:t xml:space="preserve">Critical</w:t>
            </w:r>
          </w:p>
        </w:tc>
      </w:tr>
      <w:tr>
        <w:tc>
          <w:tcPr/>
          <w:p>
            <w:pPr>
              <w:pStyle w:val="Compact"/>
              <w:jc w:val="left"/>
            </w:pPr>
            <w:r>
              <w:t xml:space="preserve">Description</w:t>
            </w:r>
          </w:p>
        </w:tc>
        <w:tc>
          <w:tcPr/>
          <w:p>
            <w:pPr>
              <w:pStyle w:val="Compact"/>
              <w:jc w:val="left"/>
            </w:pPr>
            <w:r>
              <w:t xml:space="preserve">HTTP-based enrollment endpoints — NDES (/certsrv/mscep/), Certificate Enrollment Web Service (CES), and Web Enrollment (/certsrv/) — are vulnerable to NTLM relay attacks when Extended Protection for Authentication (EPA) is not enforced. An attacker coerces a Domain Controller to authenticate to the attacker's machine, relays the NTLM authentication to the ADCS HTTP endpoint, and requests a certificate as the DC.</w:t>
            </w:r>
          </w:p>
        </w:tc>
      </w:tr>
      <w:tr>
        <w:tc>
          <w:tcPr/>
          <w:p>
            <w:pPr>
              <w:pStyle w:val="Compact"/>
              <w:jc w:val="left"/>
            </w:pPr>
            <w:r>
              <w:t xml:space="preserve">Impact</w:t>
            </w:r>
          </w:p>
        </w:tc>
        <w:tc>
          <w:tcPr/>
          <w:p>
            <w:pPr>
              <w:pStyle w:val="Compact"/>
              <w:jc w:val="left"/>
            </w:pPr>
            <w:r>
              <w:t xml:space="preserve">Domain Controller impersonation, full domain compromise.</w:t>
            </w:r>
          </w:p>
        </w:tc>
      </w:tr>
    </w:tbl>
    <w:p>
      <w:pPr>
        <w:pStyle w:val="BodyText"/>
      </w:pPr>
      <w:r>
        <w:rPr>
          <w:b/>
          <w:bCs/>
        </w:rPr>
        <w:t xml:space="preserve">Detection Script:</w:t>
      </w:r>
    </w:p>
    <w:p>
      <w:pPr>
        <w:pStyle w:val="BodyText"/>
      </w:pPr>
      <w:r>
        <w:t xml:space="preserve"># ESC8 Detection — Check NDES/CES/CEP IIS bindings and EPA Import-Module WebAdministration -ErrorAction SilentlyContinue # Check for HTTP-only bindings (should be HTTPS only) $sites = Get-Website | Where-Object { $_.Name -match 'Default Web Site|NDES|CES' } foreach ($site in $sites) { $bindings = Get-WebBinding -Name $site.Name $httpBindings = $bindings | Where-Object { $_.protocol -eq 'http' } if ($httpBindings) { Write-Warning "ESC8 RISK: $($site.Name) has HTTP binding enabled" } # Check Extended Protection for Authentication $epa = Get-WebConfigurationProperty -Filter 'system.webServer/security/authentication/windowsAuthentication/extendedProtection' ` -PSPath "IIS:\Sites\$($site.Name)" -Name tokenChecking -ErrorAction SilentlyContinue if ($epa -ne 'Require') { Write-Warning "ESC8 RISK: $($site.Name) does not require Extended Protection for Authentication" } }</w:t>
      </w:r>
    </w:p>
    <w:p>
      <w:pPr>
        <w:pStyle w:val="BodyText"/>
      </w:pPr>
      <w:r>
        <w:rPr>
          <w:b/>
          <w:bCs/>
        </w:rPr>
        <w:t xml:space="preserve">Remediation:</w:t>
      </w:r>
    </w:p>
    <w:p>
      <w:pPr>
        <w:numPr>
          <w:ilvl w:val="0"/>
          <w:numId w:val="1054"/>
        </w:numPr>
      </w:pPr>
      <w:r>
        <w:t xml:space="preserve">Enforce HTTPS-only on all ADCS web enrollment endpoints. Remove HTTP bindings.</w:t>
      </w:r>
    </w:p>
    <w:p>
      <w:pPr>
        <w:numPr>
          <w:ilvl w:val="0"/>
          <w:numId w:val="1054"/>
        </w:numPr>
      </w:pPr>
      <w:r>
        <w:t xml:space="preserve">Enable Extended Protection for Authentication (EPA) set to</w:t>
      </w:r>
      <w:r>
        <w:t xml:space="preserve"> </w:t>
      </w:r>
      <w:r>
        <w:rPr>
          <w:i/>
          <w:iCs/>
        </w:rPr>
        <w:t xml:space="preserve">Require</w:t>
      </w:r>
      <w:r>
        <w:t xml:space="preserve"> </w:t>
      </w:r>
      <w:r>
        <w:t xml:space="preserve">on all IIS sites hosting enrollment endpoints.</w:t>
      </w:r>
    </w:p>
    <w:p>
      <w:pPr>
        <w:numPr>
          <w:ilvl w:val="0"/>
          <w:numId w:val="1054"/>
        </w:numPr>
      </w:pPr>
      <w:r>
        <w:t xml:space="preserve">Disable NTLM authentication where possible; prefer Kerberos.</w:t>
      </w:r>
    </w:p>
    <w:p>
      <w:pPr>
        <w:numPr>
          <w:ilvl w:val="0"/>
          <w:numId w:val="1054"/>
        </w:numPr>
      </w:pPr>
      <w:r>
        <w:t xml:space="preserve">If NDES is only used for Intune, restrict access to the Intune Certificate Connector service account.</w:t>
      </w:r>
    </w:p>
    <w:p>
      <w:pPr>
        <w:pStyle w:val="FirstParagraph"/>
      </w:pPr>
      <w:r>
        <w:t xml:space="preserve">3.9 ESC Risk Scoring Matrix</w:t>
      </w:r>
    </w:p>
    <w:tbl>
      <w:tblPr>
        <w:tblStyle w:val="Table"/>
        <w:tblW w:type="pct" w:w="4930"/>
        <w:tblLayout w:type="fixed"/>
        <w:tblLook w:firstRow="1" w:lastRow="0" w:firstColumn="0" w:lastColumn="0" w:noHBand="0" w:noVBand="0" w:val="0020"/>
      </w:tblPr>
      <w:tblGrid>
        <w:gridCol w:w="725"/>
        <w:gridCol w:w="1840"/>
        <w:gridCol w:w="948"/>
        <w:gridCol w:w="1394"/>
        <w:gridCol w:w="1394"/>
        <w:gridCol w:w="1505"/>
      </w:tblGrid>
      <w:tr>
        <w:trPr>
          <w:tblHeader w:val="on"/>
        </w:trPr>
        <w:tc>
          <w:tcPr/>
          <w:p>
            <w:pPr>
              <w:pStyle w:val="Compact"/>
              <w:jc w:val="left"/>
            </w:pPr>
            <w:r>
              <w:rPr>
                <w:b/>
                <w:bCs/>
              </w:rPr>
              <w:t xml:space="preserve">ESC ID</w:t>
            </w:r>
          </w:p>
        </w:tc>
        <w:tc>
          <w:tcPr/>
          <w:p>
            <w:pPr>
              <w:pStyle w:val="Compact"/>
              <w:jc w:val="left"/>
            </w:pPr>
            <w:r>
              <w:rPr>
                <w:b/>
                <w:bCs/>
              </w:rPr>
              <w:t xml:space="preserve">Vulnerability</w:t>
            </w:r>
          </w:p>
        </w:tc>
        <w:tc>
          <w:tcPr/>
          <w:p>
            <w:pPr>
              <w:pStyle w:val="Compact"/>
              <w:jc w:val="left"/>
            </w:pPr>
            <w:r>
              <w:rPr>
                <w:b/>
                <w:bCs/>
              </w:rPr>
              <w:t xml:space="preserve">Risk Level</w:t>
            </w:r>
          </w:p>
        </w:tc>
        <w:tc>
          <w:tcPr/>
          <w:p>
            <w:pPr>
              <w:pStyle w:val="Compact"/>
              <w:jc w:val="left"/>
            </w:pPr>
            <w:r>
              <w:rPr>
                <w:b/>
                <w:bCs/>
              </w:rPr>
              <w:t xml:space="preserve">Domain Compromise?</w:t>
            </w:r>
          </w:p>
        </w:tc>
        <w:tc>
          <w:tcPr/>
          <w:p>
            <w:pPr>
              <w:pStyle w:val="Compact"/>
              <w:jc w:val="left"/>
            </w:pPr>
            <w:r>
              <w:rPr>
                <w:b/>
                <w:bCs/>
              </w:rPr>
              <w:t xml:space="preserve">Migration Blocker?</w:t>
            </w:r>
          </w:p>
        </w:tc>
        <w:tc>
          <w:tcPr/>
          <w:p>
            <w:pPr>
              <w:pStyle w:val="Compact"/>
              <w:jc w:val="left"/>
            </w:pPr>
            <w:r>
              <w:rPr>
                <w:b/>
                <w:bCs/>
              </w:rPr>
              <w:t xml:space="preserve">Remediation Priority</w:t>
            </w:r>
          </w:p>
        </w:tc>
      </w:tr>
      <w:tr>
        <w:tc>
          <w:tcPr/>
          <w:p>
            <w:pPr>
              <w:pStyle w:val="Compact"/>
              <w:jc w:val="left"/>
            </w:pPr>
            <w:r>
              <w:t xml:space="preserve">ESC1</w:t>
            </w:r>
          </w:p>
        </w:tc>
        <w:tc>
          <w:tcPr/>
          <w:p>
            <w:pPr>
              <w:pStyle w:val="Compact"/>
              <w:jc w:val="left"/>
            </w:pPr>
            <w:r>
              <w:t xml:space="preserve">Enrollee Supplies Subject</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ESC2</w:t>
            </w:r>
          </w:p>
        </w:tc>
        <w:tc>
          <w:tcPr/>
          <w:p>
            <w:pPr>
              <w:pStyle w:val="Compact"/>
              <w:jc w:val="left"/>
            </w:pPr>
            <w:r>
              <w:t xml:space="preserve">Any Purpose / SubCA EKU</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ESC3</w:t>
            </w:r>
          </w:p>
        </w:tc>
        <w:tc>
          <w:tcPr/>
          <w:p>
            <w:pPr>
              <w:pStyle w:val="Compact"/>
              <w:jc w:val="left"/>
            </w:pPr>
            <w:r>
              <w:t xml:space="preserve">Request Agent Abuse</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ESC4</w:t>
            </w:r>
          </w:p>
        </w:tc>
        <w:tc>
          <w:tcPr/>
          <w:p>
            <w:pPr>
              <w:pStyle w:val="Compact"/>
              <w:jc w:val="left"/>
            </w:pPr>
            <w:r>
              <w:t xml:space="preserve">Template ACL Vulnerability</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ESC5</w:t>
            </w:r>
          </w:p>
        </w:tc>
        <w:tc>
          <w:tcPr/>
          <w:p>
            <w:pPr>
              <w:pStyle w:val="Compact"/>
              <w:jc w:val="left"/>
            </w:pPr>
            <w:r>
              <w:t xml:space="preserve">PKI Object ACL Vulnerability</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ESC6</w:t>
            </w:r>
          </w:p>
        </w:tc>
        <w:tc>
          <w:tcPr/>
          <w:p>
            <w:pPr>
              <w:pStyle w:val="Compact"/>
              <w:jc w:val="left"/>
            </w:pPr>
            <w:r>
              <w:t xml:space="preserve">EDITF_ATTRIBUTESUBJECTALTNAME2</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r>
        <w:tc>
          <w:tcPr/>
          <w:p>
            <w:pPr>
              <w:pStyle w:val="Compact"/>
              <w:jc w:val="left"/>
            </w:pPr>
            <w:r>
              <w:t xml:space="preserve">ESC7</w:t>
            </w:r>
          </w:p>
        </w:tc>
        <w:tc>
          <w:tcPr/>
          <w:p>
            <w:pPr>
              <w:pStyle w:val="Compact"/>
              <w:jc w:val="left"/>
            </w:pPr>
            <w:r>
              <w:t xml:space="preserve">CA Security Descriptor</w:t>
            </w:r>
          </w:p>
        </w:tc>
        <w:tc>
          <w:tcPr/>
          <w:p>
            <w:pPr>
              <w:pStyle w:val="Compact"/>
              <w:jc w:val="left"/>
            </w:pPr>
            <w:r>
              <w:rPr>
                <w:b/>
                <w:bCs/>
              </w:rPr>
              <w:t xml:space="preserve">High</w:t>
            </w:r>
          </w:p>
        </w:tc>
        <w:tc>
          <w:tcPr/>
          <w:p>
            <w:pPr>
              <w:pStyle w:val="Compact"/>
              <w:jc w:val="left"/>
            </w:pPr>
            <w:r>
              <w:t xml:space="preserve">Possible</w:t>
            </w:r>
          </w:p>
        </w:tc>
        <w:tc>
          <w:tcPr/>
          <w:p>
            <w:pPr>
              <w:pStyle w:val="Compact"/>
              <w:jc w:val="left"/>
            </w:pPr>
            <w:r>
              <w:t xml:space="preserve">Yes</w:t>
            </w:r>
          </w:p>
        </w:tc>
        <w:tc>
          <w:tcPr/>
          <w:p>
            <w:pPr>
              <w:pStyle w:val="Compact"/>
              <w:jc w:val="left"/>
            </w:pPr>
            <w:r>
              <w:t xml:space="preserve">Within 2 weeks</w:t>
            </w:r>
          </w:p>
        </w:tc>
      </w:tr>
      <w:tr>
        <w:tc>
          <w:tcPr/>
          <w:p>
            <w:pPr>
              <w:pStyle w:val="Compact"/>
              <w:jc w:val="left"/>
            </w:pPr>
            <w:r>
              <w:t xml:space="preserve">ESC8</w:t>
            </w:r>
          </w:p>
        </w:tc>
        <w:tc>
          <w:tcPr/>
          <w:p>
            <w:pPr>
              <w:pStyle w:val="Compact"/>
              <w:jc w:val="left"/>
            </w:pPr>
            <w:r>
              <w:t xml:space="preserve">HTTP NTLM Relay</w:t>
            </w:r>
          </w:p>
        </w:tc>
        <w:tc>
          <w:tcPr/>
          <w:p>
            <w:pPr>
              <w:pStyle w:val="Compact"/>
              <w:jc w:val="left"/>
            </w:pPr>
            <w:r>
              <w:rPr>
                <w:b/>
                <w:bCs/>
              </w:rPr>
              <w:t xml:space="preserve">Critical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Immediate</w:t>
            </w:r>
          </w:p>
        </w:tc>
      </w:tr>
    </w:tbl>
    <w:p>
      <w:pPr>
        <w:pStyle w:val="BodyText"/>
      </w:pPr>
      <w:r>
        <w:t xml:space="preserve">4. Certificate Inventory and Classification</w:t>
      </w:r>
    </w:p>
    <w:p>
      <w:pPr>
        <w:pStyle w:val="BodyText"/>
      </w:pPr>
      <w:r>
        <w:t xml:space="preserve">Every certificate template and active use case must be classified to determine the appropriate migration path. Not all certificate workloads can move to Cloud PKI simultaneously — some require hybrid coexistence, others must remain on-premises indefinitely.</w:t>
      </w:r>
    </w:p>
    <w:p>
      <w:pPr>
        <w:pStyle w:val="BodyText"/>
      </w:pPr>
      <w:r>
        <w:t xml:space="preserve">4.1 Classification Framework</w:t>
      </w:r>
    </w:p>
    <w:tbl>
      <w:tblPr>
        <w:tblStyle w:val="Table"/>
        <w:tblW w:type="pct" w:w="4976"/>
        <w:tblLayout w:type="fixed"/>
        <w:tblLook w:firstRow="1" w:lastRow="0" w:firstColumn="0" w:lastColumn="0" w:noHBand="0" w:noVBand="0" w:val="0020"/>
      </w:tblPr>
      <w:tblGrid>
        <w:gridCol w:w="400"/>
        <w:gridCol w:w="2557"/>
        <w:gridCol w:w="2309"/>
        <w:gridCol w:w="2614"/>
      </w:tblGrid>
      <w:tr>
        <w:trPr>
          <w:tblHeader w:val="on"/>
        </w:trPr>
        <w:tc>
          <w:tcPr/>
          <w:p>
            <w:pPr>
              <w:pStyle w:val="Compact"/>
              <w:jc w:val="left"/>
            </w:pPr>
            <w:r>
              <w:rPr>
                <w:b/>
                <w:bCs/>
              </w:rPr>
              <w:t xml:space="preserve">Classification</w:t>
            </w:r>
          </w:p>
        </w:tc>
        <w:tc>
          <w:tcPr/>
          <w:p>
            <w:pPr>
              <w:pStyle w:val="Compact"/>
              <w:jc w:val="left"/>
            </w:pPr>
            <w:r>
              <w:rPr>
                <w:b/>
                <w:bCs/>
              </w:rPr>
              <w:t xml:space="preserve">Definition</w:t>
            </w:r>
          </w:p>
        </w:tc>
        <w:tc>
          <w:tcPr/>
          <w:p>
            <w:pPr>
              <w:pStyle w:val="Compact"/>
              <w:jc w:val="left"/>
            </w:pPr>
            <w:r>
              <w:rPr>
                <w:b/>
                <w:bCs/>
              </w:rPr>
              <w:t xml:space="preserve">Examples</w:t>
            </w:r>
          </w:p>
        </w:tc>
        <w:tc>
          <w:tcPr/>
          <w:p>
            <w:pPr>
              <w:pStyle w:val="Compact"/>
              <w:jc w:val="left"/>
            </w:pPr>
            <w:r>
              <w:rPr>
                <w:b/>
                <w:bCs/>
              </w:rPr>
              <w:t xml:space="preserve">Action</w:t>
            </w:r>
          </w:p>
        </w:tc>
      </w:tr>
      <w:tr>
        <w:tc>
          <w:tcPr/>
          <w:p>
            <w:pPr>
              <w:pStyle w:val="Compact"/>
              <w:jc w:val="left"/>
            </w:pPr>
            <w:r>
              <w:rPr>
                <w:b/>
                <w:bCs/>
              </w:rPr>
              <w:t xml:space="preserve">MIGRATE</w:t>
            </w:r>
          </w:p>
        </w:tc>
        <w:tc>
          <w:tcPr/>
          <w:p>
            <w:pPr>
              <w:pStyle w:val="Compact"/>
              <w:jc w:val="left"/>
            </w:pPr>
            <w:r>
              <w:t xml:space="preserve">A direct cloud equivalent exists in Cloud PKI / Intune. Certificate can be fully replaced.</w:t>
            </w:r>
          </w:p>
        </w:tc>
        <w:tc>
          <w:tcPr/>
          <w:p>
            <w:pPr>
              <w:pStyle w:val="Compact"/>
              <w:jc w:val="left"/>
            </w:pPr>
            <w:r>
              <w:t xml:space="preserve">Wi-Fi 802.1X auth → SCEP, User auth → Entra CBA, VPN client cert → SCEP, Device auth → SCEP</w:t>
            </w:r>
          </w:p>
        </w:tc>
        <w:tc>
          <w:tcPr/>
          <w:p>
            <w:pPr>
              <w:pStyle w:val="Compact"/>
              <w:jc w:val="left"/>
            </w:pPr>
            <w:r>
              <w:t xml:space="preserve">Deploy cloud certificate profile; allow ADCS-issued cert to expire naturally; do not renew from ADCS.</w:t>
            </w:r>
          </w:p>
        </w:tc>
      </w:tr>
      <w:tr>
        <w:tc>
          <w:tcPr/>
          <w:p>
            <w:pPr>
              <w:pStyle w:val="Compact"/>
              <w:jc w:val="left"/>
            </w:pPr>
            <w:r>
              <w:rPr>
                <w:b/>
                <w:bCs/>
              </w:rPr>
              <w:t xml:space="preserve">BRIDGE</w:t>
            </w:r>
          </w:p>
        </w:tc>
        <w:tc>
          <w:tcPr/>
          <w:p>
            <w:pPr>
              <w:pStyle w:val="Compact"/>
              <w:jc w:val="left"/>
            </w:pPr>
            <w:r>
              <w:t xml:space="preserve">Requires hybrid coexistence. Both ADCS and Cloud PKI must operate in parallel.</w:t>
            </w:r>
          </w:p>
        </w:tc>
        <w:tc>
          <w:tcPr/>
          <w:p>
            <w:pPr>
              <w:pStyle w:val="Compact"/>
              <w:jc w:val="left"/>
            </w:pPr>
            <w:r>
              <w:t xml:space="preserve">DC authentication, LDAPS, cross-forest trust certificates, NPS/RADIUS server certs</w:t>
            </w:r>
          </w:p>
        </w:tc>
        <w:tc>
          <w:tcPr/>
          <w:p>
            <w:pPr>
              <w:pStyle w:val="Compact"/>
              <w:jc w:val="left"/>
            </w:pPr>
            <w:r>
              <w:t xml:space="preserve">Maintain ADCS issuance for these use cases during transition. Plan for ADCS retention until AD decommission or alternative validation.</w:t>
            </w:r>
          </w:p>
        </w:tc>
      </w:tr>
      <w:tr>
        <w:tc>
          <w:tcPr/>
          <w:p>
            <w:pPr>
              <w:pStyle w:val="Compact"/>
              <w:jc w:val="left"/>
            </w:pPr>
            <w:r>
              <w:rPr>
                <w:b/>
                <w:bCs/>
              </w:rPr>
              <w:t xml:space="preserve">RETAIN</w:t>
            </w:r>
          </w:p>
        </w:tc>
        <w:tc>
          <w:tcPr/>
          <w:p>
            <w:pPr>
              <w:pStyle w:val="Compact"/>
              <w:jc w:val="left"/>
            </w:pPr>
            <w:r>
              <w:t xml:space="preserve">No cloud equivalent exists. Workload must remain on-premises ADCS permanently or until the consuming application is decommissioned.</w:t>
            </w:r>
          </w:p>
        </w:tc>
        <w:tc>
          <w:tcPr/>
          <w:p>
            <w:pPr>
              <w:pStyle w:val="Compact"/>
              <w:jc w:val="left"/>
            </w:pPr>
            <w:r>
              <w:t xml:space="preserve">Legacy mutual TLS applications, HSM-protected code signing, custom OID-based certs, on-prem SCEP for network equipment</w:t>
            </w:r>
          </w:p>
        </w:tc>
        <w:tc>
          <w:tcPr/>
          <w:p>
            <w:pPr>
              <w:pStyle w:val="Compact"/>
              <w:jc w:val="left"/>
            </w:pPr>
            <w:r>
              <w:t xml:space="preserve">Keep ADCS operational for these templates. Document as technical debt. Include in long-term decommission planning.</w:t>
            </w:r>
          </w:p>
        </w:tc>
      </w:tr>
      <w:tr>
        <w:tc>
          <w:tcPr/>
          <w:p>
            <w:pPr>
              <w:pStyle w:val="Compact"/>
              <w:jc w:val="left"/>
            </w:pPr>
            <w:r>
              <w:rPr>
                <w:b/>
                <w:bCs/>
              </w:rPr>
              <w:t xml:space="preserve">RETIRE</w:t>
            </w:r>
          </w:p>
        </w:tc>
        <w:tc>
          <w:tcPr/>
          <w:p>
            <w:pPr>
              <w:pStyle w:val="Compact"/>
              <w:jc w:val="left"/>
            </w:pPr>
            <w:r>
              <w:t xml:space="preserve">Obsolete use case. The consuming application or service has been or will be decommissioned.</w:t>
            </w:r>
          </w:p>
        </w:tc>
        <w:tc>
          <w:tcPr/>
          <w:p>
            <w:pPr>
              <w:pStyle w:val="Compact"/>
              <w:jc w:val="left"/>
            </w:pPr>
            <w:r>
              <w:t xml:space="preserve">EFS on migrated file shares, VPN certs for decommissioned concentrators, legacy 802.1X for deprecated SSIDs</w:t>
            </w:r>
          </w:p>
        </w:tc>
        <w:tc>
          <w:tcPr/>
          <w:p>
            <w:pPr>
              <w:pStyle w:val="Compact"/>
              <w:jc w:val="left"/>
            </w:pPr>
            <w:r>
              <w:t xml:space="preserve">Let existing certificates expire. Remove templates from auto-enrollment. Archive template configuration before deletion.</w:t>
            </w:r>
          </w:p>
        </w:tc>
      </w:tr>
    </w:tbl>
    <w:p>
      <w:pPr>
        <w:pStyle w:val="BodyText"/>
      </w:pPr>
      <w:r>
        <w:t xml:space="preserve">4.2 Certificate Use Case Mapping</w:t>
      </w:r>
    </w:p>
    <w:tbl>
      <w:tblPr>
        <w:tblStyle w:val="Table"/>
        <w:tblW w:type="pct" w:w="4935"/>
        <w:tblLayout w:type="fixed"/>
        <w:tblLook w:firstRow="1" w:lastRow="0" w:firstColumn="0" w:lastColumn="0" w:noHBand="0" w:noVBand="0" w:val="0020"/>
      </w:tblPr>
      <w:tblGrid>
        <w:gridCol w:w="1449"/>
        <w:gridCol w:w="1294"/>
        <w:gridCol w:w="1087"/>
        <w:gridCol w:w="1397"/>
        <w:gridCol w:w="1190"/>
        <w:gridCol w:w="1397"/>
      </w:tblGrid>
      <w:tr>
        <w:trPr>
          <w:tblHeader w:val="on"/>
        </w:trPr>
        <w:tc>
          <w:tcPr/>
          <w:p>
            <w:pPr>
              <w:pStyle w:val="Compact"/>
              <w:jc w:val="left"/>
            </w:pPr>
            <w:r>
              <w:rPr>
                <w:b/>
                <w:bCs/>
              </w:rPr>
              <w:t xml:space="preserve">Use Case</w:t>
            </w:r>
          </w:p>
        </w:tc>
        <w:tc>
          <w:tcPr/>
          <w:p>
            <w:pPr>
              <w:pStyle w:val="Compact"/>
              <w:jc w:val="left"/>
            </w:pPr>
            <w:r>
              <w:rPr>
                <w:b/>
                <w:bCs/>
              </w:rPr>
              <w:t xml:space="preserve">ADCS Template</w:t>
            </w:r>
          </w:p>
        </w:tc>
        <w:tc>
          <w:tcPr/>
          <w:p>
            <w:pPr>
              <w:pStyle w:val="Compact"/>
              <w:jc w:val="left"/>
            </w:pPr>
            <w:r>
              <w:rPr>
                <w:b/>
                <w:bCs/>
              </w:rPr>
              <w:t xml:space="preserve">Classification</w:t>
            </w:r>
          </w:p>
        </w:tc>
        <w:tc>
          <w:tcPr/>
          <w:p>
            <w:pPr>
              <w:pStyle w:val="Compact"/>
              <w:jc w:val="left"/>
            </w:pPr>
            <w:r>
              <w:rPr>
                <w:b/>
                <w:bCs/>
              </w:rPr>
              <w:t xml:space="preserve">Cloud PKI Path</w:t>
            </w:r>
          </w:p>
        </w:tc>
        <w:tc>
          <w:tcPr/>
          <w:p>
            <w:pPr>
              <w:pStyle w:val="Compact"/>
              <w:jc w:val="left"/>
            </w:pPr>
            <w:r>
              <w:rPr>
                <w:b/>
                <w:bCs/>
              </w:rPr>
              <w:t xml:space="preserve">Intune Profile</w:t>
            </w:r>
          </w:p>
        </w:tc>
        <w:tc>
          <w:tcPr/>
          <w:p>
            <w:pPr>
              <w:pStyle w:val="Compact"/>
              <w:jc w:val="left"/>
            </w:pPr>
            <w:r>
              <w:rPr>
                <w:b/>
                <w:bCs/>
              </w:rPr>
              <w:t xml:space="preserve">Dependencies</w:t>
            </w:r>
          </w:p>
        </w:tc>
      </w:tr>
      <w:tr>
        <w:tc>
          <w:tcPr/>
          <w:p>
            <w:pPr>
              <w:pStyle w:val="Compact"/>
              <w:jc w:val="left"/>
            </w:pPr>
            <w:r>
              <w:t xml:space="preserve">Wi-Fi 802.1X (EAP-TLS)</w:t>
            </w:r>
          </w:p>
        </w:tc>
        <w:tc>
          <w:tcPr/>
          <w:p>
            <w:pPr>
              <w:pStyle w:val="Compact"/>
              <w:jc w:val="left"/>
            </w:pPr>
            <w:r>
              <w:t xml:space="preserve">Computer / User</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 + Trusted Root</w:t>
            </w:r>
          </w:p>
        </w:tc>
        <w:tc>
          <w:tcPr/>
          <w:p>
            <w:pPr>
              <w:pStyle w:val="Compact"/>
              <w:jc w:val="left"/>
            </w:pPr>
            <w:r>
              <w:t xml:space="preserve">RADIUS trust update</w:t>
            </w:r>
          </w:p>
        </w:tc>
      </w:tr>
      <w:tr>
        <w:tc>
          <w:tcPr/>
          <w:p>
            <w:pPr>
              <w:pStyle w:val="Compact"/>
              <w:jc w:val="left"/>
            </w:pPr>
            <w:r>
              <w:t xml:space="preserve">VPN client certificate</w:t>
            </w:r>
          </w:p>
        </w:tc>
        <w:tc>
          <w:tcPr/>
          <w:p>
            <w:pPr>
              <w:pStyle w:val="Compact"/>
              <w:jc w:val="left"/>
            </w:pPr>
            <w:r>
              <w:t xml:space="preserve">User VPN</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w:t>
            </w:r>
          </w:p>
        </w:tc>
        <w:tc>
          <w:tcPr/>
          <w:p>
            <w:pPr>
              <w:pStyle w:val="Compact"/>
              <w:jc w:val="left"/>
            </w:pPr>
            <w:r>
              <w:t xml:space="preserve">VPN gateway trust update</w:t>
            </w:r>
          </w:p>
        </w:tc>
      </w:tr>
      <w:tr>
        <w:tc>
          <w:tcPr/>
          <w:p>
            <w:pPr>
              <w:pStyle w:val="Compact"/>
              <w:jc w:val="left"/>
            </w:pPr>
            <w:r>
              <w:t xml:space="preserve">User authentication (SSO)</w:t>
            </w:r>
          </w:p>
        </w:tc>
        <w:tc>
          <w:tcPr/>
          <w:p>
            <w:pPr>
              <w:pStyle w:val="Compact"/>
              <w:jc w:val="left"/>
            </w:pPr>
            <w:r>
              <w:t xml:space="preserve">User / Smartcard User</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SCEP / PKCS</w:t>
            </w:r>
          </w:p>
        </w:tc>
        <w:tc>
          <w:tcPr/>
          <w:p>
            <w:pPr>
              <w:pStyle w:val="Compact"/>
              <w:jc w:val="left"/>
            </w:pPr>
            <w:r>
              <w:t xml:space="preserve">Entra CBA configuration</w:t>
            </w:r>
          </w:p>
        </w:tc>
      </w:tr>
      <w:tr>
        <w:tc>
          <w:tcPr/>
          <w:p>
            <w:pPr>
              <w:pStyle w:val="Compact"/>
              <w:jc w:val="left"/>
            </w:pPr>
            <w:r>
              <w:t xml:space="preserve">Device authentication</w:t>
            </w:r>
          </w:p>
        </w:tc>
        <w:tc>
          <w:tcPr/>
          <w:p>
            <w:pPr>
              <w:pStyle w:val="Compact"/>
              <w:jc w:val="left"/>
            </w:pPr>
            <w:r>
              <w:t xml:space="preserve">Machine / Computer</w:t>
            </w:r>
          </w:p>
        </w:tc>
        <w:tc>
          <w:tcPr/>
          <w:p>
            <w:pPr>
              <w:pStyle w:val="Compact"/>
              <w:jc w:val="left"/>
            </w:pPr>
            <w:r>
              <w:t xml:space="preserve">MIGRATE</w:t>
            </w:r>
          </w:p>
        </w:tc>
        <w:tc>
          <w:tcPr/>
          <w:p>
            <w:pPr>
              <w:pStyle w:val="Compact"/>
              <w:jc w:val="left"/>
            </w:pPr>
            <w:r>
              <w:t xml:space="preserve">Cloud PKI SCEP</w:t>
            </w:r>
          </w:p>
        </w:tc>
        <w:tc>
          <w:tcPr/>
          <w:p>
            <w:pPr>
              <w:pStyle w:val="Compact"/>
              <w:jc w:val="left"/>
            </w:pPr>
            <w:r>
              <w:t xml:space="preserve">SCEP</w:t>
            </w:r>
          </w:p>
        </w:tc>
        <w:tc>
          <w:tcPr/>
          <w:p>
            <w:pPr>
              <w:pStyle w:val="Compact"/>
              <w:jc w:val="left"/>
            </w:pPr>
            <w:r>
              <w:t xml:space="preserve">Intune enrollment</w:t>
            </w:r>
          </w:p>
        </w:tc>
      </w:tr>
      <w:tr>
        <w:tc>
          <w:tcPr/>
          <w:p>
            <w:pPr>
              <w:pStyle w:val="Compact"/>
              <w:jc w:val="left"/>
            </w:pPr>
            <w:r>
              <w:t xml:space="preserve">Domain Controller auth</w:t>
            </w:r>
          </w:p>
        </w:tc>
        <w:tc>
          <w:tcPr/>
          <w:p>
            <w:pPr>
              <w:pStyle w:val="Compact"/>
              <w:jc w:val="left"/>
            </w:pPr>
            <w:r>
              <w:t xml:space="preserve">Domain Controller</w:t>
            </w:r>
          </w:p>
        </w:tc>
        <w:tc>
          <w:tcPr/>
          <w:p>
            <w:pPr>
              <w:pStyle w:val="Compact"/>
              <w:jc w:val="left"/>
            </w:pPr>
            <w:r>
              <w:t xml:space="preserve">BRIDGE</w:t>
            </w:r>
          </w:p>
        </w:tc>
        <w:tc>
          <w:tcPr/>
          <w:p>
            <w:pPr>
              <w:pStyle w:val="Compact"/>
              <w:jc w:val="left"/>
            </w:pPr>
            <w:r>
              <w:t xml:space="preserve">N/A (must use ADCS)</w:t>
            </w:r>
          </w:p>
        </w:tc>
        <w:tc>
          <w:tcPr/>
          <w:p>
            <w:pPr>
              <w:pStyle w:val="Compact"/>
              <w:jc w:val="left"/>
            </w:pPr>
            <w:r>
              <w:t xml:space="preserve">N/A</w:t>
            </w:r>
          </w:p>
        </w:tc>
        <w:tc>
          <w:tcPr/>
          <w:p>
            <w:pPr>
              <w:pStyle w:val="Compact"/>
              <w:jc w:val="left"/>
            </w:pPr>
            <w:r>
              <w:t xml:space="preserve">AD operational</w:t>
            </w:r>
          </w:p>
        </w:tc>
      </w:tr>
      <w:tr>
        <w:tc>
          <w:tcPr/>
          <w:p>
            <w:pPr>
              <w:pStyle w:val="Compact"/>
              <w:jc w:val="left"/>
            </w:pPr>
            <w:r>
              <w:t xml:space="preserve">LDAPS server certificate</w:t>
            </w:r>
          </w:p>
        </w:tc>
        <w:tc>
          <w:tcPr/>
          <w:p>
            <w:pPr>
              <w:pStyle w:val="Compact"/>
              <w:jc w:val="left"/>
            </w:pPr>
            <w:r>
              <w:t xml:space="preserve">Kerberos Auth / DC</w:t>
            </w:r>
          </w:p>
        </w:tc>
        <w:tc>
          <w:tcPr/>
          <w:p>
            <w:pPr>
              <w:pStyle w:val="Compact"/>
              <w:jc w:val="left"/>
            </w:pPr>
            <w:r>
              <w:t xml:space="preserve">BRIDGE</w:t>
            </w:r>
          </w:p>
        </w:tc>
        <w:tc>
          <w:tcPr/>
          <w:p>
            <w:pPr>
              <w:pStyle w:val="Compact"/>
              <w:jc w:val="left"/>
            </w:pPr>
            <w:r>
              <w:t xml:space="preserve">Partial (cloud-consumed)</w:t>
            </w:r>
          </w:p>
        </w:tc>
        <w:tc>
          <w:tcPr/>
          <w:p>
            <w:pPr>
              <w:pStyle w:val="Compact"/>
              <w:jc w:val="left"/>
            </w:pPr>
            <w:r>
              <w:t xml:space="preserve">N/A</w:t>
            </w:r>
          </w:p>
        </w:tc>
        <w:tc>
          <w:tcPr/>
          <w:p>
            <w:pPr>
              <w:pStyle w:val="Compact"/>
              <w:jc w:val="left"/>
            </w:pPr>
            <w:r>
              <w:t xml:space="preserve">LDAP client trust</w:t>
            </w:r>
          </w:p>
        </w:tc>
      </w:tr>
      <w:tr>
        <w:tc>
          <w:tcPr/>
          <w:p>
            <w:pPr>
              <w:pStyle w:val="Compact"/>
              <w:jc w:val="left"/>
            </w:pPr>
            <w:r>
              <w:t xml:space="preserve">Cross-forest trust</w:t>
            </w:r>
          </w:p>
        </w:tc>
        <w:tc>
          <w:tcPr/>
          <w:p>
            <w:pPr>
              <w:pStyle w:val="Compact"/>
              <w:jc w:val="left"/>
            </w:pPr>
            <w:r>
              <w:t xml:space="preserve">Domain Controller Auth</w:t>
            </w:r>
          </w:p>
        </w:tc>
        <w:tc>
          <w:tcPr/>
          <w:p>
            <w:pPr>
              <w:pStyle w:val="Compact"/>
              <w:jc w:val="left"/>
            </w:pPr>
            <w:r>
              <w:t xml:space="preserve">BRIDGE</w:t>
            </w:r>
          </w:p>
        </w:tc>
        <w:tc>
          <w:tcPr/>
          <w:p>
            <w:pPr>
              <w:pStyle w:val="Compact"/>
              <w:jc w:val="left"/>
            </w:pPr>
            <w:r>
              <w:t xml:space="preserve">N/A</w:t>
            </w:r>
          </w:p>
        </w:tc>
        <w:tc>
          <w:tcPr/>
          <w:p>
            <w:pPr>
              <w:pStyle w:val="Compact"/>
              <w:jc w:val="left"/>
            </w:pPr>
            <w:r>
              <w:t xml:space="preserve">N/A</w:t>
            </w:r>
          </w:p>
        </w:tc>
        <w:tc>
          <w:tcPr/>
          <w:p>
            <w:pPr>
              <w:pStyle w:val="Compact"/>
              <w:jc w:val="left"/>
            </w:pPr>
            <w:r>
              <w:t xml:space="preserve">Forest trust validation</w:t>
            </w:r>
          </w:p>
        </w:tc>
      </w:tr>
      <w:tr>
        <w:tc>
          <w:tcPr/>
          <w:p>
            <w:pPr>
              <w:pStyle w:val="Compact"/>
              <w:jc w:val="left"/>
            </w:pPr>
            <w:r>
              <w:t xml:space="preserve">NPS/RADIUS server</w:t>
            </w:r>
          </w:p>
        </w:tc>
        <w:tc>
          <w:tcPr/>
          <w:p>
            <w:pPr>
              <w:pStyle w:val="Compact"/>
              <w:jc w:val="left"/>
            </w:pPr>
            <w:r>
              <w:t xml:space="preserve">RAS and IAS Server</w:t>
            </w:r>
          </w:p>
        </w:tc>
        <w:tc>
          <w:tcPr/>
          <w:p>
            <w:pPr>
              <w:pStyle w:val="Compact"/>
              <w:jc w:val="left"/>
            </w:pPr>
            <w:r>
              <w:t xml:space="preserve">BRIDGE</w:t>
            </w:r>
          </w:p>
        </w:tc>
        <w:tc>
          <w:tcPr/>
          <w:p>
            <w:pPr>
              <w:pStyle w:val="Compact"/>
              <w:jc w:val="left"/>
            </w:pPr>
            <w:r>
              <w:t xml:space="preserve">ADCS during transition</w:t>
            </w:r>
          </w:p>
        </w:tc>
        <w:tc>
          <w:tcPr/>
          <w:p>
            <w:pPr>
              <w:pStyle w:val="Compact"/>
              <w:jc w:val="left"/>
            </w:pPr>
            <w:r>
              <w:t xml:space="preserve">N/A</w:t>
            </w:r>
          </w:p>
        </w:tc>
        <w:tc>
          <w:tcPr/>
          <w:p>
            <w:pPr>
              <w:pStyle w:val="Compact"/>
              <w:jc w:val="left"/>
            </w:pPr>
            <w:r>
              <w:t xml:space="preserve">RADIUS service migration</w:t>
            </w:r>
          </w:p>
        </w:tc>
      </w:tr>
      <w:tr>
        <w:tc>
          <w:tcPr/>
          <w:p>
            <w:pPr>
              <w:pStyle w:val="Compact"/>
              <w:jc w:val="left"/>
            </w:pPr>
            <w:r>
              <w:t xml:space="preserve">Web Server TLS (internal)</w:t>
            </w:r>
          </w:p>
        </w:tc>
        <w:tc>
          <w:tcPr/>
          <w:p>
            <w:pPr>
              <w:pStyle w:val="Compact"/>
              <w:jc w:val="left"/>
            </w:pPr>
            <w:r>
              <w:t xml:space="preserve">Web Server</w:t>
            </w:r>
          </w:p>
        </w:tc>
        <w:tc>
          <w:tcPr/>
          <w:p>
            <w:pPr>
              <w:pStyle w:val="Compact"/>
              <w:jc w:val="left"/>
            </w:pPr>
            <w:r>
              <w:t xml:space="preserve">MIGRATE</w:t>
            </w:r>
          </w:p>
        </w:tc>
        <w:tc>
          <w:tcPr/>
          <w:p>
            <w:pPr>
              <w:pStyle w:val="Compact"/>
              <w:jc w:val="left"/>
            </w:pPr>
            <w:r>
              <w:t xml:space="preserve">Cloud PKI or public CA</w:t>
            </w:r>
          </w:p>
        </w:tc>
        <w:tc>
          <w:tcPr/>
          <w:p>
            <w:pPr>
              <w:pStyle w:val="Compact"/>
              <w:jc w:val="left"/>
            </w:pPr>
            <w:r>
              <w:t xml:space="preserve">PKCS (server deploy)</w:t>
            </w:r>
          </w:p>
        </w:tc>
        <w:tc>
          <w:tcPr/>
          <w:p>
            <w:pPr>
              <w:pStyle w:val="Compact"/>
              <w:jc w:val="left"/>
            </w:pPr>
            <w:r>
              <w:t xml:space="preserve">IIS rebinding</w:t>
            </w:r>
          </w:p>
        </w:tc>
      </w:tr>
      <w:tr>
        <w:tc>
          <w:tcPr/>
          <w:p>
            <w:pPr>
              <w:pStyle w:val="Compact"/>
              <w:jc w:val="left"/>
            </w:pPr>
            <w:r>
              <w:t xml:space="preserve">Code Signing (HSM)</w:t>
            </w:r>
          </w:p>
        </w:tc>
        <w:tc>
          <w:tcPr/>
          <w:p>
            <w:pPr>
              <w:pStyle w:val="Compact"/>
              <w:jc w:val="left"/>
            </w:pPr>
            <w:r>
              <w:t xml:space="preserve">Code Signing</w:t>
            </w:r>
          </w:p>
        </w:tc>
        <w:tc>
          <w:tcPr/>
          <w:p>
            <w:pPr>
              <w:pStyle w:val="Compact"/>
              <w:jc w:val="left"/>
            </w:pPr>
            <w:r>
              <w:t xml:space="preserve">RETAIN</w:t>
            </w:r>
          </w:p>
        </w:tc>
        <w:tc>
          <w:tcPr/>
          <w:p>
            <w:pPr>
              <w:pStyle w:val="Compact"/>
              <w:jc w:val="left"/>
            </w:pPr>
            <w:r>
              <w:t xml:space="preserve">N/A (HSM dependency)</w:t>
            </w:r>
          </w:p>
        </w:tc>
        <w:tc>
          <w:tcPr/>
          <w:p>
            <w:pPr>
              <w:pStyle w:val="Compact"/>
              <w:jc w:val="left"/>
            </w:pPr>
            <w:r>
              <w:t xml:space="preserve">N/A</w:t>
            </w:r>
          </w:p>
        </w:tc>
        <w:tc>
          <w:tcPr/>
          <w:p>
            <w:pPr>
              <w:pStyle w:val="Compact"/>
              <w:jc w:val="left"/>
            </w:pPr>
            <w:r>
              <w:t xml:space="preserve">HSM infrastructure</w:t>
            </w:r>
          </w:p>
        </w:tc>
      </w:tr>
      <w:tr>
        <w:tc>
          <w:tcPr/>
          <w:p>
            <w:pPr>
              <w:pStyle w:val="Compact"/>
              <w:jc w:val="left"/>
            </w:pPr>
            <w:r>
              <w:t xml:space="preserve">EFS encryption</w:t>
            </w:r>
          </w:p>
        </w:tc>
        <w:tc>
          <w:tcPr/>
          <w:p>
            <w:pPr>
              <w:pStyle w:val="Compact"/>
              <w:jc w:val="left"/>
            </w:pPr>
            <w:r>
              <w:t xml:space="preserve">Basic EFS</w:t>
            </w:r>
          </w:p>
        </w:tc>
        <w:tc>
          <w:tcPr/>
          <w:p>
            <w:pPr>
              <w:pStyle w:val="Compact"/>
              <w:jc w:val="left"/>
            </w:pPr>
            <w:r>
              <w:t xml:space="preserve">RETIRE</w:t>
            </w:r>
          </w:p>
        </w:tc>
        <w:tc>
          <w:tcPr/>
          <w:p>
            <w:pPr>
              <w:pStyle w:val="Compact"/>
              <w:jc w:val="left"/>
            </w:pPr>
            <w:r>
              <w:t xml:space="preserve">N/A (migrating to MIP)</w:t>
            </w:r>
          </w:p>
        </w:tc>
        <w:tc>
          <w:tcPr/>
          <w:p>
            <w:pPr>
              <w:pStyle w:val="Compact"/>
              <w:jc w:val="left"/>
            </w:pPr>
            <w:r>
              <w:t xml:space="preserve">N/A</w:t>
            </w:r>
          </w:p>
        </w:tc>
        <w:tc>
          <w:tcPr/>
          <w:p>
            <w:pPr>
              <w:pStyle w:val="Compact"/>
              <w:jc w:val="left"/>
            </w:pPr>
            <w:r>
              <w:t xml:space="preserve">MIP/AIP deployment</w:t>
            </w:r>
          </w:p>
        </w:tc>
      </w:tr>
      <w:tr>
        <w:tc>
          <w:tcPr/>
          <w:p>
            <w:pPr>
              <w:pStyle w:val="Compact"/>
              <w:jc w:val="left"/>
            </w:pPr>
            <w:r>
              <w:t xml:space="preserve">Email S/MIME</w:t>
            </w:r>
          </w:p>
        </w:tc>
        <w:tc>
          <w:tcPr/>
          <w:p>
            <w:pPr>
              <w:pStyle w:val="Compact"/>
              <w:jc w:val="left"/>
            </w:pPr>
            <w:r>
              <w:t xml:space="preserve">Exchange User</w:t>
            </w:r>
          </w:p>
        </w:tc>
        <w:tc>
          <w:tcPr/>
          <w:p>
            <w:pPr>
              <w:pStyle w:val="Compact"/>
              <w:jc w:val="left"/>
            </w:pPr>
            <w:r>
              <w:t xml:space="preserve">MIGRATE</w:t>
            </w:r>
          </w:p>
        </w:tc>
        <w:tc>
          <w:tcPr/>
          <w:p>
            <w:pPr>
              <w:pStyle w:val="Compact"/>
              <w:jc w:val="left"/>
            </w:pPr>
            <w:r>
              <w:t xml:space="preserve">PKCS Imported</w:t>
            </w:r>
          </w:p>
        </w:tc>
        <w:tc>
          <w:tcPr/>
          <w:p>
            <w:pPr>
              <w:pStyle w:val="Compact"/>
              <w:jc w:val="left"/>
            </w:pPr>
            <w:r>
              <w:t xml:space="preserve">PKCS Imported</w:t>
            </w:r>
          </w:p>
        </w:tc>
        <w:tc>
          <w:tcPr/>
          <w:p>
            <w:pPr>
              <w:pStyle w:val="Compact"/>
              <w:jc w:val="left"/>
            </w:pPr>
            <w:r>
              <w:t xml:space="preserve">S/MIME policy config</w:t>
            </w:r>
          </w:p>
        </w:tc>
      </w:tr>
      <w:tr>
        <w:tc>
          <w:tcPr/>
          <w:p>
            <w:pPr>
              <w:pStyle w:val="Compact"/>
              <w:jc w:val="left"/>
            </w:pPr>
            <w:r>
              <w:t xml:space="preserve">Smart Card Logon (PIV)</w:t>
            </w:r>
          </w:p>
        </w:tc>
        <w:tc>
          <w:tcPr/>
          <w:p>
            <w:pPr>
              <w:pStyle w:val="Compact"/>
              <w:jc w:val="left"/>
            </w:pPr>
            <w:r>
              <w:t xml:space="preserve">Smartcard Logon</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N/A (physical card)</w:t>
            </w:r>
          </w:p>
        </w:tc>
        <w:tc>
          <w:tcPr/>
          <w:p>
            <w:pPr>
              <w:pStyle w:val="Compact"/>
              <w:jc w:val="left"/>
            </w:pPr>
            <w:r>
              <w:t xml:space="preserve">CBA binding config</w:t>
            </w:r>
          </w:p>
        </w:tc>
      </w:tr>
      <w:tr>
        <w:tc>
          <w:tcPr/>
          <w:p>
            <w:pPr>
              <w:pStyle w:val="Compact"/>
              <w:jc w:val="left"/>
            </w:pPr>
            <w:r>
              <w:t xml:space="preserve">OCSP Response Signing</w:t>
            </w:r>
          </w:p>
        </w:tc>
        <w:tc>
          <w:tcPr/>
          <w:p>
            <w:pPr>
              <w:pStyle w:val="Compact"/>
              <w:jc w:val="left"/>
            </w:pPr>
            <w:r>
              <w:t xml:space="preserve">OCSP Signing</w:t>
            </w:r>
          </w:p>
        </w:tc>
        <w:tc>
          <w:tcPr/>
          <w:p>
            <w:pPr>
              <w:pStyle w:val="Compact"/>
              <w:jc w:val="left"/>
            </w:pPr>
            <w:r>
              <w:t xml:space="preserve">RETIRE</w:t>
            </w:r>
          </w:p>
        </w:tc>
        <w:tc>
          <w:tcPr/>
          <w:p>
            <w:pPr>
              <w:pStyle w:val="Compact"/>
              <w:jc w:val="left"/>
            </w:pPr>
            <w:r>
              <w:t xml:space="preserve">N/A (Cloud PKI handles)</w:t>
            </w:r>
          </w:p>
        </w:tc>
        <w:tc>
          <w:tcPr/>
          <w:p>
            <w:pPr>
              <w:pStyle w:val="Compact"/>
              <w:jc w:val="left"/>
            </w:pPr>
            <w:r>
              <w:t xml:space="preserve">N/A</w:t>
            </w:r>
          </w:p>
        </w:tc>
        <w:tc>
          <w:tcPr/>
          <w:p>
            <w:pPr>
              <w:pStyle w:val="Compact"/>
              <w:jc w:val="left"/>
            </w:pPr>
            <w:r>
              <w:t xml:space="preserve">Cloud PKI CRL</w:t>
            </w:r>
          </w:p>
        </w:tc>
      </w:tr>
    </w:tbl>
    <w:p>
      <w:pPr>
        <w:pStyle w:val="BodyText"/>
      </w:pPr>
      <w:r>
        <w:t xml:space="preserve">4.3 PowerShell Inventory Function</w:t>
      </w:r>
    </w:p>
    <w:p>
      <w:pPr>
        <w:pStyle w:val="BodyText"/>
      </w:pPr>
      <w:r>
        <w:t xml:space="preserve">function Get-FMPCertificateInventory { &lt;# .SYNOPSIS Exports ADCS certificate template inventory with the Federal Modernization Program migration classification tags to JSON. .DESCRIPTION Queries all certificate templates from Active Directory, enriches with enrollment permissions, EKU analysis, and the Federal Modernization Program migration classification. .OUTPUTS JSON file at specified output path. #&gt; [CmdletBinding] param( [Parameter(Mandatory = $false)] [string]$OutputPath = ".\FMPCertInventory_$(Get-Date -Format 'yyyyMMdd_HHmmss').json", [Parameter(Mandatory = $false)] [hashtable]$ClassificationOverrides = @{} ) Import-Module ActiveDirectory -ErrorAction Stop $configNC = (Get-ADRootDSE).configurationNamingContext $templateBase = "CN=Certificate Templates,CN=Public Key Services,CN=Services,$configNC" $templates = Get-ADObject -SearchBase $templateBase -Filter * -Properties ` displayName, msPKI-Certificate-Name-Flag, msPKI-Certificate-Application-Policy, ` pkiExtendedKeyUsage, msPKI-Enrollment-Flag, msPKI-Private-Key-Flag, ` msPKI-Minimal-Key-Size, pKIExpirationPeriod, pKIOverlapPeriod, ` nTSecurityDescriptor, msPKI-Template-Schema-Version, revision $inventory = @ foreach ($tmpl in $templates) { $ekus = @($tmpl.pkiExtendedKeyUsage) + @($tmpl.'msPKI-Certificate-Application-Policy') | Select-Object -Unique $nameFlag = $tmpl.'msPKI-Certificate-Name-Flag' # Auto-classify based on EKU $classification = switch -Regex ($ekus -join ',') { '1\.3\.6\.1\.5\.5\.7\.3\.2' { 'MIGRATE' } # Client Auth '1\.3\.6\.1\.5\.5\.7\.3\.1' { 'MIGRATE' } # Server Auth '1\.3\.6\.1\.4\.1\.311\.20\.2\.2' { 'MIGRATE' } # Smart Card Logon '1\.3\.6\.1\.5\.2\.3\.5' { 'BRIDGE' } # KDC Auth '1\.3\.6\.1\.4\.1\.311\.10\.3\.4' { 'RETIRE' } # EFS '1\.3\.6\.1\.5\.5\.7\.3\.3' { 'RETAIN' } # Code Signing default { 'MIGRATE' } } # Apply manual overrides if ($ClassificationOverrides.ContainsKey($tmpl.displayName)) { $classification = $ClassificationOverrides[$tmpl.displayName] } $acl = Get-Acl "AD:$($tmpl.DistinguishedName)" $enrollees = ($acl.Access | Where-Object { $_.ActiveDirectoryRights -match 'ExtendedRight' -and $_.ObjectType -eq '0e10c968-78fb-11d2-90d4-00c04f79dc55' }).IdentityReference.Value $record = [PSCustomObject]@{ TemplateName = $tmpl.displayName DN = $tmpl.DistinguishedName SchemaVersion = $tmpl.'msPKI-Template-Schema-Version' EKUs = $ekus SuppliesSubject =</w:t>
      </w:r>
      <w:r>
        <w:t xml:space="preserve"> </w:t>
      </w:r>
      <w:r>
        <w:t xml:space="preserve"> MinKeySize = $tmpl.'msPKI-Minimal-Key-Size' EnrolledBy = $enrollees Classification = $classification AssessmentDate = (Get-Date -Format 'yyyy-MM-ddTHH:mm:ssZ') } $inventory += $record } $inventory | ConvertTo-Json -Depth 5 | Out-File -FilePath $OutputPath -Encoding UTF8 Write-Output "Certificate inventory exported to: $OutputPath" Write-Output "Total templates: $($inventory.Count)" Write-Output "MIGRATE: $(($inventory | Where-Object Classification -eq 'MIGRATE').Count)" Write-Output "BRIDGE: $(($inventory | Where-Object Classification -eq 'BRIDGE').Count)" Write-Output "RETAIN: $(($inventory | Where-Object Classification -eq 'RETAIN').Count)" Write-Output "RETIRE: $(($inventory | Where-Object Classification -eq 'RETIRE').Count)" return $inventory }</w:t>
      </w:r>
    </w:p>
    <w:p>
      <w:pPr>
        <w:pStyle w:val="BodyText"/>
      </w:pPr>
      <w:r>
        <w:t xml:space="preserve">5. Target Architecture: Microsoft Cloud PKI</w:t>
      </w:r>
    </w:p>
    <w:p>
      <w:pPr>
        <w:pStyle w:val="BodyText"/>
      </w:pPr>
      <w:r>
        <w:t xml:space="preserve">Microsoft Cloud PKI, released as part of the Microsoft Intune Suite, provides a cloud-native certificate authority service that eliminates the need for on-premises ADCS infrastructure for most certificate use cases. It supports two deployment models, each suited to different organizational profiles.</w:t>
      </w:r>
    </w:p>
    <w:p>
      <w:pPr>
        <w:pStyle w:val="BodyText"/>
      </w:pPr>
      <w:r>
        <w:t xml:space="preserve">5.1 Cloud PKI Root CA (Full Cloud Hierarchy)</w:t>
      </w:r>
    </w:p>
    <w:p>
      <w:pPr>
        <w:pStyle w:val="BodyText"/>
      </w:pPr>
      <w:r>
        <w:t xml:space="preserve">With this model, both the Root CA and Issuing CA are created and managed entirely within the Microsoft Cloud PKI service. No on-premises PKI infrastructure is required.</w:t>
      </w:r>
    </w:p>
    <w:p>
      <w:pPr>
        <w:numPr>
          <w:ilvl w:val="0"/>
          <w:numId w:val="1055"/>
        </w:numPr>
      </w:pPr>
      <w:r>
        <w:rPr>
          <w:b/>
          <w:bCs/>
        </w:rPr>
        <w:t xml:space="preserve">Architecture:</w:t>
      </w:r>
      <w:r>
        <w:t xml:space="preserve"> </w:t>
      </w:r>
      <w:r>
        <w:t xml:space="preserve">Two-tier hierarchy — Cloud Root CA signs Cloud Issuing CA. Multiple Issuing CAs can be subordinate to a single Root CA.</w:t>
      </w:r>
    </w:p>
    <w:p>
      <w:pPr>
        <w:numPr>
          <w:ilvl w:val="0"/>
          <w:numId w:val="1055"/>
        </w:numPr>
      </w:pPr>
      <w:r>
        <w:rPr>
          <w:b/>
          <w:bCs/>
        </w:rPr>
        <w:t xml:space="preserve">Trust Distribution:</w:t>
      </w:r>
      <w:r>
        <w:t xml:space="preserve"> </w:t>
      </w:r>
      <w:r>
        <w:t xml:space="preserve">Root CA public key is deployed to managed devices via Intune Trusted Root Certificate profiles. For non-Intune devices, the root cert must be distributed via GPO, MDM, or manual installation.</w:t>
      </w:r>
    </w:p>
    <w:p>
      <w:pPr>
        <w:numPr>
          <w:ilvl w:val="0"/>
          <w:numId w:val="1055"/>
        </w:numPr>
      </w:pPr>
      <w:r>
        <w:rPr>
          <w:b/>
          <w:bCs/>
        </w:rPr>
        <w:t xml:space="preserve">CRL/AIA:</w:t>
      </w:r>
      <w:r>
        <w:t xml:space="preserve"> </w:t>
      </w:r>
      <w:r>
        <w:t xml:space="preserve">Hosted automatically by the Microsoft Cloud PKI service. CRL distribution points are internet-accessible.</w:t>
      </w:r>
    </w:p>
    <w:p>
      <w:pPr>
        <w:numPr>
          <w:ilvl w:val="0"/>
          <w:numId w:val="1055"/>
        </w:numPr>
      </w:pPr>
      <w:r>
        <w:rPr>
          <w:b/>
          <w:bCs/>
        </w:rPr>
        <w:t xml:space="preserve">Licensing:</w:t>
      </w:r>
      <w:r>
        <w:t xml:space="preserve"> </w:t>
      </w:r>
      <w:r>
        <w:t xml:space="preserve">Requires Microsoft Intune Suite add-on or standalone Cloud PKI license.</w:t>
      </w:r>
    </w:p>
    <w:p>
      <w:pPr>
        <w:numPr>
          <w:ilvl w:val="0"/>
          <w:numId w:val="1055"/>
        </w:numPr>
      </w:pPr>
      <w:r>
        <w:rPr>
          <w:b/>
          <w:bCs/>
        </w:rPr>
        <w:t xml:space="preserve">Best For:</w:t>
      </w:r>
      <w:r>
        <w:t xml:space="preserve"> </w:t>
      </w:r>
      <w:r>
        <w:t xml:space="preserve">Greenfield deployments, organizations without existing PKI, or those fully committed to cloud-native infrastructure.</w:t>
      </w:r>
    </w:p>
    <w:p>
      <w:pPr>
        <w:pStyle w:val="FirstParagraph"/>
      </w:pPr>
      <w:r>
        <w:t xml:space="preserve">5.2 BYOCA (Bring Your Own CA)</w:t>
      </w:r>
    </w:p>
    <w:p>
      <w:pPr>
        <w:pStyle w:val="BodyText"/>
      </w:pPr>
      <w:r>
        <w:t xml:space="preserve">With BYOCA, the Cloud PKI Issuing CA is subordinate to your existing on-premises Root CA. This maintains the existing trust chain while moving certificate issuance to the cloud.</w:t>
      </w:r>
    </w:p>
    <w:p>
      <w:pPr>
        <w:numPr>
          <w:ilvl w:val="0"/>
          <w:numId w:val="1056"/>
        </w:numPr>
      </w:pPr>
      <w:r>
        <w:rPr>
          <w:b/>
          <w:bCs/>
        </w:rPr>
        <w:t xml:space="preserve">Architecture:</w:t>
      </w:r>
      <w:r>
        <w:t xml:space="preserve"> </w:t>
      </w:r>
      <w:r>
        <w:t xml:space="preserve">On-premises Root CA (existing, typically offline) signs a CSR generated by the Cloud PKI service. The resulting Cloud Issuing CA is uploaded back to Intune.</w:t>
      </w:r>
    </w:p>
    <w:p>
      <w:pPr>
        <w:numPr>
          <w:ilvl w:val="0"/>
          <w:numId w:val="1056"/>
        </w:numPr>
      </w:pPr>
      <w:r>
        <w:rPr>
          <w:b/>
          <w:bCs/>
        </w:rPr>
        <w:t xml:space="preserve">Trust Distribution:</w:t>
      </w:r>
      <w:r>
        <w:t xml:space="preserve"> </w:t>
      </w:r>
      <w:r>
        <w:t xml:space="preserve">Devices that already trust the on-premises Root CA automatically trust certificates issued by the Cloud Issuing CA. No new root deployment required for existing managed devices.</w:t>
      </w:r>
    </w:p>
    <w:p>
      <w:pPr>
        <w:numPr>
          <w:ilvl w:val="0"/>
          <w:numId w:val="1056"/>
        </w:numPr>
      </w:pPr>
      <w:r>
        <w:rPr>
          <w:b/>
          <w:bCs/>
        </w:rPr>
        <w:t xml:space="preserve">CRL/AIA:</w:t>
      </w:r>
      <w:r>
        <w:t xml:space="preserve"> </w:t>
      </w:r>
      <w:r>
        <w:t xml:space="preserve">Cloud Issuing CA CRL is hosted by Microsoft. Root CA CRL remains on-premises (must be accessible to relying parties).</w:t>
      </w:r>
    </w:p>
    <w:p>
      <w:pPr>
        <w:numPr>
          <w:ilvl w:val="0"/>
          <w:numId w:val="1056"/>
        </w:numPr>
      </w:pPr>
      <w:r>
        <w:rPr>
          <w:b/>
          <w:bCs/>
        </w:rPr>
        <w:t xml:space="preserve">Best For:</w:t>
      </w:r>
      <w:r>
        <w:t xml:space="preserve"> </w:t>
      </w:r>
      <w:r>
        <w:t xml:space="preserve">Enterprises with established PKI trust chains, compliance requirements mandating a specific root, or phased migration strategies.</w:t>
      </w:r>
    </w:p>
    <w:p>
      <w:pPr>
        <w:pStyle w:val="FirstParagraph"/>
      </w:pPr>
      <w:r>
        <w:t xml:space="preserve">5.3 Deployment Model Decision Matrix</w:t>
      </w:r>
    </w:p>
    <w:tbl>
      <w:tblPr>
        <w:tblStyle w:val="Table"/>
        <w:tblW w:type="pct" w:w="4933"/>
        <w:tblLayout w:type="fixed"/>
        <w:tblLook w:firstRow="1" w:lastRow="0" w:firstColumn="0" w:lastColumn="0" w:noHBand="0" w:noVBand="0" w:val="0020"/>
      </w:tblPr>
      <w:tblGrid>
        <w:gridCol w:w="1372"/>
        <w:gridCol w:w="3220"/>
        <w:gridCol w:w="3220"/>
      </w:tblGrid>
      <w:tr>
        <w:trPr>
          <w:tblHeader w:val="on"/>
        </w:trPr>
        <w:tc>
          <w:tcPr/>
          <w:p>
            <w:pPr>
              <w:pStyle w:val="Compact"/>
              <w:jc w:val="left"/>
            </w:pPr>
            <w:r>
              <w:rPr>
                <w:b/>
                <w:bCs/>
              </w:rPr>
              <w:t xml:space="preserve">Criteria</w:t>
            </w:r>
          </w:p>
        </w:tc>
        <w:tc>
          <w:tcPr/>
          <w:p>
            <w:pPr>
              <w:pStyle w:val="Compact"/>
              <w:jc w:val="left"/>
            </w:pPr>
            <w:r>
              <w:rPr>
                <w:b/>
                <w:bCs/>
              </w:rPr>
              <w:t xml:space="preserve">Cloud PKI Root CA</w:t>
            </w:r>
          </w:p>
        </w:tc>
        <w:tc>
          <w:tcPr/>
          <w:p>
            <w:pPr>
              <w:pStyle w:val="Compact"/>
              <w:jc w:val="left"/>
            </w:pPr>
            <w:r>
              <w:rPr>
                <w:b/>
                <w:bCs/>
              </w:rPr>
              <w:t xml:space="preserve">BYOCA</w:t>
            </w:r>
          </w:p>
        </w:tc>
      </w:tr>
      <w:tr>
        <w:tc>
          <w:tcPr/>
          <w:p>
            <w:pPr>
              <w:pStyle w:val="Compact"/>
              <w:jc w:val="left"/>
            </w:pPr>
            <w:r>
              <w:t xml:space="preserve">Existing on-prem PKI</w:t>
            </w:r>
          </w:p>
        </w:tc>
        <w:tc>
          <w:tcPr/>
          <w:p>
            <w:pPr>
              <w:pStyle w:val="Compact"/>
              <w:jc w:val="left"/>
            </w:pPr>
            <w:r>
              <w:t xml:space="preserve">Not required</w:t>
            </w:r>
          </w:p>
        </w:tc>
        <w:tc>
          <w:tcPr/>
          <w:p>
            <w:pPr>
              <w:pStyle w:val="Compact"/>
              <w:jc w:val="left"/>
            </w:pPr>
            <w:r>
              <w:t xml:space="preserve">Required (Root CA)</w:t>
            </w:r>
          </w:p>
        </w:tc>
      </w:tr>
      <w:tr>
        <w:tc>
          <w:tcPr/>
          <w:p>
            <w:pPr>
              <w:pStyle w:val="Compact"/>
              <w:jc w:val="left"/>
            </w:pPr>
            <w:r>
              <w:t xml:space="preserve">Trust chain</w:t>
            </w:r>
          </w:p>
        </w:tc>
        <w:tc>
          <w:tcPr/>
          <w:p>
            <w:pPr>
              <w:pStyle w:val="Compact"/>
              <w:jc w:val="left"/>
            </w:pPr>
            <w:r>
              <w:t xml:space="preserve">New trust chain — deploy new root to all relying parties</w:t>
            </w:r>
          </w:p>
        </w:tc>
        <w:tc>
          <w:tcPr/>
          <w:p>
            <w:pPr>
              <w:pStyle w:val="Compact"/>
              <w:jc w:val="left"/>
            </w:pPr>
            <w:r>
              <w:t xml:space="preserve">Existing trust chain preserved</w:t>
            </w:r>
          </w:p>
        </w:tc>
      </w:tr>
      <w:tr>
        <w:tc>
          <w:tcPr/>
          <w:p>
            <w:pPr>
              <w:pStyle w:val="Compact"/>
              <w:jc w:val="left"/>
            </w:pPr>
            <w:r>
              <w:t xml:space="preserve">Compliance / audit</w:t>
            </w:r>
          </w:p>
        </w:tc>
        <w:tc>
          <w:tcPr/>
          <w:p>
            <w:pPr>
              <w:pStyle w:val="Compact"/>
              <w:jc w:val="left"/>
            </w:pPr>
            <w:r>
              <w:t xml:space="preserve">Simpler — single vendor manages full chain</w:t>
            </w:r>
          </w:p>
        </w:tc>
        <w:tc>
          <w:tcPr/>
          <w:p>
            <w:pPr>
              <w:pStyle w:val="Compact"/>
              <w:jc w:val="left"/>
            </w:pPr>
            <w:r>
              <w:t xml:space="preserve">Existing root CA audit controls maintained</w:t>
            </w:r>
          </w:p>
        </w:tc>
      </w:tr>
      <w:tr>
        <w:tc>
          <w:tcPr/>
          <w:p>
            <w:pPr>
              <w:pStyle w:val="Compact"/>
              <w:jc w:val="left"/>
            </w:pPr>
            <w:r>
              <w:t xml:space="preserve">Root CA key custody</w:t>
            </w:r>
          </w:p>
        </w:tc>
        <w:tc>
          <w:tcPr/>
          <w:p>
            <w:pPr>
              <w:pStyle w:val="Compact"/>
              <w:jc w:val="left"/>
            </w:pPr>
            <w:r>
              <w:t xml:space="preserve">Microsoft-managed (cloud HSM)</w:t>
            </w:r>
          </w:p>
        </w:tc>
        <w:tc>
          <w:tcPr/>
          <w:p>
            <w:pPr>
              <w:pStyle w:val="Compact"/>
              <w:jc w:val="left"/>
            </w:pPr>
            <w:r>
              <w:t xml:space="preserve">Organization-managed (on-prem HSM or software)</w:t>
            </w:r>
          </w:p>
        </w:tc>
      </w:tr>
      <w:tr>
        <w:tc>
          <w:tcPr/>
          <w:p>
            <w:pPr>
              <w:pStyle w:val="Compact"/>
              <w:jc w:val="left"/>
            </w:pPr>
            <w:r>
              <w:t xml:space="preserve">Operational complexity</w:t>
            </w:r>
          </w:p>
        </w:tc>
        <w:tc>
          <w:tcPr/>
          <w:p>
            <w:pPr>
              <w:pStyle w:val="Compact"/>
              <w:jc w:val="left"/>
            </w:pPr>
            <w:r>
              <w:t xml:space="preserve">Lower — no on-prem components</w:t>
            </w:r>
          </w:p>
        </w:tc>
        <w:tc>
          <w:tcPr/>
          <w:p>
            <w:pPr>
              <w:pStyle w:val="Compact"/>
              <w:jc w:val="left"/>
            </w:pPr>
            <w:r>
              <w:t xml:space="preserve">Moderate — must maintain offline Root CA for renewal/CRL</w:t>
            </w:r>
          </w:p>
        </w:tc>
      </w:tr>
      <w:tr>
        <w:tc>
          <w:tcPr/>
          <w:p>
            <w:pPr>
              <w:pStyle w:val="Compact"/>
              <w:jc w:val="left"/>
            </w:pPr>
            <w:r>
              <w:t xml:space="preserve">Migration timeline</w:t>
            </w:r>
          </w:p>
        </w:tc>
        <w:tc>
          <w:tcPr/>
          <w:p>
            <w:pPr>
              <w:pStyle w:val="Compact"/>
              <w:jc w:val="left"/>
            </w:pPr>
            <w:r>
              <w:t xml:space="preserve">Faster — no dependency on on-prem CA availability</w:t>
            </w:r>
          </w:p>
        </w:tc>
        <w:tc>
          <w:tcPr/>
          <w:p>
            <w:pPr>
              <w:pStyle w:val="Compact"/>
              <w:jc w:val="left"/>
            </w:pPr>
            <w:r>
              <w:t xml:space="preserve">Requires Root CA online for initial CSR signing</w:t>
            </w:r>
          </w:p>
        </w:tc>
      </w:tr>
      <w:tr>
        <w:tc>
          <w:tcPr/>
          <w:p>
            <w:pPr>
              <w:pStyle w:val="Compact"/>
              <w:jc w:val="left"/>
            </w:pPr>
            <w:r>
              <w:t xml:space="preserve">Cost</w:t>
            </w:r>
          </w:p>
        </w:tc>
        <w:tc>
          <w:tcPr/>
          <w:p>
            <w:pPr>
              <w:pStyle w:val="Compact"/>
              <w:jc w:val="left"/>
            </w:pPr>
            <w:r>
              <w:t xml:space="preserve">Intune Suite license only</w:t>
            </w:r>
          </w:p>
        </w:tc>
        <w:tc>
          <w:tcPr/>
          <w:p>
            <w:pPr>
              <w:pStyle w:val="Compact"/>
              <w:jc w:val="left"/>
            </w:pPr>
            <w:r>
              <w:t xml:space="preserve">Intune Suite license + on-prem Root CA maintenance</w:t>
            </w:r>
          </w:p>
        </w:tc>
      </w:tr>
      <w:tr>
        <w:tc>
          <w:tcPr/>
          <w:p>
            <w:pPr>
              <w:pStyle w:val="Compact"/>
              <w:jc w:val="left"/>
            </w:pPr>
            <w:r>
              <w:t xml:space="preserve">Cross-forest trust</w:t>
            </w:r>
          </w:p>
        </w:tc>
        <w:tc>
          <w:tcPr/>
          <w:p>
            <w:pPr>
              <w:pStyle w:val="Compact"/>
              <w:jc w:val="left"/>
            </w:pPr>
            <w:r>
              <w:t xml:space="preserve">Requires root deployment to all forests</w:t>
            </w:r>
          </w:p>
        </w:tc>
        <w:tc>
          <w:tcPr/>
          <w:p>
            <w:pPr>
              <w:pStyle w:val="Compact"/>
              <w:jc w:val="left"/>
            </w:pPr>
            <w:r>
              <w:t xml:space="preserve">Leverages existing cross-forest root trust</w:t>
            </w:r>
          </w:p>
        </w:tc>
      </w:tr>
      <w:tr>
        <w:tc>
          <w:tcPr/>
          <w:p>
            <w:pPr>
              <w:pStyle w:val="Compact"/>
              <w:jc w:val="left"/>
            </w:pPr>
            <w:r>
              <w:t xml:space="preserve">DC / LDAPS certificates</w:t>
            </w:r>
          </w:p>
        </w:tc>
        <w:tc>
          <w:tcPr/>
          <w:p>
            <w:pPr>
              <w:pStyle w:val="Compact"/>
              <w:jc w:val="left"/>
            </w:pPr>
            <w:r>
              <w:t xml:space="preserve">Cannot serve (must use separate ADCS)</w:t>
            </w:r>
          </w:p>
        </w:tc>
        <w:tc>
          <w:tcPr/>
          <w:p>
            <w:pPr>
              <w:pStyle w:val="Compact"/>
              <w:jc w:val="left"/>
            </w:pPr>
            <w:r>
              <w:t xml:space="preserve">Cannot serve (must use separate ADCS)</w:t>
            </w:r>
          </w:p>
        </w:tc>
      </w:tr>
      <w:tr>
        <w:tc>
          <w:tcPr/>
          <w:p>
            <w:pPr>
              <w:pStyle w:val="Compact"/>
              <w:jc w:val="left"/>
            </w:pPr>
            <w:r>
              <w:t xml:space="preserve">Rollback capability</w:t>
            </w:r>
          </w:p>
        </w:tc>
        <w:tc>
          <w:tcPr/>
          <w:p>
            <w:pPr>
              <w:pStyle w:val="Compact"/>
              <w:jc w:val="left"/>
            </w:pPr>
            <w:r>
              <w:t xml:space="preserve">Moderate — revert to ADCS auto-enrollment</w:t>
            </w:r>
          </w:p>
        </w:tc>
        <w:tc>
          <w:tcPr/>
          <w:p>
            <w:pPr>
              <w:pStyle w:val="Compact"/>
              <w:jc w:val="left"/>
            </w:pPr>
            <w:r>
              <w:t xml:space="preserve">Easier — original Root CA still operational</w:t>
            </w:r>
          </w:p>
        </w:tc>
      </w:tr>
    </w:tbl>
    <w:p/>
    <w:tbl>
      <w:tblPr>
        <w:tblStyle w:val="Table"/>
        <w:tblW w:type="pct" w:w="4958"/>
        <w:tblLayout w:type="fixed"/>
        <w:tblLook w:firstRow="0" w:lastRow="0" w:firstColumn="0" w:lastColumn="0" w:noHBand="0" w:noVBand="0" w:val="0000"/>
      </w:tblPr>
      <w:tblGrid>
        <w:gridCol w:w="7852"/>
      </w:tblGrid>
      <w:tr>
        <w:tc>
          <w:tcPr/>
          <w:p>
            <w:pPr>
              <w:pStyle w:val="Compact"/>
              <w:jc w:val="left"/>
            </w:pPr>
            <w:r>
              <w:rPr>
                <w:i/>
                <w:iCs/>
              </w:rPr>
              <w:t xml:space="preserve">[Placeholder — Diagram PKI-002: Cloud PKI Architecture — 850×500px — Shows both deployment models side-by-side with Intune tenant, Cloud PKI service, Root CA options, Issuing CAs, SCEP profiles, and certificate consumers]</w:t>
            </w:r>
          </w:p>
        </w:tc>
      </w:tr>
    </w:tbl>
    <w:p/>
    <w:tbl>
      <w:tblPr>
        <w:tblStyle w:val="Table"/>
        <w:tblW w:type="pct" w:w="5012"/>
        <w:tblLayout w:type="fixed"/>
        <w:tblLook w:firstRow="0" w:lastRow="0" w:firstColumn="0" w:lastColumn="0" w:noHBand="0" w:noVBand="0" w:val="0000"/>
      </w:tblPr>
      <w:tblGrid>
        <w:gridCol w:w="7938"/>
      </w:tblGrid>
      <w:tr>
        <w:tc>
          <w:tcPr/>
          <w:p>
            <w:pPr>
              <w:pStyle w:val="Compact"/>
            </w:pPr>
            <w:r>
              <w:rPr>
                <w:b/>
                <w:bCs/>
              </w:rPr>
              <w:t xml:space="preserve">The Federal Modernization Program Recommendation</w:t>
            </w:r>
            <w:r>
              <w:t xml:space="preserve"> </w:t>
            </w:r>
            <w:r>
              <w:t xml:space="preserve">|</w:t>
            </w:r>
            <w:r>
              <w:t xml:space="preserve"> </w:t>
            </w:r>
            <w:r>
              <w:t xml:space="preserve">For organizations with an established ADCS two-tier hierarchy and cross-forest trusts, BYOCA is the recommended model. It preserves the existing trust chain, simplifies relying party configuration, and provides a natural rollback path. For organizations building net-new PKI infrastructure alongside cloud-first identity, the Cloud PKI Root CA model eliminates all on-premises dependencies. |</w:t>
            </w:r>
          </w:p>
        </w:tc>
      </w:tr>
    </w:tbl>
    <w:p>
      <w:pPr>
        <w:pStyle w:val="BodyText"/>
      </w:pPr>
      <w:r>
        <w:t xml:space="preserve">6. Intune Certificate Deployment</w:t>
      </w:r>
    </w:p>
    <w:p>
      <w:pPr>
        <w:pStyle w:val="BodyText"/>
      </w:pPr>
      <w:r>
        <w:t xml:space="preserve">Microsoft Intune supports three certificate profile types for deploying certificates to managed devices. Each profile type serves a distinct purpose in the certificate lifecycle.</w:t>
      </w:r>
    </w:p>
    <w:p>
      <w:pPr>
        <w:pStyle w:val="BodyText"/>
      </w:pPr>
      <w:r>
        <w:t xml:space="preserve">6.1 Trusted Root Certificate Profile</w:t>
      </w:r>
    </w:p>
    <w:p>
      <w:pPr>
        <w:pStyle w:val="BodyText"/>
      </w:pPr>
      <w:r>
        <w:t xml:space="preserve">Deploys the public key of the Root CA (and optionally intermediate/issuing CAs) to managed devices. This establishes the trust chain so that certificates issued by Cloud PKI or ADCS are trusted by the device.</w:t>
      </w:r>
    </w:p>
    <w:p>
      <w:pPr>
        <w:numPr>
          <w:ilvl w:val="0"/>
          <w:numId w:val="1057"/>
        </w:numPr>
      </w:pPr>
      <w:r>
        <w:rPr>
          <w:b/>
          <w:bCs/>
        </w:rPr>
        <w:t xml:space="preserve">Purpose:</w:t>
      </w:r>
      <w:r>
        <w:t xml:space="preserve"> </w:t>
      </w:r>
      <w:r>
        <w:t xml:space="preserve">Certificate chain trust establishment.</w:t>
      </w:r>
    </w:p>
    <w:p>
      <w:pPr>
        <w:numPr>
          <w:ilvl w:val="0"/>
          <w:numId w:val="1057"/>
        </w:numPr>
      </w:pPr>
      <w:r>
        <w:rPr>
          <w:b/>
          <w:bCs/>
        </w:rPr>
        <w:t xml:space="preserve">Content:</w:t>
      </w:r>
      <w:r>
        <w:t xml:space="preserve"> </w:t>
      </w:r>
      <w:r>
        <w:t xml:space="preserve">Base-64 encoded .cer file containing the Root CA public key.</w:t>
      </w:r>
    </w:p>
    <w:p>
      <w:pPr>
        <w:numPr>
          <w:ilvl w:val="0"/>
          <w:numId w:val="1057"/>
        </w:numPr>
      </w:pPr>
      <w:r>
        <w:rPr>
          <w:b/>
          <w:bCs/>
        </w:rPr>
        <w:t xml:space="preserve">Platforms:</w:t>
      </w:r>
      <w:r>
        <w:t xml:space="preserve"> </w:t>
      </w:r>
      <w:r>
        <w:t xml:space="preserve">Windows, iOS/iPadOS, Android, macOS, Linux.</w:t>
      </w:r>
    </w:p>
    <w:p>
      <w:pPr>
        <w:numPr>
          <w:ilvl w:val="0"/>
          <w:numId w:val="1057"/>
        </w:numPr>
      </w:pPr>
      <w:r>
        <w:rPr>
          <w:b/>
          <w:bCs/>
        </w:rPr>
        <w:t xml:space="preserve">Deployment:</w:t>
      </w:r>
      <w:r>
        <w:t xml:space="preserve"> </w:t>
      </w:r>
      <w:r>
        <w:t xml:space="preserve">Assign to All Devices or targeted device groups. Must be deployed before SCEP/PKCS profiles.</w:t>
      </w:r>
    </w:p>
    <w:p>
      <w:pPr>
        <w:numPr>
          <w:ilvl w:val="0"/>
          <w:numId w:val="1057"/>
        </w:numPr>
      </w:pPr>
      <w:r>
        <w:rPr>
          <w:b/>
          <w:bCs/>
        </w:rPr>
        <w:t xml:space="preserve">Destination Store:</w:t>
      </w:r>
      <w:r>
        <w:t xml:space="preserve"> </w:t>
      </w:r>
      <w:r>
        <w:t xml:space="preserve">Computer certificate store → Trusted Root Certification Authorities (Windows); System Keychain (macOS); Trusted credentials (Android).</w:t>
      </w:r>
    </w:p>
    <w:p>
      <w:pPr>
        <w:pStyle w:val="FirstParagraph"/>
      </w:pPr>
      <w:r>
        <w:t xml:space="preserve">6.2 SCEP Certificate Profile</w:t>
      </w:r>
    </w:p>
    <w:p>
      <w:pPr>
        <w:pStyle w:val="BodyText"/>
      </w:pPr>
      <w:r>
        <w:t xml:space="preserve">Issues unique certificates per device or per user using the Simple Certificate Enrollment Protocol. This is the primary certificate deployment method for Cloud PKI.</w:t>
      </w:r>
    </w:p>
    <w:p>
      <w:pPr>
        <w:pStyle w:val="BodyText"/>
      </w:pPr>
      <w:r>
        <w:t xml:space="preserve">6.2.1 SCEP with Cloud PKI (Cloud-Native)</w:t>
      </w:r>
    </w:p>
    <w:p>
      <w:pPr>
        <w:numPr>
          <w:ilvl w:val="0"/>
          <w:numId w:val="1058"/>
        </w:numPr>
      </w:pPr>
      <w:r>
        <w:t xml:space="preserve">No on-premises infrastructure required.</w:t>
      </w:r>
    </w:p>
    <w:p>
      <w:pPr>
        <w:numPr>
          <w:ilvl w:val="0"/>
          <w:numId w:val="1058"/>
        </w:numPr>
      </w:pPr>
      <w:r>
        <w:t xml:space="preserve">Cloud PKI acts as the SCEP endpoint.</w:t>
      </w:r>
    </w:p>
    <w:p>
      <w:pPr>
        <w:numPr>
          <w:ilvl w:val="0"/>
          <w:numId w:val="1058"/>
        </w:numPr>
      </w:pPr>
      <w:r>
        <w:t xml:space="preserve">Intune generates and submits the CSR on behalf of the device.</w:t>
      </w:r>
    </w:p>
    <w:p>
      <w:pPr>
        <w:numPr>
          <w:ilvl w:val="0"/>
          <w:numId w:val="1058"/>
        </w:numPr>
      </w:pPr>
      <w:r>
        <w:t xml:space="preserve">Certificate is issued by the Cloud PKI Issuing CA and delivered to the device.</w:t>
      </w:r>
    </w:p>
    <w:p>
      <w:pPr>
        <w:pStyle w:val="FirstParagraph"/>
      </w:pPr>
      <w:r>
        <w:t xml:space="preserve">6.2.2 SCEP with On-Premises ADCS</w:t>
      </w:r>
    </w:p>
    <w:p>
      <w:pPr>
        <w:numPr>
          <w:ilvl w:val="0"/>
          <w:numId w:val="1059"/>
        </w:numPr>
      </w:pPr>
      <w:r>
        <w:t xml:space="preserve">Requires NDES role installed on a Windows Server.</w:t>
      </w:r>
    </w:p>
    <w:p>
      <w:pPr>
        <w:numPr>
          <w:ilvl w:val="0"/>
          <w:numId w:val="1059"/>
        </w:numPr>
      </w:pPr>
      <w:r>
        <w:t xml:space="preserve">Requires</w:t>
      </w:r>
      <w:r>
        <w:t xml:space="preserve"> </w:t>
      </w:r>
      <w:r>
        <w:rPr>
          <w:b/>
          <w:bCs/>
        </w:rPr>
        <w:t xml:space="preserve">Certificate Connector for Microsoft Intune</w:t>
      </w:r>
      <w:r>
        <w:t xml:space="preserve"> </w:t>
      </w:r>
      <w:r>
        <w:t xml:space="preserve">(v6.2406.0.1001 or later for strong mapping support).</w:t>
      </w:r>
    </w:p>
    <w:p>
      <w:pPr>
        <w:numPr>
          <w:ilvl w:val="0"/>
          <w:numId w:val="1059"/>
        </w:numPr>
      </w:pPr>
      <w:r>
        <w:t xml:space="preserve">NDES receives SCEP requests from Intune, validates, and forwards to ADCS for issuance.</w:t>
      </w:r>
    </w:p>
    <w:p>
      <w:pPr>
        <w:numPr>
          <w:ilvl w:val="0"/>
          <w:numId w:val="1059"/>
        </w:numPr>
      </w:pPr>
      <w:r>
        <w:t xml:space="preserve">Suitable for BRIDGE-classified certificate workloads during transition.</w:t>
      </w:r>
    </w:p>
    <w:p>
      <w:pPr>
        <w:pStyle w:val="FirstParagraph"/>
      </w:pPr>
      <w:r>
        <w:t xml:space="preserve">6.3 PKCS Certificate Profile</w:t>
      </w:r>
    </w:p>
    <w:p>
      <w:pPr>
        <w:pStyle w:val="BodyText"/>
      </w:pPr>
      <w:r>
        <w:t xml:space="preserve">Issues certificates via direct PKCS enrollment through the Certificate Connector. Does not require NDES.</w:t>
      </w:r>
    </w:p>
    <w:p>
      <w:pPr>
        <w:numPr>
          <w:ilvl w:val="0"/>
          <w:numId w:val="1060"/>
        </w:numPr>
      </w:pPr>
      <w:r>
        <w:rPr>
          <w:b/>
          <w:bCs/>
        </w:rPr>
        <w:t xml:space="preserve">Architecture:</w:t>
      </w:r>
      <w:r>
        <w:t xml:space="preserve"> </w:t>
      </w:r>
      <w:r>
        <w:t xml:space="preserve">Certificate Connector installed on-premises communicates with ADCS. Intune sends certificate request parameters; Connector requests cert from CA and returns to Intune.</w:t>
      </w:r>
    </w:p>
    <w:p>
      <w:pPr>
        <w:numPr>
          <w:ilvl w:val="0"/>
          <w:numId w:val="1060"/>
        </w:numPr>
      </w:pPr>
      <w:r>
        <w:rPr>
          <w:b/>
          <w:bCs/>
        </w:rPr>
        <w:t xml:space="preserve">Use Cases:</w:t>
      </w:r>
      <w:r>
        <w:t xml:space="preserve"> </w:t>
      </w:r>
      <w:r>
        <w:t xml:space="preserve">User certificates, S/MIME, scenarios requiring specific private key handling.</w:t>
      </w:r>
    </w:p>
    <w:p>
      <w:pPr>
        <w:numPr>
          <w:ilvl w:val="0"/>
          <w:numId w:val="1060"/>
        </w:numPr>
      </w:pPr>
      <w:r>
        <w:rPr>
          <w:b/>
          <w:bCs/>
        </w:rPr>
        <w:t xml:space="preserve">PKCS Imported:</w:t>
      </w:r>
      <w:r>
        <w:t xml:space="preserve"> </w:t>
      </w:r>
      <w:r>
        <w:t xml:space="preserve">A variant where externally-issued certificates (e.g., from a third-party CA for S/MIME) are imported into Intune and distributed to devices.</w:t>
      </w:r>
    </w:p>
    <w:p>
      <w:pPr>
        <w:pStyle w:val="FirstParagraph"/>
      </w:pPr>
      <w:r>
        <w:t xml:space="preserve">6.4 Strong Mapping Enforcement (KB5014754)</w:t>
      </w:r>
    </w:p>
    <w:tbl>
      <w:tblPr>
        <w:tblStyle w:val="Table"/>
        <w:tblW w:type="pct" w:w="5018"/>
        <w:tblLayout w:type="fixed"/>
        <w:tblLook w:firstRow="0" w:lastRow="0" w:firstColumn="0" w:lastColumn="0" w:noHBand="0" w:noVBand="0" w:val="0000"/>
      </w:tblPr>
      <w:tblGrid>
        <w:gridCol w:w="7948"/>
      </w:tblGrid>
      <w:tr>
        <w:tc>
          <w:tcPr/>
          <w:p>
            <w:pPr>
              <w:pStyle w:val="FirstParagraph"/>
            </w:pPr>
            <w:r>
              <w:rPr>
                <w:b/>
                <w:bCs/>
              </w:rPr>
              <w:t xml:space="preserve">Mandatory Enforcement</w:t>
            </w:r>
          </w:p>
          <w:p>
            <w:pPr>
              <w:pStyle w:val="BodyText"/>
            </w:pPr>
            <w:r>
              <w:t xml:space="preserve">As of February 2025, Windows enforces strong certificate-to-account mapping for Kerberos authentication (KB5014754). Certificates that do not include a strong mapping identifier will fail authentication against Active Directory domain controllers running the enforcement update.</w:t>
            </w:r>
          </w:p>
        </w:tc>
      </w:tr>
    </w:tbl>
    <w:p>
      <w:pPr>
        <w:pStyle w:val="BodyText"/>
      </w:pPr>
      <w:r>
        <w:rPr>
          <w:b/>
          <w:bCs/>
        </w:rPr>
        <w:t xml:space="preserve">SAN URI Tag Format:</w:t>
      </w:r>
    </w:p>
    <w:p>
      <w:pPr>
        <w:pStyle w:val="BodyText"/>
      </w:pPr>
      <w:r>
        <w:t xml:space="preserve">URL=tag:microsoft.com,2022-09-14:sid:&lt;SID&gt;</w:t>
      </w:r>
    </w:p>
    <w:p>
      <w:pPr>
        <w:pStyle w:val="BodyText"/>
      </w:pPr>
      <w:r>
        <w:rPr>
          <w:b/>
          <w:bCs/>
        </w:rPr>
        <w:t xml:space="preserve">Impact by profile type:</w:t>
      </w:r>
    </w:p>
    <w:p>
      <w:pPr>
        <w:numPr>
          <w:ilvl w:val="0"/>
          <w:numId w:val="1061"/>
        </w:numPr>
      </w:pPr>
      <w:r>
        <w:rPr>
          <w:b/>
          <w:bCs/>
        </w:rPr>
        <w:t xml:space="preserve">SCEP (Cloud PKI):</w:t>
      </w:r>
      <w:r>
        <w:t xml:space="preserve"> </w:t>
      </w:r>
      <w:r>
        <w:t xml:space="preserve">Intune automatically includes the SID-based URI SAN when targeting user or device objects with a synced SID. No additional configuration required.</w:t>
      </w:r>
    </w:p>
    <w:p>
      <w:pPr>
        <w:numPr>
          <w:ilvl w:val="0"/>
          <w:numId w:val="1061"/>
        </w:numPr>
      </w:pPr>
      <w:r>
        <w:rPr>
          <w:b/>
          <w:bCs/>
        </w:rPr>
        <w:t xml:space="preserve">PKCS:</w:t>
      </w:r>
      <w:r>
        <w:t xml:space="preserve"> </w:t>
      </w:r>
      <w:r>
        <w:t xml:space="preserve">Requires Certificate Connector v6.2406.0.1001 or later. The connector retrieves the user/device SID from Entra ID and includes it in the certificate request.</w:t>
      </w:r>
    </w:p>
    <w:p>
      <w:pPr>
        <w:numPr>
          <w:ilvl w:val="0"/>
          <w:numId w:val="1061"/>
        </w:numPr>
      </w:pPr>
      <w:r>
        <w:rPr>
          <w:b/>
          <w:bCs/>
        </w:rPr>
        <w:t xml:space="preserve">Third-party CAs:</w:t>
      </w:r>
      <w:r>
        <w:t xml:space="preserve"> </w:t>
      </w:r>
      <w:r>
        <w:t xml:space="preserve">Must support SAN URI tag injection. Verify with the CA vendor. If unsupported, Kerberos authentication against on-prem DCs will fail under enforcement mode.</w:t>
      </w:r>
    </w:p>
    <w:p>
      <w:pPr>
        <w:numPr>
          <w:ilvl w:val="0"/>
          <w:numId w:val="1061"/>
        </w:numPr>
      </w:pPr>
      <w:r>
        <w:rPr>
          <w:b/>
          <w:bCs/>
        </w:rPr>
        <w:t xml:space="preserve">Hybrid-joined devices:</w:t>
      </w:r>
      <w:r>
        <w:t xml:space="preserve"> </w:t>
      </w:r>
      <w:r>
        <w:t xml:space="preserve">The SID must be synced from on-premises AD to Entra ID via Entra Connect (formerly Azure AD Connect). Verify onPremisesSecurityIdentifier is populated.</w:t>
      </w:r>
    </w:p>
    <w:p>
      <w:pPr>
        <w:pStyle w:val="FirstParagraph"/>
      </w:pPr>
      <w:r>
        <w:t xml:space="preserve">6.5 Certificate Use Case Mapping</w:t>
      </w:r>
    </w:p>
    <w:tbl>
      <w:tblPr>
        <w:tblStyle w:val="Table"/>
        <w:tblW w:type="pct" w:w="4939"/>
        <w:tblLayout w:type="fixed"/>
        <w:tblLook w:firstRow="1" w:lastRow="0" w:firstColumn="0" w:lastColumn="0" w:noHBand="0" w:noVBand="0" w:val="0020"/>
      </w:tblPr>
      <w:tblGrid>
        <w:gridCol w:w="1593"/>
        <w:gridCol w:w="1062"/>
        <w:gridCol w:w="1352"/>
        <w:gridCol w:w="1497"/>
        <w:gridCol w:w="2318"/>
      </w:tblGrid>
      <w:tr>
        <w:trPr>
          <w:tblHeader w:val="on"/>
        </w:trPr>
        <w:tc>
          <w:tcPr/>
          <w:p>
            <w:pPr>
              <w:pStyle w:val="Compact"/>
              <w:jc w:val="left"/>
            </w:pPr>
            <w:r>
              <w:rPr>
                <w:b/>
                <w:bCs/>
              </w:rPr>
              <w:t xml:space="preserve">Use Case</w:t>
            </w:r>
          </w:p>
        </w:tc>
        <w:tc>
          <w:tcPr/>
          <w:p>
            <w:pPr>
              <w:pStyle w:val="Compact"/>
              <w:jc w:val="left"/>
            </w:pPr>
            <w:r>
              <w:rPr>
                <w:b/>
                <w:bCs/>
              </w:rPr>
              <w:t xml:space="preserve">Profile Type</w:t>
            </w:r>
          </w:p>
        </w:tc>
        <w:tc>
          <w:tcPr/>
          <w:p>
            <w:pPr>
              <w:pStyle w:val="Compact"/>
              <w:jc w:val="left"/>
            </w:pPr>
            <w:r>
              <w:rPr>
                <w:b/>
                <w:bCs/>
              </w:rPr>
              <w:t xml:space="preserve">CA Source</w:t>
            </w:r>
          </w:p>
        </w:tc>
        <w:tc>
          <w:tcPr/>
          <w:p>
            <w:pPr>
              <w:pStyle w:val="Compact"/>
              <w:jc w:val="left"/>
            </w:pPr>
            <w:r>
              <w:rPr>
                <w:b/>
                <w:bCs/>
              </w:rPr>
              <w:t xml:space="preserve">Platform</w:t>
            </w:r>
          </w:p>
        </w:tc>
        <w:tc>
          <w:tcPr/>
          <w:p>
            <w:pPr>
              <w:pStyle w:val="Compact"/>
              <w:jc w:val="left"/>
            </w:pPr>
            <w:r>
              <w:rPr>
                <w:b/>
                <w:bCs/>
              </w:rPr>
              <w:t xml:space="preserve">Dynamic Group Target</w:t>
            </w:r>
          </w:p>
        </w:tc>
      </w:tr>
      <w:tr>
        <w:tc>
          <w:tcPr/>
          <w:p>
            <w:pPr>
              <w:pStyle w:val="Compact"/>
              <w:jc w:val="left"/>
            </w:pPr>
            <w:r>
              <w:t xml:space="preserve">Wi-Fi 802.1X (EAP-TLS)</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 iOS, Android, macOS</w:t>
            </w:r>
          </w:p>
        </w:tc>
        <w:tc>
          <w:tcPr/>
          <w:p>
            <w:pPr>
              <w:pStyle w:val="Compact"/>
              <w:jc w:val="left"/>
            </w:pPr>
            <w:r>
              <w:t xml:space="preserve">extensionAttribute2 (Site-based)</w:t>
            </w:r>
          </w:p>
        </w:tc>
      </w:tr>
      <w:tr>
        <w:tc>
          <w:tcPr/>
          <w:p>
            <w:pPr>
              <w:pStyle w:val="Compact"/>
              <w:jc w:val="left"/>
            </w:pPr>
            <w:r>
              <w:t xml:space="preserve">VPN client authentication</w:t>
            </w:r>
          </w:p>
        </w:tc>
        <w:tc>
          <w:tcPr/>
          <w:p>
            <w:pPr>
              <w:pStyle w:val="Compact"/>
              <w:jc w:val="left"/>
            </w:pPr>
            <w:r>
              <w:t xml:space="preserve">SCEP</w:t>
            </w:r>
          </w:p>
        </w:tc>
        <w:tc>
          <w:tcPr/>
          <w:p>
            <w:pPr>
              <w:pStyle w:val="Compact"/>
              <w:jc w:val="left"/>
            </w:pPr>
            <w:r>
              <w:t xml:space="preserve">Cloud PKI or ADCS</w:t>
            </w:r>
          </w:p>
        </w:tc>
        <w:tc>
          <w:tcPr/>
          <w:p>
            <w:pPr>
              <w:pStyle w:val="Compact"/>
              <w:jc w:val="left"/>
            </w:pPr>
            <w:r>
              <w:t xml:space="preserve">Windows, iOS, Android</w:t>
            </w:r>
          </w:p>
        </w:tc>
        <w:tc>
          <w:tcPr/>
          <w:p>
            <w:pPr>
              <w:pStyle w:val="Compact"/>
              <w:jc w:val="left"/>
            </w:pPr>
            <w:r>
              <w:t xml:space="preserve">Remote workers group</w:t>
            </w:r>
          </w:p>
        </w:tc>
      </w:tr>
      <w:tr>
        <w:tc>
          <w:tcPr/>
          <w:p>
            <w:pPr>
              <w:pStyle w:val="Compact"/>
              <w:jc w:val="left"/>
            </w:pPr>
            <w:r>
              <w:t xml:space="preserve">Email S/MIME signing</w:t>
            </w:r>
          </w:p>
        </w:tc>
        <w:tc>
          <w:tcPr/>
          <w:p>
            <w:pPr>
              <w:pStyle w:val="Compact"/>
              <w:jc w:val="left"/>
            </w:pPr>
            <w:r>
              <w:t xml:space="preserve">PKCS Imported</w:t>
            </w:r>
          </w:p>
        </w:tc>
        <w:tc>
          <w:tcPr/>
          <w:p>
            <w:pPr>
              <w:pStyle w:val="Compact"/>
              <w:jc w:val="left"/>
            </w:pPr>
            <w:r>
              <w:t xml:space="preserve">Existing CA / Third-party</w:t>
            </w:r>
          </w:p>
        </w:tc>
        <w:tc>
          <w:tcPr/>
          <w:p>
            <w:pPr>
              <w:pStyle w:val="Compact"/>
              <w:jc w:val="left"/>
            </w:pPr>
            <w:r>
              <w:t xml:space="preserve">Windows, iOS</w:t>
            </w:r>
          </w:p>
        </w:tc>
        <w:tc>
          <w:tcPr/>
          <w:p>
            <w:pPr>
              <w:pStyle w:val="Compact"/>
              <w:jc w:val="left"/>
            </w:pPr>
            <w:r>
              <w:t xml:space="preserve">extensionAttribute3 (Department)</w:t>
            </w:r>
          </w:p>
        </w:tc>
      </w:tr>
      <w:tr>
        <w:tc>
          <w:tcPr/>
          <w:p>
            <w:pPr>
              <w:pStyle w:val="Compact"/>
              <w:jc w:val="left"/>
            </w:pPr>
            <w:r>
              <w:t xml:space="preserve">Web application mTLS</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extensionAttribute6 (Application tier)</w:t>
            </w:r>
          </w:p>
        </w:tc>
      </w:tr>
      <w:tr>
        <w:tc>
          <w:tcPr/>
          <w:p>
            <w:pPr>
              <w:pStyle w:val="Compact"/>
              <w:jc w:val="left"/>
            </w:pPr>
            <w:r>
              <w:t xml:space="preserve">Conditional Access device cert</w:t>
            </w:r>
          </w:p>
        </w:tc>
        <w:tc>
          <w:tcPr/>
          <w:p>
            <w:pPr>
              <w:pStyle w:val="Compact"/>
              <w:jc w:val="left"/>
            </w:pPr>
            <w:r>
              <w:t xml:space="preserve">Trusted Root + SCEP</w:t>
            </w:r>
          </w:p>
        </w:tc>
        <w:tc>
          <w:tcPr/>
          <w:p>
            <w:pPr>
              <w:pStyle w:val="Compact"/>
              <w:jc w:val="left"/>
            </w:pPr>
            <w:r>
              <w:t xml:space="preserve">Cloud PKI</w:t>
            </w:r>
          </w:p>
        </w:tc>
        <w:tc>
          <w:tcPr/>
          <w:p>
            <w:pPr>
              <w:pStyle w:val="Compact"/>
              <w:jc w:val="left"/>
            </w:pPr>
            <w:r>
              <w:t xml:space="preserve">All platforms</w:t>
            </w:r>
          </w:p>
        </w:tc>
        <w:tc>
          <w:tcPr/>
          <w:p>
            <w:pPr>
              <w:pStyle w:val="Compact"/>
              <w:jc w:val="left"/>
            </w:pPr>
            <w:r>
              <w:t xml:space="preserve">All managed devices</w:t>
            </w:r>
          </w:p>
        </w:tc>
      </w:tr>
      <w:tr>
        <w:tc>
          <w:tcPr/>
          <w:p>
            <w:pPr>
              <w:pStyle w:val="Compact"/>
              <w:jc w:val="left"/>
            </w:pPr>
            <w:r>
              <w:t xml:space="preserve">802.1X wired authentication</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extensionAttribute6 (Server/Workstation role)</w:t>
            </w:r>
          </w:p>
        </w:tc>
      </w:tr>
      <w:tr>
        <w:tc>
          <w:tcPr/>
          <w:p>
            <w:pPr>
              <w:pStyle w:val="Compact"/>
              <w:jc w:val="left"/>
            </w:pPr>
            <w:r>
              <w:t xml:space="preserve">RADIUS NPS server cert</w:t>
            </w:r>
          </w:p>
        </w:tc>
        <w:tc>
          <w:tcPr/>
          <w:p>
            <w:pPr>
              <w:pStyle w:val="Compact"/>
              <w:jc w:val="left"/>
            </w:pPr>
            <w:r>
              <w:t xml:space="preserve">SCEP</w:t>
            </w:r>
          </w:p>
        </w:tc>
        <w:tc>
          <w:tcPr/>
          <w:p>
            <w:pPr>
              <w:pStyle w:val="Compact"/>
              <w:jc w:val="left"/>
            </w:pPr>
            <w:r>
              <w:t xml:space="preserve">ADCS (bridge)</w:t>
            </w:r>
          </w:p>
        </w:tc>
        <w:tc>
          <w:tcPr/>
          <w:p>
            <w:pPr>
              <w:pStyle w:val="Compact"/>
              <w:jc w:val="left"/>
            </w:pPr>
            <w:r>
              <w:t xml:space="preserve">Windows Server</w:t>
            </w:r>
          </w:p>
        </w:tc>
        <w:tc>
          <w:tcPr/>
          <w:p>
            <w:pPr>
              <w:pStyle w:val="Compact"/>
              <w:jc w:val="left"/>
            </w:pPr>
            <w:r>
              <w:t xml:space="preserve">Tier 1 server group</w:t>
            </w:r>
          </w:p>
        </w:tc>
      </w:tr>
      <w:tr>
        <w:tc>
          <w:tcPr/>
          <w:p>
            <w:pPr>
              <w:pStyle w:val="Compact"/>
              <w:jc w:val="left"/>
            </w:pPr>
            <w:r>
              <w:t xml:space="preserve">MDM enrollment bootstrap</w:t>
            </w:r>
          </w:p>
        </w:tc>
        <w:tc>
          <w:tcPr/>
          <w:p>
            <w:pPr>
              <w:pStyle w:val="Compact"/>
              <w:jc w:val="left"/>
            </w:pPr>
            <w:r>
              <w:t xml:space="preserve">SCEP</w:t>
            </w:r>
          </w:p>
        </w:tc>
        <w:tc>
          <w:tcPr/>
          <w:p>
            <w:pPr>
              <w:pStyle w:val="Compact"/>
              <w:jc w:val="left"/>
            </w:pPr>
            <w:r>
              <w:t xml:space="preserve">Cloud PKI</w:t>
            </w:r>
          </w:p>
        </w:tc>
        <w:tc>
          <w:tcPr/>
          <w:p>
            <w:pPr>
              <w:pStyle w:val="Compact"/>
              <w:jc w:val="left"/>
            </w:pPr>
            <w:r>
              <w:t xml:space="preserve">All mobile</w:t>
            </w:r>
          </w:p>
        </w:tc>
        <w:tc>
          <w:tcPr/>
          <w:p>
            <w:pPr>
              <w:pStyle w:val="Compact"/>
              <w:jc w:val="left"/>
            </w:pPr>
            <w:r>
              <w:t xml:space="preserve">All mobile devices</w:t>
            </w:r>
          </w:p>
        </w:tc>
      </w:tr>
      <w:tr>
        <w:tc>
          <w:tcPr/>
          <w:p>
            <w:pPr>
              <w:pStyle w:val="Compact"/>
              <w:jc w:val="left"/>
            </w:pPr>
            <w:r>
              <w:t xml:space="preserve">Remote Desktop Gateway</w:t>
            </w:r>
          </w:p>
        </w:tc>
        <w:tc>
          <w:tcPr/>
          <w:p>
            <w:pPr>
              <w:pStyle w:val="Compact"/>
              <w:jc w:val="left"/>
            </w:pPr>
            <w:r>
              <w:t xml:space="preserve">SCEP</w:t>
            </w:r>
          </w:p>
        </w:tc>
        <w:tc>
          <w:tcPr/>
          <w:p>
            <w:pPr>
              <w:pStyle w:val="Compact"/>
              <w:jc w:val="left"/>
            </w:pPr>
            <w:r>
              <w:t xml:space="preserve">Cloud PKI or ADCS</w:t>
            </w:r>
          </w:p>
        </w:tc>
        <w:tc>
          <w:tcPr/>
          <w:p>
            <w:pPr>
              <w:pStyle w:val="Compact"/>
              <w:jc w:val="left"/>
            </w:pPr>
            <w:r>
              <w:t xml:space="preserve">Windows Server</w:t>
            </w:r>
          </w:p>
        </w:tc>
        <w:tc>
          <w:tcPr/>
          <w:p>
            <w:pPr>
              <w:pStyle w:val="Compact"/>
              <w:jc w:val="left"/>
            </w:pPr>
            <w:r>
              <w:t xml:space="preserve">RD Gateway servers</w:t>
            </w:r>
          </w:p>
        </w:tc>
      </w:tr>
      <w:tr>
        <w:tc>
          <w:tcPr/>
          <w:p>
            <w:pPr>
              <w:pStyle w:val="Compact"/>
              <w:jc w:val="left"/>
            </w:pPr>
            <w:r>
              <w:t xml:space="preserve">Azure Application Proxy</w:t>
            </w:r>
          </w:p>
        </w:tc>
        <w:tc>
          <w:tcPr/>
          <w:p>
            <w:pPr>
              <w:pStyle w:val="Compact"/>
              <w:jc w:val="left"/>
            </w:pPr>
            <w:r>
              <w:t xml:space="preserve">PKCS</w:t>
            </w:r>
          </w:p>
        </w:tc>
        <w:tc>
          <w:tcPr/>
          <w:p>
            <w:pPr>
              <w:pStyle w:val="Compact"/>
              <w:jc w:val="left"/>
            </w:pPr>
            <w:r>
              <w:t xml:space="preserve">Cloud PKI</w:t>
            </w:r>
          </w:p>
        </w:tc>
        <w:tc>
          <w:tcPr/>
          <w:p>
            <w:pPr>
              <w:pStyle w:val="Compact"/>
              <w:jc w:val="left"/>
            </w:pPr>
            <w:r>
              <w:t xml:space="preserve">Windows</w:t>
            </w:r>
          </w:p>
        </w:tc>
        <w:tc>
          <w:tcPr/>
          <w:p>
            <w:pPr>
              <w:pStyle w:val="Compact"/>
              <w:jc w:val="left"/>
            </w:pPr>
            <w:r>
              <w:t xml:space="preserve">App Proxy connector servers</w:t>
            </w:r>
          </w:p>
        </w:tc>
      </w:tr>
    </w:tbl>
    <w:p>
      <w:pPr>
        <w:pStyle w:val="BodyText"/>
      </w:pPr>
      <w:r>
        <w:t xml:space="preserve">7. Entra ID Certificate-Based Authentication (CBA)</w:t>
      </w:r>
    </w:p>
    <w:p>
      <w:pPr>
        <w:pStyle w:val="BodyText"/>
      </w:pPr>
      <w:r>
        <w:t xml:space="preserve">Microsoft Entra ID Certificate-Based Authentication enables users to authenticate directly to Entra ID using X.509 certificates — including smart cards, virtual smart cards, and software certificates — without requiring a federated identity provider such as ADFS.</w:t>
      </w:r>
    </w:p>
    <w:p>
      <w:pPr>
        <w:pStyle w:val="BodyText"/>
      </w:pPr>
      <w:r>
        <w:t xml:space="preserve">7.1 Authentication Flow</w:t>
      </w:r>
    </w:p>
    <w:p>
      <w:pPr>
        <w:numPr>
          <w:ilvl w:val="0"/>
          <w:numId w:val="1062"/>
        </w:numPr>
      </w:pPr>
      <w:r>
        <w:rPr>
          <w:b/>
          <w:bCs/>
        </w:rPr>
        <w:t xml:space="preserve">Certificate Presentation:</w:t>
      </w:r>
      <w:r>
        <w:t xml:space="preserve"> </w:t>
      </w:r>
      <w:r>
        <w:t xml:space="preserve">User selects a certificate from the device's certificate store (or inserts a smart card) at the Entra ID sign-in page.</w:t>
      </w:r>
    </w:p>
    <w:p>
      <w:pPr>
        <w:numPr>
          <w:ilvl w:val="0"/>
          <w:numId w:val="1062"/>
        </w:numPr>
      </w:pPr>
      <w:r>
        <w:rPr>
          <w:b/>
          <w:bCs/>
        </w:rPr>
        <w:t xml:space="preserve">Chain Validation:</w:t>
      </w:r>
      <w:r>
        <w:t xml:space="preserve"> </w:t>
      </w:r>
      <w:r>
        <w:t xml:space="preserve">Entra ID validates the certificate chain against the uploaded trusted CA certificates. It verifies the certificate is not expired and checks revocation status via CRL or OCSP.</w:t>
      </w:r>
    </w:p>
    <w:p>
      <w:pPr>
        <w:numPr>
          <w:ilvl w:val="0"/>
          <w:numId w:val="1062"/>
        </w:numPr>
      </w:pPr>
      <w:r>
        <w:rPr>
          <w:b/>
          <w:bCs/>
        </w:rPr>
        <w:t xml:space="preserve">User Binding:</w:t>
      </w:r>
      <w:r>
        <w:t xml:space="preserve"> </w:t>
      </w:r>
      <w:r>
        <w:t xml:space="preserve">Entra ID maps the certificate to a user account using configured binding rules (certificateUserIds, UPN in SAN, etc.).</w:t>
      </w:r>
    </w:p>
    <w:p>
      <w:pPr>
        <w:numPr>
          <w:ilvl w:val="0"/>
          <w:numId w:val="1062"/>
        </w:numPr>
      </w:pPr>
      <w:r>
        <w:rPr>
          <w:b/>
          <w:bCs/>
        </w:rPr>
        <w:t xml:space="preserve">Authentication Strength Evaluation:</w:t>
      </w:r>
      <w:r>
        <w:t xml:space="preserve"> </w:t>
      </w:r>
      <w:r>
        <w:t xml:space="preserve">Entra determines whether the certificate satisfies single-factor or multi-factor authentication based on the CBA method policy.</w:t>
      </w:r>
    </w:p>
    <w:p>
      <w:pPr>
        <w:numPr>
          <w:ilvl w:val="0"/>
          <w:numId w:val="1062"/>
        </w:numPr>
      </w:pPr>
      <w:r>
        <w:rPr>
          <w:b/>
          <w:bCs/>
        </w:rPr>
        <w:t xml:space="preserve">Token Issuance:</w:t>
      </w:r>
      <w:r>
        <w:t xml:space="preserve"> </w:t>
      </w:r>
      <w:r>
        <w:t xml:space="preserve">Upon successful validation and binding, Entra issues an access token and optional refresh token.</w:t>
      </w:r>
    </w:p>
    <w:p>
      <w:pPr>
        <w:numPr>
          <w:ilvl w:val="0"/>
          <w:numId w:val="1062"/>
        </w:numPr>
      </w:pPr>
      <w:r>
        <w:rPr>
          <w:b/>
          <w:bCs/>
        </w:rPr>
        <w:t xml:space="preserve">Conditional Access Evaluation:</w:t>
      </w:r>
      <w:r>
        <w:t xml:space="preserve"> </w:t>
      </w:r>
      <w:r>
        <w:t xml:space="preserve">Standard Conditional Access policies are evaluated, including device compliance, location, and risk-based controls.</w:t>
      </w:r>
    </w:p>
    <w:tbl>
      <w:tblPr>
        <w:tblStyle w:val="Table"/>
        <w:tblW w:type="pct" w:w="4949"/>
        <w:tblLayout w:type="fixed"/>
        <w:tblLook w:firstRow="0" w:lastRow="0" w:firstColumn="0" w:lastColumn="0" w:noHBand="0" w:noVBand="0" w:val="0000"/>
      </w:tblPr>
      <w:tblGrid>
        <w:gridCol w:w="7838"/>
      </w:tblGrid>
      <w:tr>
        <w:tc>
          <w:tcPr/>
          <w:p>
            <w:pPr>
              <w:pStyle w:val="Compact"/>
              <w:jc w:val="left"/>
            </w:pPr>
            <w:r>
              <w:rPr>
                <w:i/>
                <w:iCs/>
              </w:rPr>
              <w:t xml:space="preserve">[Placeholder — Diagram PKI-003: Entra CBA Authentication Flow — 800×400px — Certificate presentation, chain validation, user binding, token issuance, Conditional Access evaluation]</w:t>
            </w:r>
          </w:p>
        </w:tc>
      </w:tr>
    </w:tbl>
    <w:p>
      <w:pPr>
        <w:pStyle w:val="BodyText"/>
      </w:pPr>
      <w:r>
        <w:t xml:space="preserve">7.2 Certificate-to-User Binding Methods</w:t>
      </w:r>
    </w:p>
    <w:tbl>
      <w:tblPr>
        <w:tblStyle w:val="Table"/>
        <w:tblW w:type="pct" w:w="4944"/>
        <w:tblLayout w:type="fixed"/>
        <w:tblLook w:firstRow="1" w:lastRow="0" w:firstColumn="0" w:lastColumn="0" w:noHBand="0" w:noVBand="0" w:val="0020"/>
      </w:tblPr>
      <w:tblGrid>
        <w:gridCol w:w="1848"/>
        <w:gridCol w:w="1232"/>
        <w:gridCol w:w="1232"/>
        <w:gridCol w:w="660"/>
        <w:gridCol w:w="2860"/>
      </w:tblGrid>
      <w:tr>
        <w:trPr>
          <w:tblHeader w:val="on"/>
        </w:trPr>
        <w:tc>
          <w:tcPr/>
          <w:p>
            <w:pPr>
              <w:pStyle w:val="Compact"/>
              <w:jc w:val="left"/>
            </w:pPr>
            <w:r>
              <w:rPr>
                <w:b/>
                <w:bCs/>
              </w:rPr>
              <w:t xml:space="preserve">Binding Method</w:t>
            </w:r>
          </w:p>
        </w:tc>
        <w:tc>
          <w:tcPr/>
          <w:p>
            <w:pPr>
              <w:pStyle w:val="Compact"/>
              <w:jc w:val="left"/>
            </w:pPr>
            <w:r>
              <w:rPr>
                <w:b/>
                <w:bCs/>
              </w:rPr>
              <w:t xml:space="preserve">Certificate Field</w:t>
            </w:r>
          </w:p>
        </w:tc>
        <w:tc>
          <w:tcPr/>
          <w:p>
            <w:pPr>
              <w:pStyle w:val="Compact"/>
              <w:jc w:val="left"/>
            </w:pPr>
            <w:r>
              <w:rPr>
                <w:b/>
                <w:bCs/>
              </w:rPr>
              <w:t xml:space="preserve">Entra User Attribute</w:t>
            </w:r>
          </w:p>
        </w:tc>
        <w:tc>
          <w:tcPr/>
          <w:p>
            <w:pPr>
              <w:pStyle w:val="Compact"/>
              <w:jc w:val="left"/>
            </w:pPr>
            <w:r>
              <w:rPr>
                <w:b/>
                <w:bCs/>
              </w:rPr>
              <w:t xml:space="preserve">Affinity</w:t>
            </w:r>
          </w:p>
        </w:tc>
        <w:tc>
          <w:tcPr/>
          <w:p>
            <w:pPr>
              <w:pStyle w:val="Compact"/>
              <w:jc w:val="left"/>
            </w:pPr>
            <w:r>
              <w:rPr>
                <w:b/>
                <w:bCs/>
              </w:rPr>
              <w:t xml:space="preserve">Notes</w:t>
            </w:r>
          </w:p>
        </w:tc>
      </w:tr>
      <w:tr>
        <w:tc>
          <w:tcPr/>
          <w:p>
            <w:pPr>
              <w:pStyle w:val="Compact"/>
              <w:jc w:val="left"/>
            </w:pPr>
            <w:r>
              <w:t xml:space="preserve">Principal Name (UPN in SAN)</w:t>
            </w:r>
          </w:p>
        </w:tc>
        <w:tc>
          <w:tcPr/>
          <w:p>
            <w:pPr>
              <w:pStyle w:val="Compact"/>
              <w:jc w:val="left"/>
            </w:pPr>
            <w:r>
              <w:t xml:space="preserve">SAN: PrincipalName</w:t>
            </w:r>
          </w:p>
        </w:tc>
        <w:tc>
          <w:tcPr/>
          <w:p>
            <w:pPr>
              <w:pStyle w:val="Compact"/>
              <w:jc w:val="left"/>
            </w:pPr>
            <w:r>
              <w:t xml:space="preserve">userPrincipalName</w:t>
            </w:r>
          </w:p>
        </w:tc>
        <w:tc>
          <w:tcPr/>
          <w:p>
            <w:pPr>
              <w:pStyle w:val="Compact"/>
              <w:jc w:val="left"/>
            </w:pPr>
            <w:r>
              <w:t xml:space="preserve">Low</w:t>
            </w:r>
          </w:p>
        </w:tc>
        <w:tc>
          <w:tcPr/>
          <w:p>
            <w:pPr>
              <w:pStyle w:val="Compact"/>
              <w:jc w:val="left"/>
            </w:pPr>
            <w:r>
              <w:t xml:space="preserve">Most common; matches UPN in certificate SAN to Entra UPN.</w:t>
            </w:r>
          </w:p>
        </w:tc>
      </w:tr>
      <w:tr>
        <w:tc>
          <w:tcPr/>
          <w:p>
            <w:pPr>
              <w:pStyle w:val="Compact"/>
              <w:jc w:val="left"/>
            </w:pPr>
            <w:r>
              <w:t xml:space="preserve">RFC822Name</w:t>
            </w:r>
          </w:p>
        </w:tc>
        <w:tc>
          <w:tcPr/>
          <w:p>
            <w:pPr>
              <w:pStyle w:val="Compact"/>
              <w:jc w:val="left"/>
            </w:pPr>
            <w:r>
              <w:t xml:space="preserve">SAN: RFC822Name</w:t>
            </w:r>
          </w:p>
        </w:tc>
        <w:tc>
          <w:tcPr/>
          <w:p>
            <w:pPr>
              <w:pStyle w:val="Compact"/>
              <w:jc w:val="left"/>
            </w:pPr>
            <w:r>
              <w:t xml:space="preserve">userPrincipalName or mail</w:t>
            </w:r>
          </w:p>
        </w:tc>
        <w:tc>
          <w:tcPr/>
          <w:p>
            <w:pPr>
              <w:pStyle w:val="Compact"/>
              <w:jc w:val="left"/>
            </w:pPr>
            <w:r>
              <w:t xml:space="preserve">Low</w:t>
            </w:r>
          </w:p>
        </w:tc>
        <w:tc>
          <w:tcPr/>
          <w:p>
            <w:pPr>
              <w:pStyle w:val="Compact"/>
              <w:jc w:val="left"/>
            </w:pPr>
            <w:r>
              <w:t xml:space="preserve">Email-based matching. Common with S/MIME certificates.</w:t>
            </w:r>
          </w:p>
        </w:tc>
      </w:tr>
      <w:tr>
        <w:tc>
          <w:tcPr/>
          <w:p>
            <w:pPr>
              <w:pStyle w:val="Compact"/>
              <w:jc w:val="left"/>
            </w:pPr>
            <w:r>
              <w:t xml:space="preserve">certificateUserIds (SAN: PrincipalName)</w:t>
            </w:r>
          </w:p>
        </w:tc>
        <w:tc>
          <w:tcPr/>
          <w:p>
            <w:pPr>
              <w:pStyle w:val="Compact"/>
              <w:jc w:val="left"/>
            </w:pPr>
            <w:r>
              <w:t xml:space="preserve">SAN: PrincipalName</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Maps to the multi-value attribute; administrator-controlled.</w:t>
            </w:r>
          </w:p>
        </w:tc>
      </w:tr>
      <w:tr>
        <w:tc>
          <w:tcPr/>
          <w:p>
            <w:pPr>
              <w:pStyle w:val="Compact"/>
              <w:jc w:val="left"/>
            </w:pPr>
            <w:r>
              <w:t xml:space="preserve">certificateUserIds (SAN: RFC822Name)</w:t>
            </w:r>
          </w:p>
        </w:tc>
        <w:tc>
          <w:tcPr/>
          <w:p>
            <w:pPr>
              <w:pStyle w:val="Compact"/>
              <w:jc w:val="left"/>
            </w:pPr>
            <w:r>
              <w:t xml:space="preserve">SAN: RFC822Name</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Email mapped to certificateUserIds for explicit binding.</w:t>
            </w:r>
          </w:p>
        </w:tc>
      </w:tr>
      <w:tr>
        <w:tc>
          <w:tcPr/>
          <w:p>
            <w:pPr>
              <w:pStyle w:val="Compact"/>
              <w:jc w:val="left"/>
            </w:pPr>
            <w:r>
              <w:t xml:space="preserve">certificateUserIds (X.509 SKI)</w:t>
            </w:r>
          </w:p>
        </w:tc>
        <w:tc>
          <w:tcPr/>
          <w:p>
            <w:pPr>
              <w:pStyle w:val="Compact"/>
              <w:jc w:val="left"/>
            </w:pPr>
            <w:r>
              <w:t xml:space="preserve">Subject Key Identifier</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Binds via the certificate's SKI hash. Unique per certificate.</w:t>
            </w:r>
          </w:p>
        </w:tc>
      </w:tr>
      <w:tr>
        <w:tc>
          <w:tcPr/>
          <w:p>
            <w:pPr>
              <w:pStyle w:val="Compact"/>
              <w:jc w:val="left"/>
            </w:pPr>
            <w:r>
              <w:t xml:space="preserve">certificateUserIds (SHA1 Public Key)</w:t>
            </w:r>
          </w:p>
        </w:tc>
        <w:tc>
          <w:tcPr/>
          <w:p>
            <w:pPr>
              <w:pStyle w:val="Compact"/>
              <w:jc w:val="left"/>
            </w:pPr>
            <w:r>
              <w:t xml:space="preserve">SHA1 of Public Key</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Hash-based binding. Strongest uniqueness guarantee.</w:t>
            </w:r>
          </w:p>
        </w:tc>
      </w:tr>
      <w:tr>
        <w:tc>
          <w:tcPr/>
          <w:p>
            <w:pPr>
              <w:pStyle w:val="Compact"/>
              <w:jc w:val="left"/>
            </w:pPr>
            <w:r>
              <w:t xml:space="preserve">Issuer + Subject</w:t>
            </w:r>
          </w:p>
        </w:tc>
        <w:tc>
          <w:tcPr/>
          <w:p>
            <w:pPr>
              <w:pStyle w:val="Compact"/>
              <w:jc w:val="left"/>
            </w:pPr>
            <w:r>
              <w:t xml:space="preserve">Issuer DN + Subject DN</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Combines issuer and subject for unique mapping.</w:t>
            </w:r>
          </w:p>
        </w:tc>
      </w:tr>
      <w:tr>
        <w:tc>
          <w:tcPr/>
          <w:p>
            <w:pPr>
              <w:pStyle w:val="Compact"/>
              <w:jc w:val="left"/>
            </w:pPr>
            <w:r>
              <w:t xml:space="preserve">Issuer + Serial Number</w:t>
            </w:r>
          </w:p>
        </w:tc>
        <w:tc>
          <w:tcPr/>
          <w:p>
            <w:pPr>
              <w:pStyle w:val="Compact"/>
              <w:jc w:val="left"/>
            </w:pPr>
            <w:r>
              <w:t xml:space="preserve">Issuer DN + Serial Number</w:t>
            </w:r>
          </w:p>
        </w:tc>
        <w:tc>
          <w:tcPr/>
          <w:p>
            <w:pPr>
              <w:pStyle w:val="Compact"/>
              <w:jc w:val="left"/>
            </w:pPr>
            <w:r>
              <w:t xml:space="preserve">certificateUserIds</w:t>
            </w:r>
          </w:p>
        </w:tc>
        <w:tc>
          <w:tcPr/>
          <w:p>
            <w:pPr>
              <w:pStyle w:val="Compact"/>
              <w:jc w:val="left"/>
            </w:pPr>
            <w:r>
              <w:t xml:space="preserve">High</w:t>
            </w:r>
          </w:p>
        </w:tc>
        <w:tc>
          <w:tcPr/>
          <w:p>
            <w:pPr>
              <w:pStyle w:val="Compact"/>
              <w:jc w:val="left"/>
            </w:pPr>
            <w:r>
              <w:t xml:space="preserve">Most specific — uniquely identifies a single certificate.</w:t>
            </w:r>
          </w:p>
        </w:tc>
      </w:tr>
    </w:tbl>
    <w:p/>
    <w:tbl>
      <w:tblPr>
        <w:tblStyle w:val="Table"/>
        <w:tblW w:type="pct" w:w="5012"/>
        <w:tblLayout w:type="fixed"/>
        <w:tblLook w:firstRow="0" w:lastRow="0" w:firstColumn="0" w:lastColumn="0" w:noHBand="0" w:noVBand="0" w:val="0000"/>
      </w:tblPr>
      <w:tblGrid>
        <w:gridCol w:w="7939"/>
      </w:tblGrid>
      <w:tr>
        <w:tc>
          <w:tcPr/>
          <w:p>
            <w:pPr>
              <w:pStyle w:val="Compact"/>
            </w:pPr>
            <w:r>
              <w:rPr>
                <w:b/>
                <w:bCs/>
              </w:rPr>
              <w:t xml:space="preserve">High-Affinity Binding Recommended</w:t>
            </w:r>
            <w:r>
              <w:t xml:space="preserve"> </w:t>
            </w:r>
            <w:r>
              <w:t xml:space="preserve">|</w:t>
            </w:r>
            <w:r>
              <w:t xml:space="preserve"> </w:t>
            </w:r>
            <w:r>
              <w:t xml:space="preserve">|</w:t>
            </w:r>
            <w:r>
              <w:t xml:space="preserve"> </w:t>
            </w:r>
            <w:r>
              <w:t xml:space="preserve">The Federal Modernization Program recommends high-affinity binding methods (certificateUserIds) for production deployments. Low-affinity methods (UPN/RFC822 direct match) are suitable for pilot and testing but are vulnerable to UPN reuse or email aliasing scenarios. High-affinity binding requires explicit administrator action to associate each certificate with a user, providing stronger security guarantees.</w:t>
            </w:r>
          </w:p>
        </w:tc>
      </w:tr>
    </w:tbl>
    <w:p>
      <w:pPr>
        <w:pStyle w:val="BodyText"/>
      </w:pPr>
      <w:r>
        <w:t xml:space="preserve">7.3 Single-Factor vs. Multi-Factor CBA</w:t>
      </w:r>
    </w:p>
    <w:p>
      <w:pPr>
        <w:pStyle w:val="BodyText"/>
      </w:pPr>
      <w:r>
        <w:t xml:space="preserve">Entra CBA can be configured to satisfy either single-factor or multi-factor authentication:</w:t>
      </w:r>
    </w:p>
    <w:p>
      <w:pPr>
        <w:numPr>
          <w:ilvl w:val="0"/>
          <w:numId w:val="1063"/>
        </w:numPr>
      </w:pPr>
      <w:r>
        <w:rPr>
          <w:b/>
          <w:bCs/>
        </w:rPr>
        <w:t xml:space="preserve">Single-factor CBA:</w:t>
      </w:r>
      <w:r>
        <w:t xml:space="preserve"> </w:t>
      </w:r>
      <w:r>
        <w:t xml:space="preserve">Certificate authenticates the user but does not satisfy MFA requirements. User must complete additional MFA (e.g., Authenticator app, FIDO2 key) if Conditional Access requires MFA.</w:t>
      </w:r>
    </w:p>
    <w:p>
      <w:pPr>
        <w:numPr>
          <w:ilvl w:val="0"/>
          <w:numId w:val="1063"/>
        </w:numPr>
      </w:pPr>
      <w:r>
        <w:rPr>
          <w:b/>
          <w:bCs/>
        </w:rPr>
        <w:t xml:space="preserve">Multi-factor CBA:</w:t>
      </w:r>
      <w:r>
        <w:t xml:space="preserve"> </w:t>
      </w:r>
      <w:r>
        <w:t xml:space="preserve">Certificate satisfies MFA when the authentication method policy is configured to treat CBA as a strong authentication method. This applies when the certificate issuance itself provides two factors (e.g., smart card = something you have + PIN = something you know).</w:t>
      </w:r>
    </w:p>
    <w:p>
      <w:pPr>
        <w:pStyle w:val="FirstParagraph"/>
      </w:pPr>
      <w:r>
        <w:t xml:space="preserve">Configure the authentication strength in Microsoft Entra admin center → Protection → Authentication methods → Certificate-based authentication. Set the protection level per certificate issuer or policy OID.</w:t>
      </w:r>
    </w:p>
    <w:p>
      <w:pPr>
        <w:pStyle w:val="BodyText"/>
      </w:pPr>
      <w:r>
        <w:t xml:space="preserve">7.4 Staged Rollout Methodology</w:t>
      </w:r>
    </w:p>
    <w:p>
      <w:pPr>
        <w:pStyle w:val="BodyText"/>
      </w:pPr>
      <w:r>
        <w:t xml:space="preserve">Staged rollout enables testing Entra CBA with a subset of users while the domain remains federated. This avoids a "big bang" cutover and provides a rollback path.</w:t>
      </w:r>
    </w:p>
    <w:p>
      <w:pPr>
        <w:numPr>
          <w:ilvl w:val="0"/>
          <w:numId w:val="1064"/>
        </w:numPr>
      </w:pPr>
      <w:r>
        <w:rPr>
          <w:b/>
          <w:bCs/>
        </w:rPr>
        <w:t xml:space="preserve">Enable CBA Authentication Method:</w:t>
      </w:r>
      <w:r>
        <w:t xml:space="preserve"> </w:t>
      </w:r>
      <w:r>
        <w:t xml:space="preserve">Navigate to Microsoft Entra admin center → Protection → Authentication methods → Policies. Enable "Certificate-based authentication." Target to a pilot group (not All Users).</w:t>
      </w:r>
    </w:p>
    <w:p>
      <w:pPr>
        <w:numPr>
          <w:ilvl w:val="0"/>
          <w:numId w:val="1064"/>
        </w:numPr>
      </w:pPr>
      <w:r>
        <w:rPr>
          <w:b/>
          <w:bCs/>
        </w:rPr>
        <w:t xml:space="preserve">Upload CA Certificates:</w:t>
      </w:r>
      <w:r>
        <w:t xml:space="preserve"> </w:t>
      </w:r>
      <w:r>
        <w:t xml:space="preserve">Navigate to Security → Certificate authorities. Upload the Root CA and all intermediate/issuing CA certificates (.cer, base-64). Set CRL distribution point URL for each CA.</w:t>
      </w:r>
    </w:p>
    <w:p>
      <w:pPr>
        <w:numPr>
          <w:ilvl w:val="0"/>
          <w:numId w:val="1064"/>
        </w:numPr>
      </w:pPr>
      <w:r>
        <w:rPr>
          <w:b/>
          <w:bCs/>
        </w:rPr>
        <w:t xml:space="preserve">Configure Binding Rules:</w:t>
      </w:r>
      <w:r>
        <w:t xml:space="preserve"> </w:t>
      </w:r>
      <w:r>
        <w:t xml:space="preserve">Define username binding rules in the CBA method configuration. Start with UPN-based binding for compatibility; add high-affinity bindings (certificateUserIds) for production.</w:t>
      </w:r>
    </w:p>
    <w:p>
      <w:pPr>
        <w:numPr>
          <w:ilvl w:val="0"/>
          <w:numId w:val="1064"/>
        </w:numPr>
      </w:pPr>
      <w:r>
        <w:rPr>
          <w:b/>
          <w:bCs/>
        </w:rPr>
        <w:t xml:space="preserve">Create Pilot Security Groups:</w:t>
      </w:r>
      <w:r>
        <w:t xml:space="preserve"> </w:t>
      </w:r>
      <w:r>
        <w:t xml:space="preserve">Create dedicated security groups in Entra ID for CBA pilot users. Start with 10–20 users representing different certificate types and platforms.</w:t>
      </w:r>
    </w:p>
    <w:p>
      <w:pPr>
        <w:numPr>
          <w:ilvl w:val="0"/>
          <w:numId w:val="1064"/>
        </w:numPr>
      </w:pPr>
      <w:r>
        <w:rPr>
          <w:b/>
          <w:bCs/>
        </w:rPr>
        <w:t xml:space="preserve">Enable Staged Rollout:</w:t>
      </w:r>
      <w:r>
        <w:t xml:space="preserve"> </w:t>
      </w:r>
      <w:r>
        <w:t xml:space="preserve">Navigate to Microsoft Entra Connect → Staged rollout of cloud authentication. Enable "Certificate-based authentication." Add the pilot security groups. Ensure Password Hash Sync (PHS) is enabled as a fallback.</w:t>
      </w:r>
    </w:p>
    <w:p>
      <w:pPr>
        <w:numPr>
          <w:ilvl w:val="0"/>
          <w:numId w:val="1064"/>
        </w:numPr>
      </w:pPr>
      <w:r>
        <w:rPr>
          <w:b/>
          <w:bCs/>
        </w:rPr>
        <w:t xml:space="preserve">Test Authentication:</w:t>
      </w:r>
      <w:r>
        <w:t xml:space="preserve"> </w:t>
      </w:r>
      <w:r>
        <w:t xml:space="preserve">Pilot users authenticate with certificates at login.microsoftonline.com. They are no longer redirected to ADFS. Verify token claims, MFA satisfaction, and Conditional Access evaluation.</w:t>
      </w:r>
    </w:p>
    <w:p>
      <w:pPr>
        <w:numPr>
          <w:ilvl w:val="0"/>
          <w:numId w:val="1064"/>
        </w:numPr>
      </w:pPr>
      <w:r>
        <w:rPr>
          <w:b/>
          <w:bCs/>
        </w:rPr>
        <w:t xml:space="preserve">Expand Pilot:</w:t>
      </w:r>
      <w:r>
        <w:t xml:space="preserve"> </w:t>
      </w:r>
      <w:r>
        <w:t xml:space="preserve">Incrementally add users to the staged rollout groups. Monitor sign-in logs for failures. Target 200+ users across multiple sites and certificate types before full cutover.</w:t>
      </w:r>
    </w:p>
    <w:p>
      <w:pPr>
        <w:numPr>
          <w:ilvl w:val="0"/>
          <w:numId w:val="1064"/>
        </w:numPr>
      </w:pPr>
      <w:r>
        <w:rPr>
          <w:b/>
          <w:bCs/>
        </w:rPr>
        <w:t xml:space="preserve">Convert Federated Domain to Managed:</w:t>
      </w:r>
      <w:r>
        <w:t xml:space="preserve"> </w:t>
      </w:r>
      <w:r>
        <w:t xml:space="preserve">Once confidence is established, convert the domain from federated to managed using Update-MgDomain or the Entra admin center. All users in the domain now authenticate against Entra ID.</w:t>
      </w:r>
    </w:p>
    <w:p>
      <w:pPr>
        <w:numPr>
          <w:ilvl w:val="0"/>
          <w:numId w:val="1064"/>
        </w:numPr>
      </w:pPr>
      <w:r>
        <w:rPr>
          <w:b/>
          <w:bCs/>
        </w:rPr>
        <w:t xml:space="preserve">Monitor and Optimize:</w:t>
      </w:r>
      <w:r>
        <w:t xml:space="preserve"> </w:t>
      </w:r>
      <w:r>
        <w:t xml:space="preserve">Monitor Entra sign-in logs filtered by authentication method = "X.509 Certificate." Track CBA success rate, binding failures, and CRL/OCSP check latency. Remove staged rollout groups (no longer needed after domain conversion).</w:t>
      </w:r>
    </w:p>
    <w:p>
      <w:pPr>
        <w:pStyle w:val="FirstParagraph"/>
      </w:pPr>
      <w:r>
        <w:t xml:space="preserve">7.5 Migration from ADFS CBA</w:t>
      </w:r>
    </w:p>
    <w:p>
      <w:pPr>
        <w:pStyle w:val="BodyText"/>
      </w:pPr>
      <w:r>
        <w:t xml:space="preserve">For organizations currently performing certificate-based authentication via ADFS:</w:t>
      </w:r>
    </w:p>
    <w:p>
      <w:pPr>
        <w:numPr>
          <w:ilvl w:val="0"/>
          <w:numId w:val="1065"/>
        </w:numPr>
      </w:pPr>
      <w:r>
        <w:rPr>
          <w:b/>
          <w:bCs/>
        </w:rPr>
        <w:t xml:space="preserve">Coexistence Period:</w:t>
      </w:r>
      <w:r>
        <w:t xml:space="preserve"> </w:t>
      </w:r>
      <w:r>
        <w:t xml:space="preserve">During staged rollout, ADFS continues to handle CBA for non-pilot users. Pilot users are redirected to Entra ID instead of ADFS.</w:t>
      </w:r>
    </w:p>
    <w:p>
      <w:pPr>
        <w:numPr>
          <w:ilvl w:val="0"/>
          <w:numId w:val="1065"/>
        </w:numPr>
      </w:pPr>
      <w:r>
        <w:rPr>
          <w:b/>
          <w:bCs/>
        </w:rPr>
        <w:t xml:space="preserve">Certificate Trust Store:</w:t>
      </w:r>
      <w:r>
        <w:t xml:space="preserve"> </w:t>
      </w:r>
      <w:r>
        <w:t xml:space="preserve">All CA certificates currently trusted by ADFS must be uploaded to the Entra certificate authorities store. Verify chain completeness.</w:t>
      </w:r>
    </w:p>
    <w:p>
      <w:pPr>
        <w:numPr>
          <w:ilvl w:val="0"/>
          <w:numId w:val="1065"/>
        </w:numPr>
      </w:pPr>
      <w:r>
        <w:rPr>
          <w:b/>
          <w:bCs/>
        </w:rPr>
        <w:t xml:space="preserve">Binding Parity:</w:t>
      </w:r>
      <w:r>
        <w:t xml:space="preserve"> </w:t>
      </w:r>
      <w:r>
        <w:t xml:space="preserve">Map ADFS certificate mapping rules (UPN, email, subject) to equivalent Entra CBA binding rules. Test edge cases: certificates with multiple SANs, certificates from multiple CAs.</w:t>
      </w:r>
    </w:p>
    <w:p>
      <w:pPr>
        <w:numPr>
          <w:ilvl w:val="0"/>
          <w:numId w:val="1065"/>
        </w:numPr>
      </w:pPr>
      <w:r>
        <w:rPr>
          <w:b/>
          <w:bCs/>
        </w:rPr>
        <w:t xml:space="preserve">Domain Conversion:</w:t>
      </w:r>
      <w:r>
        <w:t xml:space="preserve"> </w:t>
      </w:r>
      <w:r>
        <w:t xml:space="preserve">When all users are validated on Entra CBA, convert the domain from federated to managed. This is a one-way operation for each domain (rollback requires re-federating).</w:t>
      </w:r>
    </w:p>
    <w:p>
      <w:pPr>
        <w:numPr>
          <w:ilvl w:val="0"/>
          <w:numId w:val="1065"/>
        </w:numPr>
      </w:pPr>
      <w:r>
        <w:rPr>
          <w:b/>
          <w:bCs/>
        </w:rPr>
        <w:t xml:space="preserve">Rollback Plan:</w:t>
      </w:r>
      <w:r>
        <w:t xml:space="preserve"> </w:t>
      </w:r>
      <w:r>
        <w:t xml:space="preserve">Before domain conversion, document the ADFS federation configuration (Get-MgDomainFederationConfiguration). Maintain ADFS operational for 30 days post-conversion as a rollback target. Re-federation requires New-MgDomainFederationConfiguration.</w:t>
      </w:r>
    </w:p>
    <w:p>
      <w:pPr>
        <w:pStyle w:val="FirstParagraph"/>
      </w:pPr>
      <w:r>
        <w:t xml:space="preserve">8. Hybrid Coexistence Architecture</w:t>
      </w:r>
    </w:p>
    <w:p>
      <w:pPr>
        <w:pStyle w:val="BodyText"/>
      </w:pPr>
      <w:r>
        <w:t xml:space="preserve">During the migration period, ADCS and Cloud PKI will operate in parallel. This section defines the coexistence rules, trust distribution, and transition timeline for each certificate category.</w:t>
      </w:r>
    </w:p>
    <w:p>
      <w:pPr>
        <w:pStyle w:val="BodyText"/>
      </w:pPr>
      <w:r>
        <w:t xml:space="preserve">8.1 Domain Controller Certificates</w:t>
      </w:r>
    </w:p>
    <w:p>
      <w:pPr>
        <w:pStyle w:val="BodyText"/>
      </w:pPr>
      <w:r>
        <w:t xml:space="preserve">Domain Controller certificates (Kerberos Authentication, Domain Controller Authentication)</w:t>
      </w:r>
      <w:r>
        <w:t xml:space="preserve"> </w:t>
      </w:r>
      <w:r>
        <w:rPr>
          <w:b/>
          <w:bCs/>
        </w:rPr>
        <w:t xml:space="preserve">must remain on on-premises ADCS</w:t>
      </w:r>
      <w:r>
        <w:t xml:space="preserve"> </w:t>
      </w:r>
      <w:r>
        <w:t xml:space="preserve">until Active Directory is fully decommissioned. Cloud PKI cannot issue certificates with the KDC Authentication EKU, and DC certificates must be enrolled by domain-joined servers that participate in AD auto-enrollment.</w:t>
      </w:r>
    </w:p>
    <w:p>
      <w:pPr>
        <w:numPr>
          <w:ilvl w:val="0"/>
          <w:numId w:val="1066"/>
        </w:numPr>
      </w:pPr>
      <w:r>
        <w:t xml:space="preserve">Continue ADCS auto-enrollment for DC templates.</w:t>
      </w:r>
    </w:p>
    <w:p>
      <w:pPr>
        <w:numPr>
          <w:ilvl w:val="0"/>
          <w:numId w:val="1066"/>
        </w:numPr>
      </w:pPr>
      <w:r>
        <w:t xml:space="preserve">Ensure DC certificate templates are classified as BRIDGE.</w:t>
      </w:r>
    </w:p>
    <w:p>
      <w:pPr>
        <w:numPr>
          <w:ilvl w:val="0"/>
          <w:numId w:val="1066"/>
        </w:numPr>
      </w:pPr>
      <w:r>
        <w:t xml:space="preserve">DC certificates are not affected by Intune enrollment — they are not managed by Intune.</w:t>
      </w:r>
    </w:p>
    <w:p>
      <w:pPr>
        <w:pStyle w:val="FirstParagraph"/>
      </w:pPr>
      <w:r>
        <w:t xml:space="preserve">8.2 LDAPS Certificates</w:t>
      </w:r>
    </w:p>
    <w:p>
      <w:pPr>
        <w:pStyle w:val="BodyText"/>
      </w:pPr>
      <w:r>
        <w:t xml:space="preserve">LDAPS server certificates can transition to Cloud PKI for endpoints consumed by cloud services (e.g., Entra Connect secure LDAP connector). However, LDAPS certificates on domain controllers themselves must still be issued by ADCS to maintain AD trust chain integrity.</w:t>
      </w:r>
    </w:p>
    <w:p>
      <w:pPr>
        <w:pStyle w:val="BodyText"/>
      </w:pPr>
      <w:r>
        <w:t xml:space="preserve">8.3 Cross-Trust Scenarios</w:t>
      </w:r>
    </w:p>
    <w:p>
      <w:pPr>
        <w:pStyle w:val="BodyText"/>
      </w:pPr>
      <w:r>
        <w:t xml:space="preserve">When Cloud PKI and ADCS coexist, trust must be bidirectional:</w:t>
      </w:r>
    </w:p>
    <w:p>
      <w:pPr>
        <w:numPr>
          <w:ilvl w:val="0"/>
          <w:numId w:val="1067"/>
        </w:numPr>
      </w:pPr>
      <w:r>
        <w:rPr>
          <w:b/>
          <w:bCs/>
        </w:rPr>
        <w:t xml:space="preserve">Cloud PKI root → On-premises devices:</w:t>
      </w:r>
      <w:r>
        <w:t xml:space="preserve"> </w:t>
      </w:r>
      <w:r>
        <w:t xml:space="preserve">Deploy the Cloud PKI Root CA certificate to on-premises devices via Group Policy (Computer Configuration → Windows Settings → Security Settings → Public Key Policies → Trusted Root Certification Authorities). This enables on-prem servers to trust certificates issued by Cloud PKI.</w:t>
      </w:r>
    </w:p>
    <w:p>
      <w:pPr>
        <w:numPr>
          <w:ilvl w:val="0"/>
          <w:numId w:val="1067"/>
        </w:numPr>
      </w:pPr>
      <w:r>
        <w:rPr>
          <w:b/>
          <w:bCs/>
        </w:rPr>
        <w:t xml:space="preserve">ADCS root → Entra ID:</w:t>
      </w:r>
      <w:r>
        <w:t xml:space="preserve"> </w:t>
      </w:r>
      <w:r>
        <w:t xml:space="preserve">Upload the on-premises Root CA certificate to the Entra ID certificate authorities trust store. This enables Entra CBA to validate certificates issued by on-premises ADCS during the transition period.</w:t>
      </w:r>
    </w:p>
    <w:p>
      <w:pPr>
        <w:numPr>
          <w:ilvl w:val="0"/>
          <w:numId w:val="1067"/>
        </w:numPr>
      </w:pPr>
      <w:r>
        <w:rPr>
          <w:b/>
          <w:bCs/>
        </w:rPr>
        <w:t xml:space="preserve">Cross-forest:</w:t>
      </w:r>
      <w:r>
        <w:t xml:space="preserve"> </w:t>
      </w:r>
      <w:r>
        <w:t xml:space="preserve">If multiple forests exist, each forest's Root CA must be trusted by Cloud PKI (via Entra upload) and Cloud PKI root must be deployed to each forest (via per-forest GPO).</w:t>
      </w:r>
    </w:p>
    <w:p>
      <w:pPr>
        <w:pStyle w:val="FirstParagraph"/>
      </w:pPr>
      <w:r>
        <w:t xml:space="preserve">8.4 CRL Availability</w:t>
      </w:r>
    </w:p>
    <w:p>
      <w:pPr>
        <w:numPr>
          <w:ilvl w:val="0"/>
          <w:numId w:val="1068"/>
        </w:numPr>
      </w:pPr>
      <w:r>
        <w:rPr>
          <w:b/>
          <w:bCs/>
        </w:rPr>
        <w:t xml:space="preserve">Cloud PKI CRL:</w:t>
      </w:r>
      <w:r>
        <w:t xml:space="preserve"> </w:t>
      </w:r>
      <w:r>
        <w:t xml:space="preserve">Hosted by Microsoft at an internet-accessible URL. Automatically configured during Cloud PKI CA creation. No on-premises CRL infrastructure needed.</w:t>
      </w:r>
    </w:p>
    <w:p>
      <w:pPr>
        <w:numPr>
          <w:ilvl w:val="0"/>
          <w:numId w:val="1068"/>
        </w:numPr>
      </w:pPr>
      <w:r>
        <w:rPr>
          <w:b/>
          <w:bCs/>
        </w:rPr>
        <w:t xml:space="preserve">On-premises ADCS CRL:</w:t>
      </w:r>
      <w:r>
        <w:t xml:space="preserve"> </w:t>
      </w:r>
      <w:r>
        <w:t xml:space="preserve">Must remain accessible to all relying parties — both on-premises and cloud. If the CRL distribution point is an internal HTTP URL, consider publishing via Azure Application Proxy or a reverse proxy to ensure Entra ID can perform revocation checks.</w:t>
      </w:r>
    </w:p>
    <w:p>
      <w:pPr>
        <w:numPr>
          <w:ilvl w:val="0"/>
          <w:numId w:val="1068"/>
        </w:numPr>
      </w:pPr>
      <w:r>
        <w:rPr>
          <w:b/>
          <w:bCs/>
        </w:rPr>
        <w:t xml:space="preserve">OCSP:</w:t>
      </w:r>
      <w:r>
        <w:t xml:space="preserve"> </w:t>
      </w:r>
      <w:r>
        <w:t xml:space="preserve">Entra CBA supports CRL-based revocation checking. OCSP is supported if configured. Ensure OCSP responder URLs in the AIA extension are accessible from the internet.</w:t>
      </w:r>
    </w:p>
    <w:p>
      <w:pPr>
        <w:pStyle w:val="FirstParagraph"/>
      </w:pPr>
      <w:r>
        <w:t xml:space="preserve">8.5 Certificate Renewal During Transition</w:t>
      </w:r>
    </w:p>
    <w:p>
      <w:pPr>
        <w:numPr>
          <w:ilvl w:val="0"/>
          <w:numId w:val="1069"/>
        </w:numPr>
      </w:pPr>
      <w:r>
        <w:rPr>
          <w:b/>
          <w:bCs/>
        </w:rPr>
        <w:t xml:space="preserve">Existing ADCS certificates:</w:t>
      </w:r>
      <w:r>
        <w:t xml:space="preserve"> </w:t>
      </w:r>
      <w:r>
        <w:t xml:space="preserve">Continue to renew via auto-enrollment until the device is migrated to Intune-managed certificate profiles. Do not revoke prematurely.</w:t>
      </w:r>
    </w:p>
    <w:p>
      <w:pPr>
        <w:numPr>
          <w:ilvl w:val="0"/>
          <w:numId w:val="1069"/>
        </w:numPr>
      </w:pPr>
      <w:r>
        <w:rPr>
          <w:b/>
          <w:bCs/>
        </w:rPr>
        <w:t xml:space="preserve">New devices:</w:t>
      </w:r>
      <w:r>
        <w:t xml:space="preserve"> </w:t>
      </w:r>
      <w:r>
        <w:t xml:space="preserve">Devices enrolling in Intune for the first time receive certificates from Cloud PKI via SCEP profiles. No ADCS enrollment occurs.</w:t>
      </w:r>
    </w:p>
    <w:p>
      <w:pPr>
        <w:numPr>
          <w:ilvl w:val="0"/>
          <w:numId w:val="1069"/>
        </w:numPr>
      </w:pPr>
      <w:r>
        <w:rPr>
          <w:b/>
          <w:bCs/>
        </w:rPr>
        <w:t xml:space="preserve">Cutover trigger:</w:t>
      </w:r>
      <w:r>
        <w:t xml:space="preserve"> </w:t>
      </w:r>
      <w:r>
        <w:t xml:space="preserve">When all ADCS-issued certificates on a device category have expired or been replaced by Cloud PKI certificates, that category is eligible for ADCS auto-enrollment removal.</w:t>
      </w:r>
    </w:p>
    <w:p>
      <w:pPr>
        <w:numPr>
          <w:ilvl w:val="0"/>
          <w:numId w:val="1069"/>
        </w:numPr>
      </w:pPr>
      <w:r>
        <w:rPr>
          <w:b/>
          <w:bCs/>
        </w:rPr>
        <w:t xml:space="preserve">Certificate lifetime alignment:</w:t>
      </w:r>
      <w:r>
        <w:t xml:space="preserve"> </w:t>
      </w:r>
      <w:r>
        <w:t xml:space="preserve">Set Cloud PKI certificate validity to match or exceed the remaining ADCS certificate validity to prevent coverage gaps during transition.</w:t>
      </w:r>
    </w:p>
    <w:tbl>
      <w:tblPr>
        <w:tblStyle w:val="Table"/>
        <w:tblW w:type="pct" w:w="5000"/>
        <w:jc w:val="left"/>
        <w:tblInd w:w="720" w:type="dxa"/>
        <w:tblLayout w:type="fixed"/>
        <w:tblLook w:firstRow="0" w:lastRow="0" w:firstColumn="0" w:lastColumn="0" w:noHBand="0" w:noVBand="0" w:val="0000"/>
      </w:tblPr>
      <w:tblGrid>
        <w:gridCol w:w="7920"/>
      </w:tblGrid>
      <w:tr>
        <w:tc>
          <w:tcPr/>
          <w:p>
            <w:pPr>
              <w:pStyle w:val="Compact"/>
              <w:jc w:val="left"/>
            </w:pPr>
            <w:r>
              <w:rPr>
                <w:i/>
                <w:iCs/>
              </w:rPr>
              <w:t xml:space="preserve">[Placeholder — Diagram PKI-004: Hybrid Coexistence Timeline — 900×350px — Parallel operation periods, pilot waves, certificate renewal windows, ADCS decommission gate]</w:t>
            </w:r>
          </w:p>
        </w:tc>
      </w:tr>
    </w:tbl>
    <w:p>
      <w:pPr>
        <w:pStyle w:val="FirstParagraph"/>
      </w:pPr>
      <w:r>
        <w:t xml:space="preserve">9. Migration Execution Playbook</w:t>
      </w:r>
    </w:p>
    <w:p>
      <w:pPr>
        <w:pStyle w:val="BodyText"/>
      </w:pPr>
      <w:r>
        <w:t xml:space="preserve">The PKI modernization migration follows six phases, each with defined prerequisites, steps, validation criteria, rollback procedures, and duration estimates. Phase gates must be satisfied before proceeding.</w:t>
      </w:r>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Phase 1: Assessment (Weeks 1–4)</w:t>
            </w:r>
          </w:p>
        </w:tc>
      </w:tr>
    </w:tbl>
    <w:p/>
    <w:tbl>
      <w:tblPr>
        <w:tblStyle w:val="Table"/>
        <w:tblW w:type="pct" w:w="4938"/>
        <w:tblLayout w:type="fixed"/>
        <w:tblLook w:firstRow="1" w:lastRow="0" w:firstColumn="0" w:lastColumn="0" w:noHBand="0" w:noVBand="0" w:val="0020"/>
      </w:tblPr>
      <w:tblGrid>
        <w:gridCol w:w="792"/>
        <w:gridCol w:w="7029"/>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Comprehensive ADCS inventory, ESC vulnerability assessment, certificate classification, and relying party identification.</w:t>
            </w:r>
          </w:p>
        </w:tc>
      </w:tr>
      <w:tr>
        <w:tc>
          <w:tcPr/>
          <w:p>
            <w:pPr>
              <w:pStyle w:val="Compact"/>
              <w:jc w:val="left"/>
            </w:pPr>
            <w:r>
              <w:t xml:space="preserve">Prerequisites</w:t>
            </w:r>
          </w:p>
        </w:tc>
        <w:tc>
          <w:tcPr/>
          <w:p>
            <w:pPr>
              <w:pStyle w:val="Compact"/>
              <w:jc w:val="left"/>
            </w:pPr>
            <w:r>
              <w:t xml:space="preserve">RSAT tools installed; AD PowerShell module available; access to CA servers and AD configuration partition; the Federal Modernization Program assessment module deployed.</w:t>
            </w:r>
          </w:p>
        </w:tc>
      </w:tr>
    </w:tbl>
    <w:p>
      <w:pPr>
        <w:pStyle w:val="BodyText"/>
      </w:pPr>
      <w:r>
        <w:rPr>
          <w:b/>
          <w:bCs/>
        </w:rPr>
        <w:t xml:space="preserve">Steps:</w:t>
      </w:r>
    </w:p>
    <w:p>
      <w:pPr>
        <w:numPr>
          <w:ilvl w:val="0"/>
          <w:numId w:val="1070"/>
        </w:numPr>
      </w:pPr>
      <w:r>
        <w:t xml:space="preserve">Run Get-FMPCAInventory to document all CA servers, key parameters, and operational status.</w:t>
      </w:r>
    </w:p>
    <w:p>
      <w:pPr>
        <w:numPr>
          <w:ilvl w:val="0"/>
          <w:numId w:val="1070"/>
        </w:numPr>
      </w:pPr>
      <w:r>
        <w:t xml:space="preserve">Run Get-FMPCertificateTemplates to export all template configurations and permissions.</w:t>
      </w:r>
    </w:p>
    <w:p>
      <w:pPr>
        <w:numPr>
          <w:ilvl w:val="0"/>
          <w:numId w:val="1070"/>
        </w:numPr>
      </w:pPr>
      <w:r>
        <w:t xml:space="preserve">Run Test-FMPESCVulnerabilities to scan for ESC1–ESC8 vulnerabilities.</w:t>
      </w:r>
    </w:p>
    <w:p>
      <w:pPr>
        <w:numPr>
          <w:ilvl w:val="0"/>
          <w:numId w:val="1070"/>
        </w:numPr>
      </w:pPr>
      <w:r>
        <w:t xml:space="preserve">Run Get-FMPIssuedCertificates to inventory all active certificates by template.</w:t>
      </w:r>
    </w:p>
    <w:p>
      <w:pPr>
        <w:numPr>
          <w:ilvl w:val="0"/>
          <w:numId w:val="1070"/>
        </w:numPr>
      </w:pPr>
      <w:r>
        <w:t xml:space="preserve">Execute Get-FMPCertificateInventory to classify templates (MIGRATE/BRIDGE/RETAIN/RETIRE).</w:t>
      </w:r>
    </w:p>
    <w:p>
      <w:pPr>
        <w:numPr>
          <w:ilvl w:val="0"/>
          <w:numId w:val="1070"/>
        </w:numPr>
      </w:pPr>
      <w:r>
        <w:t xml:space="preserve">Identify all relying parties (RADIUS, VPN, Wi-Fi controllers, web applications) and document their CA trust requirements.</w:t>
      </w:r>
    </w:p>
    <w:p>
      <w:pPr>
        <w:numPr>
          <w:ilvl w:val="0"/>
          <w:numId w:val="1070"/>
        </w:numPr>
      </w:pPr>
      <w:r>
        <w:t xml:space="preserve">Remediate all Critical and High ESC vulnerabilities (ESC1, ESC2, ESC6, ESC8 first).</w:t>
      </w:r>
    </w:p>
    <w:p>
      <w:pPr>
        <w:numPr>
          <w:ilvl w:val="0"/>
          <w:numId w:val="1070"/>
        </w:numPr>
      </w:pPr>
      <w:r>
        <w:t xml:space="preserve">Generate assessment report and commit to assessments/pki/{domain}/{timestamp}/ in Gitea.</w:t>
      </w:r>
    </w:p>
    <w:p>
      <w:pPr>
        <w:pStyle w:val="FirstParagraph"/>
      </w:pPr>
      <w:r>
        <w:rPr>
          <w:b/>
          <w:bCs/>
        </w:rPr>
        <w:t xml:space="preserve">Validation Criteria:</w:t>
      </w:r>
      <w:r>
        <w:t xml:space="preserve"> </w:t>
      </w:r>
      <w:r>
        <w:t xml:space="preserve">Assessment report approved by PKI administrator and security team. All Critical ESC vulnerabilities remediated and verified. Certificate inventory classified with zero unclassified templates.</w:t>
      </w:r>
    </w:p>
    <w:p>
      <w:pPr>
        <w:pStyle w:val="BodyText"/>
      </w:pPr>
      <w:r>
        <w:rPr>
          <w:b/>
          <w:bCs/>
        </w:rPr>
        <w:t xml:space="preserve">Rollback:</w:t>
      </w:r>
      <w:r>
        <w:t xml:space="preserve"> </w:t>
      </w:r>
      <w:r>
        <w:t xml:space="preserve">N/A — assessment is non-destructive.</w:t>
      </w:r>
    </w:p>
    <w:p>
      <w:pPr>
        <w:pStyle w:val="BodyText"/>
      </w:pPr>
      <w:r>
        <w:rPr>
          <w:b/>
          <w:bCs/>
        </w:rPr>
        <w:t xml:space="preserve">Duration:</w:t>
      </w:r>
      <w:r>
        <w:t xml:space="preserve"> </w:t>
      </w:r>
      <w:r>
        <w:t xml:space="preserve">4 weeks.</w:t>
      </w:r>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Phase 2: Foundation (Weeks 5–8)</w:t>
            </w:r>
          </w:p>
        </w:tc>
      </w:tr>
    </w:tbl>
    <w:p/>
    <w:tbl>
      <w:tblPr>
        <w:tblStyle w:val="Table"/>
        <w:tblW w:type="pct" w:w="4936"/>
        <w:tblLayout w:type="fixed"/>
        <w:tblLook w:firstRow="1" w:lastRow="0" w:firstColumn="0" w:lastColumn="0" w:noHBand="0" w:noVBand="0" w:val="0020"/>
      </w:tblPr>
      <w:tblGrid>
        <w:gridCol w:w="807"/>
        <w:gridCol w:w="701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Provision Cloud PKI infrastructure, establish trust chain, deploy Trusted Root profiles, install Certificate Connector.</w:t>
            </w:r>
          </w:p>
        </w:tc>
      </w:tr>
      <w:tr>
        <w:tc>
          <w:tcPr/>
          <w:p>
            <w:pPr>
              <w:pStyle w:val="Compact"/>
              <w:jc w:val="left"/>
            </w:pPr>
            <w:r>
              <w:t xml:space="preserve">Prerequisites</w:t>
            </w:r>
          </w:p>
        </w:tc>
        <w:tc>
          <w:tcPr/>
          <w:p>
            <w:pPr>
              <w:pStyle w:val="Compact"/>
              <w:jc w:val="left"/>
            </w:pPr>
            <w:r>
              <w:t xml:space="preserve">Phase 1 gate satisfied. Intune Suite license provisioned. Entra Connect syncing user/device SIDs. Offline Root CA accessible (if BYOCA).</w:t>
            </w:r>
          </w:p>
        </w:tc>
      </w:tr>
    </w:tbl>
    <w:p>
      <w:pPr>
        <w:pStyle w:val="BodyText"/>
      </w:pPr>
      <w:r>
        <w:rPr>
          <w:b/>
          <w:bCs/>
        </w:rPr>
        <w:t xml:space="preserve">Steps:</w:t>
      </w:r>
    </w:p>
    <w:p>
      <w:pPr>
        <w:numPr>
          <w:ilvl w:val="0"/>
          <w:numId w:val="1071"/>
        </w:numPr>
      </w:pPr>
      <w:r>
        <w:t xml:space="preserve">Provision Cloud PKI CA: Create Root CA (Cloud Root model) or generate CSR and sign with on-prem Root CA (BYOCA model).</w:t>
      </w:r>
    </w:p>
    <w:p>
      <w:pPr>
        <w:numPr>
          <w:ilvl w:val="0"/>
          <w:numId w:val="1071"/>
        </w:numPr>
      </w:pPr>
      <w:r>
        <w:t xml:space="preserve">Create Cloud PKI Issuing CA subordinate to the Root CA.</w:t>
      </w:r>
    </w:p>
    <w:p>
      <w:pPr>
        <w:numPr>
          <w:ilvl w:val="0"/>
          <w:numId w:val="1071"/>
        </w:numPr>
      </w:pPr>
      <w:r>
        <w:t xml:space="preserve">Install Certificate Connector for Microsoft Intune on a designated Windows Server (v6.2406+ for strong mapping). Configure connectivity to ADCS if BRIDGE workloads exist.</w:t>
      </w:r>
    </w:p>
    <w:p>
      <w:pPr>
        <w:numPr>
          <w:ilvl w:val="0"/>
          <w:numId w:val="1071"/>
        </w:numPr>
      </w:pPr>
      <w:r>
        <w:t xml:space="preserve">Upload Root CA and Issuing CA public keys to the Entra ID certificate authorities trust store.</w:t>
      </w:r>
    </w:p>
    <w:p>
      <w:pPr>
        <w:numPr>
          <w:ilvl w:val="0"/>
          <w:numId w:val="1071"/>
        </w:numPr>
      </w:pPr>
      <w:r>
        <w:t xml:space="preserve">Deploy Trusted Root Certificate profiles via Intune: target "All Devices" to establish chain trust.</w:t>
      </w:r>
    </w:p>
    <w:p>
      <w:pPr>
        <w:numPr>
          <w:ilvl w:val="0"/>
          <w:numId w:val="1071"/>
        </w:numPr>
      </w:pPr>
      <w:r>
        <w:t xml:space="preserve">For BYOCA: deploy Cloud PKI Root (same as on-prem root) via GPO to any non-Intune devices.</w:t>
      </w:r>
    </w:p>
    <w:p>
      <w:pPr>
        <w:numPr>
          <w:ilvl w:val="0"/>
          <w:numId w:val="1071"/>
        </w:numPr>
      </w:pPr>
      <w:r>
        <w:t xml:space="preserve">Issue a test certificate from Cloud PKI Issuing CA and verify chain validation on a test device.</w:t>
      </w:r>
    </w:p>
    <w:p>
      <w:pPr>
        <w:numPr>
          <w:ilvl w:val="0"/>
          <w:numId w:val="1071"/>
        </w:numPr>
      </w:pPr>
      <w:r>
        <w:t xml:space="preserve">Verify CRL accessibility from both on-premises and internet-connected endpoints.</w:t>
      </w:r>
    </w:p>
    <w:p>
      <w:pPr>
        <w:pStyle w:val="FirstParagraph"/>
      </w:pPr>
      <w:r>
        <w:rPr>
          <w:b/>
          <w:bCs/>
        </w:rPr>
        <w:t xml:space="preserve">Validation Criteria:</w:t>
      </w:r>
      <w:r>
        <w:t xml:space="preserve"> </w:t>
      </w:r>
      <w:r>
        <w:t xml:space="preserve">Cloud PKI Root and Issuing CA operational. Test certificate issued and validated successfully. Trusted Root profile deployed to &gt;99% of managed devices. Certificate Connector reporting healthy.</w:t>
      </w:r>
    </w:p>
    <w:p>
      <w:pPr>
        <w:pStyle w:val="BodyText"/>
      </w:pPr>
      <w:r>
        <w:rPr>
          <w:b/>
          <w:bCs/>
        </w:rPr>
        <w:t xml:space="preserve">Rollback:</w:t>
      </w:r>
      <w:r>
        <w:t xml:space="preserve"> </w:t>
      </w:r>
      <w:r>
        <w:t xml:space="preserve">Delete Cloud PKI CAs. Remove Trusted Root profiles. Uninstall Certificate Connector. ADCS continues unchanged.</w:t>
      </w:r>
    </w:p>
    <w:p>
      <w:pPr>
        <w:pStyle w:val="BodyText"/>
      </w:pPr>
      <w:r>
        <w:rPr>
          <w:b/>
          <w:bCs/>
        </w:rPr>
        <w:t xml:space="preserve">Duration:</w:t>
      </w:r>
      <w:r>
        <w:t xml:space="preserve"> </w:t>
      </w:r>
      <w:r>
        <w:t xml:space="preserve">4 weeks.</w:t>
      </w:r>
    </w:p>
    <w:tbl>
      <w:tblPr>
        <w:tblStyle w:val="Table"/>
        <w:tblW w:type="pct" w:w="2153"/>
        <w:tblLayout w:type="fixed"/>
        <w:tblLook w:firstRow="0" w:lastRow="0" w:firstColumn="0" w:lastColumn="0" w:noHBand="0" w:noVBand="0" w:val="0000"/>
      </w:tblPr>
      <w:tblGrid>
        <w:gridCol w:w="3410"/>
      </w:tblGrid>
      <w:tr>
        <w:tc>
          <w:tcPr/>
          <w:p>
            <w:pPr>
              <w:pStyle w:val="Compact"/>
              <w:jc w:val="left"/>
            </w:pPr>
            <w:r>
              <w:t xml:space="preserve">Phase 3: Pilot (Weeks 9–16)</w:t>
            </w:r>
          </w:p>
        </w:tc>
      </w:tr>
    </w:tbl>
    <w:p/>
    <w:tbl>
      <w:tblPr>
        <w:tblStyle w:val="Table"/>
        <w:tblW w:type="pct" w:w="4942"/>
        <w:tblLayout w:type="fixed"/>
        <w:tblLook w:firstRow="1" w:lastRow="0" w:firstColumn="0" w:lastColumn="0" w:noHBand="0" w:noVBand="0" w:val="0020"/>
      </w:tblPr>
      <w:tblGrid>
        <w:gridCol w:w="736"/>
        <w:gridCol w:w="709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Deploy SCEP certificates to 50–100 pilot devices. Enable Entra CBA staged rollout for pilot users. Validate end-to-end authentication.</w:t>
            </w:r>
          </w:p>
        </w:tc>
      </w:tr>
      <w:tr>
        <w:tc>
          <w:tcPr/>
          <w:p>
            <w:pPr>
              <w:pStyle w:val="Compact"/>
              <w:jc w:val="left"/>
            </w:pPr>
            <w:r>
              <w:t xml:space="preserve">Prerequisites</w:t>
            </w:r>
          </w:p>
        </w:tc>
        <w:tc>
          <w:tcPr/>
          <w:p>
            <w:pPr>
              <w:pStyle w:val="Compact"/>
              <w:jc w:val="left"/>
            </w:pPr>
            <w:r>
              <w:t xml:space="preserve">Phase 2 gate satisfied. Pilot device group defined. Pilot user group defined for CBA. RADIUS/Wi-Fi/VPN infrastructure updated to trust Cloud PKI chain.</w:t>
            </w:r>
          </w:p>
        </w:tc>
      </w:tr>
    </w:tbl>
    <w:p>
      <w:pPr>
        <w:pStyle w:val="BodyText"/>
      </w:pPr>
      <w:r>
        <w:rPr>
          <w:b/>
          <w:bCs/>
        </w:rPr>
        <w:t xml:space="preserve">Steps:</w:t>
      </w:r>
    </w:p>
    <w:p>
      <w:pPr>
        <w:numPr>
          <w:ilvl w:val="0"/>
          <w:numId w:val="1072"/>
        </w:numPr>
      </w:pPr>
      <w:r>
        <w:t xml:space="preserve">Create SCEP certificate profile for Wi-Fi 802.1X targeting the pilot device group.</w:t>
      </w:r>
    </w:p>
    <w:p>
      <w:pPr>
        <w:numPr>
          <w:ilvl w:val="0"/>
          <w:numId w:val="1072"/>
        </w:numPr>
      </w:pPr>
      <w:r>
        <w:t xml:space="preserve">Verify certificate issuance: device receives certificate, certificate chain validates, SAN includes strong mapping SID URI (if applicable).</w:t>
      </w:r>
    </w:p>
    <w:p>
      <w:pPr>
        <w:numPr>
          <w:ilvl w:val="0"/>
          <w:numId w:val="1072"/>
        </w:numPr>
      </w:pPr>
      <w:r>
        <w:t xml:space="preserve">Test Wi-Fi authentication with Cloud PKI certificate on pilot devices.</w:t>
      </w:r>
    </w:p>
    <w:p>
      <w:pPr>
        <w:numPr>
          <w:ilvl w:val="0"/>
          <w:numId w:val="1072"/>
        </w:numPr>
      </w:pPr>
      <w:r>
        <w:t xml:space="preserve">Test VPN authentication with Cloud PKI certificate on pilot devices.</w:t>
      </w:r>
    </w:p>
    <w:p>
      <w:pPr>
        <w:numPr>
          <w:ilvl w:val="0"/>
          <w:numId w:val="1072"/>
        </w:numPr>
      </w:pPr>
      <w:r>
        <w:t xml:space="preserve">Enable Entra CBA staged rollout for the pilot user group (Section 7.4).</w:t>
      </w:r>
    </w:p>
    <w:p>
      <w:pPr>
        <w:numPr>
          <w:ilvl w:val="0"/>
          <w:numId w:val="1072"/>
        </w:numPr>
      </w:pPr>
      <w:r>
        <w:t xml:space="preserve">Test user authentication via certificate at Entra ID sign-in. Verify token claims and MFA satisfaction.</w:t>
      </w:r>
    </w:p>
    <w:p>
      <w:pPr>
        <w:numPr>
          <w:ilvl w:val="0"/>
          <w:numId w:val="1072"/>
        </w:numPr>
      </w:pPr>
      <w:r>
        <w:t xml:space="preserve">Monitor Intune certificate dashboard: track issuance success, failures, and pending states.</w:t>
      </w:r>
    </w:p>
    <w:p>
      <w:pPr>
        <w:numPr>
          <w:ilvl w:val="0"/>
          <w:numId w:val="1072"/>
        </w:numPr>
      </w:pPr>
      <w:r>
        <w:t xml:space="preserve">Monitor Entra sign-in logs: filter by authentication method "X.509 Certificate."</w:t>
      </w:r>
    </w:p>
    <w:p>
      <w:pPr>
        <w:numPr>
          <w:ilvl w:val="0"/>
          <w:numId w:val="1072"/>
        </w:numPr>
      </w:pPr>
      <w:r>
        <w:t xml:space="preserve">Address failures: review Troubleshooting Reference (Section 12) for common issues.</w:t>
      </w:r>
    </w:p>
    <w:p>
      <w:pPr>
        <w:pStyle w:val="FirstParagraph"/>
      </w:pPr>
      <w:r>
        <w:rPr>
          <w:b/>
          <w:bCs/>
        </w:rPr>
        <w:t xml:space="preserve">Validation Criteria:</w:t>
      </w:r>
      <w:r>
        <w:t xml:space="preserve"> </w:t>
      </w:r>
      <w:r>
        <w:t xml:space="preserve">&gt;95% certificate issuance success rate. Zero authentication failures attributable to certificate configuration. Pilot user CBA authentication functioning with correct MFA claim. All pilot relying parties accepting Cloud PKI certificates.</w:t>
      </w:r>
    </w:p>
    <w:p>
      <w:pPr>
        <w:pStyle w:val="BodyText"/>
      </w:pPr>
      <w:r>
        <w:rPr>
          <w:b/>
          <w:bCs/>
        </w:rPr>
        <w:t xml:space="preserve">Rollback:</w:t>
      </w:r>
      <w:r>
        <w:t xml:space="preserve"> </w:t>
      </w:r>
      <w:r>
        <w:t xml:space="preserve">Remove SCEP profiles from pilot group. Devices fall back to ADCS auto-enrolled certificates. Remove pilot groups from CBA staged rollout. Users revert to ADFS CBA or password + MFA.</w:t>
      </w:r>
    </w:p>
    <w:p>
      <w:pPr>
        <w:pStyle w:val="BodyText"/>
      </w:pPr>
      <w:r>
        <w:rPr>
          <w:b/>
          <w:bCs/>
        </w:rPr>
        <w:t xml:space="preserve">Duration:</w:t>
      </w:r>
      <w:r>
        <w:t xml:space="preserve"> </w:t>
      </w:r>
      <w:r>
        <w:t xml:space="preserve">8 weeks.</w:t>
      </w:r>
    </w:p>
    <w:tbl>
      <w:tblPr>
        <w:tblStyle w:val="Table"/>
        <w:tblW w:type="pct" w:w="2222"/>
        <w:tblLayout w:type="fixed"/>
        <w:tblLook w:firstRow="0" w:lastRow="0" w:firstColumn="0" w:lastColumn="0" w:noHBand="0" w:noVBand="0" w:val="0000"/>
      </w:tblPr>
      <w:tblGrid>
        <w:gridCol w:w="3520"/>
      </w:tblGrid>
      <w:tr>
        <w:tc>
          <w:tcPr/>
          <w:p>
            <w:pPr>
              <w:pStyle w:val="Compact"/>
              <w:jc w:val="left"/>
            </w:pPr>
            <w:r>
              <w:t xml:space="preserve">Phase 4: Scale (Weeks 17–28)</w:t>
            </w:r>
          </w:p>
        </w:tc>
      </w:tr>
    </w:tbl>
    <w:p/>
    <w:tbl>
      <w:tblPr>
        <w:tblStyle w:val="Table"/>
        <w:tblW w:type="pct" w:w="4937"/>
        <w:tblLayout w:type="fixed"/>
        <w:tblLook w:firstRow="1" w:lastRow="0" w:firstColumn="0" w:lastColumn="0" w:noHBand="0" w:noVBand="0" w:val="0020"/>
      </w:tblPr>
      <w:tblGrid>
        <w:gridCol w:w="796"/>
        <w:gridCol w:w="7023"/>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Expand SCEP/PKCS profiles to all managed devices. Expand Entra CBA staged rollout to all users.</w:t>
            </w:r>
          </w:p>
        </w:tc>
      </w:tr>
      <w:tr>
        <w:tc>
          <w:tcPr/>
          <w:p>
            <w:pPr>
              <w:pStyle w:val="Compact"/>
              <w:jc w:val="left"/>
            </w:pPr>
            <w:r>
              <w:t xml:space="preserve">Prerequisites</w:t>
            </w:r>
          </w:p>
        </w:tc>
        <w:tc>
          <w:tcPr/>
          <w:p>
            <w:pPr>
              <w:pStyle w:val="Compact"/>
              <w:jc w:val="left"/>
            </w:pPr>
            <w:r>
              <w:t xml:space="preserve">Phase 3 gate satisfied. Dynamic groups configured for certificate targeting. All relying parties updated to trust Cloud PKI chain.</w:t>
            </w:r>
          </w:p>
        </w:tc>
      </w:tr>
    </w:tbl>
    <w:p>
      <w:pPr>
        <w:pStyle w:val="BodyText"/>
      </w:pPr>
      <w:r>
        <w:rPr>
          <w:b/>
          <w:bCs/>
        </w:rPr>
        <w:t xml:space="preserve">Steps:</w:t>
      </w:r>
    </w:p>
    <w:p>
      <w:pPr>
        <w:numPr>
          <w:ilvl w:val="0"/>
          <w:numId w:val="1073"/>
        </w:numPr>
      </w:pPr>
      <w:r>
        <w:t xml:space="preserve">Expand SCEP certificate profiles to dynamic groups (by region, site, department, device tier).</w:t>
      </w:r>
    </w:p>
    <w:p>
      <w:pPr>
        <w:numPr>
          <w:ilvl w:val="0"/>
          <w:numId w:val="1073"/>
        </w:numPr>
      </w:pPr>
      <w:r>
        <w:t xml:space="preserve">Deploy PKCS profiles for S/MIME and application-specific certificates.</w:t>
      </w:r>
    </w:p>
    <w:p>
      <w:pPr>
        <w:numPr>
          <w:ilvl w:val="0"/>
          <w:numId w:val="1073"/>
        </w:numPr>
      </w:pPr>
      <w:r>
        <w:t xml:space="preserve">Expand Entra CBA staged rollout: add all user groups incrementally (200 users per wave, monitor for 48 hours between waves).</w:t>
      </w:r>
    </w:p>
    <w:p>
      <w:pPr>
        <w:numPr>
          <w:ilvl w:val="0"/>
          <w:numId w:val="1073"/>
        </w:numPr>
      </w:pPr>
      <w:r>
        <w:t xml:space="preserve">Verify cross-platform coverage: Windows, iOS, Android, macOS.</w:t>
      </w:r>
    </w:p>
    <w:p>
      <w:pPr>
        <w:numPr>
          <w:ilvl w:val="0"/>
          <w:numId w:val="1073"/>
        </w:numPr>
      </w:pPr>
      <w:r>
        <w:t xml:space="preserve">Monitor certificate compliance: devices with both ADCS and Cloud PKI certs (expected during transition); devices with only Cloud PKI certs (target state).</w:t>
      </w:r>
    </w:p>
    <w:p>
      <w:pPr>
        <w:numPr>
          <w:ilvl w:val="0"/>
          <w:numId w:val="1073"/>
        </w:numPr>
      </w:pPr>
      <w:r>
        <w:t xml:space="preserve">Begin disabling ADCS auto-enrollment for MIGRATE-classified templates on device groups that have received Cloud PKI certificates.</w:t>
      </w:r>
    </w:p>
    <w:p>
      <w:pPr>
        <w:pStyle w:val="FirstParagraph"/>
      </w:pPr>
      <w:r>
        <w:rPr>
          <w:b/>
          <w:bCs/>
        </w:rPr>
        <w:t xml:space="preserve">Validation Criteria:</w:t>
      </w:r>
      <w:r>
        <w:t xml:space="preserve"> </w:t>
      </w:r>
      <w:r>
        <w:t xml:space="preserve">All managed devices have Cloud PKI certificates for MIGRATE-classified use cases. CBA staged rollout includes all users. ADCS auto-enrollment disabled for MIGRATE templates on migrated devices.</w:t>
      </w:r>
    </w:p>
    <w:p>
      <w:pPr>
        <w:pStyle w:val="BodyText"/>
      </w:pPr>
      <w:r>
        <w:rPr>
          <w:b/>
          <w:bCs/>
        </w:rPr>
        <w:t xml:space="preserve">Rollback:</w:t>
      </w:r>
      <w:r>
        <w:t xml:space="preserve"> </w:t>
      </w:r>
      <w:r>
        <w:t xml:space="preserve">Re-enable ADCS auto-enrollment GPOs. ADCS certificates renew on next policy refresh. Remove CBA staged rollout groups to revert to ADFS.</w:t>
      </w:r>
    </w:p>
    <w:p>
      <w:pPr>
        <w:pStyle w:val="BodyText"/>
      </w:pPr>
      <w:r>
        <w:rPr>
          <w:b/>
          <w:bCs/>
        </w:rPr>
        <w:t xml:space="preserve">Duration:</w:t>
      </w:r>
      <w:r>
        <w:t xml:space="preserve"> </w:t>
      </w:r>
      <w:r>
        <w:t xml:space="preserve">12 weeks.</w:t>
      </w:r>
    </w:p>
    <w:tbl>
      <w:tblPr>
        <w:tblStyle w:val="Table"/>
        <w:tblW w:type="pct" w:w="2361"/>
        <w:tblLayout w:type="fixed"/>
        <w:tblLook w:firstRow="0" w:lastRow="0" w:firstColumn="0" w:lastColumn="0" w:noHBand="0" w:noVBand="0" w:val="0000"/>
      </w:tblPr>
      <w:tblGrid>
        <w:gridCol w:w="3740"/>
      </w:tblGrid>
      <w:tr>
        <w:tc>
          <w:tcPr/>
          <w:p>
            <w:pPr>
              <w:pStyle w:val="Compact"/>
              <w:jc w:val="left"/>
            </w:pPr>
            <w:r>
              <w:t xml:space="preserve">Phase 5: Cutover (Weeks 29–36)</w:t>
            </w:r>
          </w:p>
        </w:tc>
      </w:tr>
    </w:tbl>
    <w:p/>
    <w:tbl>
      <w:tblPr>
        <w:tblStyle w:val="Table"/>
        <w:tblW w:type="pct" w:w="4939"/>
        <w:tblLayout w:type="fixed"/>
        <w:tblLook w:firstRow="1" w:lastRow="0" w:firstColumn="0" w:lastColumn="0" w:noHBand="0" w:noVBand="0" w:val="0020"/>
      </w:tblPr>
      <w:tblGrid>
        <w:gridCol w:w="777"/>
        <w:gridCol w:w="7045"/>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Complete transition. Convert federated domains to managed. Disable ADFS certificate auth. Stop all ADCS auto-enrollment for MIGRATE templates.</w:t>
            </w:r>
          </w:p>
        </w:tc>
      </w:tr>
      <w:tr>
        <w:tc>
          <w:tcPr/>
          <w:p>
            <w:pPr>
              <w:pStyle w:val="Compact"/>
              <w:jc w:val="left"/>
            </w:pPr>
            <w:r>
              <w:t xml:space="preserve">Prerequisites</w:t>
            </w:r>
          </w:p>
        </w:tc>
        <w:tc>
          <w:tcPr/>
          <w:p>
            <w:pPr>
              <w:pStyle w:val="Compact"/>
              <w:jc w:val="left"/>
            </w:pPr>
            <w:r>
              <w:t xml:space="preserve">Phase 4 gate satisfied. All managed endpoints verified with Cloud PKI certificates. All users validated on Entra CBA.</w:t>
            </w:r>
          </w:p>
        </w:tc>
      </w:tr>
    </w:tbl>
    <w:p>
      <w:pPr>
        <w:pStyle w:val="BodyText"/>
      </w:pPr>
      <w:r>
        <w:rPr>
          <w:b/>
          <w:bCs/>
        </w:rPr>
        <w:t xml:space="preserve">Steps:</w:t>
      </w:r>
    </w:p>
    <w:p>
      <w:pPr>
        <w:numPr>
          <w:ilvl w:val="0"/>
          <w:numId w:val="1074"/>
        </w:numPr>
      </w:pPr>
      <w:r>
        <w:t xml:space="preserve">Verify: zero active ADCS-issued certificates for MIGRATE-classified templates on managed endpoints (all expired or superseded).</w:t>
      </w:r>
    </w:p>
    <w:p>
      <w:pPr>
        <w:numPr>
          <w:ilvl w:val="0"/>
          <w:numId w:val="1074"/>
        </w:numPr>
      </w:pPr>
      <w:r>
        <w:t xml:space="preserve">Convert federated domains to managed authentication (Update-MgDomain).</w:t>
      </w:r>
    </w:p>
    <w:p>
      <w:pPr>
        <w:numPr>
          <w:ilvl w:val="0"/>
          <w:numId w:val="1074"/>
        </w:numPr>
      </w:pPr>
      <w:r>
        <w:t xml:space="preserve">Disable ADFS certificate authentication rules.</w:t>
      </w:r>
    </w:p>
    <w:p>
      <w:pPr>
        <w:numPr>
          <w:ilvl w:val="0"/>
          <w:numId w:val="1074"/>
        </w:numPr>
      </w:pPr>
      <w:r>
        <w:t xml:space="preserve">Remove ADCS auto-enrollment GPO links for MIGRATE templates.</w:t>
      </w:r>
    </w:p>
    <w:p>
      <w:pPr>
        <w:numPr>
          <w:ilvl w:val="0"/>
          <w:numId w:val="1074"/>
        </w:numPr>
      </w:pPr>
      <w:r>
        <w:t xml:space="preserve">Retain ADCS auto-enrollment for BRIDGE templates (DC auth, LDAPS, NPS).</w:t>
      </w:r>
    </w:p>
    <w:p>
      <w:pPr>
        <w:numPr>
          <w:ilvl w:val="0"/>
          <w:numId w:val="1074"/>
        </w:numPr>
      </w:pPr>
      <w:r>
        <w:t xml:space="preserve">Maintain ADFS operational (powered off but restorable) for 30-day rollback window.</w:t>
      </w:r>
    </w:p>
    <w:p>
      <w:pPr>
        <w:numPr>
          <w:ilvl w:val="0"/>
          <w:numId w:val="1074"/>
        </w:numPr>
      </w:pPr>
      <w:r>
        <w:t xml:space="preserve">Update documentation: ADCS operational procedures revised to BRIDGE/RETAIN scope only.</w:t>
      </w:r>
    </w:p>
    <w:p>
      <w:pPr>
        <w:pStyle w:val="FirstParagraph"/>
      </w:pPr>
      <w:r>
        <w:rPr>
          <w:b/>
          <w:bCs/>
        </w:rPr>
        <w:t xml:space="preserve">Validation Criteria:</w:t>
      </w:r>
      <w:r>
        <w:t xml:space="preserve"> </w:t>
      </w:r>
      <w:r>
        <w:t xml:space="preserve">Zero active ADCS certificates on managed endpoints for MIGRATE templates. All domains converted to managed. ADFS CBA disabled. Entra CBA operational for all users.</w:t>
      </w:r>
    </w:p>
    <w:p>
      <w:pPr>
        <w:pStyle w:val="BodyText"/>
      </w:pPr>
      <w:r>
        <w:rPr>
          <w:b/>
          <w:bCs/>
        </w:rPr>
        <w:t xml:space="preserve">Rollback:</w:t>
      </w:r>
      <w:r>
        <w:t xml:space="preserve"> </w:t>
      </w:r>
      <w:r>
        <w:t xml:space="preserve">Re-federate domain (New-MgDomainFederationConfiguration). Re-enable ADFS. Re-link auto-enrollment GPOs. ADCS resumes within 4 hours.</w:t>
      </w:r>
    </w:p>
    <w:p>
      <w:pPr>
        <w:pStyle w:val="BodyText"/>
      </w:pPr>
      <w:r>
        <w:rPr>
          <w:b/>
          <w:bCs/>
        </w:rPr>
        <w:t xml:space="preserve">Duration:</w:t>
      </w:r>
      <w:r>
        <w:t xml:space="preserve"> </w:t>
      </w:r>
      <w:r>
        <w:t xml:space="preserve">8 weeks.</w:t>
      </w:r>
    </w:p>
    <w:tbl>
      <w:tblPr>
        <w:tblStyle w:val="Table"/>
        <w:tblW w:type="pct" w:w="2708"/>
        <w:tblLayout w:type="fixed"/>
        <w:tblLook w:firstRow="0" w:lastRow="0" w:firstColumn="0" w:lastColumn="0" w:noHBand="0" w:noVBand="0" w:val="0000"/>
      </w:tblPr>
      <w:tblGrid>
        <w:gridCol w:w="4290"/>
      </w:tblGrid>
      <w:tr>
        <w:tc>
          <w:tcPr/>
          <w:p>
            <w:pPr>
              <w:pStyle w:val="Compact"/>
              <w:jc w:val="left"/>
            </w:pPr>
            <w:r>
              <w:t xml:space="preserve">Phase 6: Decommission (Weeks 37–44)</w:t>
            </w:r>
          </w:p>
        </w:tc>
      </w:tr>
    </w:tbl>
    <w:p/>
    <w:tbl>
      <w:tblPr>
        <w:tblStyle w:val="Table"/>
        <w:tblW w:type="pct" w:w="4940"/>
        <w:tblLayout w:type="fixed"/>
        <w:tblLook w:firstRow="1" w:lastRow="0" w:firstColumn="0" w:lastColumn="0" w:noHBand="0" w:noVBand="0" w:val="0020"/>
      </w:tblPr>
      <w:tblGrid>
        <w:gridCol w:w="763"/>
        <w:gridCol w:w="7061"/>
      </w:tblGrid>
      <w:tr>
        <w:trPr>
          <w:tblHeader w:val="on"/>
        </w:trPr>
        <w:tc>
          <w:tcPr/>
          <w:p>
            <w:pPr>
              <w:pStyle w:val="Compact"/>
              <w:jc w:val="left"/>
            </w:pPr>
            <w:r>
              <w:rPr>
                <w:b/>
                <w:bCs/>
              </w:rPr>
              <w:t xml:space="preserve">Attribute</w:t>
            </w:r>
          </w:p>
        </w:tc>
        <w:tc>
          <w:tcPr/>
          <w:p>
            <w:pPr>
              <w:pStyle w:val="Compact"/>
              <w:jc w:val="left"/>
            </w:pPr>
            <w:r>
              <w:rPr>
                <w:b/>
                <w:bCs/>
              </w:rPr>
              <w:t xml:space="preserve">Detail</w:t>
            </w:r>
          </w:p>
        </w:tc>
      </w:tr>
      <w:tr>
        <w:tc>
          <w:tcPr/>
          <w:p>
            <w:pPr>
              <w:pStyle w:val="Compact"/>
              <w:jc w:val="left"/>
            </w:pPr>
            <w:r>
              <w:t xml:space="preserve">Objective</w:t>
            </w:r>
          </w:p>
        </w:tc>
        <w:tc>
          <w:tcPr/>
          <w:p>
            <w:pPr>
              <w:pStyle w:val="Compact"/>
              <w:jc w:val="left"/>
            </w:pPr>
            <w:r>
              <w:t xml:space="preserve">Decommission ADCS infrastructure for migrated workloads. Archive CA databases. Retain only components required for BRIDGE/RETAIN classifications.</w:t>
            </w:r>
          </w:p>
        </w:tc>
      </w:tr>
      <w:tr>
        <w:tc>
          <w:tcPr/>
          <w:p>
            <w:pPr>
              <w:pStyle w:val="Compact"/>
              <w:jc w:val="left"/>
            </w:pPr>
            <w:r>
              <w:t xml:space="preserve">Prerequisites</w:t>
            </w:r>
          </w:p>
        </w:tc>
        <w:tc>
          <w:tcPr/>
          <w:p>
            <w:pPr>
              <w:pStyle w:val="Compact"/>
              <w:jc w:val="left"/>
            </w:pPr>
            <w:r>
              <w:t xml:space="preserve">Phase 5 gate satisfied. 30-day rollback window expired with no incidents. BRIDGE/RETAIN workloads documented and operational.</w:t>
            </w:r>
          </w:p>
        </w:tc>
      </w:tr>
    </w:tbl>
    <w:p>
      <w:pPr>
        <w:pStyle w:val="BodyText"/>
      </w:pPr>
      <w:r>
        <w:rPr>
          <w:b/>
          <w:bCs/>
        </w:rPr>
        <w:t xml:space="preserve">Steps:</w:t>
      </w:r>
    </w:p>
    <w:p>
      <w:pPr>
        <w:numPr>
          <w:ilvl w:val="0"/>
          <w:numId w:val="1075"/>
        </w:numPr>
      </w:pPr>
      <w:r>
        <w:t xml:space="preserve">Archive Issuing CA database: certutil -backup &lt;BackupPath&gt;. Store in secure, offline location per retention policy.</w:t>
      </w:r>
    </w:p>
    <w:p>
      <w:pPr>
        <w:numPr>
          <w:ilvl w:val="0"/>
          <w:numId w:val="1075"/>
        </w:numPr>
      </w:pPr>
      <w:r>
        <w:t xml:space="preserve">If Cloud PKI Root CA model (not BYOCA): revoke the ADCS Issuing CA certificate from the Root CA.</w:t>
      </w:r>
    </w:p>
    <w:p>
      <w:pPr>
        <w:numPr>
          <w:ilvl w:val="0"/>
          <w:numId w:val="1075"/>
        </w:numPr>
      </w:pPr>
      <w:r>
        <w:t xml:space="preserve">If BYOCA: do not revoke — the Issuing CA certificate chain is still in use by Cloud PKI.</w:t>
      </w:r>
    </w:p>
    <w:p>
      <w:pPr>
        <w:numPr>
          <w:ilvl w:val="0"/>
          <w:numId w:val="1075"/>
        </w:numPr>
      </w:pPr>
      <w:r>
        <w:t xml:space="preserve">Decommission NDES server: uninstall NDES role, remove IIS site, remove DNS records.</w:t>
      </w:r>
    </w:p>
    <w:p>
      <w:pPr>
        <w:numPr>
          <w:ilvl w:val="0"/>
          <w:numId w:val="1075"/>
        </w:numPr>
      </w:pPr>
      <w:r>
        <w:t xml:space="preserve">Decommission CES/CEP servers if no longer serving BRIDGE workloads.</w:t>
      </w:r>
    </w:p>
    <w:p>
      <w:pPr>
        <w:numPr>
          <w:ilvl w:val="0"/>
          <w:numId w:val="1075"/>
        </w:numPr>
      </w:pPr>
      <w:r>
        <w:t xml:space="preserve">Decommission Issuing CA server (if all workloads migrated or transferred to a retained Issuing CA for BRIDGE use).</w:t>
      </w:r>
    </w:p>
    <w:p>
      <w:pPr>
        <w:numPr>
          <w:ilvl w:val="0"/>
          <w:numId w:val="1075"/>
        </w:numPr>
      </w:pPr>
      <w:r>
        <w:t xml:space="preserve">Retain offline Root CA per compliance and organizational policy. Store securely with documented recovery procedures.</w:t>
      </w:r>
    </w:p>
    <w:p>
      <w:pPr>
        <w:numPr>
          <w:ilvl w:val="0"/>
          <w:numId w:val="1075"/>
        </w:numPr>
      </w:pPr>
      <w:r>
        <w:t xml:space="preserve">Remove auto-enrollment GPOs for decommissioned templates.</w:t>
      </w:r>
    </w:p>
    <w:p>
      <w:pPr>
        <w:numPr>
          <w:ilvl w:val="0"/>
          <w:numId w:val="1075"/>
        </w:numPr>
      </w:pPr>
      <w:r>
        <w:t xml:space="preserve">Remove decommissioned CA's pKIEnrollmentService object from Active Directory.</w:t>
      </w:r>
    </w:p>
    <w:p>
      <w:pPr>
        <w:numPr>
          <w:ilvl w:val="0"/>
          <w:numId w:val="1075"/>
        </w:numPr>
      </w:pPr>
      <w:r>
        <w:t xml:space="preserve">Update Gitea repository: commit decommission record to assessments/pki/{domain}/{timestamp}/decommission.json.</w:t>
      </w:r>
    </w:p>
    <w:p>
      <w:pPr>
        <w:pStyle w:val="FirstParagraph"/>
      </w:pPr>
      <w:r>
        <w:rPr>
          <w:b/>
          <w:bCs/>
        </w:rPr>
        <w:t xml:space="preserve">Validation Criteria:</w:t>
      </w:r>
      <w:r>
        <w:t xml:space="preserve"> </w:t>
      </w:r>
      <w:r>
        <w:t xml:space="preserve">All ADCS infrastructure for MIGRATE workloads decommissioned or archived. Offline Root CA retained and documented. No orphaned auto-enrollment GPOs. Gitea repository updated.</w:t>
      </w:r>
    </w:p>
    <w:p>
      <w:pPr>
        <w:pStyle w:val="BodyText"/>
      </w:pPr>
      <w:r>
        <w:rPr>
          <w:b/>
          <w:bCs/>
        </w:rPr>
        <w:t xml:space="preserve">Rollback:</w:t>
      </w:r>
      <w:r>
        <w:t xml:space="preserve"> </w:t>
      </w:r>
      <w:r>
        <w:t xml:space="preserve">Restore Issuing CA from backup. Re-join to domain. Re-publish templates. Re-link GPOs. Full CA restoration estimated at 8–12 hours.</w:t>
      </w:r>
    </w:p>
    <w:p>
      <w:pPr>
        <w:pStyle w:val="BodyText"/>
      </w:pPr>
      <w:r>
        <w:rPr>
          <w:b/>
          <w:bCs/>
        </w:rPr>
        <w:t xml:space="preserve">Duration:</w:t>
      </w:r>
      <w:r>
        <w:t xml:space="preserve"> </w:t>
      </w:r>
      <w:r>
        <w:t xml:space="preserve">8 weeks.</w:t>
      </w:r>
    </w:p>
    <w:p>
      <w:pPr>
        <w:pStyle w:val="BodyText"/>
      </w:pPr>
      <w:r>
        <w:t xml:space="preserve">10. Monitoring, Compliance, and Drift Detection</w:t>
      </w:r>
    </w:p>
    <w:p>
      <w:pPr>
        <w:pStyle w:val="BodyText"/>
      </w:pPr>
      <w:r>
        <w:t xml:space="preserve">10.1 Intune Certificate Dashboard</w:t>
      </w:r>
    </w:p>
    <w:p>
      <w:pPr>
        <w:pStyle w:val="BodyText"/>
      </w:pPr>
      <w:r>
        <w:t xml:space="preserve">The Intune admin center provides certificate lifecycle visibility under Devices → Monitor → Certificate:</w:t>
      </w:r>
    </w:p>
    <w:p>
      <w:pPr>
        <w:numPr>
          <w:ilvl w:val="0"/>
          <w:numId w:val="1076"/>
        </w:numPr>
      </w:pPr>
      <w:r>
        <w:rPr>
          <w:b/>
          <w:bCs/>
        </w:rPr>
        <w:t xml:space="preserve">Issuance Success:</w:t>
      </w:r>
      <w:r>
        <w:t xml:space="preserve"> </w:t>
      </w:r>
      <w:r>
        <w:t xml:space="preserve">Certificates successfully deployed to devices.</w:t>
      </w:r>
    </w:p>
    <w:p>
      <w:pPr>
        <w:numPr>
          <w:ilvl w:val="0"/>
          <w:numId w:val="1076"/>
        </w:numPr>
      </w:pPr>
      <w:r>
        <w:rPr>
          <w:b/>
          <w:bCs/>
        </w:rPr>
        <w:t xml:space="preserve">Issuance Failure:</w:t>
      </w:r>
      <w:r>
        <w:t xml:space="preserve"> </w:t>
      </w:r>
      <w:r>
        <w:t xml:space="preserve">Certificate requests that failed — drill into error codes for root cause.</w:t>
      </w:r>
    </w:p>
    <w:p>
      <w:pPr>
        <w:numPr>
          <w:ilvl w:val="0"/>
          <w:numId w:val="1076"/>
        </w:numPr>
      </w:pPr>
      <w:r>
        <w:rPr>
          <w:b/>
          <w:bCs/>
        </w:rPr>
        <w:t xml:space="preserve">Pending:</w:t>
      </w:r>
      <w:r>
        <w:t xml:space="preserve"> </w:t>
      </w:r>
      <w:r>
        <w:t xml:space="preserve">Requests awaiting CA response (common with SCEP when NDES or Cloud PKI processing is delayed).</w:t>
      </w:r>
    </w:p>
    <w:p>
      <w:pPr>
        <w:numPr>
          <w:ilvl w:val="0"/>
          <w:numId w:val="1076"/>
        </w:numPr>
      </w:pPr>
      <w:r>
        <w:rPr>
          <w:b/>
          <w:bCs/>
        </w:rPr>
        <w:t xml:space="preserve">Expired:</w:t>
      </w:r>
      <w:r>
        <w:t xml:space="preserve"> </w:t>
      </w:r>
      <w:r>
        <w:t xml:space="preserve">Certificates past validity — indicates renewal failure or profile removal.</w:t>
      </w:r>
    </w:p>
    <w:p>
      <w:pPr>
        <w:pStyle w:val="FirstParagraph"/>
      </w:pPr>
      <w:r>
        <w:t xml:space="preserve">10.2 Certificate Compliance Policies</w:t>
      </w:r>
    </w:p>
    <w:p>
      <w:pPr>
        <w:pStyle w:val="BodyText"/>
      </w:pPr>
      <w:r>
        <w:t xml:space="preserve">Create Intune compliance policies that check for certificate presence:</w:t>
      </w:r>
    </w:p>
    <w:p>
      <w:pPr>
        <w:numPr>
          <w:ilvl w:val="0"/>
          <w:numId w:val="1077"/>
        </w:numPr>
      </w:pPr>
      <w:r>
        <w:rPr>
          <w:b/>
          <w:bCs/>
        </w:rPr>
        <w:t xml:space="preserve">Windows:</w:t>
      </w:r>
      <w:r>
        <w:t xml:space="preserve"> </w:t>
      </w:r>
      <w:r>
        <w:t xml:space="preserve">Custom compliance script that verifies certificate presence in the Personal store with expected issuer and EKU.</w:t>
      </w:r>
    </w:p>
    <w:p>
      <w:pPr>
        <w:numPr>
          <w:ilvl w:val="0"/>
          <w:numId w:val="1077"/>
        </w:numPr>
      </w:pPr>
      <w:r>
        <w:rPr>
          <w:b/>
          <w:bCs/>
        </w:rPr>
        <w:t xml:space="preserve">iOS/Android:</w:t>
      </w:r>
      <w:r>
        <w:t xml:space="preserve"> </w:t>
      </w:r>
      <w:r>
        <w:t xml:space="preserve">Compliance policy checks for valid certificate profile deployment status.</w:t>
      </w:r>
    </w:p>
    <w:p>
      <w:pPr>
        <w:numPr>
          <w:ilvl w:val="0"/>
          <w:numId w:val="1077"/>
        </w:numPr>
      </w:pPr>
      <w:r>
        <w:rPr>
          <w:b/>
          <w:bCs/>
        </w:rPr>
        <w:t xml:space="preserve">Non-compliant action:</w:t>
      </w:r>
      <w:r>
        <w:t xml:space="preserve"> </w:t>
      </w:r>
      <w:r>
        <w:t xml:space="preserve">Mark device non-compliant after grace period → block Conditional Access.</w:t>
      </w:r>
    </w:p>
    <w:p>
      <w:pPr>
        <w:pStyle w:val="FirstParagraph"/>
      </w:pPr>
      <w:r>
        <w:t xml:space="preserve">10.3 Drift Detection Patterns</w:t>
      </w:r>
    </w:p>
    <w:tbl>
      <w:tblPr>
        <w:tblStyle w:val="Table"/>
        <w:tblW w:type="pct" w:w="4955"/>
        <w:tblLayout w:type="fixed"/>
        <w:tblLook w:firstRow="1" w:lastRow="0" w:firstColumn="0" w:lastColumn="0" w:noHBand="0" w:noVBand="0" w:val="0020"/>
      </w:tblPr>
      <w:tblGrid>
        <w:gridCol w:w="1172"/>
        <w:gridCol w:w="2273"/>
        <w:gridCol w:w="2166"/>
        <w:gridCol w:w="2237"/>
      </w:tblGrid>
      <w:tr>
        <w:trPr>
          <w:tblHeader w:val="on"/>
        </w:trPr>
        <w:tc>
          <w:tcPr/>
          <w:p>
            <w:pPr>
              <w:pStyle w:val="Compact"/>
              <w:jc w:val="left"/>
            </w:pPr>
            <w:r>
              <w:rPr>
                <w:b/>
                <w:bCs/>
              </w:rPr>
              <w:t xml:space="preserve">Drift Pattern</w:t>
            </w:r>
          </w:p>
        </w:tc>
        <w:tc>
          <w:tcPr/>
          <w:p>
            <w:pPr>
              <w:pStyle w:val="Compact"/>
              <w:jc w:val="left"/>
            </w:pPr>
            <w:r>
              <w:rPr>
                <w:b/>
                <w:bCs/>
              </w:rPr>
              <w:t xml:space="preserve">Description</w:t>
            </w:r>
          </w:p>
        </w:tc>
        <w:tc>
          <w:tcPr/>
          <w:p>
            <w:pPr>
              <w:pStyle w:val="Compact"/>
              <w:jc w:val="left"/>
            </w:pPr>
            <w:r>
              <w:rPr>
                <w:b/>
                <w:bCs/>
              </w:rPr>
              <w:t xml:space="preserve">Detection Method</w:t>
            </w:r>
          </w:p>
        </w:tc>
        <w:tc>
          <w:tcPr/>
          <w:p>
            <w:pPr>
              <w:pStyle w:val="Compact"/>
              <w:jc w:val="left"/>
            </w:pPr>
            <w:r>
              <w:rPr>
                <w:b/>
                <w:bCs/>
              </w:rPr>
              <w:t xml:space="preserve">Remediation</w:t>
            </w:r>
          </w:p>
        </w:tc>
      </w:tr>
      <w:tr>
        <w:tc>
          <w:tcPr/>
          <w:p>
            <w:pPr>
              <w:pStyle w:val="Compact"/>
              <w:jc w:val="left"/>
            </w:pPr>
            <w:r>
              <w:t xml:space="preserve">Expired certificates</w:t>
            </w:r>
          </w:p>
        </w:tc>
        <w:tc>
          <w:tcPr/>
          <w:p>
            <w:pPr>
              <w:pStyle w:val="Compact"/>
              <w:jc w:val="left"/>
            </w:pPr>
            <w:r>
              <w:t xml:space="preserve">Certificates past validity period still present on device</w:t>
            </w:r>
          </w:p>
        </w:tc>
        <w:tc>
          <w:tcPr/>
          <w:p>
            <w:pPr>
              <w:pStyle w:val="Compact"/>
              <w:jc w:val="left"/>
            </w:pPr>
            <w:r>
              <w:t xml:space="preserve">Get-FMPCertificateHealth — checks expiry &lt; 30 days V</w:t>
            </w:r>
          </w:p>
        </w:tc>
        <w:tc>
          <w:tcPr/>
          <w:p>
            <w:pPr>
              <w:pStyle w:val="Compact"/>
              <w:jc w:val="left"/>
            </w:pPr>
            <w:r>
              <w:t xml:space="preserve">erify SCEP renewal profile; reissue if needed</w:t>
            </w:r>
          </w:p>
        </w:tc>
      </w:tr>
      <w:tr>
        <w:tc>
          <w:tcPr/>
          <w:p>
            <w:pPr>
              <w:pStyle w:val="Compact"/>
              <w:jc w:val="left"/>
            </w:pPr>
            <w:r>
              <w:t xml:space="preserve">ADCS certs on migrated devices</w:t>
            </w:r>
          </w:p>
        </w:tc>
        <w:tc>
          <w:tcPr/>
          <w:p>
            <w:pPr>
              <w:pStyle w:val="Compact"/>
              <w:jc w:val="left"/>
            </w:pPr>
            <w:r>
              <w:t xml:space="preserve">Device has ADCS-issued cert for a MIGRATE-classified use case</w:t>
            </w:r>
          </w:p>
        </w:tc>
        <w:tc>
          <w:tcPr/>
          <w:p>
            <w:pPr>
              <w:pStyle w:val="Compact"/>
              <w:jc w:val="left"/>
            </w:pPr>
            <w:r>
              <w:t xml:space="preserve">Compare cert issuer against Cloud PKI CA DN</w:t>
            </w:r>
          </w:p>
        </w:tc>
        <w:tc>
          <w:tcPr/>
          <w:p>
            <w:pPr>
              <w:pStyle w:val="Compact"/>
              <w:jc w:val="left"/>
            </w:pPr>
            <w:r>
              <w:t xml:space="preserve">Verify Cloud PKI profile assigned; wait for ADCS cert expiry</w:t>
            </w:r>
          </w:p>
        </w:tc>
      </w:tr>
      <w:tr>
        <w:tc>
          <w:tcPr/>
          <w:p>
            <w:pPr>
              <w:pStyle w:val="Compact"/>
              <w:jc w:val="left"/>
            </w:pPr>
            <w:r>
              <w:t xml:space="preserve">Unauthorized CA issuance</w:t>
            </w:r>
          </w:p>
        </w:tc>
        <w:tc>
          <w:tcPr/>
          <w:p>
            <w:pPr>
              <w:pStyle w:val="Compact"/>
              <w:jc w:val="left"/>
            </w:pPr>
            <w:r>
              <w:t xml:space="preserve">Certificates issued by unexpected CA (rogue or misconfigured)</w:t>
            </w:r>
          </w:p>
        </w:tc>
        <w:tc>
          <w:tcPr/>
          <w:p>
            <w:pPr>
              <w:pStyle w:val="Compact"/>
              <w:jc w:val="left"/>
            </w:pPr>
            <w:r>
              <w:t xml:space="preserve">Monitor NTAuthCertificates changes; audit CA issuance logs</w:t>
            </w:r>
          </w:p>
        </w:tc>
        <w:tc>
          <w:tcPr/>
          <w:p>
            <w:pPr>
              <w:pStyle w:val="Compact"/>
              <w:jc w:val="left"/>
            </w:pPr>
            <w:r>
              <w:t xml:space="preserve">Investigate CA; revoke unauthorized certs</w:t>
            </w:r>
          </w:p>
        </w:tc>
      </w:tr>
      <w:tr>
        <w:tc>
          <w:tcPr/>
          <w:p>
            <w:pPr>
              <w:pStyle w:val="Compact"/>
              <w:jc w:val="left"/>
            </w:pPr>
            <w:r>
              <w:t xml:space="preserve">Missing strong mapping</w:t>
            </w:r>
          </w:p>
        </w:tc>
        <w:tc>
          <w:tcPr/>
          <w:p>
            <w:pPr>
              <w:pStyle w:val="Compact"/>
              <w:jc w:val="left"/>
            </w:pPr>
            <w:r>
              <w:t xml:space="preserve">Certificate lacks SID URI in SAN — will fail Kerberos auth</w:t>
            </w:r>
          </w:p>
        </w:tc>
        <w:tc>
          <w:tcPr/>
          <w:p>
            <w:pPr>
              <w:pStyle w:val="Compact"/>
              <w:jc w:val="left"/>
            </w:pPr>
            <w:r>
              <w:t xml:space="preserve">Parse SAN for tag:microsoft.com URI</w:t>
            </w:r>
          </w:p>
        </w:tc>
        <w:tc>
          <w:tcPr/>
          <w:p>
            <w:pPr>
              <w:pStyle w:val="Compact"/>
              <w:jc w:val="left"/>
            </w:pPr>
            <w:r>
              <w:t xml:space="preserve">Reissue certificate with updated Connector/profile</w:t>
            </w:r>
          </w:p>
        </w:tc>
      </w:tr>
      <w:tr>
        <w:tc>
          <w:tcPr/>
          <w:p>
            <w:pPr>
              <w:pStyle w:val="Compact"/>
              <w:jc w:val="left"/>
            </w:pPr>
            <w:r>
              <w:t xml:space="preserve">Orphaned profiles</w:t>
            </w:r>
          </w:p>
        </w:tc>
        <w:tc>
          <w:tcPr/>
          <w:p>
            <w:pPr>
              <w:pStyle w:val="Compact"/>
              <w:jc w:val="left"/>
            </w:pPr>
            <w:r>
              <w:t xml:space="preserve">Certificate profile assigned but target group is empty</w:t>
            </w:r>
          </w:p>
        </w:tc>
        <w:tc>
          <w:tcPr/>
          <w:p>
            <w:pPr>
              <w:pStyle w:val="Compact"/>
              <w:jc w:val="left"/>
            </w:pPr>
            <w:r>
              <w:t xml:space="preserve">Intune profile assignment audit</w:t>
            </w:r>
          </w:p>
        </w:tc>
        <w:tc>
          <w:tcPr/>
          <w:p>
            <w:pPr>
              <w:pStyle w:val="Compact"/>
              <w:jc w:val="left"/>
            </w:pPr>
            <w:r>
              <w:t xml:space="preserve">Remove or reassign profile</w:t>
            </w:r>
          </w:p>
        </w:tc>
      </w:tr>
    </w:tbl>
    <w:p>
      <w:pPr>
        <w:pStyle w:val="BodyText"/>
      </w:pPr>
      <w:r>
        <w:t xml:space="preserve">10.4 PowerShell Health Functions</w:t>
      </w:r>
    </w:p>
    <w:p>
      <w:pPr>
        <w:pStyle w:val="BodyText"/>
      </w:pPr>
      <w:r>
        <w:t xml:space="preserve">function Get-FMPCertificateHealth { &lt;# .SYNOPSIS Checks certificate health on the local machine or remote endpoints. .DESCRIPTION Validates certificate expiry, chain trust, strong mapping presence, and issuer classification (Cloud PKI vs. ADCS). #&gt; [CmdletBinding] param( [Parameter(Mandatory = $false)] [string]$StoreName = "My", [Parameter(Mandatory = $false)] [int]$ExpiryWarningDays = 30, [Parameter(Mandatory = $false)] [string]$ExpectedIssuerCN = "" ) $certs = Get-ChildItem -Path "Cert:\LocalMachine\$StoreName" -Recurse | Where-Object { $_.HasPrivateKey } $results = @ foreach ($cert in $certs) { $daysToExpiry = ($cert.NotAfter - (Get-Date)).Days $sanExtension = $cert.Extensions | Where-Object { $_.Oid.Value -eq '2.5.29.17' } $hasStrongMapping = $false if ($sanExtension) { $sanText = $sanExtension.Format($true) $hasStrongMapping = $sanText -match 'tag:microsoft\.com' } $issuerType = if ($cert.Issuer -match 'Cloud PKI|Intune') { 'CloudPKI' } else { 'ADCS' } $status = 'Healthy' if ($daysToExpiry -lt 0) { $status = 'Expired' } elseif ($daysToExpiry -lt $ExpiryWarningDays) { $status = 'ExpiringSoon' } $results += [PSCustomObject]@{ Thumbprint = $cert.Thumbprint Subject = $cert.Subject Issuer = $cert.Issuer IssuerType = $issuerType NotAfter = $cert.NotAfter DaysToExpiry = $daysToExpiry HasStrongMapping = $hasStrongMapping Status = $status } } return $results }</w:t>
      </w:r>
    </w:p>
    <w:p>
      <w:pPr>
        <w:pStyle w:val="BodyText"/>
      </w:pPr>
      <w:r>
        <w:t xml:space="preserve">function Test-FMPCertificateCompliance { &lt;# .SYNOPSIS Tests certificate compliance against the Federal Modernization Program PKI policy. .DESCRIPTION Verifies that managed devices have the expected certificates from the correct CA source with proper configuration. #&gt; [CmdletBinding] param( [Parameter(Mandatory = $true)] [string]$ExpectedIssuerCN, [Parameter(Mandatory = $false)] [string]$ExpectedEKU = "1.3.6.1.5.5.7.3.2", [Parameter(Mandatory = $false)] [int]$MinKeySize = 2048 ) $health = Get-FMPCertificateHealth $compliance = @{ DeviceName = $env:COMPUTERNAME CheckDate = Get-Date -Format 'yyyy-MM-ddTHH:mm:ssZ' Compliant = $true Findings = @ } # Check for expected certificate $matchingCerts = $health | Where-Object { $_.Issuer -match $ExpectedIssuerCN } if (-not $matchingCerts) { $compliance.Compliant = $false $compliance.Findings += "MISSING: No certificate from expected issuer '$ExpectedIssuerCN'" } # Check for expired certificates $expired = $health | Where-Object { $_.Status -eq 'Expired' } if ($expired) { $compliance.Findings += "WARNING: $($expired.Count) expired certificate(s) found" } # Check for ADCS certs that should be Cloud PKI $adcsMigrate = $health | Where-Object { $_.IssuerType -eq 'ADCS' -and $_.Status -ne 'Expired' } if ($adcsMigrate) { $compliance.Findings += "DRIFT: $($adcsMigrate.Count) active ADCS certificate(s) — verify migration status" } # Check strong mapping $noStrongMap = $health | Where-Object { -not $_.HasStrongMapping -and $_.Status -ne 'Expired' } if ($noStrongMap) { $compliance.Findings += "RISK: $($noStrongMap.Count) certificate(s) without strong mapping SID URI" } return [PSCustomObject]$compliance }</w:t>
      </w:r>
    </w:p>
    <w:p>
      <w:pPr>
        <w:pStyle w:val="BodyText"/>
      </w:pPr>
      <w:r>
        <w:t xml:space="preserve">10.5 Gitea Integration</w:t>
      </w:r>
    </w:p>
    <w:p>
      <w:pPr>
        <w:pStyle w:val="BodyText"/>
      </w:pPr>
      <w:r>
        <w:t xml:space="preserve">Certificate health reports are committed to the Federal Modernization Program Gitea repository for historical tracking and audit:</w:t>
      </w:r>
    </w:p>
    <w:p>
      <w:pPr>
        <w:numPr>
          <w:ilvl w:val="0"/>
          <w:numId w:val="1078"/>
        </w:numPr>
      </w:pPr>
      <w:r>
        <w:rPr>
          <w:b/>
          <w:bCs/>
        </w:rPr>
        <w:t xml:space="preserve">Path:</w:t>
      </w:r>
      <w:r>
        <w:t xml:space="preserve"> </w:t>
      </w:r>
      <w:r>
        <w:t xml:space="preserve">assessments/pki/{domain}/{timestamp}/</w:t>
      </w:r>
    </w:p>
    <w:p>
      <w:pPr>
        <w:numPr>
          <w:ilvl w:val="0"/>
          <w:numId w:val="1078"/>
        </w:numPr>
      </w:pPr>
      <w:r>
        <w:rPr>
          <w:b/>
          <w:bCs/>
        </w:rPr>
        <w:t xml:space="preserve">Files:</w:t>
      </w:r>
      <w:r>
        <w:t xml:space="preserve"> </w:t>
      </w:r>
      <w:r>
        <w:t xml:space="preserve">ca-inventory.json, template-inventory.json, esc-assessment.json, certificate-health.json, compliance-report.json</w:t>
      </w:r>
    </w:p>
    <w:p>
      <w:pPr>
        <w:numPr>
          <w:ilvl w:val="0"/>
          <w:numId w:val="1078"/>
        </w:numPr>
      </w:pPr>
      <w:r>
        <w:rPr>
          <w:b/>
          <w:bCs/>
        </w:rPr>
        <w:t xml:space="preserve">Automation:</w:t>
      </w:r>
      <w:r>
        <w:t xml:space="preserve"> </w:t>
      </w:r>
      <w:r>
        <w:t xml:space="preserve">Schedule Export-FMPPKIAssessment via scheduled task or Intune proactive remediation to run weekly and commit results.</w:t>
      </w:r>
    </w:p>
    <w:p>
      <w:pPr>
        <w:pStyle w:val="FirstParagraph"/>
      </w:pPr>
      <w:r>
        <w:t xml:space="preserve">11. Security Hardening</w:t>
      </w:r>
    </w:p>
    <w:p>
      <w:pPr>
        <w:pStyle w:val="BodyText"/>
      </w:pPr>
      <w:r>
        <w:t xml:space="preserve">11.1 Cloud PKI Hardening</w:t>
      </w:r>
    </w:p>
    <w:p>
      <w:pPr>
        <w:numPr>
          <w:ilvl w:val="0"/>
          <w:numId w:val="1079"/>
        </w:numPr>
      </w:pPr>
      <w:r>
        <w:rPr>
          <w:b/>
          <w:bCs/>
        </w:rPr>
        <w:t xml:space="preserve">RBAC:</w:t>
      </w:r>
      <w:r>
        <w:t xml:space="preserve"> </w:t>
      </w:r>
      <w:r>
        <w:t xml:space="preserve">Restrict Cloud PKI administration to dedicated Intune PKI Administrator roles. Use Privileged Identity Management (PIM) for just-in-time access to CA management.</w:t>
      </w:r>
    </w:p>
    <w:p>
      <w:pPr>
        <w:numPr>
          <w:ilvl w:val="0"/>
          <w:numId w:val="1079"/>
        </w:numPr>
      </w:pPr>
      <w:r>
        <w:rPr>
          <w:b/>
          <w:bCs/>
        </w:rPr>
        <w:t xml:space="preserve">Template Restrictions:</w:t>
      </w:r>
      <w:r>
        <w:t xml:space="preserve"> </w:t>
      </w:r>
      <w:r>
        <w:t xml:space="preserve">Limit SCEP profile configurations to specific EKUs. Do not enable "Any Purpose" on Cloud PKI profiles.</w:t>
      </w:r>
    </w:p>
    <w:p>
      <w:pPr>
        <w:numPr>
          <w:ilvl w:val="0"/>
          <w:numId w:val="1079"/>
        </w:numPr>
      </w:pPr>
      <w:r>
        <w:rPr>
          <w:b/>
          <w:bCs/>
        </w:rPr>
        <w:t xml:space="preserve">TPM-Backed Keys:</w:t>
      </w:r>
      <w:r>
        <w:t xml:space="preserve"> </w:t>
      </w:r>
      <w:r>
        <w:t xml:space="preserve">Where platform supports it (Windows, macOS), configure SCEP profiles to require TPM-backed key storage. This prevents private key export.</w:t>
      </w:r>
    </w:p>
    <w:p>
      <w:pPr>
        <w:numPr>
          <w:ilvl w:val="0"/>
          <w:numId w:val="1079"/>
        </w:numPr>
      </w:pPr>
      <w:r>
        <w:rPr>
          <w:b/>
          <w:bCs/>
        </w:rPr>
        <w:t xml:space="preserve">Certificate Transparency:</w:t>
      </w:r>
      <w:r>
        <w:t xml:space="preserve"> </w:t>
      </w:r>
      <w:r>
        <w:t xml:space="preserve">Monitor Cloud PKI issuance logs in the Intune admin center. Set alerts for unexpected certificate issuance volumes.</w:t>
      </w:r>
    </w:p>
    <w:p>
      <w:pPr>
        <w:numPr>
          <w:ilvl w:val="0"/>
          <w:numId w:val="1079"/>
        </w:numPr>
      </w:pPr>
      <w:r>
        <w:rPr>
          <w:b/>
          <w:bCs/>
        </w:rPr>
        <w:t xml:space="preserve">Key Size:</w:t>
      </w:r>
      <w:r>
        <w:t xml:space="preserve"> </w:t>
      </w:r>
      <w:r>
        <w:t xml:space="preserve">Enforce minimum 2048-bit RSA for standard workloads; 4096-bit RSA for Tier 0 assets.</w:t>
      </w:r>
    </w:p>
    <w:p>
      <w:pPr>
        <w:numPr>
          <w:ilvl w:val="0"/>
          <w:numId w:val="1079"/>
        </w:numPr>
      </w:pPr>
      <w:r>
        <w:rPr>
          <w:b/>
          <w:bCs/>
        </w:rPr>
        <w:t xml:space="preserve">Validity Period:</w:t>
      </w:r>
      <w:r>
        <w:t xml:space="preserve"> </w:t>
      </w:r>
      <w:r>
        <w:t xml:space="preserve">Set certificate validity to the shortest period practical for the use case: 1 year for user/device auth; 2 years for infrastructure certificates.</w:t>
      </w:r>
    </w:p>
    <w:p>
      <w:pPr>
        <w:pStyle w:val="FirstParagraph"/>
      </w:pPr>
      <w:r>
        <w:t xml:space="preserve">11.2 Entra CBA Hardening</w:t>
      </w:r>
    </w:p>
    <w:p>
      <w:pPr>
        <w:numPr>
          <w:ilvl w:val="0"/>
          <w:numId w:val="1080"/>
        </w:numPr>
      </w:pPr>
      <w:r>
        <w:rPr>
          <w:b/>
          <w:bCs/>
        </w:rPr>
        <w:t xml:space="preserve">High-Affinity Binding:</w:t>
      </w:r>
      <w:r>
        <w:t xml:space="preserve"> </w:t>
      </w:r>
      <w:r>
        <w:t xml:space="preserve">Use certificateUserIds binding (SKI, SHA1, or Issuer+SerialNumber) for production. Avoid low-affinity UPN-only binding in production environments.</w:t>
      </w:r>
    </w:p>
    <w:p>
      <w:pPr>
        <w:numPr>
          <w:ilvl w:val="0"/>
          <w:numId w:val="1080"/>
        </w:numPr>
      </w:pPr>
      <w:r>
        <w:rPr>
          <w:b/>
          <w:bCs/>
        </w:rPr>
        <w:t xml:space="preserve">Authentication Strength Policies:</w:t>
      </w:r>
      <w:r>
        <w:t xml:space="preserve"> </w:t>
      </w:r>
      <w:r>
        <w:t xml:space="preserve">Create a custom authentication strength definition that requires CBA from specific issuers with specific policy OIDs. Use this in Conditional Access policies for high-sensitivity resources.</w:t>
      </w:r>
    </w:p>
    <w:p>
      <w:pPr>
        <w:numPr>
          <w:ilvl w:val="0"/>
          <w:numId w:val="1080"/>
        </w:numPr>
      </w:pPr>
      <w:r>
        <w:rPr>
          <w:b/>
          <w:bCs/>
        </w:rPr>
        <w:t xml:space="preserve">Conditional Access with CBA:</w:t>
      </w:r>
      <w:r>
        <w:t xml:space="preserve"> </w:t>
      </w:r>
      <w:r>
        <w:t xml:space="preserve">Create policies that require CBA + compliant device for access to sensitive applications. This ensures both identity verification (certificate) and device posture (Intune compliance).</w:t>
      </w:r>
    </w:p>
    <w:p>
      <w:pPr>
        <w:numPr>
          <w:ilvl w:val="0"/>
          <w:numId w:val="1080"/>
        </w:numPr>
      </w:pPr>
      <w:r>
        <w:rPr>
          <w:b/>
          <w:bCs/>
        </w:rPr>
        <w:t xml:space="preserve">CRL Configuration:</w:t>
      </w:r>
      <w:r>
        <w:t xml:space="preserve"> </w:t>
      </w:r>
      <w:r>
        <w:t xml:space="preserve">Ensure CRL URLs are accessible and refresh intervals are appropriate (no more than 24 hours for issuing CAs). Configure CRL pre-fetching in Entra to avoid authentication delays.</w:t>
      </w:r>
    </w:p>
    <w:p>
      <w:pPr>
        <w:numPr>
          <w:ilvl w:val="0"/>
          <w:numId w:val="1080"/>
        </w:numPr>
      </w:pPr>
      <w:r>
        <w:rPr>
          <w:b/>
          <w:bCs/>
        </w:rPr>
        <w:t xml:space="preserve">Certificate Authority Trust Scope:</w:t>
      </w:r>
      <w:r>
        <w:t xml:space="preserve"> </w:t>
      </w:r>
      <w:r>
        <w:t xml:space="preserve">Only upload CA certificates to Entra that are actively needed. Remove decommissioned CA certificates promptly to prevent trust chain abuse.</w:t>
      </w:r>
    </w:p>
    <w:p>
      <w:pPr>
        <w:pStyle w:val="FirstParagraph"/>
      </w:pPr>
      <w:r>
        <w:t xml:space="preserve">11.3 Residual ADCS Hardening</w:t>
      </w:r>
    </w:p>
    <w:p>
      <w:pPr>
        <w:pStyle w:val="BodyText"/>
      </w:pPr>
      <w:r>
        <w:t xml:space="preserve">For ADCS infrastructure retained during the BRIDGE period:</w:t>
      </w:r>
    </w:p>
    <w:p>
      <w:pPr>
        <w:numPr>
          <w:ilvl w:val="0"/>
          <w:numId w:val="1081"/>
        </w:numPr>
      </w:pPr>
      <w:r>
        <w:rPr>
          <w:b/>
          <w:bCs/>
        </w:rPr>
        <w:t xml:space="preserve">Lock Templates:</w:t>
      </w:r>
      <w:r>
        <w:t xml:space="preserve"> </w:t>
      </w:r>
      <w:r>
        <w:t xml:space="preserve">Remove auto-enrollment permissions from all templates except those actively needed for BRIDGE/RETAIN workloads.</w:t>
      </w:r>
    </w:p>
    <w:p>
      <w:pPr>
        <w:numPr>
          <w:ilvl w:val="0"/>
          <w:numId w:val="1081"/>
        </w:numPr>
      </w:pPr>
      <w:r>
        <w:rPr>
          <w:b/>
          <w:bCs/>
        </w:rPr>
        <w:t xml:space="preserve">Monitor Unauthorized Requests:</w:t>
      </w:r>
      <w:r>
        <w:t xml:space="preserve"> </w:t>
      </w:r>
      <w:r>
        <w:t xml:space="preserve">Enable CA audit logging (Event IDs 4886, 4887, 4888). Forward to SIEM. Alert on certificate requests for templates that should be disabled.</w:t>
      </w:r>
    </w:p>
    <w:p>
      <w:pPr>
        <w:numPr>
          <w:ilvl w:val="0"/>
          <w:numId w:val="1081"/>
        </w:numPr>
      </w:pPr>
      <w:r>
        <w:rPr>
          <w:b/>
          <w:bCs/>
        </w:rPr>
        <w:t xml:space="preserve">Maintain CRL Schedule:</w:t>
      </w:r>
      <w:r>
        <w:t xml:space="preserve"> </w:t>
      </w:r>
      <w:r>
        <w:t xml:space="preserve">Ensure CRL publication continues on schedule. A lapsed CRL will cause authentication failures for all certificates in the chain.</w:t>
      </w:r>
    </w:p>
    <w:p>
      <w:pPr>
        <w:numPr>
          <w:ilvl w:val="0"/>
          <w:numId w:val="1081"/>
        </w:numPr>
      </w:pPr>
      <w:r>
        <w:rPr>
          <w:b/>
          <w:bCs/>
        </w:rPr>
        <w:t xml:space="preserve">Patch CA Servers:</w:t>
      </w:r>
      <w:r>
        <w:t xml:space="preserve"> </w:t>
      </w:r>
      <w:r>
        <w:t xml:space="preserve">Continue applying security updates to Issuing CA servers. CA servers are Tier 0 assets.</w:t>
      </w:r>
    </w:p>
    <w:p>
      <w:pPr>
        <w:numPr>
          <w:ilvl w:val="0"/>
          <w:numId w:val="1081"/>
        </w:numPr>
      </w:pPr>
      <w:r>
        <w:rPr>
          <w:b/>
          <w:bCs/>
        </w:rPr>
        <w:t xml:space="preserve">Network Isolation:</w:t>
      </w:r>
      <w:r>
        <w:t xml:space="preserve"> </w:t>
      </w:r>
      <w:r>
        <w:t xml:space="preserve">Restrict network access to CA servers. Only authorized enrollment endpoints (NDES, Certificate Connector, domain controllers) should have RPC access to the CA.</w:t>
      </w:r>
    </w:p>
    <w:p>
      <w:pPr>
        <w:pStyle w:val="FirstParagraph"/>
      </w:pPr>
      <w:r>
        <w:t xml:space="preserve">12. Troubleshooting Reference</w:t>
      </w:r>
    </w:p>
    <w:tbl>
      <w:tblPr>
        <w:tblStyle w:val="Table"/>
        <w:tblW w:type="pct" w:w="4973"/>
        <w:tblLayout w:type="fixed"/>
        <w:tblLook w:firstRow="1" w:lastRow="0" w:firstColumn="0" w:lastColumn="0" w:noHBand="0" w:noVBand="0" w:val="0020"/>
      </w:tblPr>
      <w:tblGrid>
        <w:gridCol w:w="638"/>
        <w:gridCol w:w="2001"/>
        <w:gridCol w:w="2405"/>
        <w:gridCol w:w="2831"/>
      </w:tblGrid>
      <w:tr>
        <w:trPr>
          <w:tblHeader w:val="on"/>
        </w:trPr>
        <w:tc>
          <w:tcPr/>
          <w:p>
            <w:pPr>
              <w:pStyle w:val="Compact"/>
              <w:jc w:val="left"/>
            </w:pPr>
            <w:r>
              <w:rPr>
                <w:b/>
                <w:bCs/>
              </w:rPr>
              <w:t xml:space="preserve">Issue</w:t>
            </w:r>
          </w:p>
        </w:tc>
        <w:tc>
          <w:tcPr/>
          <w:p>
            <w:pPr>
              <w:pStyle w:val="Compact"/>
              <w:jc w:val="left"/>
            </w:pPr>
            <w:r>
              <w:rPr>
                <w:b/>
                <w:bCs/>
              </w:rPr>
              <w:t xml:space="preserve">Symptoms</w:t>
            </w:r>
          </w:p>
        </w:tc>
        <w:tc>
          <w:tcPr/>
          <w:p>
            <w:pPr>
              <w:pStyle w:val="Compact"/>
              <w:jc w:val="left"/>
            </w:pPr>
            <w:r>
              <w:rPr>
                <w:b/>
                <w:bCs/>
              </w:rPr>
              <w:t xml:space="preserve">Root Cause</w:t>
            </w:r>
          </w:p>
        </w:tc>
        <w:tc>
          <w:tcPr/>
          <w:p>
            <w:pPr>
              <w:pStyle w:val="Compact"/>
              <w:jc w:val="left"/>
            </w:pPr>
            <w:r>
              <w:rPr>
                <w:b/>
                <w:bCs/>
              </w:rPr>
              <w:t xml:space="preserve">Resolution</w:t>
            </w:r>
          </w:p>
        </w:tc>
      </w:tr>
      <w:tr>
        <w:tc>
          <w:tcPr/>
          <w:p>
            <w:pPr>
              <w:pStyle w:val="Compact"/>
              <w:jc w:val="left"/>
            </w:pPr>
            <w:r>
              <w:t xml:space="preserve">SCEP pending</w:t>
            </w:r>
          </w:p>
        </w:tc>
        <w:tc>
          <w:tcPr/>
          <w:p>
            <w:pPr>
              <w:pStyle w:val="Compact"/>
              <w:jc w:val="left"/>
            </w:pPr>
            <w:r>
              <w:t xml:space="preserve">Certificate profile shows "Pending" in Intune for &gt;30 minutes</w:t>
            </w:r>
          </w:p>
        </w:tc>
        <w:tc>
          <w:tcPr/>
          <w:p>
            <w:pPr>
              <w:pStyle w:val="Compact"/>
              <w:jc w:val="left"/>
            </w:pPr>
            <w:r>
              <w:t xml:space="preserve">Cloud PKI processing delay; NDES connectivity issue (if on-prem); device not checking in</w:t>
            </w:r>
          </w:p>
        </w:tc>
        <w:tc>
          <w:tcPr/>
          <w:p>
            <w:pPr>
              <w:pStyle w:val="Compact"/>
              <w:jc w:val="left"/>
            </w:pPr>
            <w:r>
              <w:t xml:space="preserve">Sync device in Intune; verify NDES URL accessibility; check Cloud PKI service health in Intune admin center</w:t>
            </w:r>
          </w:p>
        </w:tc>
      </w:tr>
      <w:tr>
        <w:tc>
          <w:tcPr/>
          <w:p>
            <w:pPr>
              <w:pStyle w:val="Compact"/>
              <w:jc w:val="left"/>
            </w:pPr>
            <w:r>
              <w:t xml:space="preserve">PKCS failure</w:t>
            </w:r>
          </w:p>
        </w:tc>
        <w:tc>
          <w:tcPr/>
          <w:p>
            <w:pPr>
              <w:pStyle w:val="Compact"/>
              <w:jc w:val="left"/>
            </w:pPr>
            <w:r>
              <w:t xml:space="preserve">Event ID 1001 in Certificate Connector logs; profile shows "Failed"</w:t>
            </w:r>
          </w:p>
        </w:tc>
        <w:tc>
          <w:tcPr/>
          <w:p>
            <w:pPr>
              <w:pStyle w:val="Compact"/>
              <w:jc w:val="left"/>
            </w:pPr>
            <w:r>
              <w:t xml:space="preserve">Incorrect CA FQDN or CA Name in PKCS profile; Connector service account lacks Enroll permission on template</w:t>
            </w:r>
          </w:p>
        </w:tc>
        <w:tc>
          <w:tcPr/>
          <w:p>
            <w:pPr>
              <w:pStyle w:val="Compact"/>
              <w:jc w:val="left"/>
            </w:pPr>
            <w:r>
              <w:t xml:space="preserve">Verify CA FQDN and CA Name match exactly; grant Enroll to Connector service account on ADCS template</w:t>
            </w:r>
          </w:p>
        </w:tc>
      </w:tr>
      <w:tr>
        <w:tc>
          <w:tcPr/>
          <w:p>
            <w:pPr>
              <w:pStyle w:val="Compact"/>
              <w:jc w:val="left"/>
            </w:pPr>
            <w:r>
              <w:t xml:space="preserve">Strong mapping failure</w:t>
            </w:r>
          </w:p>
        </w:tc>
        <w:tc>
          <w:tcPr/>
          <w:p>
            <w:pPr>
              <w:pStyle w:val="Compact"/>
              <w:jc w:val="left"/>
            </w:pPr>
            <w:r>
              <w:t xml:space="preserve">Kerberos authentication fails with KDC_ERR_CLIENT_NAME_MISMATCH after KB5014754 enforcement</w:t>
            </w:r>
          </w:p>
        </w:tc>
        <w:tc>
          <w:tcPr/>
          <w:p>
            <w:pPr>
              <w:pStyle w:val="Compact"/>
              <w:jc w:val="left"/>
            </w:pPr>
            <w:r>
              <w:t xml:space="preserve">Certificate lacks SID URI in SAN; old Connector version; SID not synced to Entra</w:t>
            </w:r>
          </w:p>
        </w:tc>
        <w:tc>
          <w:tcPr/>
          <w:p>
            <w:pPr>
              <w:pStyle w:val="Compact"/>
              <w:jc w:val="left"/>
            </w:pPr>
            <w:r>
              <w:t xml:space="preserve">Update Connector to v6.2406+; verify SID sync via Entra Connect; reissue certificate</w:t>
            </w:r>
          </w:p>
        </w:tc>
      </w:tr>
      <w:tr>
        <w:tc>
          <w:tcPr/>
          <w:p>
            <w:pPr>
              <w:pStyle w:val="Compact"/>
              <w:jc w:val="left"/>
            </w:pPr>
            <w:r>
              <w:t xml:space="preserve">Entra CBA failure</w:t>
            </w:r>
          </w:p>
        </w:tc>
        <w:tc>
          <w:tcPr/>
          <w:p>
            <w:pPr>
              <w:pStyle w:val="Compact"/>
              <w:jc w:val="left"/>
            </w:pPr>
            <w:r>
              <w:t xml:space="preserve">User cannot sign in with certificate; error "Certificate validation failed"</w:t>
            </w:r>
          </w:p>
        </w:tc>
        <w:tc>
          <w:tcPr/>
          <w:p>
            <w:pPr>
              <w:pStyle w:val="Compact"/>
              <w:jc w:val="left"/>
            </w:pPr>
            <w:r>
              <w:t xml:space="preserve">CA certificate not uploaded to Entra trust store; CRL inaccessible; certificate expired; binding rule mismatch</w:t>
            </w:r>
          </w:p>
        </w:tc>
        <w:tc>
          <w:tcPr/>
          <w:p>
            <w:pPr>
              <w:pStyle w:val="Compact"/>
              <w:jc w:val="left"/>
            </w:pPr>
            <w:r>
              <w:t xml:space="preserve">Upload CA certs; verify CRL URL accessible from internet; check certificate validity; verify binding rule matches cert SAN/subject</w:t>
            </w:r>
          </w:p>
        </w:tc>
      </w:tr>
      <w:tr>
        <w:tc>
          <w:tcPr/>
          <w:p>
            <w:pPr>
              <w:pStyle w:val="Compact"/>
              <w:jc w:val="left"/>
            </w:pPr>
            <w:r>
              <w:t xml:space="preserve">Cloud PKI issuance failure</w:t>
            </w:r>
          </w:p>
        </w:tc>
        <w:tc>
          <w:tcPr/>
          <w:p>
            <w:pPr>
              <w:pStyle w:val="Compact"/>
              <w:jc w:val="left"/>
            </w:pPr>
            <w:r>
              <w:t xml:space="preserve">SCEP profile error: "Certificate Authority error"</w:t>
            </w:r>
          </w:p>
        </w:tc>
        <w:tc>
          <w:tcPr/>
          <w:p>
            <w:pPr>
              <w:pStyle w:val="Compact"/>
              <w:jc w:val="left"/>
            </w:pPr>
            <w:r>
              <w:t xml:space="preserve">Cloud PKI Issuing CA not active; BYOCA CSR not signed or uploaded; Intune Suite license expired</w:t>
            </w:r>
          </w:p>
        </w:tc>
        <w:tc>
          <w:tcPr/>
          <w:p>
            <w:pPr>
              <w:pStyle w:val="Compact"/>
              <w:jc w:val="left"/>
            </w:pPr>
            <w:r>
              <w:t xml:space="preserve">Verify Issuing CA status in Intune admin center; complete BYOCA setup; verify licensing</w:t>
            </w:r>
          </w:p>
        </w:tc>
      </w:tr>
      <w:tr>
        <w:tc>
          <w:tcPr/>
          <w:p>
            <w:pPr>
              <w:pStyle w:val="Compact"/>
              <w:jc w:val="left"/>
            </w:pPr>
            <w:r>
              <w:t xml:space="preserve">Trusted Root not deploying</w:t>
            </w:r>
          </w:p>
        </w:tc>
        <w:tc>
          <w:tcPr/>
          <w:p>
            <w:pPr>
              <w:pStyle w:val="Compact"/>
              <w:jc w:val="left"/>
            </w:pPr>
            <w:r>
              <w:t xml:space="preserve">Device does not have Root CA in Trusted Root store</w:t>
            </w:r>
          </w:p>
        </w:tc>
        <w:tc>
          <w:tcPr/>
          <w:p>
            <w:pPr>
              <w:pStyle w:val="Compact"/>
              <w:jc w:val="left"/>
            </w:pPr>
            <w:r>
              <w:t xml:space="preserve">Profile not assigned to device group; device not syncing with Intune; .cer file format incorrect</w:t>
            </w:r>
          </w:p>
        </w:tc>
        <w:tc>
          <w:tcPr/>
          <w:p>
            <w:pPr>
              <w:pStyle w:val="Compact"/>
              <w:jc w:val="left"/>
            </w:pPr>
            <w:r>
              <w:t xml:space="preserve">Verify profile assignment; sync device; re-export root cert as Base-64 .cer</w:t>
            </w:r>
          </w:p>
        </w:tc>
      </w:tr>
      <w:tr>
        <w:tc>
          <w:tcPr/>
          <w:p>
            <w:pPr>
              <w:pStyle w:val="Compact"/>
              <w:jc w:val="left"/>
            </w:pPr>
            <w:r>
              <w:t xml:space="preserve">Certificate renewal failure</w:t>
            </w:r>
          </w:p>
        </w:tc>
        <w:tc>
          <w:tcPr/>
          <w:p>
            <w:pPr>
              <w:pStyle w:val="Compact"/>
              <w:jc w:val="left"/>
            </w:pPr>
            <w:r>
              <w:t xml:space="preserve">Certificate expires without renewal; new cert not issued</w:t>
            </w:r>
          </w:p>
        </w:tc>
        <w:tc>
          <w:tcPr/>
          <w:p>
            <w:pPr>
              <w:pStyle w:val="Compact"/>
              <w:jc w:val="left"/>
            </w:pPr>
            <w:r>
              <w:t xml:space="preserve">SCEP renewal window configuration; device offline during renewal period; profile removed</w:t>
            </w:r>
          </w:p>
        </w:tc>
        <w:tc>
          <w:tcPr/>
          <w:p>
            <w:pPr>
              <w:pStyle w:val="Compact"/>
              <w:jc w:val="left"/>
            </w:pPr>
            <w:r>
              <w:t xml:space="preserve">Verify renewal percentage setting (default 20%); ensure device checks in before expiry; verify profile still assigned</w:t>
            </w:r>
          </w:p>
        </w:tc>
      </w:tr>
      <w:tr>
        <w:tc>
          <w:tcPr/>
          <w:p>
            <w:pPr>
              <w:pStyle w:val="Compact"/>
              <w:jc w:val="left"/>
            </w:pPr>
            <w:r>
              <w:t xml:space="preserve">Hybrid trust failure</w:t>
            </w:r>
          </w:p>
        </w:tc>
        <w:tc>
          <w:tcPr/>
          <w:p>
            <w:pPr>
              <w:pStyle w:val="Compact"/>
              <w:jc w:val="left"/>
            </w:pPr>
            <w:r>
              <w:t xml:space="preserve">On-prem servers reject Cloud PKI certificates; cloud rejects ADCS certificates</w:t>
            </w:r>
          </w:p>
        </w:tc>
        <w:tc>
          <w:tcPr/>
          <w:p>
            <w:pPr>
              <w:pStyle w:val="Compact"/>
              <w:jc w:val="left"/>
            </w:pPr>
            <w:r>
              <w:t xml:space="preserve">Cloud PKI root not deployed to on-prem via GPO; ADCS root not uploaded to Entra trust store</w:t>
            </w:r>
          </w:p>
        </w:tc>
        <w:tc>
          <w:tcPr/>
          <w:p>
            <w:pPr>
              <w:pStyle w:val="Compact"/>
              <w:jc w:val="left"/>
            </w:pPr>
            <w:r>
              <w:t xml:space="preserve">Deploy Cloud PKI root via GPO to on-prem; upload ADCS root to Entra certificate authorities</w:t>
            </w:r>
          </w:p>
        </w:tc>
      </w:tr>
      <w:tr>
        <w:tc>
          <w:tcPr/>
          <w:p>
            <w:pPr>
              <w:pStyle w:val="Compact"/>
              <w:jc w:val="left"/>
            </w:pPr>
            <w:r>
              <w:t xml:space="preserve">CRL unavailable</w:t>
            </w:r>
          </w:p>
        </w:tc>
        <w:tc>
          <w:tcPr/>
          <w:p>
            <w:pPr>
              <w:pStyle w:val="Compact"/>
              <w:jc w:val="left"/>
            </w:pPr>
            <w:r>
              <w:t xml:space="preserve">Authentication failures with "Revocation check failed" errors</w:t>
            </w:r>
          </w:p>
        </w:tc>
        <w:tc>
          <w:tcPr/>
          <w:p>
            <w:pPr>
              <w:pStyle w:val="Compact"/>
              <w:jc w:val="left"/>
            </w:pPr>
            <w:r>
              <w:t xml:space="preserve">On-prem CRL HTTP endpoint not accessible from internet; CRL expired (CA offline)</w:t>
            </w:r>
          </w:p>
        </w:tc>
        <w:tc>
          <w:tcPr/>
          <w:p>
            <w:pPr>
              <w:pStyle w:val="Compact"/>
              <w:jc w:val="left"/>
            </w:pPr>
            <w:r>
              <w:t xml:space="preserve">Publish CRL via Azure App Proxy; bring CA online to publish fresh CRL</w:t>
            </w:r>
          </w:p>
        </w:tc>
      </w:tr>
      <w:tr>
        <w:tc>
          <w:tcPr/>
          <w:p>
            <w:pPr>
              <w:pStyle w:val="Compact"/>
              <w:jc w:val="left"/>
            </w:pPr>
            <w:r>
              <w:t xml:space="preserve">Connector health failure</w:t>
            </w:r>
          </w:p>
        </w:tc>
        <w:tc>
          <w:tcPr/>
          <w:p>
            <w:pPr>
              <w:pStyle w:val="Compact"/>
              <w:jc w:val="left"/>
            </w:pPr>
            <w:r>
              <w:t xml:space="preserve">Certificate Connector shows "Unhealthy" in Intune admin center</w:t>
            </w:r>
          </w:p>
        </w:tc>
        <w:tc>
          <w:tcPr/>
          <w:p>
            <w:pPr>
              <w:pStyle w:val="Compact"/>
              <w:jc w:val="left"/>
            </w:pPr>
            <w:r>
              <w:t xml:space="preserve">Connector service stopped; server cannot reach Intune service endpoints; certificate expired on Connector</w:t>
            </w:r>
          </w:p>
        </w:tc>
        <w:tc>
          <w:tcPr/>
          <w:p>
            <w:pPr>
              <w:pStyle w:val="Compact"/>
              <w:jc w:val="left"/>
            </w:pPr>
            <w:r>
              <w:t xml:space="preserve">Restart "Intune Certificate Connector" service; verify outbound HTTPS to *.manage.microsoft.com; renew Connector registration</w:t>
            </w:r>
          </w:p>
        </w:tc>
      </w:tr>
      <w:tr>
        <w:tc>
          <w:tcPr/>
          <w:p>
            <w:pPr>
              <w:pStyle w:val="Compact"/>
              <w:jc w:val="left"/>
            </w:pPr>
            <w:r>
              <w:t xml:space="preserve">Template permission denied</w:t>
            </w:r>
          </w:p>
        </w:tc>
        <w:tc>
          <w:tcPr/>
          <w:p>
            <w:pPr>
              <w:pStyle w:val="Compact"/>
              <w:jc w:val="left"/>
            </w:pPr>
            <w:r>
              <w:t xml:space="preserve">PKCS or SCEP via NDES returns "Access denied" from CA</w:t>
            </w:r>
          </w:p>
        </w:tc>
        <w:tc>
          <w:tcPr/>
          <w:p>
            <w:pPr>
              <w:pStyle w:val="Compact"/>
              <w:jc w:val="left"/>
            </w:pPr>
            <w:r>
              <w:t xml:space="preserve">Connector service account or NDES account lacks Enroll permission on the ADCS template</w:t>
            </w:r>
          </w:p>
        </w:tc>
        <w:tc>
          <w:tcPr/>
          <w:p>
            <w:pPr>
              <w:pStyle w:val="Compact"/>
              <w:jc w:val="left"/>
            </w:pPr>
            <w:r>
              <w:t xml:space="preserve">Grant Enroll (and Read) permission to the service account on the certificate template Security tab</w:t>
            </w:r>
          </w:p>
        </w:tc>
      </w:tr>
      <w:tr>
        <w:tc>
          <w:tcPr/>
          <w:p>
            <w:pPr>
              <w:pStyle w:val="Compact"/>
              <w:jc w:val="left"/>
            </w:pPr>
            <w:r>
              <w:t xml:space="preserve">NDES HTTP 500</w:t>
            </w:r>
          </w:p>
        </w:tc>
        <w:tc>
          <w:tcPr/>
          <w:p>
            <w:pPr>
              <w:pStyle w:val="Compact"/>
              <w:jc w:val="left"/>
            </w:pPr>
            <w:r>
              <w:t xml:space="preserve">SCEP requests fail with HTTP 500 from NDES endpoint</w:t>
            </w:r>
          </w:p>
        </w:tc>
        <w:tc>
          <w:tcPr/>
          <w:p>
            <w:pPr>
              <w:pStyle w:val="Compact"/>
              <w:jc w:val="left"/>
            </w:pPr>
            <w:r>
              <w:t xml:space="preserve">NDES application pool crashed; NDES registration authority certificate expired; IIS misconfiguration</w:t>
            </w:r>
          </w:p>
        </w:tc>
        <w:tc>
          <w:tcPr/>
          <w:p>
            <w:pPr>
              <w:pStyle w:val="Compact"/>
              <w:jc w:val="left"/>
            </w:pPr>
            <w:r>
              <w:t xml:space="preserve">Recycle NDES app pool; renew RA certificates (CEP Encryption and Exchange Enrollment Agent); verify IIS request filtering settings</w:t>
            </w:r>
          </w:p>
        </w:tc>
      </w:tr>
      <w:tr>
        <w:tc>
          <w:tcPr/>
          <w:p>
            <w:pPr>
              <w:pStyle w:val="Compact"/>
              <w:jc w:val="left"/>
            </w:pPr>
            <w:r>
              <w:t xml:space="preserve">CBA MFA not satisfied</w:t>
            </w:r>
          </w:p>
        </w:tc>
        <w:tc>
          <w:tcPr/>
          <w:p>
            <w:pPr>
              <w:pStyle w:val="Compact"/>
              <w:jc w:val="left"/>
            </w:pPr>
            <w:r>
              <w:t xml:space="preserve">Conditional Access blocks access requiring MFA despite CBA login</w:t>
            </w:r>
          </w:p>
        </w:tc>
        <w:tc>
          <w:tcPr/>
          <w:p>
            <w:pPr>
              <w:pStyle w:val="Compact"/>
              <w:jc w:val="left"/>
            </w:pPr>
            <w:r>
              <w:t xml:space="preserve">CBA authentication method not configured as "multi-factor" protection level</w:t>
            </w:r>
          </w:p>
        </w:tc>
        <w:tc>
          <w:tcPr/>
          <w:p>
            <w:pPr>
              <w:pStyle w:val="Compact"/>
              <w:jc w:val="left"/>
            </w:pPr>
            <w:r>
              <w:t xml:space="preserve">Update CBA method policy: set protection level to "Multi-factor authentication" for the issuer/policy OID combination</w:t>
            </w:r>
          </w:p>
        </w:tc>
      </w:tr>
    </w:tbl>
    <w:p>
      <w:pPr>
        <w:pStyle w:val="BodyText"/>
      </w:pPr>
      <w:r>
        <w:t xml:space="preserve">13. Companion Document Cross-Reference</w:t>
      </w:r>
    </w:p>
    <w:tbl>
      <w:tblPr>
        <w:tblStyle w:val="Table"/>
        <w:tblW w:type="pct" w:w="4956"/>
        <w:tblLayout w:type="fixed"/>
        <w:tblLook w:firstRow="1" w:lastRow="0" w:firstColumn="0" w:lastColumn="0" w:noHBand="0" w:noVBand="0" w:val="0020"/>
      </w:tblPr>
      <w:tblGrid>
        <w:gridCol w:w="1348"/>
        <w:gridCol w:w="1763"/>
        <w:gridCol w:w="4738"/>
      </w:tblGrid>
      <w:tr>
        <w:trPr>
          <w:tblHeader w:val="on"/>
        </w:trPr>
        <w:tc>
          <w:tcPr/>
          <w:p>
            <w:pPr>
              <w:pStyle w:val="Compact"/>
              <w:jc w:val="left"/>
            </w:pPr>
            <w:r>
              <w:rPr>
                <w:b/>
                <w:bCs/>
              </w:rPr>
              <w:t xml:space="preserve">Section</w:t>
            </w:r>
          </w:p>
        </w:tc>
        <w:tc>
          <w:tcPr/>
          <w:p>
            <w:pPr>
              <w:pStyle w:val="Compact"/>
            </w:pPr>
            <w:r>
              <w:t xml:space="preserve">**Related the Federal Modernization Program Documen</w:t>
            </w:r>
          </w:p>
        </w:tc>
        <w:tc>
          <w:tcPr/>
          <w:p>
            <w:pPr>
              <w:pStyle w:val="Compact"/>
              <w:jc w:val="left"/>
            </w:pPr>
            <w:r>
              <w:t xml:space="preserve">t**</w:t>
            </w:r>
            <w:r>
              <w:t xml:space="preserve"> </w:t>
            </w:r>
            <w:r>
              <w:rPr>
                <w:b/>
                <w:bCs/>
              </w:rPr>
              <w:t xml:space="preserve">Relationship</w:t>
            </w:r>
          </w:p>
        </w:tc>
      </w:tr>
      <w:tr>
        <w:tc>
          <w:tcPr/>
          <w:p>
            <w:pPr>
              <w:pStyle w:val="Compact"/>
              <w:jc w:val="left"/>
            </w:pPr>
            <w:r>
              <w:t xml:space="preserve">Section 1 — Purpose and Scope</w:t>
            </w:r>
          </w:p>
        </w:tc>
        <w:tc>
          <w:tcPr/>
          <w:p>
            <w:pPr>
              <w:pStyle w:val="Compact"/>
            </w:pPr>
            <w:r>
              <w:t xml:space="preserve">the Federal Modernization Program Overview</w:t>
            </w:r>
          </w:p>
        </w:tc>
        <w:tc>
          <w:tcPr/>
          <w:p>
            <w:pPr>
              <w:pStyle w:val="Compact"/>
              <w:jc w:val="left"/>
            </w:pPr>
            <w:r>
              <w:t xml:space="preserve">This guide is part of the program corpus; scope aligns with overall modernization strategy.</w:t>
            </w:r>
          </w:p>
        </w:tc>
      </w:tr>
      <w:tr>
        <w:tc>
          <w:tcPr/>
          <w:p>
            <w:pPr>
              <w:pStyle w:val="Compact"/>
              <w:jc w:val="left"/>
            </w:pPr>
            <w:r>
              <w:t xml:space="preserve">Section 2 — ADCS Baseline</w:t>
            </w:r>
          </w:p>
        </w:tc>
        <w:tc>
          <w:tcPr/>
          <w:p>
            <w:pPr>
              <w:pStyle w:val="Compact"/>
            </w:pPr>
            <w:r>
              <w:t xml:space="preserve">AD Interaction Guide</w:t>
            </w:r>
          </w:p>
        </w:tc>
        <w:tc>
          <w:tcPr/>
          <w:p>
            <w:pPr>
              <w:pStyle w:val="Compact"/>
              <w:jc w:val="left"/>
            </w:pPr>
            <w:r>
              <w:t xml:space="preserve">ADCS assessment outputs feed the AD Interaction Guide's infrastructure inventory. CA server data populates the AD topology map.</w:t>
            </w:r>
          </w:p>
        </w:tc>
      </w:tr>
      <w:tr>
        <w:tc>
          <w:tcPr/>
          <w:p>
            <w:pPr>
              <w:pStyle w:val="Compact"/>
              <w:jc w:val="left"/>
            </w:pPr>
            <w:r>
              <w:t xml:space="preserve">Section 3 — ESC Vulnerabilities</w:t>
            </w:r>
          </w:p>
        </w:tc>
        <w:tc>
          <w:tcPr/>
          <w:p>
            <w:pPr>
              <w:pStyle w:val="Compact"/>
            </w:pPr>
            <w:r>
              <w:t xml:space="preserve">AD Security Assessment Guide</w:t>
            </w:r>
          </w:p>
        </w:tc>
        <w:tc>
          <w:tcPr/>
          <w:p>
            <w:pPr>
              <w:pStyle w:val="Compact"/>
              <w:jc w:val="left"/>
            </w:pPr>
            <w:r>
              <w:t xml:space="preserve">ESC findings integrate with the broader AD security posture assessment. Critical findings may block AD decommission timelines.</w:t>
            </w:r>
          </w:p>
        </w:tc>
      </w:tr>
      <w:tr>
        <w:tc>
          <w:tcPr/>
          <w:p>
            <w:pPr>
              <w:pStyle w:val="Compact"/>
              <w:jc w:val="left"/>
            </w:pPr>
            <w:r>
              <w:t xml:space="preserve">Section 4 — Certificate Inventory</w:t>
            </w:r>
          </w:p>
        </w:tc>
        <w:tc>
          <w:tcPr/>
          <w:p>
            <w:pPr>
              <w:pStyle w:val="Compact"/>
            </w:pPr>
            <w:r>
              <w:t xml:space="preserve">AD Interaction Guide</w:t>
            </w:r>
          </w:p>
        </w:tc>
        <w:tc>
          <w:tcPr/>
          <w:p>
            <w:pPr>
              <w:pStyle w:val="Compact"/>
              <w:jc w:val="left"/>
            </w:pPr>
            <w:r>
              <w:t xml:space="preserve">Certificate classification (MIGRATE/BRIDGE/RETAIN/RETIRE) informs AD dependency mapping.</w:t>
            </w:r>
          </w:p>
        </w:tc>
      </w:tr>
      <w:tr>
        <w:tc>
          <w:tcPr/>
          <w:p>
            <w:pPr>
              <w:pStyle w:val="Compact"/>
              <w:jc w:val="left"/>
            </w:pPr>
            <w:r>
              <w:t xml:space="preserve">Section 5 — Cloud PKI Architecture</w:t>
            </w:r>
          </w:p>
        </w:tc>
        <w:tc>
          <w:tcPr/>
          <w:p>
            <w:pPr>
              <w:pStyle w:val="Compact"/>
            </w:pPr>
            <w:r>
              <w:t xml:space="preserve">Identity Modernization Guide</w:t>
            </w:r>
          </w:p>
        </w:tc>
        <w:tc>
          <w:tcPr/>
          <w:p>
            <w:pPr>
              <w:pStyle w:val="Compact"/>
              <w:jc w:val="left"/>
            </w:pPr>
            <w:r>
              <w:t xml:space="preserve">Cloud PKI deployment depends on Intune Suite licensing and Entra ID readiness documented in the Identity Modernization Guide.</w:t>
            </w:r>
          </w:p>
        </w:tc>
      </w:tr>
      <w:tr>
        <w:tc>
          <w:tcPr/>
          <w:p>
            <w:pPr>
              <w:pStyle w:val="Compact"/>
              <w:jc w:val="left"/>
            </w:pPr>
            <w:r>
              <w:t xml:space="preserve">Section 6 — Intune Deployment</w:t>
            </w:r>
          </w:p>
        </w:tc>
        <w:tc>
          <w:tcPr/>
          <w:p>
            <w:pPr>
              <w:pStyle w:val="Compact"/>
            </w:pPr>
            <w:r>
              <w:t xml:space="preserve">AD Computer Object Conversion Guide</w:t>
            </w:r>
          </w:p>
        </w:tc>
        <w:tc>
          <w:tcPr/>
          <w:p>
            <w:pPr>
              <w:pStyle w:val="Compact"/>
              <w:jc w:val="left"/>
            </w:pPr>
            <w:r>
              <w:t xml:space="preserve">SCEP/PKCS profiles require Intune-enrolled devices. Device enrollment is governed by the Computer Object Conversion Guide.</w:t>
            </w:r>
          </w:p>
        </w:tc>
      </w:tr>
      <w:tr>
        <w:tc>
          <w:tcPr/>
          <w:p>
            <w:pPr>
              <w:pStyle w:val="Compact"/>
              <w:jc w:val="left"/>
            </w:pPr>
            <w:r>
              <w:t xml:space="preserve">Section 7 — Entra CBA</w:t>
            </w:r>
          </w:p>
        </w:tc>
        <w:tc>
          <w:tcPr/>
          <w:p>
            <w:pPr>
              <w:pStyle w:val="Compact"/>
            </w:pPr>
            <w:r>
              <w:t xml:space="preserve">Identity Modernization Guide</w:t>
            </w:r>
          </w:p>
        </w:tc>
        <w:tc>
          <w:tcPr/>
          <w:p>
            <w:pPr>
              <w:pStyle w:val="Compact"/>
              <w:jc w:val="left"/>
            </w:pPr>
            <w:r>
              <w:t xml:space="preserve">CBA staged rollout and domain conversion must align with identity migration phases. Entra Connect SID sync is a prerequisite.</w:t>
            </w:r>
          </w:p>
        </w:tc>
      </w:tr>
      <w:tr>
        <w:tc>
          <w:tcPr/>
          <w:p>
            <w:pPr>
              <w:pStyle w:val="Compact"/>
              <w:jc w:val="left"/>
            </w:pPr>
            <w:r>
              <w:t xml:space="preserve">Section 8 — Hybrid Coexistence</w:t>
            </w:r>
          </w:p>
        </w:tc>
        <w:tc>
          <w:tcPr/>
          <w:p>
            <w:pPr>
              <w:pStyle w:val="Compact"/>
            </w:pPr>
            <w:r>
              <w:t xml:space="preserve">AD Interaction Guide, Network Architecture Guide</w:t>
            </w:r>
          </w:p>
        </w:tc>
        <w:tc>
          <w:tcPr/>
          <w:p>
            <w:pPr>
              <w:pStyle w:val="Compact"/>
              <w:jc w:val="left"/>
            </w:pPr>
            <w:r>
              <w:t xml:space="preserve">Hybrid trust distribution and CRL accessibility depend on network architecture and AD operational status.</w:t>
            </w:r>
          </w:p>
        </w:tc>
      </w:tr>
      <w:tr>
        <w:tc>
          <w:tcPr/>
          <w:p>
            <w:pPr>
              <w:pStyle w:val="Compact"/>
              <w:jc w:val="left"/>
            </w:pPr>
            <w:r>
              <w:t xml:space="preserve">Section 9 — Migration Playbook</w:t>
            </w:r>
          </w:p>
        </w:tc>
        <w:tc>
          <w:tcPr/>
          <w:p>
            <w:pPr>
              <w:pStyle w:val="Compact"/>
            </w:pPr>
            <w:r>
              <w:t xml:space="preserve">All the Federal Modernization Program Guides</w:t>
            </w:r>
          </w:p>
        </w:tc>
        <w:tc>
          <w:tcPr/>
          <w:p>
            <w:pPr>
              <w:pStyle w:val="Compact"/>
              <w:jc w:val="left"/>
            </w:pPr>
            <w:r>
              <w:t xml:space="preserve">Migration phases cross-reference assessment, identity, device, and network modernization timelines.</w:t>
            </w:r>
          </w:p>
        </w:tc>
      </w:tr>
      <w:tr>
        <w:tc>
          <w:tcPr/>
          <w:p>
            <w:pPr>
              <w:pStyle w:val="Compact"/>
              <w:jc w:val="left"/>
            </w:pPr>
            <w:r>
              <w:t xml:space="preserve">Section 10 — Monitoring</w:t>
            </w:r>
          </w:p>
        </w:tc>
        <w:tc>
          <w:tcPr/>
          <w:p>
            <w:pPr>
              <w:pStyle w:val="Compact"/>
            </w:pPr>
            <w:r>
              <w:t xml:space="preserve">The Federal Modernization Program Monitoring and Co</w:t>
            </w:r>
          </w:p>
        </w:tc>
        <w:tc>
          <w:tcPr/>
          <w:p>
            <w:pPr>
              <w:pStyle w:val="Compact"/>
              <w:jc w:val="left"/>
            </w:pPr>
            <w:r>
              <w:t xml:space="preserve">mpliance Guide Certificate health telemetry integrates with the broader monitoring framework. Gitea commit patterns follow the Federal Modernization Program assessment standards.</w:t>
            </w:r>
          </w:p>
        </w:tc>
      </w:tr>
      <w:tr>
        <w:tc>
          <w:tcPr/>
          <w:p>
            <w:pPr>
              <w:pStyle w:val="Compact"/>
              <w:jc w:val="left"/>
            </w:pPr>
            <w:r>
              <w:t xml:space="preserve">Section 11 — Security Hardening</w:t>
            </w:r>
          </w:p>
        </w:tc>
        <w:tc>
          <w:tcPr/>
          <w:p>
            <w:pPr>
              <w:pStyle w:val="Compact"/>
            </w:pPr>
            <w:r>
              <w:t xml:space="preserve">AD Security Assessment Guide</w:t>
            </w:r>
          </w:p>
        </w:tc>
        <w:tc>
          <w:tcPr/>
          <w:p>
            <w:pPr>
              <w:pStyle w:val="Compact"/>
              <w:jc w:val="left"/>
            </w:pPr>
            <w:r>
              <w:t xml:space="preserve">ADCS hardening aligns with the AD security baseline. Cloud PKI RBAC aligns with Entra role governance.</w:t>
            </w:r>
          </w:p>
        </w:tc>
      </w:tr>
    </w:tbl>
    <w:p>
      <w:pPr>
        <w:pStyle w:val="BodyText"/>
      </w:pPr>
      <w:r>
        <w:t xml:space="preserve">Appendix A — Cloud PKI Deployment Checklist</w:t>
      </w:r>
    </w:p>
    <w:tbl>
      <w:tblPr>
        <w:tblStyle w:val="Table"/>
        <w:tblW w:type="pct" w:w="4923"/>
        <w:tblLayout w:type="fixed"/>
        <w:tblLook w:firstRow="1" w:lastRow="0" w:firstColumn="0" w:lastColumn="0" w:noHBand="0" w:noVBand="0" w:val="0020"/>
      </w:tblPr>
      <w:tblGrid>
        <w:gridCol w:w="548"/>
        <w:gridCol w:w="4569"/>
        <w:gridCol w:w="913"/>
        <w:gridCol w:w="974"/>
        <w:gridCol w:w="792"/>
      </w:tblGrid>
      <w:tr>
        <w:trPr>
          <w:tblHeader w:val="on"/>
        </w:trPr>
        <w:tc>
          <w:tcPr/>
          <w:p>
            <w:pPr>
              <w:pStyle w:val="Compact"/>
              <w:jc w:val="left"/>
            </w:pPr>
            <w:r>
              <w:rPr>
                <w:b/>
                <w:bCs/>
              </w:rPr>
              <w:t xml:space="preserve">#</w:t>
            </w:r>
          </w:p>
        </w:tc>
        <w:tc>
          <w:tcPr/>
          <w:p>
            <w:pPr>
              <w:pStyle w:val="Compact"/>
              <w:jc w:val="left"/>
            </w:pPr>
            <w:r>
              <w:rPr>
                <w:b/>
                <w:bCs/>
              </w:rPr>
              <w:t xml:space="preserve">Task</w:t>
            </w:r>
          </w:p>
        </w:tc>
        <w:tc>
          <w:tcPr/>
          <w:p>
            <w:pPr>
              <w:pStyle w:val="Compact"/>
              <w:jc w:val="left"/>
            </w:pPr>
            <w:r>
              <w:rPr>
                <w:b/>
                <w:bCs/>
              </w:rPr>
              <w:t xml:space="preserve">Phase</w:t>
            </w:r>
          </w:p>
        </w:tc>
        <w:tc>
          <w:tcPr/>
          <w:p>
            <w:pPr>
              <w:pStyle w:val="Compact"/>
              <w:jc w:val="left"/>
            </w:pPr>
            <w:r>
              <w:rPr>
                <w:b/>
                <w:bCs/>
              </w:rPr>
              <w:t xml:space="preserve">Owner</w:t>
            </w:r>
          </w:p>
        </w:tc>
        <w:tc>
          <w:tcPr/>
          <w:p>
            <w:pPr>
              <w:pStyle w:val="Compact"/>
              <w:jc w:val="left"/>
            </w:pPr>
            <w:r>
              <w:rPr>
                <w:b/>
                <w:bCs/>
              </w:rPr>
              <w:t xml:space="preserve">Status</w:t>
            </w:r>
          </w:p>
        </w:tc>
      </w:tr>
      <w:tr>
        <w:tc>
          <w:tcPr/>
          <w:p>
            <w:pPr>
              <w:pStyle w:val="Compact"/>
              <w:jc w:val="left"/>
            </w:pPr>
            <w:r>
              <w:t xml:space="preserve">1</w:t>
            </w:r>
          </w:p>
        </w:tc>
        <w:tc>
          <w:tcPr/>
          <w:p>
            <w:pPr>
              <w:pStyle w:val="Compact"/>
              <w:jc w:val="left"/>
            </w:pPr>
            <w:r>
              <w:t xml:space="preserve">Verify Intune Suite or standalone Cloud PKI license is active</w:t>
            </w:r>
          </w:p>
        </w:tc>
        <w:tc>
          <w:tcPr/>
          <w:p>
            <w:pPr>
              <w:pStyle w:val="Compact"/>
              <w:jc w:val="left"/>
            </w:pPr>
            <w:r>
              <w:t xml:space="preserve">Foundation</w:t>
            </w:r>
          </w:p>
        </w:tc>
        <w:tc>
          <w:tcPr/>
          <w:p>
            <w:pPr>
              <w:pStyle w:val="Compact"/>
              <w:jc w:val="left"/>
            </w:pPr>
            <w:r>
              <w:t xml:space="preserve">Licensing</w:t>
            </w:r>
          </w:p>
        </w:tc>
        <w:tc>
          <w:tcPr/>
          <w:p>
            <w:pPr>
              <w:pStyle w:val="Compact"/>
              <w:jc w:val="left"/>
            </w:pPr>
            <w:r>
              <w:t xml:space="preserve">☐</w:t>
            </w:r>
          </w:p>
        </w:tc>
      </w:tr>
      <w:tr>
        <w:tc>
          <w:tcPr/>
          <w:p>
            <w:pPr>
              <w:pStyle w:val="Compact"/>
              <w:jc w:val="left"/>
            </w:pPr>
            <w:r>
              <w:t xml:space="preserve">2</w:t>
            </w:r>
          </w:p>
        </w:tc>
        <w:tc>
          <w:tcPr/>
          <w:p>
            <w:pPr>
              <w:pStyle w:val="Compact"/>
              <w:jc w:val="left"/>
            </w:pPr>
            <w:r>
              <w:t xml:space="preserve">Determine deployment model: Cloud PKI Root CA vs. BYOCA</w:t>
            </w:r>
          </w:p>
        </w:tc>
        <w:tc>
          <w:tcPr/>
          <w:p>
            <w:pPr>
              <w:pStyle w:val="Compact"/>
              <w:jc w:val="left"/>
            </w:pPr>
            <w:r>
              <w:t xml:space="preserve">Foundation</w:t>
            </w:r>
          </w:p>
        </w:tc>
        <w:tc>
          <w:tcPr/>
          <w:p>
            <w:pPr>
              <w:pStyle w:val="Compact"/>
              <w:jc w:val="left"/>
            </w:pPr>
            <w:r>
              <w:t xml:space="preserve">PKI Architect</w:t>
            </w:r>
          </w:p>
        </w:tc>
        <w:tc>
          <w:tcPr/>
          <w:p>
            <w:pPr>
              <w:pStyle w:val="Compact"/>
              <w:jc w:val="left"/>
            </w:pPr>
            <w:r>
              <w:t xml:space="preserve">☐</w:t>
            </w:r>
          </w:p>
        </w:tc>
      </w:tr>
      <w:tr>
        <w:tc>
          <w:tcPr/>
          <w:p>
            <w:pPr>
              <w:pStyle w:val="Compact"/>
              <w:jc w:val="left"/>
            </w:pPr>
            <w:r>
              <w:t xml:space="preserve">3</w:t>
            </w:r>
          </w:p>
        </w:tc>
        <w:tc>
          <w:tcPr/>
          <w:p>
            <w:pPr>
              <w:pStyle w:val="Compact"/>
              <w:jc w:val="left"/>
            </w:pPr>
            <w:r>
              <w:t xml:space="preserve">Create Cloud PKI Root CA (if Cloud Root model)</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Generate CSR for Cloud Issuing 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Sign CSR with on-prem Root CA (if BYOCA)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Upload signed certificate to Cloud PKI (if BYOCA)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Activate Cloud PKI Issuing CA</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Verify Cloud PKI CRL distribution point is accessible</w:t>
            </w:r>
          </w:p>
        </w:tc>
        <w:tc>
          <w:tcPr/>
          <w:p>
            <w:pPr>
              <w:pStyle w:val="Compact"/>
              <w:jc w:val="left"/>
            </w:pPr>
            <w:r>
              <w:t xml:space="preserve">Foundation</w:t>
            </w:r>
          </w:p>
        </w:tc>
        <w:tc>
          <w:tcPr/>
          <w:p>
            <w:pPr>
              <w:pStyle w:val="Compact"/>
              <w:jc w:val="left"/>
            </w:pPr>
            <w:r>
              <w:t xml:space="preserve">Network</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Export Root CA certificate (.cer, Base-64)</w:t>
            </w:r>
          </w:p>
        </w:tc>
        <w:tc>
          <w:tcPr/>
          <w:p>
            <w:pPr>
              <w:pStyle w:val="Compact"/>
              <w:jc w:val="left"/>
            </w:pPr>
            <w:r>
              <w:t xml:space="preserve">Foundation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Upload Root CA and Issuing CA certs to Entra certificate authorities</w:t>
            </w:r>
          </w:p>
        </w:tc>
        <w:tc>
          <w:tcPr/>
          <w:p>
            <w:pPr>
              <w:pStyle w:val="Compact"/>
              <w:jc w:val="left"/>
            </w:pPr>
            <w:r>
              <w:t xml:space="preserve">Foundation</w:t>
            </w:r>
          </w:p>
        </w:tc>
        <w:tc>
          <w:tcPr/>
          <w:p>
            <w:pPr>
              <w:pStyle w:val="Compact"/>
              <w:jc w:val="left"/>
            </w:pPr>
            <w:r>
              <w:t xml:space="preserve">Identity</w:t>
            </w:r>
          </w:p>
        </w:tc>
        <w:tc>
          <w:tcPr/>
          <w:p>
            <w:pPr>
              <w:pStyle w:val="Compact"/>
              <w:jc w:val="left"/>
            </w:pPr>
            <w:r>
              <w:t xml:space="preserve">☐</w:t>
            </w:r>
          </w:p>
        </w:tc>
      </w:tr>
      <w:tr>
        <w:tc>
          <w:tcPr/>
          <w:p>
            <w:pPr>
              <w:pStyle w:val="Compact"/>
              <w:jc w:val="left"/>
            </w:pPr>
            <w:r>
              <w:t xml:space="preserve">11</w:t>
            </w:r>
          </w:p>
        </w:tc>
        <w:tc>
          <w:tcPr/>
          <w:p>
            <w:pPr>
              <w:pStyle w:val="Compact"/>
              <w:jc w:val="left"/>
            </w:pPr>
            <w:r>
              <w:t xml:space="preserve">Create Intune Trusted Root Certificate profile</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12</w:t>
            </w:r>
          </w:p>
        </w:tc>
        <w:tc>
          <w:tcPr/>
          <w:p>
            <w:pPr>
              <w:pStyle w:val="Compact"/>
              <w:jc w:val="left"/>
            </w:pPr>
            <w:r>
              <w:t xml:space="preserve">Assign Trusted Root profile to All Devices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13</w:t>
            </w:r>
          </w:p>
        </w:tc>
        <w:tc>
          <w:tcPr/>
          <w:p>
            <w:pPr>
              <w:pStyle w:val="Compact"/>
              <w:jc w:val="left"/>
            </w:pPr>
            <w:r>
              <w:t xml:space="preserve">Verify Trusted Root deployment &gt;99% success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14</w:t>
            </w:r>
          </w:p>
        </w:tc>
        <w:tc>
          <w:tcPr/>
          <w:p>
            <w:pPr>
              <w:pStyle w:val="Compact"/>
              <w:jc w:val="left"/>
            </w:pPr>
            <w:r>
              <w:t xml:space="preserve">Install Certificate Connector for Microsoft Intune (v6.2406+)</w:t>
            </w:r>
          </w:p>
        </w:tc>
        <w:tc>
          <w:tcPr/>
          <w:p>
            <w:pPr>
              <w:pStyle w:val="Compact"/>
              <w:jc w:val="left"/>
            </w:pPr>
            <w:r>
              <w:t xml:space="preserve">Foundation</w:t>
            </w:r>
          </w:p>
        </w:tc>
        <w:tc>
          <w:tcPr/>
          <w:p>
            <w:pPr>
              <w:pStyle w:val="Compact"/>
              <w:jc w:val="left"/>
            </w:pPr>
            <w:r>
              <w:t xml:space="preserve">Server Admin</w:t>
            </w:r>
          </w:p>
        </w:tc>
        <w:tc>
          <w:tcPr/>
          <w:p>
            <w:pPr>
              <w:pStyle w:val="Compact"/>
              <w:jc w:val="left"/>
            </w:pPr>
            <w:r>
              <w:t xml:space="preserve">☐</w:t>
            </w:r>
          </w:p>
        </w:tc>
      </w:tr>
      <w:tr>
        <w:tc>
          <w:tcPr/>
          <w:p>
            <w:pPr>
              <w:pStyle w:val="Compact"/>
              <w:jc w:val="left"/>
            </w:pPr>
            <w:r>
              <w:t xml:space="preserve">15</w:t>
            </w:r>
          </w:p>
        </w:tc>
        <w:tc>
          <w:tcPr/>
          <w:p>
            <w:pPr>
              <w:pStyle w:val="Compact"/>
              <w:jc w:val="left"/>
            </w:pPr>
            <w:r>
              <w:t xml:space="preserve">Configure Certificate Connector — verify healthy status</w:t>
            </w:r>
          </w:p>
        </w:tc>
        <w:tc>
          <w:tcPr/>
          <w:p>
            <w:pPr>
              <w:pStyle w:val="Compact"/>
              <w:jc w:val="left"/>
            </w:pPr>
            <w:r>
              <w:t xml:space="preserve">Foundation</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16</w:t>
            </w:r>
          </w:p>
        </w:tc>
        <w:tc>
          <w:tcPr/>
          <w:p>
            <w:pPr>
              <w:pStyle w:val="Compact"/>
              <w:jc w:val="left"/>
            </w:pPr>
            <w:r>
              <w:t xml:space="preserve">Create SCEP profile for pilot Wi-Fi 802.1X use case</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17</w:t>
            </w:r>
          </w:p>
        </w:tc>
        <w:tc>
          <w:tcPr/>
          <w:p>
            <w:pPr>
              <w:pStyle w:val="Compact"/>
              <w:jc w:val="left"/>
            </w:pPr>
            <w:r>
              <w:t xml:space="preserve">Assign SCEP profile to pilot device group</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18</w:t>
            </w:r>
          </w:p>
        </w:tc>
        <w:tc>
          <w:tcPr/>
          <w:p>
            <w:pPr>
              <w:pStyle w:val="Compact"/>
              <w:jc w:val="left"/>
            </w:pPr>
            <w:r>
              <w:t xml:space="preserve">Update RADIUS server trust store with Cloud PKI Root CA</w:t>
            </w:r>
          </w:p>
        </w:tc>
        <w:tc>
          <w:tcPr/>
          <w:p>
            <w:pPr>
              <w:pStyle w:val="Compact"/>
              <w:jc w:val="left"/>
            </w:pPr>
            <w:r>
              <w:t xml:space="preserve">Pilot</w:t>
            </w:r>
          </w:p>
        </w:tc>
        <w:tc>
          <w:tcPr/>
          <w:p>
            <w:pPr>
              <w:pStyle w:val="Compact"/>
              <w:jc w:val="left"/>
            </w:pPr>
            <w:r>
              <w:t xml:space="preserve">Network</w:t>
            </w:r>
          </w:p>
        </w:tc>
        <w:tc>
          <w:tcPr/>
          <w:p>
            <w:pPr>
              <w:pStyle w:val="Compact"/>
              <w:jc w:val="left"/>
            </w:pPr>
            <w:r>
              <w:t xml:space="preserve">☐</w:t>
            </w:r>
          </w:p>
        </w:tc>
      </w:tr>
      <w:tr>
        <w:tc>
          <w:tcPr/>
          <w:p>
            <w:pPr>
              <w:pStyle w:val="Compact"/>
              <w:jc w:val="left"/>
            </w:pPr>
            <w:r>
              <w:t xml:space="preserve">19</w:t>
            </w:r>
          </w:p>
        </w:tc>
        <w:tc>
          <w:tcPr/>
          <w:p>
            <w:pPr>
              <w:pStyle w:val="Compact"/>
              <w:jc w:val="left"/>
            </w:pPr>
            <w:r>
              <w:t xml:space="preserve">Verify end-to-end Wi-Fi authentication with Cloud PKI cert</w:t>
            </w:r>
          </w:p>
        </w:tc>
        <w:tc>
          <w:tcPr/>
          <w:p>
            <w:pPr>
              <w:pStyle w:val="Compact"/>
              <w:jc w:val="left"/>
            </w:pPr>
            <w:r>
              <w:t xml:space="preserve">Pilot</w:t>
            </w:r>
          </w:p>
        </w:tc>
        <w:tc>
          <w:tcPr/>
          <w:p>
            <w:pPr>
              <w:pStyle w:val="Compact"/>
              <w:jc w:val="left"/>
            </w:pPr>
            <w:r>
              <w:t xml:space="preserve">Network/PKI</w:t>
            </w:r>
          </w:p>
        </w:tc>
        <w:tc>
          <w:tcPr/>
          <w:p>
            <w:pPr>
              <w:pStyle w:val="Compact"/>
              <w:jc w:val="left"/>
            </w:pPr>
            <w:r>
              <w:t xml:space="preserve">☐</w:t>
            </w:r>
          </w:p>
        </w:tc>
      </w:tr>
      <w:tr>
        <w:tc>
          <w:tcPr/>
          <w:p>
            <w:pPr>
              <w:pStyle w:val="Compact"/>
              <w:jc w:val="left"/>
            </w:pPr>
            <w:r>
              <w:t xml:space="preserve">20</w:t>
            </w:r>
          </w:p>
        </w:tc>
        <w:tc>
          <w:tcPr/>
          <w:p>
            <w:pPr>
              <w:pStyle w:val="Compact"/>
              <w:jc w:val="left"/>
            </w:pPr>
            <w:r>
              <w:t xml:space="preserve">Create SCEP profile for VPN use case</w:t>
            </w:r>
          </w:p>
        </w:tc>
        <w:tc>
          <w:tcPr/>
          <w:p>
            <w:pPr>
              <w:pStyle w:val="Compact"/>
              <w:jc w:val="left"/>
            </w:pPr>
            <w:r>
              <w:t xml:space="preserve">Pilot</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21</w:t>
            </w:r>
          </w:p>
        </w:tc>
        <w:tc>
          <w:tcPr/>
          <w:p>
            <w:pPr>
              <w:pStyle w:val="Compact"/>
              <w:jc w:val="left"/>
            </w:pPr>
            <w:r>
              <w:t xml:space="preserve">Verify VPN authentication with Cloud PKI cert</w:t>
            </w:r>
          </w:p>
        </w:tc>
        <w:tc>
          <w:tcPr/>
          <w:p>
            <w:pPr>
              <w:pStyle w:val="Compact"/>
              <w:jc w:val="left"/>
            </w:pPr>
            <w:r>
              <w:t xml:space="preserve">Pilot</w:t>
            </w:r>
          </w:p>
        </w:tc>
        <w:tc>
          <w:tcPr/>
          <w:p>
            <w:pPr>
              <w:pStyle w:val="Compact"/>
              <w:jc w:val="left"/>
            </w:pPr>
            <w:r>
              <w:t xml:space="preserve">Network/PKI</w:t>
            </w:r>
          </w:p>
        </w:tc>
        <w:tc>
          <w:tcPr/>
          <w:p>
            <w:pPr>
              <w:pStyle w:val="Compact"/>
              <w:jc w:val="left"/>
            </w:pPr>
            <w:r>
              <w:t xml:space="preserve">☐</w:t>
            </w:r>
          </w:p>
        </w:tc>
      </w:tr>
      <w:tr>
        <w:tc>
          <w:tcPr/>
          <w:p>
            <w:pPr>
              <w:pStyle w:val="Compact"/>
              <w:jc w:val="left"/>
            </w:pPr>
            <w:r>
              <w:t xml:space="preserve">22</w:t>
            </w:r>
          </w:p>
        </w:tc>
        <w:tc>
          <w:tcPr/>
          <w:p>
            <w:pPr>
              <w:pStyle w:val="Compact"/>
              <w:jc w:val="left"/>
            </w:pPr>
            <w:r>
              <w:t xml:space="preserve">Deploy Cloud PKI Root CA to on-prem via GPO (cross-trust)</w:t>
            </w:r>
          </w:p>
        </w:tc>
        <w:tc>
          <w:tcPr/>
          <w:p>
            <w:pPr>
              <w:pStyle w:val="Compact"/>
              <w:jc w:val="left"/>
            </w:pPr>
            <w:r>
              <w:t xml:space="preserve">Scale</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23</w:t>
            </w:r>
          </w:p>
        </w:tc>
        <w:tc>
          <w:tcPr/>
          <w:p>
            <w:pPr>
              <w:pStyle w:val="Compact"/>
              <w:jc w:val="left"/>
            </w:pPr>
            <w:r>
              <w:t xml:space="preserve">Expand SCEP profiles to dynamic groups</w:t>
            </w:r>
          </w:p>
        </w:tc>
        <w:tc>
          <w:tcPr/>
          <w:p>
            <w:pPr>
              <w:pStyle w:val="Compact"/>
              <w:jc w:val="left"/>
            </w:pPr>
            <w:r>
              <w:t xml:space="preserve">Scale</w:t>
            </w:r>
          </w:p>
        </w:tc>
        <w:tc>
          <w:tcPr/>
          <w:p>
            <w:pPr>
              <w:pStyle w:val="Compact"/>
              <w:jc w:val="left"/>
            </w:pPr>
            <w:r>
              <w:t xml:space="preserve">Intune Admin</w:t>
            </w:r>
          </w:p>
        </w:tc>
        <w:tc>
          <w:tcPr/>
          <w:p>
            <w:pPr>
              <w:pStyle w:val="Compact"/>
              <w:jc w:val="left"/>
            </w:pPr>
            <w:r>
              <w:t xml:space="preserve">☐</w:t>
            </w:r>
          </w:p>
        </w:tc>
      </w:tr>
      <w:tr>
        <w:tc>
          <w:tcPr/>
          <w:p>
            <w:pPr>
              <w:pStyle w:val="Compact"/>
              <w:jc w:val="left"/>
            </w:pPr>
            <w:r>
              <w:t xml:space="preserve">24</w:t>
            </w:r>
          </w:p>
        </w:tc>
        <w:tc>
          <w:tcPr/>
          <w:p>
            <w:pPr>
              <w:pStyle w:val="Compact"/>
              <w:jc w:val="left"/>
            </w:pPr>
            <w:r>
              <w:t xml:space="preserve">Disable ADCS auto-enrollment GPOs for MIGRATE templates on migrated OUs</w:t>
            </w:r>
          </w:p>
        </w:tc>
        <w:tc>
          <w:tcPr/>
          <w:p>
            <w:pPr>
              <w:pStyle w:val="Compact"/>
              <w:jc w:val="left"/>
            </w:pPr>
            <w:r>
              <w:t xml:space="preserve">Cutover</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25</w:t>
            </w:r>
          </w:p>
        </w:tc>
        <w:tc>
          <w:tcPr/>
          <w:p>
            <w:pPr>
              <w:pStyle w:val="Compact"/>
              <w:jc w:val="left"/>
            </w:pPr>
            <w:r>
              <w:t xml:space="preserve">Verify zero active ADCS certs on managed endpoints for MIGRATE use cases</w:t>
            </w:r>
          </w:p>
        </w:tc>
        <w:tc>
          <w:tcPr/>
          <w:p>
            <w:pPr>
              <w:pStyle w:val="Compact"/>
              <w:jc w:val="left"/>
            </w:pPr>
            <w:r>
              <w:t xml:space="preserve">Cutover</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26</w:t>
            </w:r>
          </w:p>
        </w:tc>
        <w:tc>
          <w:tcPr/>
          <w:p>
            <w:pPr>
              <w:pStyle w:val="Compact"/>
              <w:jc w:val="left"/>
            </w:pPr>
            <w:r>
              <w:t xml:space="preserve">Archive Issuing CA database</w:t>
            </w:r>
          </w:p>
        </w:tc>
        <w:tc>
          <w:tcPr/>
          <w:p>
            <w:pPr>
              <w:pStyle w:val="Compact"/>
              <w:jc w:val="left"/>
            </w:pPr>
            <w:r>
              <w:t xml:space="preserve">Decommission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27</w:t>
            </w:r>
          </w:p>
        </w:tc>
        <w:tc>
          <w:tcPr/>
          <w:p>
            <w:pPr>
              <w:pStyle w:val="Compact"/>
              <w:jc w:val="left"/>
            </w:pPr>
            <w:r>
              <w:t xml:space="preserve">Decommission NDES server</w:t>
            </w:r>
          </w:p>
        </w:tc>
        <w:tc>
          <w:tcPr/>
          <w:p>
            <w:pPr>
              <w:pStyle w:val="Compact"/>
              <w:jc w:val="left"/>
            </w:pPr>
            <w:r>
              <w:t xml:space="preserve">Decommission</w:t>
            </w:r>
          </w:p>
        </w:tc>
        <w:tc>
          <w:tcPr/>
          <w:p>
            <w:pPr>
              <w:pStyle w:val="Compact"/>
              <w:jc w:val="left"/>
            </w:pPr>
            <w:r>
              <w:t xml:space="preserve">Server Admin</w:t>
            </w:r>
          </w:p>
        </w:tc>
        <w:tc>
          <w:tcPr/>
          <w:p>
            <w:pPr>
              <w:pStyle w:val="Compact"/>
              <w:jc w:val="left"/>
            </w:pPr>
            <w:r>
              <w:t xml:space="preserve">☐</w:t>
            </w:r>
          </w:p>
        </w:tc>
      </w:tr>
      <w:tr>
        <w:tc>
          <w:tcPr/>
          <w:p>
            <w:pPr>
              <w:pStyle w:val="Compact"/>
              <w:jc w:val="left"/>
            </w:pPr>
            <w:r>
              <w:t xml:space="preserve">28</w:t>
            </w:r>
          </w:p>
        </w:tc>
        <w:tc>
          <w:tcPr/>
          <w:p>
            <w:pPr>
              <w:pStyle w:val="Compact"/>
              <w:jc w:val="left"/>
            </w:pPr>
            <w:r>
              <w:t xml:space="preserve">Decommission Issuing CA server (if fully migrated)</w:t>
            </w:r>
          </w:p>
        </w:tc>
        <w:tc>
          <w:tcPr/>
          <w:p>
            <w:pPr>
              <w:pStyle w:val="Compact"/>
              <w:jc w:val="left"/>
            </w:pPr>
            <w:r>
              <w:t xml:space="preserve">Decommission</w:t>
            </w:r>
          </w:p>
        </w:tc>
        <w:tc>
          <w:tcPr/>
          <w:p>
            <w:pPr>
              <w:pStyle w:val="Compact"/>
              <w:jc w:val="left"/>
            </w:pPr>
            <w:r>
              <w:t xml:space="preserve">PKI Admin</w:t>
            </w:r>
          </w:p>
        </w:tc>
        <w:tc>
          <w:tcPr/>
          <w:p>
            <w:pPr>
              <w:pStyle w:val="Compact"/>
              <w:jc w:val="left"/>
            </w:pPr>
            <w:r>
              <w:t xml:space="preserve">☐</w:t>
            </w:r>
          </w:p>
        </w:tc>
      </w:tr>
      <w:tr>
        <w:tc>
          <w:tcPr/>
          <w:p>
            <w:pPr>
              <w:pStyle w:val="Compact"/>
              <w:jc w:val="left"/>
            </w:pPr>
            <w:r>
              <w:t xml:space="preserve">29</w:t>
            </w:r>
          </w:p>
        </w:tc>
        <w:tc>
          <w:tcPr/>
          <w:p>
            <w:pPr>
              <w:pStyle w:val="Compact"/>
              <w:jc w:val="left"/>
            </w:pPr>
            <w:r>
              <w:t xml:space="preserve">Remove decommissioned CA pKIEnrollmentService object from AD</w:t>
            </w:r>
          </w:p>
        </w:tc>
        <w:tc>
          <w:tcPr/>
          <w:p>
            <w:pPr>
              <w:pStyle w:val="Compact"/>
              <w:jc w:val="left"/>
            </w:pPr>
            <w:r>
              <w:t xml:space="preserve">Decommission</w:t>
            </w:r>
          </w:p>
        </w:tc>
        <w:tc>
          <w:tcPr/>
          <w:p>
            <w:pPr>
              <w:pStyle w:val="Compact"/>
              <w:jc w:val="left"/>
            </w:pPr>
            <w:r>
              <w:t xml:space="preserve">AD Admin</w:t>
            </w:r>
          </w:p>
        </w:tc>
        <w:tc>
          <w:tcPr/>
          <w:p>
            <w:pPr>
              <w:pStyle w:val="Compact"/>
              <w:jc w:val="left"/>
            </w:pPr>
            <w:r>
              <w:t xml:space="preserve">☐</w:t>
            </w:r>
          </w:p>
        </w:tc>
      </w:tr>
      <w:tr>
        <w:tc>
          <w:tcPr/>
          <w:p>
            <w:pPr>
              <w:pStyle w:val="Compact"/>
              <w:jc w:val="left"/>
            </w:pPr>
            <w:r>
              <w:t xml:space="preserve">30</w:t>
            </w:r>
          </w:p>
        </w:tc>
        <w:tc>
          <w:tcPr/>
          <w:p>
            <w:pPr>
              <w:pStyle w:val="Compact"/>
              <w:jc w:val="left"/>
            </w:pPr>
            <w:r>
              <w:t xml:space="preserve">Commit final decommission record to Gitea</w:t>
            </w:r>
          </w:p>
        </w:tc>
        <w:tc>
          <w:tcPr/>
          <w:p>
            <w:pPr>
              <w:pStyle w:val="Compact"/>
              <w:jc w:val="left"/>
            </w:pPr>
            <w:r>
              <w:t xml:space="preserve">Decommission</w:t>
            </w:r>
          </w:p>
        </w:tc>
        <w:tc>
          <w:tcPr/>
          <w:p>
            <w:pPr>
              <w:pStyle w:val="Compact"/>
              <w:jc w:val="left"/>
            </w:pPr>
            <w:r>
              <w:t xml:space="preserve">the Federal Mode</w:t>
            </w:r>
          </w:p>
        </w:tc>
        <w:tc>
          <w:tcPr/>
          <w:p>
            <w:pPr>
              <w:pStyle w:val="Compact"/>
              <w:jc w:val="left"/>
            </w:pPr>
            <w:r>
              <w:t xml:space="preserve">rnization Program Lead ☐</w:t>
            </w:r>
          </w:p>
        </w:tc>
      </w:tr>
    </w:tbl>
    <w:p>
      <w:pPr>
        <w:pStyle w:val="BodyText"/>
      </w:pPr>
      <w:r>
        <w:t xml:space="preserve">Appendix B — Certificate Template Migration Matrix</w:t>
      </w:r>
    </w:p>
    <w:tbl>
      <w:tblPr>
        <w:tblStyle w:val="Table"/>
        <w:tblW w:type="pct" w:w="4960"/>
        <w:tblLayout w:type="fixed"/>
        <w:tblLook w:firstRow="1" w:lastRow="0" w:firstColumn="0" w:lastColumn="0" w:noHBand="0" w:noVBand="0" w:val="0020"/>
      </w:tblPr>
      <w:tblGrid>
        <w:gridCol w:w="833"/>
        <w:gridCol w:w="1282"/>
        <w:gridCol w:w="673"/>
        <w:gridCol w:w="1891"/>
        <w:gridCol w:w="833"/>
        <w:gridCol w:w="480"/>
        <w:gridCol w:w="1346"/>
        <w:gridCol w:w="513"/>
      </w:tblGrid>
      <w:tr>
        <w:trPr>
          <w:tblHeader w:val="on"/>
        </w:trPr>
        <w:tc>
          <w:tcPr/>
          <w:p>
            <w:pPr>
              <w:pStyle w:val="Compact"/>
              <w:jc w:val="left"/>
            </w:pPr>
            <w:r>
              <w:rPr>
                <w:b/>
                <w:bCs/>
              </w:rPr>
              <w:t xml:space="preserve">ADCS Template</w:t>
            </w:r>
          </w:p>
        </w:tc>
        <w:tc>
          <w:tcPr/>
          <w:p>
            <w:pPr>
              <w:pStyle w:val="Compact"/>
              <w:jc w:val="left"/>
            </w:pPr>
            <w:r>
              <w:rPr>
                <w:b/>
                <w:bCs/>
              </w:rPr>
              <w:t xml:space="preserve">Purpose</w:t>
            </w:r>
          </w:p>
        </w:tc>
        <w:tc>
          <w:tcPr/>
          <w:p>
            <w:pPr>
              <w:pStyle w:val="Compact"/>
              <w:jc w:val="left"/>
            </w:pPr>
            <w:r>
              <w:rPr>
                <w:b/>
                <w:bCs/>
              </w:rPr>
              <w:t xml:space="preserve">Migration Path</w:t>
            </w:r>
          </w:p>
        </w:tc>
        <w:tc>
          <w:tcPr/>
          <w:p>
            <w:pPr>
              <w:pStyle w:val="Compact"/>
              <w:jc w:val="left"/>
            </w:pPr>
            <w:r>
              <w:rPr>
                <w:b/>
                <w:bCs/>
              </w:rPr>
              <w:t xml:space="preserve">Cloud PKI Equivalent</w:t>
            </w:r>
          </w:p>
        </w:tc>
        <w:tc>
          <w:tcPr/>
          <w:p>
            <w:pPr>
              <w:pStyle w:val="Compact"/>
              <w:jc w:val="left"/>
            </w:pPr>
            <w:r>
              <w:rPr>
                <w:b/>
                <w:bCs/>
              </w:rPr>
              <w:t xml:space="preserve">Intune Profile Type</w:t>
            </w:r>
          </w:p>
        </w:tc>
        <w:tc>
          <w:tcPr/>
          <w:p>
            <w:pPr>
              <w:pStyle w:val="Compact"/>
              <w:jc w:val="left"/>
            </w:pPr>
            <w:r>
              <w:rPr>
                <w:b/>
                <w:bCs/>
              </w:rPr>
              <w:t xml:space="preserve">Priority</w:t>
            </w:r>
          </w:p>
        </w:tc>
        <w:tc>
          <w:tcPr/>
          <w:p>
            <w:pPr>
              <w:pStyle w:val="Compact"/>
              <w:jc w:val="left"/>
            </w:pPr>
            <w:r>
              <w:rPr>
                <w:b/>
                <w:bCs/>
              </w:rPr>
              <w:t xml:space="preserve">Dependencies</w:t>
            </w:r>
          </w:p>
        </w:tc>
        <w:tc>
          <w:tcPr/>
          <w:p>
            <w:pPr>
              <w:pStyle w:val="Compact"/>
              <w:jc w:val="left"/>
            </w:pPr>
            <w:r>
              <w:rPr>
                <w:b/>
                <w:bCs/>
              </w:rPr>
              <w:t xml:space="preserve">Status</w:t>
            </w:r>
          </w:p>
        </w:tc>
      </w:tr>
      <w:tr>
        <w:tc>
          <w:tcPr/>
          <w:p>
            <w:pPr>
              <w:pStyle w:val="Compact"/>
              <w:jc w:val="left"/>
            </w:pPr>
            <w:r>
              <w:t xml:space="preserve">User</w:t>
            </w:r>
          </w:p>
        </w:tc>
        <w:tc>
          <w:tcPr/>
          <w:p>
            <w:pPr>
              <w:pStyle w:val="Compact"/>
              <w:jc w:val="left"/>
            </w:pPr>
            <w:r>
              <w:t xml:space="preserve">User authentication (EAP-TLS, SSO)</w:t>
            </w:r>
          </w:p>
        </w:tc>
        <w:tc>
          <w:tcPr/>
          <w:p>
            <w:pPr>
              <w:pStyle w:val="Compact"/>
              <w:jc w:val="left"/>
            </w:pPr>
            <w:r>
              <w:t xml:space="preserve">MIGRATE</w:t>
            </w:r>
          </w:p>
        </w:tc>
        <w:tc>
          <w:tcPr/>
          <w:p>
            <w:pPr>
              <w:pStyle w:val="Compact"/>
              <w:jc w:val="left"/>
            </w:pPr>
            <w:r>
              <w:t xml:space="preserve">Cloud PKI SCEP — Client Auth EKU</w:t>
            </w:r>
          </w:p>
        </w:tc>
        <w:tc>
          <w:tcPr/>
          <w:p>
            <w:pPr>
              <w:pStyle w:val="Compact"/>
              <w:jc w:val="left"/>
            </w:pPr>
            <w:r>
              <w:t xml:space="preserve">SCEP</w:t>
            </w:r>
          </w:p>
        </w:tc>
        <w:tc>
          <w:tcPr/>
          <w:p>
            <w:pPr>
              <w:pStyle w:val="Compact"/>
              <w:jc w:val="left"/>
            </w:pPr>
            <w:r>
              <w:t xml:space="preserve">High</w:t>
            </w:r>
          </w:p>
        </w:tc>
        <w:tc>
          <w:tcPr/>
          <w:p>
            <w:pPr>
              <w:pStyle w:val="Compact"/>
              <w:jc w:val="left"/>
            </w:pPr>
            <w:r>
              <w:t xml:space="preserve">Entra CBA config; RADIUS trust update</w:t>
            </w:r>
          </w:p>
        </w:tc>
        <w:tc>
          <w:tcPr/>
          <w:p>
            <w:pPr>
              <w:pStyle w:val="Compact"/>
              <w:jc w:val="left"/>
            </w:pPr>
            <w:r>
              <w:t xml:space="preserve">☐ Not Started</w:t>
            </w:r>
          </w:p>
        </w:tc>
      </w:tr>
      <w:tr>
        <w:tc>
          <w:tcPr/>
          <w:p>
            <w:pPr>
              <w:pStyle w:val="Compact"/>
              <w:jc w:val="left"/>
            </w:pPr>
            <w:r>
              <w:t xml:space="preserve">Computer / Machine</w:t>
            </w:r>
          </w:p>
        </w:tc>
        <w:tc>
          <w:tcPr/>
          <w:p>
            <w:pPr>
              <w:pStyle w:val="Compact"/>
              <w:jc w:val="left"/>
            </w:pPr>
            <w:r>
              <w:t xml:space="preserve">Device authentication (802.1X, IPSec)</w:t>
            </w:r>
          </w:p>
        </w:tc>
        <w:tc>
          <w:tcPr/>
          <w:p>
            <w:pPr>
              <w:pStyle w:val="Compact"/>
              <w:jc w:val="left"/>
            </w:pPr>
            <w:r>
              <w:t xml:space="preserve">MIGRATE</w:t>
            </w:r>
          </w:p>
        </w:tc>
        <w:tc>
          <w:tcPr/>
          <w:p>
            <w:pPr>
              <w:pStyle w:val="Compact"/>
              <w:jc w:val="left"/>
            </w:pPr>
            <w:r>
              <w:t xml:space="preserve">Cloud PKI SCEP — Client Auth EKU</w:t>
            </w:r>
          </w:p>
        </w:tc>
        <w:tc>
          <w:tcPr/>
          <w:p>
            <w:pPr>
              <w:pStyle w:val="Compact"/>
              <w:jc w:val="left"/>
            </w:pPr>
            <w:r>
              <w:t xml:space="preserve">SCEP</w:t>
            </w:r>
          </w:p>
        </w:tc>
        <w:tc>
          <w:tcPr/>
          <w:p>
            <w:pPr>
              <w:pStyle w:val="Compact"/>
              <w:jc w:val="left"/>
            </w:pPr>
            <w:r>
              <w:t xml:space="preserve">High</w:t>
            </w:r>
          </w:p>
        </w:tc>
        <w:tc>
          <w:tcPr/>
          <w:p>
            <w:pPr>
              <w:pStyle w:val="Compact"/>
              <w:jc w:val="left"/>
            </w:pPr>
            <w:r>
              <w:t xml:space="preserve">Intune enrollment; RADIUS trust update</w:t>
            </w:r>
          </w:p>
        </w:tc>
        <w:tc>
          <w:tcPr/>
          <w:p>
            <w:pPr>
              <w:pStyle w:val="Compact"/>
              <w:jc w:val="left"/>
            </w:pPr>
            <w:r>
              <w:t xml:space="preserve">☐ Not Started</w:t>
            </w:r>
          </w:p>
        </w:tc>
      </w:tr>
      <w:tr>
        <w:tc>
          <w:tcPr/>
          <w:p>
            <w:pPr>
              <w:pStyle w:val="Compact"/>
              <w:jc w:val="left"/>
            </w:pPr>
            <w:r>
              <w:t xml:space="preserve">Web Server</w:t>
            </w:r>
          </w:p>
        </w:tc>
        <w:tc>
          <w:tcPr/>
          <w:p>
            <w:pPr>
              <w:pStyle w:val="Compact"/>
              <w:jc w:val="left"/>
            </w:pPr>
            <w:r>
              <w:t xml:space="preserve">Internal TLS (IIS, reverse proxy)</w:t>
            </w:r>
          </w:p>
        </w:tc>
        <w:tc>
          <w:tcPr/>
          <w:p>
            <w:pPr>
              <w:pStyle w:val="Compact"/>
              <w:jc w:val="left"/>
            </w:pPr>
            <w:r>
              <w:t xml:space="preserve">MIGRATE</w:t>
            </w:r>
          </w:p>
        </w:tc>
        <w:tc>
          <w:tcPr/>
          <w:p>
            <w:pPr>
              <w:pStyle w:val="Compact"/>
              <w:jc w:val="left"/>
            </w:pPr>
            <w:r>
              <w:t xml:space="preserve">Cloud PKI SCEP or PKCS — Server Auth EKU</w:t>
            </w:r>
          </w:p>
        </w:tc>
        <w:tc>
          <w:tcPr/>
          <w:p>
            <w:pPr>
              <w:pStyle w:val="Compact"/>
              <w:jc w:val="left"/>
            </w:pPr>
            <w:r>
              <w:t xml:space="preserve">SCEP or PKCS</w:t>
            </w:r>
          </w:p>
        </w:tc>
        <w:tc>
          <w:tcPr/>
          <w:p>
            <w:pPr>
              <w:pStyle w:val="Compact"/>
              <w:jc w:val="left"/>
            </w:pPr>
            <w:r>
              <w:t xml:space="preserve">Medium</w:t>
            </w:r>
          </w:p>
        </w:tc>
        <w:tc>
          <w:tcPr/>
          <w:p>
            <w:pPr>
              <w:pStyle w:val="Compact"/>
              <w:jc w:val="left"/>
            </w:pPr>
            <w:r>
              <w:t xml:space="preserve">IIS rebinding; client trust update</w:t>
            </w:r>
          </w:p>
        </w:tc>
        <w:tc>
          <w:tcPr/>
          <w:p>
            <w:pPr>
              <w:pStyle w:val="Compact"/>
              <w:jc w:val="left"/>
            </w:pPr>
            <w:r>
              <w:t xml:space="preserve">☐ Not Started</w:t>
            </w:r>
          </w:p>
        </w:tc>
      </w:tr>
      <w:tr>
        <w:tc>
          <w:tcPr/>
          <w:p>
            <w:pPr>
              <w:pStyle w:val="Compact"/>
              <w:jc w:val="left"/>
            </w:pPr>
            <w:r>
              <w:t xml:space="preserve">Smartcard User</w:t>
            </w:r>
          </w:p>
        </w:tc>
        <w:tc>
          <w:tcPr/>
          <w:p>
            <w:pPr>
              <w:pStyle w:val="Compact"/>
              <w:jc w:val="left"/>
            </w:pPr>
            <w:r>
              <w:t xml:space="preserve">Smart card logon</w:t>
            </w:r>
          </w:p>
        </w:tc>
        <w:tc>
          <w:tcPr/>
          <w:p>
            <w:pPr>
              <w:pStyle w:val="Compact"/>
              <w:jc w:val="left"/>
            </w:pPr>
            <w:r>
              <w:t xml:space="preserve">MIGRATE</w:t>
            </w:r>
          </w:p>
        </w:tc>
        <w:tc>
          <w:tcPr/>
          <w:p>
            <w:pPr>
              <w:pStyle w:val="Compact"/>
              <w:jc w:val="left"/>
            </w:pPr>
            <w:r>
              <w:t xml:space="preserve">Entra CBA (certificate remains on physical smart card)</w:t>
            </w:r>
          </w:p>
        </w:tc>
        <w:tc>
          <w:tcPr/>
          <w:p>
            <w:pPr>
              <w:pStyle w:val="Compact"/>
              <w:jc w:val="left"/>
            </w:pPr>
            <w:r>
              <w:t xml:space="preserve">N/A (physical card)</w:t>
            </w:r>
          </w:p>
        </w:tc>
        <w:tc>
          <w:tcPr/>
          <w:p>
            <w:pPr>
              <w:pStyle w:val="Compact"/>
              <w:jc w:val="left"/>
            </w:pPr>
            <w:r>
              <w:t xml:space="preserve">High</w:t>
            </w:r>
          </w:p>
        </w:tc>
        <w:tc>
          <w:tcPr/>
          <w:p>
            <w:pPr>
              <w:pStyle w:val="Compact"/>
              <w:jc w:val="left"/>
            </w:pPr>
            <w:r>
              <w:t xml:space="preserve">Entra CBA binding; CA cert upload</w:t>
            </w:r>
          </w:p>
        </w:tc>
        <w:tc>
          <w:tcPr/>
          <w:p>
            <w:pPr>
              <w:pStyle w:val="Compact"/>
              <w:jc w:val="left"/>
            </w:pPr>
            <w:r>
              <w:t xml:space="preserve">☐ Not Started</w:t>
            </w:r>
          </w:p>
        </w:tc>
      </w:tr>
      <w:tr>
        <w:tc>
          <w:tcPr/>
          <w:p>
            <w:pPr>
              <w:pStyle w:val="Compact"/>
              <w:jc w:val="left"/>
            </w:pPr>
            <w:r>
              <w:t xml:space="preserve">Smartcard Logon</w:t>
            </w:r>
          </w:p>
        </w:tc>
        <w:tc>
          <w:tcPr/>
          <w:p>
            <w:pPr>
              <w:pStyle w:val="Compact"/>
              <w:jc w:val="left"/>
            </w:pPr>
            <w:r>
              <w:t xml:space="preserve">PIV/CAC logon</w:t>
            </w:r>
          </w:p>
        </w:tc>
        <w:tc>
          <w:tcPr/>
          <w:p>
            <w:pPr>
              <w:pStyle w:val="Compact"/>
              <w:jc w:val="left"/>
            </w:pPr>
            <w:r>
              <w:t xml:space="preserve">MIGRATE</w:t>
            </w:r>
          </w:p>
        </w:tc>
        <w:tc>
          <w:tcPr/>
          <w:p>
            <w:pPr>
              <w:pStyle w:val="Compact"/>
              <w:jc w:val="left"/>
            </w:pPr>
            <w:r>
              <w:t xml:space="preserve">Entra CBA</w:t>
            </w:r>
          </w:p>
        </w:tc>
        <w:tc>
          <w:tcPr/>
          <w:p>
            <w:pPr>
              <w:pStyle w:val="Compact"/>
              <w:jc w:val="left"/>
            </w:pPr>
            <w:r>
              <w:t xml:space="preserve">N/A (physical card)</w:t>
            </w:r>
          </w:p>
        </w:tc>
        <w:tc>
          <w:tcPr/>
          <w:p>
            <w:pPr>
              <w:pStyle w:val="Compact"/>
              <w:jc w:val="left"/>
            </w:pPr>
            <w:r>
              <w:t xml:space="preserve">High</w:t>
            </w:r>
          </w:p>
        </w:tc>
        <w:tc>
          <w:tcPr/>
          <w:p>
            <w:pPr>
              <w:pStyle w:val="Compact"/>
              <w:jc w:val="left"/>
            </w:pPr>
            <w:r>
              <w:t xml:space="preserve">Entra CBA binding; CA cert upload</w:t>
            </w:r>
          </w:p>
        </w:tc>
        <w:tc>
          <w:tcPr/>
          <w:p>
            <w:pPr>
              <w:pStyle w:val="Compact"/>
              <w:jc w:val="left"/>
            </w:pPr>
            <w:r>
              <w:t xml:space="preserve">☐ Not Started</w:t>
            </w:r>
          </w:p>
        </w:tc>
      </w:tr>
      <w:tr>
        <w:tc>
          <w:tcPr/>
          <w:p>
            <w:pPr>
              <w:pStyle w:val="Compact"/>
              <w:jc w:val="left"/>
            </w:pPr>
            <w:r>
              <w:t xml:space="preserve">Domain Controller</w:t>
            </w:r>
          </w:p>
        </w:tc>
        <w:tc>
          <w:tcPr/>
          <w:p>
            <w:pPr>
              <w:pStyle w:val="Compact"/>
              <w:jc w:val="left"/>
            </w:pPr>
            <w:r>
              <w:t xml:space="preserve">DC Kerberos authentication</w:t>
            </w:r>
          </w:p>
        </w:tc>
        <w:tc>
          <w:tcPr/>
          <w:p>
            <w:pPr>
              <w:pStyle w:val="Compact"/>
              <w:jc w:val="left"/>
            </w:pPr>
            <w:r>
              <w:t xml:space="preserve">BRIDGE</w:t>
            </w:r>
          </w:p>
        </w:tc>
        <w:tc>
          <w:tcPr/>
          <w:p>
            <w:pPr>
              <w:pStyle w:val="Compact"/>
              <w:jc w:val="left"/>
            </w:pPr>
            <w:r>
              <w:t xml:space="preserve">N/A — must remain ADCS</w:t>
            </w:r>
          </w:p>
        </w:tc>
        <w:tc>
          <w:tcPr/>
          <w:p>
            <w:pPr>
              <w:pStyle w:val="Compact"/>
              <w:jc w:val="left"/>
            </w:pPr>
            <w:r>
              <w:t xml:space="preserve">N/A</w:t>
            </w:r>
          </w:p>
        </w:tc>
        <w:tc>
          <w:tcPr/>
          <w:p>
            <w:pPr>
              <w:pStyle w:val="Compact"/>
              <w:jc w:val="left"/>
            </w:pPr>
            <w:r>
              <w:t xml:space="preserve">N/A</w:t>
            </w:r>
          </w:p>
        </w:tc>
        <w:tc>
          <w:tcPr/>
          <w:p>
            <w:pPr>
              <w:pStyle w:val="Compact"/>
              <w:jc w:val="left"/>
            </w:pPr>
            <w:r>
              <w:t xml:space="preserve">AD operational</w:t>
            </w:r>
          </w:p>
        </w:tc>
        <w:tc>
          <w:tcPr/>
          <w:p>
            <w:pPr>
              <w:pStyle w:val="Compact"/>
              <w:jc w:val="left"/>
            </w:pPr>
            <w:r>
              <w:t xml:space="preserve">⬛ Retain</w:t>
            </w:r>
          </w:p>
        </w:tc>
      </w:tr>
      <w:tr>
        <w:tc>
          <w:tcPr/>
          <w:p>
            <w:pPr>
              <w:pStyle w:val="Compact"/>
              <w:jc w:val="left"/>
            </w:pPr>
            <w:r>
              <w:t xml:space="preserve">Kerberos Authentication</w:t>
            </w:r>
          </w:p>
        </w:tc>
        <w:tc>
          <w:tcPr/>
          <w:p>
            <w:pPr>
              <w:pStyle w:val="Compact"/>
              <w:jc w:val="left"/>
            </w:pPr>
            <w:r>
              <w:t xml:space="preserve">DC auth (enhanced template)</w:t>
            </w:r>
          </w:p>
        </w:tc>
        <w:tc>
          <w:tcPr/>
          <w:p>
            <w:pPr>
              <w:pStyle w:val="Compact"/>
              <w:jc w:val="left"/>
            </w:pPr>
            <w:r>
              <w:t xml:space="preserve">BRIDGE</w:t>
            </w:r>
          </w:p>
        </w:tc>
        <w:tc>
          <w:tcPr/>
          <w:p>
            <w:pPr>
              <w:pStyle w:val="Compact"/>
              <w:jc w:val="left"/>
            </w:pPr>
            <w:r>
              <w:t xml:space="preserve">N/A — must remain ADCS</w:t>
            </w:r>
          </w:p>
        </w:tc>
        <w:tc>
          <w:tcPr/>
          <w:p>
            <w:pPr>
              <w:pStyle w:val="Compact"/>
              <w:jc w:val="left"/>
            </w:pPr>
            <w:r>
              <w:t xml:space="preserve">N/A</w:t>
            </w:r>
          </w:p>
        </w:tc>
        <w:tc>
          <w:tcPr/>
          <w:p>
            <w:pPr>
              <w:pStyle w:val="Compact"/>
              <w:jc w:val="left"/>
            </w:pPr>
            <w:r>
              <w:t xml:space="preserve">N/A</w:t>
            </w:r>
          </w:p>
        </w:tc>
        <w:tc>
          <w:tcPr/>
          <w:p>
            <w:pPr>
              <w:pStyle w:val="Compact"/>
              <w:jc w:val="left"/>
            </w:pPr>
            <w:r>
              <w:t xml:space="preserve">AD operational</w:t>
            </w:r>
          </w:p>
        </w:tc>
        <w:tc>
          <w:tcPr/>
          <w:p>
            <w:pPr>
              <w:pStyle w:val="Compact"/>
              <w:jc w:val="left"/>
            </w:pPr>
            <w:r>
              <w:t xml:space="preserve">⬛ Retain</w:t>
            </w:r>
          </w:p>
        </w:tc>
      </w:tr>
      <w:tr>
        <w:tc>
          <w:tcPr/>
          <w:p>
            <w:pPr>
              <w:pStyle w:val="Compact"/>
              <w:jc w:val="left"/>
            </w:pPr>
            <w:r>
              <w:t xml:space="preserve">RAS and IAS Server</w:t>
            </w:r>
          </w:p>
        </w:tc>
        <w:tc>
          <w:tcPr/>
          <w:p>
            <w:pPr>
              <w:pStyle w:val="Compact"/>
              <w:jc w:val="left"/>
            </w:pPr>
            <w:r>
              <w:t xml:space="preserve">NPS/RADIUS server cert</w:t>
            </w:r>
          </w:p>
        </w:tc>
        <w:tc>
          <w:tcPr/>
          <w:p>
            <w:pPr>
              <w:pStyle w:val="Compact"/>
              <w:jc w:val="left"/>
            </w:pPr>
            <w:r>
              <w:t xml:space="preserve">BRIDGE</w:t>
            </w:r>
          </w:p>
        </w:tc>
        <w:tc>
          <w:tcPr/>
          <w:p>
            <w:pPr>
              <w:pStyle w:val="Compact"/>
              <w:jc w:val="left"/>
            </w:pPr>
            <w:r>
              <w:t xml:space="preserve">ADCS during transition; future Cloud PKI if NPS migrates</w:t>
            </w:r>
          </w:p>
        </w:tc>
        <w:tc>
          <w:tcPr/>
          <w:p>
            <w:pPr>
              <w:pStyle w:val="Compact"/>
              <w:jc w:val="left"/>
            </w:pPr>
            <w:r>
              <w:t xml:space="preserve">N/A</w:t>
            </w:r>
          </w:p>
        </w:tc>
        <w:tc>
          <w:tcPr/>
          <w:p>
            <w:pPr>
              <w:pStyle w:val="Compact"/>
              <w:jc w:val="left"/>
            </w:pPr>
            <w:r>
              <w:t xml:space="preserve">Low</w:t>
            </w:r>
          </w:p>
        </w:tc>
        <w:tc>
          <w:tcPr/>
          <w:p>
            <w:pPr>
              <w:pStyle w:val="Compact"/>
              <w:jc w:val="left"/>
            </w:pPr>
            <w:r>
              <w:t xml:space="preserve">NPS migration plan</w:t>
            </w:r>
          </w:p>
        </w:tc>
        <w:tc>
          <w:tcPr/>
          <w:p>
            <w:pPr>
              <w:pStyle w:val="Compact"/>
              <w:jc w:val="left"/>
            </w:pPr>
            <w:r>
              <w:t xml:space="preserve">⬛ Retain</w:t>
            </w:r>
          </w:p>
        </w:tc>
      </w:tr>
      <w:tr>
        <w:tc>
          <w:tcPr/>
          <w:p>
            <w:pPr>
              <w:pStyle w:val="Compact"/>
              <w:jc w:val="left"/>
            </w:pPr>
            <w:r>
              <w:t xml:space="preserve">Exchange User (S/MIME)</w:t>
            </w:r>
          </w:p>
        </w:tc>
        <w:tc>
          <w:tcPr/>
          <w:p>
            <w:pPr>
              <w:pStyle w:val="Compact"/>
              <w:jc w:val="left"/>
            </w:pPr>
            <w:r>
              <w:t xml:space="preserve">Email signing / encryption</w:t>
            </w:r>
          </w:p>
        </w:tc>
        <w:tc>
          <w:tcPr/>
          <w:p>
            <w:pPr>
              <w:pStyle w:val="Compact"/>
              <w:jc w:val="left"/>
            </w:pPr>
            <w:r>
              <w:t xml:space="preserve">MIGRATE</w:t>
            </w:r>
          </w:p>
        </w:tc>
        <w:tc>
          <w:tcPr/>
          <w:p>
            <w:pPr>
              <w:pStyle w:val="Compact"/>
              <w:jc w:val="left"/>
            </w:pPr>
            <w:r>
              <w:t xml:space="preserve">PKCS Imported (existing CA or third-party)</w:t>
            </w:r>
          </w:p>
        </w:tc>
        <w:tc>
          <w:tcPr/>
          <w:p>
            <w:pPr>
              <w:pStyle w:val="Compact"/>
              <w:jc w:val="left"/>
            </w:pPr>
            <w:r>
              <w:t xml:space="preserve">PKCS Imported</w:t>
            </w:r>
          </w:p>
        </w:tc>
        <w:tc>
          <w:tcPr/>
          <w:p>
            <w:pPr>
              <w:pStyle w:val="Compact"/>
              <w:jc w:val="left"/>
            </w:pPr>
            <w:r>
              <w:t xml:space="preserve">Medium</w:t>
            </w:r>
          </w:p>
        </w:tc>
        <w:tc>
          <w:tcPr/>
          <w:p>
            <w:pPr>
              <w:pStyle w:val="Compact"/>
              <w:jc w:val="left"/>
            </w:pPr>
            <w:r>
              <w:t xml:space="preserve">S/MIME policy; key escrow</w:t>
            </w:r>
          </w:p>
        </w:tc>
        <w:tc>
          <w:tcPr/>
          <w:p>
            <w:pPr>
              <w:pStyle w:val="Compact"/>
              <w:jc w:val="left"/>
            </w:pPr>
            <w:r>
              <w:t xml:space="preserve">☐ Not Started</w:t>
            </w:r>
          </w:p>
        </w:tc>
      </w:tr>
      <w:tr>
        <w:tc>
          <w:tcPr/>
          <w:p>
            <w:pPr>
              <w:pStyle w:val="Compact"/>
              <w:jc w:val="left"/>
            </w:pPr>
            <w:r>
              <w:t xml:space="preserve">Code Signing</w:t>
            </w:r>
          </w:p>
        </w:tc>
        <w:tc>
          <w:tcPr/>
          <w:p>
            <w:pPr>
              <w:pStyle w:val="Compact"/>
              <w:jc w:val="left"/>
            </w:pPr>
            <w:r>
              <w:t xml:space="preserve">Executable / script signing</w:t>
            </w:r>
          </w:p>
        </w:tc>
        <w:tc>
          <w:tcPr/>
          <w:p>
            <w:pPr>
              <w:pStyle w:val="Compact"/>
              <w:jc w:val="left"/>
            </w:pPr>
            <w:r>
              <w:t xml:space="preserve">RETAIN</w:t>
            </w:r>
          </w:p>
        </w:tc>
        <w:tc>
          <w:tcPr/>
          <w:p>
            <w:pPr>
              <w:pStyle w:val="Compact"/>
              <w:jc w:val="left"/>
            </w:pPr>
            <w:r>
              <w:t xml:space="preserve">N/A — HSM dependency; requires on-prem CA</w:t>
            </w:r>
          </w:p>
        </w:tc>
        <w:tc>
          <w:tcPr/>
          <w:p>
            <w:pPr>
              <w:pStyle w:val="Compact"/>
              <w:jc w:val="left"/>
            </w:pPr>
            <w:r>
              <w:t xml:space="preserve">N/A</w:t>
            </w:r>
          </w:p>
        </w:tc>
        <w:tc>
          <w:tcPr/>
          <w:p>
            <w:pPr>
              <w:pStyle w:val="Compact"/>
              <w:jc w:val="left"/>
            </w:pPr>
            <w:r>
              <w:t xml:space="preserve">N/A</w:t>
            </w:r>
          </w:p>
        </w:tc>
        <w:tc>
          <w:tcPr/>
          <w:p>
            <w:pPr>
              <w:pStyle w:val="Compact"/>
              <w:jc w:val="left"/>
            </w:pPr>
            <w:r>
              <w:t xml:space="preserve">HSM infrastructure; code signing policy</w:t>
            </w:r>
          </w:p>
        </w:tc>
        <w:tc>
          <w:tcPr/>
          <w:p>
            <w:pPr>
              <w:pStyle w:val="Compact"/>
              <w:jc w:val="left"/>
            </w:pPr>
            <w:r>
              <w:t xml:space="preserve">⬛ Retain</w:t>
            </w:r>
          </w:p>
        </w:tc>
      </w:tr>
      <w:tr>
        <w:tc>
          <w:tcPr/>
          <w:p>
            <w:pPr>
              <w:pStyle w:val="Compact"/>
              <w:jc w:val="left"/>
            </w:pPr>
            <w:r>
              <w:t xml:space="preserve">Basic EFS</w:t>
            </w:r>
          </w:p>
        </w:tc>
        <w:tc>
          <w:tcPr/>
          <w:p>
            <w:pPr>
              <w:pStyle w:val="Compact"/>
              <w:jc w:val="left"/>
            </w:pPr>
            <w:r>
              <w:t xml:space="preserve">Encrypting File System</w:t>
            </w:r>
          </w:p>
        </w:tc>
        <w:tc>
          <w:tcPr/>
          <w:p>
            <w:pPr>
              <w:pStyle w:val="Compact"/>
              <w:jc w:val="left"/>
            </w:pPr>
            <w:r>
              <w:t xml:space="preserve">RETIRE</w:t>
            </w:r>
          </w:p>
        </w:tc>
        <w:tc>
          <w:tcPr/>
          <w:p>
            <w:pPr>
              <w:pStyle w:val="Compact"/>
              <w:jc w:val="left"/>
            </w:pPr>
            <w:r>
              <w:t xml:space="preserve">N/A — migrating to Microsoft Information Protection</w:t>
            </w:r>
          </w:p>
        </w:tc>
        <w:tc>
          <w:tcPr/>
          <w:p>
            <w:pPr>
              <w:pStyle w:val="Compact"/>
              <w:jc w:val="left"/>
            </w:pPr>
            <w:r>
              <w:t xml:space="preserve">N/A</w:t>
            </w:r>
          </w:p>
        </w:tc>
        <w:tc>
          <w:tcPr/>
          <w:p>
            <w:pPr>
              <w:pStyle w:val="Compact"/>
              <w:jc w:val="left"/>
            </w:pPr>
            <w:r>
              <w:t xml:space="preserve">N/A</w:t>
            </w:r>
          </w:p>
        </w:tc>
        <w:tc>
          <w:tcPr/>
          <w:p>
            <w:pPr>
              <w:pStyle w:val="Compact"/>
              <w:jc w:val="left"/>
            </w:pPr>
            <w:r>
              <w:t xml:space="preserve">MIP/AIP deployment complete</w:t>
            </w:r>
          </w:p>
        </w:tc>
        <w:tc>
          <w:tcPr/>
          <w:p>
            <w:pPr>
              <w:pStyle w:val="Compact"/>
              <w:jc w:val="left"/>
            </w:pPr>
            <w:r>
              <w:t xml:space="preserve">⬛ Retire</w:t>
            </w:r>
          </w:p>
        </w:tc>
      </w:tr>
      <w:tr>
        <w:tc>
          <w:tcPr/>
          <w:p>
            <w:pPr>
              <w:pStyle w:val="Compact"/>
              <w:jc w:val="left"/>
            </w:pPr>
            <w:r>
              <w:t xml:space="preserve">EFS Recovery Agent</w:t>
            </w:r>
          </w:p>
        </w:tc>
        <w:tc>
          <w:tcPr/>
          <w:p>
            <w:pPr>
              <w:pStyle w:val="Compact"/>
              <w:jc w:val="left"/>
            </w:pPr>
            <w:r>
              <w:t xml:space="preserve">EFS key recovery</w:t>
            </w:r>
          </w:p>
        </w:tc>
        <w:tc>
          <w:tcPr/>
          <w:p>
            <w:pPr>
              <w:pStyle w:val="Compact"/>
              <w:jc w:val="left"/>
            </w:pPr>
            <w:r>
              <w:t xml:space="preserve">RETIRE</w:t>
            </w:r>
          </w:p>
        </w:tc>
        <w:tc>
          <w:tcPr/>
          <w:p>
            <w:pPr>
              <w:pStyle w:val="Compact"/>
              <w:jc w:val="left"/>
            </w:pPr>
            <w:r>
              <w:t xml:space="preserve">N/A</w:t>
            </w:r>
          </w:p>
        </w:tc>
        <w:tc>
          <w:tcPr/>
          <w:p>
            <w:pPr>
              <w:pStyle w:val="Compact"/>
              <w:jc w:val="left"/>
            </w:pPr>
            <w:r>
              <w:t xml:space="preserve">N/A</w:t>
            </w:r>
          </w:p>
        </w:tc>
        <w:tc>
          <w:tcPr/>
          <w:p>
            <w:pPr>
              <w:pStyle w:val="Compact"/>
              <w:jc w:val="left"/>
            </w:pPr>
            <w:r>
              <w:t xml:space="preserve">N/A</w:t>
            </w:r>
          </w:p>
        </w:tc>
        <w:tc>
          <w:tcPr/>
          <w:p>
            <w:pPr>
              <w:pStyle w:val="Compact"/>
              <w:jc w:val="left"/>
            </w:pPr>
            <w:r>
              <w:t xml:space="preserve">EFS decommission</w:t>
            </w:r>
          </w:p>
        </w:tc>
        <w:tc>
          <w:tcPr/>
          <w:p>
            <w:pPr>
              <w:pStyle w:val="Compact"/>
              <w:jc w:val="left"/>
            </w:pPr>
            <w:r>
              <w:t xml:space="preserve">⬛ Retire</w:t>
            </w:r>
          </w:p>
        </w:tc>
      </w:tr>
      <w:tr>
        <w:tc>
          <w:tcPr/>
          <w:p>
            <w:pPr>
              <w:pStyle w:val="Compact"/>
              <w:jc w:val="left"/>
            </w:pPr>
            <w:r>
              <w:t xml:space="preserve">OCSP Response Signing</w:t>
            </w:r>
          </w:p>
        </w:tc>
        <w:tc>
          <w:tcPr/>
          <w:p>
            <w:pPr>
              <w:pStyle w:val="Compact"/>
              <w:jc w:val="left"/>
            </w:pPr>
            <w:r>
              <w:t xml:space="preserve">OCSP responder cert</w:t>
            </w:r>
          </w:p>
        </w:tc>
        <w:tc>
          <w:tcPr/>
          <w:p>
            <w:pPr>
              <w:pStyle w:val="Compact"/>
              <w:jc w:val="left"/>
            </w:pPr>
            <w:r>
              <w:t xml:space="preserve">RETIRE</w:t>
            </w:r>
          </w:p>
        </w:tc>
        <w:tc>
          <w:tcPr/>
          <w:p>
            <w:pPr>
              <w:pStyle w:val="Compact"/>
              <w:jc w:val="left"/>
            </w:pPr>
            <w:r>
              <w:t xml:space="preserve">Cloud PKI handles revocation natively</w:t>
            </w:r>
          </w:p>
        </w:tc>
        <w:tc>
          <w:tcPr/>
          <w:p>
            <w:pPr>
              <w:pStyle w:val="Compact"/>
              <w:jc w:val="left"/>
            </w:pPr>
            <w:r>
              <w:t xml:space="preserve">N/A</w:t>
            </w:r>
          </w:p>
        </w:tc>
        <w:tc>
          <w:tcPr/>
          <w:p>
            <w:pPr>
              <w:pStyle w:val="Compact"/>
              <w:jc w:val="left"/>
            </w:pPr>
            <w:r>
              <w:t xml:space="preserve">N/A</w:t>
            </w:r>
          </w:p>
        </w:tc>
        <w:tc>
          <w:tcPr/>
          <w:p>
            <w:pPr>
              <w:pStyle w:val="Compact"/>
              <w:jc w:val="left"/>
            </w:pPr>
            <w:r>
              <w:t xml:space="preserve">ADCS OCSP decommission</w:t>
            </w:r>
          </w:p>
        </w:tc>
        <w:tc>
          <w:tcPr/>
          <w:p>
            <w:pPr>
              <w:pStyle w:val="Compact"/>
              <w:jc w:val="left"/>
            </w:pPr>
            <w:r>
              <w:t xml:space="preserve">⬛ Retire</w:t>
            </w:r>
          </w:p>
        </w:tc>
      </w:tr>
      <w:tr>
        <w:tc>
          <w:tcPr/>
          <w:p>
            <w:pPr>
              <w:pStyle w:val="Compact"/>
              <w:jc w:val="left"/>
            </w:pPr>
            <w:r>
              <w:t xml:space="preserve">Enrollment Agent</w:t>
            </w:r>
          </w:p>
        </w:tc>
        <w:tc>
          <w:tcPr/>
          <w:p>
            <w:pPr>
              <w:pStyle w:val="Compact"/>
              <w:jc w:val="left"/>
            </w:pPr>
            <w:r>
              <w:t xml:space="preserve">Enrollment station delegation</w:t>
            </w:r>
          </w:p>
        </w:tc>
        <w:tc>
          <w:tcPr/>
          <w:p>
            <w:pPr>
              <w:pStyle w:val="Compact"/>
              <w:jc w:val="left"/>
            </w:pPr>
            <w:r>
              <w:t xml:space="preserve">RETIRE</w:t>
            </w:r>
          </w:p>
        </w:tc>
        <w:tc>
          <w:tcPr/>
          <w:p>
            <w:pPr>
              <w:pStyle w:val="Compact"/>
              <w:jc w:val="left"/>
            </w:pPr>
            <w:r>
              <w:t xml:space="preserve">N/A — Intune handles enrollment directly</w:t>
            </w:r>
          </w:p>
        </w:tc>
        <w:tc>
          <w:tcPr/>
          <w:p>
            <w:pPr>
              <w:pStyle w:val="Compact"/>
              <w:jc w:val="left"/>
            </w:pPr>
            <w:r>
              <w:t xml:space="preserve">N/A</w:t>
            </w:r>
          </w:p>
        </w:tc>
        <w:tc>
          <w:tcPr/>
          <w:p>
            <w:pPr>
              <w:pStyle w:val="Compact"/>
              <w:jc w:val="left"/>
            </w:pPr>
            <w:r>
              <w:t xml:space="preserve">N/A</w:t>
            </w:r>
          </w:p>
        </w:tc>
        <w:tc>
          <w:tcPr/>
          <w:p>
            <w:pPr>
              <w:pStyle w:val="Compact"/>
              <w:jc w:val="left"/>
            </w:pPr>
            <w:r>
              <w:t xml:space="preserve">Enrollment station decommission</w:t>
            </w:r>
          </w:p>
        </w:tc>
        <w:tc>
          <w:tcPr/>
          <w:p>
            <w:pPr>
              <w:pStyle w:val="Compact"/>
              <w:jc w:val="left"/>
            </w:pPr>
            <w:r>
              <w:t xml:space="preserve">⬛ Retire</w:t>
            </w:r>
          </w:p>
        </w:tc>
      </w:tr>
      <w:tr>
        <w:tc>
          <w:tcPr/>
          <w:p>
            <w:pPr>
              <w:pStyle w:val="Compact"/>
              <w:jc w:val="left"/>
            </w:pPr>
            <w:r>
              <w:t xml:space="preserve">IPSec (Offline Request)</w:t>
            </w:r>
          </w:p>
        </w:tc>
        <w:tc>
          <w:tcPr/>
          <w:p>
            <w:pPr>
              <w:pStyle w:val="Compact"/>
              <w:jc w:val="left"/>
            </w:pPr>
            <w:r>
              <w:t xml:space="preserve">VPN gateway IPSec</w:t>
            </w:r>
          </w:p>
        </w:tc>
        <w:tc>
          <w:tcPr/>
          <w:p>
            <w:pPr>
              <w:pStyle w:val="Compact"/>
              <w:jc w:val="left"/>
            </w:pPr>
            <w:r>
              <w:t xml:space="preserve">MIGRATE</w:t>
            </w:r>
          </w:p>
        </w:tc>
        <w:tc>
          <w:tcPr/>
          <w:p>
            <w:pPr>
              <w:pStyle w:val="Compact"/>
              <w:jc w:val="left"/>
            </w:pPr>
            <w:r>
              <w:t xml:space="preserve">Cloud PKI SCEP — IPSec EKU</w:t>
            </w:r>
          </w:p>
        </w:tc>
        <w:tc>
          <w:tcPr/>
          <w:p>
            <w:pPr>
              <w:pStyle w:val="Compact"/>
              <w:jc w:val="left"/>
            </w:pPr>
            <w:r>
              <w:t xml:space="preserve">SCEP</w:t>
            </w:r>
          </w:p>
        </w:tc>
        <w:tc>
          <w:tcPr/>
          <w:p>
            <w:pPr>
              <w:pStyle w:val="Compact"/>
              <w:jc w:val="left"/>
            </w:pPr>
            <w:r>
              <w:t xml:space="preserve">Medium</w:t>
            </w:r>
          </w:p>
        </w:tc>
        <w:tc>
          <w:tcPr/>
          <w:p>
            <w:pPr>
              <w:pStyle w:val="Compact"/>
              <w:jc w:val="left"/>
            </w:pPr>
            <w:r>
              <w:t xml:space="preserve">VPN gateway cert trust update</w:t>
            </w:r>
          </w:p>
        </w:tc>
        <w:tc>
          <w:tcPr/>
          <w:p>
            <w:pPr>
              <w:pStyle w:val="Compact"/>
              <w:jc w:val="left"/>
            </w:pPr>
            <w:r>
              <w:t xml:space="preserve">☐ Not Started</w:t>
            </w:r>
          </w:p>
        </w:tc>
      </w:tr>
    </w:tbl>
    <w:p>
      <w:pPr>
        <w:pStyle w:val="BodyText"/>
      </w:pPr>
      <w:r>
        <w:t xml:space="preserve">Appendix C — PowerShell PKI Assessment Module (FMPPKIAssessment.psm1)</w:t>
      </w:r>
    </w:p>
    <w:p>
      <w:pPr>
        <w:pStyle w:val="BodyText"/>
      </w:pPr>
      <w:r>
        <w:t xml:space="preserve">The following module provides the core assessment functions for the Federal Modernization Program PKI modernization. Save as FMPPKIAssessment.psm1 and import via Import-Module .\FMPPKIAssessment.psm1.</w:t>
      </w:r>
    </w:p>
    <w:p>
      <w:pPr>
        <w:pStyle w:val="BodyText"/>
      </w:pPr>
      <w:r>
        <w:t xml:space="preserve">C.1 Get-FMPCAInventory</w:t>
      </w:r>
    </w:p>
    <w:p>
      <w:pPr>
        <w:pStyle w:val="BodyText"/>
      </w:pPr>
      <w:r>
        <w:t xml:space="preserve">function Get-FMPCAInventory { &lt;# .SYNOPSIS Inventories all Certificate Authority servers registered in Active Directory. .DESCRIPTION Queries the pKIEnrollmentService objects in the AD configuration partition to discover all enterprise CAs. Collects key parameters, OS version, and operational status. .OUTPUTS Array of PSCustomObject with CA inventory data. #&gt; [CmdletBinding] param Import-Module ActiveDirectory -ErrorAction Stop $configNC = (Get-ADRootDSE).configurationNamingContext $enrollBase = "CN=Enrollment Services,CN=Public Key Services,CN=Services,$configNC" $caObjects = Get-ADObject -SearchBase $enrollBase -Filter * -Properties ` displayName, dNSHostName, cACertificate, certificateTemplates, ` cACertificateDN, whenCreated $inventory = @ foreach ($ca in $caObjects) { $cert = [System.Security.Cryptography.X509Certificates.X509Certificate2]::new($ca.cACertificate[0]) $caInfo = [PSCustomObject]@{ CAName = $ca.displayName DNSHostName = $ca.dNSHostName CACertSubject = $cert.Subject CACertIssuer = $cert.Issuer KeyAlgorithm = $cert.PublicKey.Oid.FriendlyName KeyLength = $cert.PublicKey.Key.KeySize SignatureAlgorithm = $cert.SignatureAlgorithm.FriendlyName NotBefore = $cert.NotBefore NotAfter = $cert.NotAfter SerialNumber = $cert.SerialNumber Thumbprint = $cert.Thumbprint TemplateCount = $ca.certificateTemplates.Count CreatedDate = $ca.whenCreated IsRoot = ($cert.Subject -eq $cert.Issuer) } $inventory += $caInfo } return $inventory }</w:t>
      </w:r>
    </w:p>
    <w:p>
      <w:pPr>
        <w:pStyle w:val="BodyText"/>
      </w:pPr>
      <w:r>
        <w:t xml:space="preserve">C.2 Get-FMPCertificateTemplates</w:t>
      </w:r>
    </w:p>
    <w:p>
      <w:pPr>
        <w:pStyle w:val="BodyText"/>
      </w:pPr>
      <w:r>
        <w:t xml:space="preserve">function Get-FMPCertificateTemplates { &lt;# .SYNOPSIS Exports all certificate template configurations from Active Directory. .DESCRIPTION Retrieves all pKICertificateTemplate objects with full property set including permissions, EKUs, name flags, and enrollment settings. .OUTPUTS Array of PSCustomObject with template configuration data. #&gt; [CmdletBinding] param Import-Module ActiveDirectory -ErrorAction Stop $configNC = (Get-ADRootDSE).configurationNamingContext $templateBase = "CN=Certificate Templates,CN=Public Key Services,CN=Services,$configNC" $templates = Get-ADObject -SearchBase $templateBase -Filter * -Properties * $results = @ foreach ($tmpl in $templates) { $acl = Get-Acl "AD:$($tmpl.DistinguishedName)" $enrollPerms = ($acl.Access | Where-Object { $_.ActiveDirectoryRights -match 'ExtendedRight' -and $_.ObjectType -eq '0e10c968-78fb-11d2-90d4-00c04f79dc55' }).IdentityReference.Value $autoEnrollPerms = ($acl.Access | Where-Object { $_.ActiveDirectoryRights -match 'ExtendedRight' -and $_.ObjectType -eq 'a05b8cc2-17bc-4802-a710-e7c15ab866a2' }).IdentityReference.Value $record = [PSCustomObject]@{ Name = $tmpl.displayName CN = $tmpl.cn OID = $tmpl.'msPKI-Cert-Template-OID' SchemaVersion = $tmpl.'msPKI-Template-Schema-Version' Version = $tmpl.revision EKUs = @($tmpl.pkiExtendedKeyUsage) AppPolicies = @($tmpl.'msPKI-Certificate-Application-Policy') NameFlag = $tmpl.'msPKI-Certificate-Name-Flag' EnrollmentFlag = $tmpl.'msPKI-Enrollment-Flag' PrivateKeyFlag = $tmpl.'msPKI-Private-Key-Flag' MinKeySize = $tmpl.'msPKI-Minimal-Key-Size' SuppliesSubject =</w:t>
      </w:r>
      <w:r>
        <w:t xml:space="preserve"> </w:t>
      </w:r>
      <w:r>
        <w:t xml:space="preserve"> EnrollPermissions = $enrollPerms AutoEnrollPerms = $autoEnrollPerms } $results += $record } return $results }</w:t>
      </w:r>
    </w:p>
    <w:p>
      <w:pPr>
        <w:pStyle w:val="BodyText"/>
      </w:pPr>
      <w:r>
        <w:t xml:space="preserve">C.3 Test-FMPESCVulnerabilities</w:t>
      </w:r>
    </w:p>
    <w:p>
      <w:pPr>
        <w:pStyle w:val="BodyText"/>
      </w:pPr>
      <w:r>
        <w:t xml:space="preserve">function Test-FMPESCVulnerabilities { &lt;# .SYNOPSIS Scans ADCS infrastructure for ESC1-ESC8 vulnerabilities. .DESCRIPTION Comprehensive ESC vulnerability assessment. Returns findings with risk level, affected template/object, and remediation guidance. .OUTPUTS Array of PSCustomObject with vulnerability findings. #&gt; [CmdletBinding] param Import-Module ActiveDirectory -ErrorAction Stop $findings = @ $configNC = (Get-ADRootDSE).configurationNamingContext $templates = Get-ADObject -SearchBase "CN=Certificate Templates,CN=Public Key Services,CN=Services,$configNC" ` -Filter * -Properties displayName, msPKI-Certificate-Name-Flag, ` msPKI-Certificate-Application-Policy, pkiExtendedKeyUsage, nTSecurityDescriptor foreach ($tmpl in $templates) { $ekus = @($tmpl.pkiExtendedKeyUsage) + @($tmpl.'msPKI-Certificate-Application-Policy') | Where-Object { $_ } | Select-Object -Unique $nameFlag = $tmpl.'msPKI-Certificate-Name-Flag' $acl = Get-Acl "AD:$($tmpl.DistinguishedName)" $lowPrivEnroll = $acl.Access | Where-Object { $_.ActiveDirectoryRights -match 'ExtendedRight' -and $_.ObjectType -eq '0e10c968-78fb-11d2-90d4-00c04f79dc55' -and $_.IdentityReference -match 'Domain Users|Authenticated Users|Domain Computers|Everyone' } # ESC1 if (($nameFlag -band 1) -and ($ekus -contains '1.3.6.1.5.5.7.3.2' -or $ekus -contains '2.5.29.37.0') -and $lowPrivEnroll) { $findings += [PSCustomObject]@{ ESCID = 'ESC1'; RiskLevel = 'Critical'; Template = $tmpl.displayName Description = 'Enrollee supplies subject with Client Auth EKU and broad enrollment' Remediation = 'Disable CT_FLAG_ENROLLEE_SUPPLIES_SUBJECT; restrict enrollment permissions' } } # ESC2 if ($ekus -contains '2.5.29.37.0' -or $ekus.Count -eq 0) { $findings += [PSCustomObject]@{ ESCID = 'ESC2'; RiskLevel = 'Critical'; Template = $tmpl.displayName Description = 'Any Purpose EKU or no EKU restrictions' Remediation = 'Replace with specific EKUs; restrict enrollment' } } # ESC3 if ($ekus -contains '1.3.6.1.4.1.311.20.2.1' -and $lowPrivEnroll) { $findings += [PSCustomObject]@{ ESCID = 'ESC3'; RiskLevel = 'High'; Template = $tmpl.displayName Description = 'Certificate Request Agent with broad enrollment' Remediation = 'Restrict enrollment to designated agent accounts' } } # ESC4 $dangerousACL = $acl.Access | Where-Object { ($_.ActiveDirectoryRights -match 'WriteDacl|WriteOwner|GenericAll|GenericWrite') -and $_.IdentityReference -notmatch 'SYSTEM|Domain Admins|Enterprise Admins|Administrator' } if ($dangerousACL) { $findings += [PSCustomObject]@{ ESCID = 'ESC4'; RiskLevel = 'High'; Template = $tmpl.displayName Description = "Dangerous ACL: $($dangerousACL.IdentityReference -join ', ')" Remediation = 'Remove write permissions for non-admin principals' } } } # ESC5 — PKI object ACLs $enrollSvc = Get-ADObject -SearchBase "CN=Enrollment Services,CN=Public Key Services,CN=Services,$configNC" ` -Filter * -Properties nTSecurityDescriptor, displayName foreach ($svc in $enrollSvc) { $svcAcl = Get-Acl "AD:$($svc.DistinguishedName)" $svcDangerous = $svcAcl.Access | Where-Object { ($_.ActiveDirectoryRights -match 'WriteDacl|WriteOwner|GenericAll') -and $_.IdentityReference -notmatch 'SYSTEM|Domain Admins|Enterprise Admins|Administrator' } if ($svcDangerous) { $findings += [PSCustomObject]@{ ESCID = 'ESC5'; RiskLevel = 'High'; Template = "CA: $($svc.displayName)" Description = "PKI object ACL vulnerability: $($svcDangerous.IdentityReference -join ', ')" Remediation = 'Restrict write permissions on PKI AD objects' } } } # ESC6 — EDITF_ATTRIBUTESUBJECTALTNAME2 $editFlags = certutil -getreg policy\EditFlags 2&gt;&amp;1 if ($editFlags -match 'EDITF_ATTRIBUTESUBJECTALTNAME2') { $findings += [PSCustomObject]@{ ESCID = 'ESC6'; RiskLevel = 'Critical'; Template = 'CA Policy' Description = 'EDITF_ATTRIBUTESUBJECTALTNAME2 enabled — SAN override on all templates' Remediation = 'certutil -setreg policy\EditFlags -EDITF_ATTRIBUTESUBJECTALTNAME2' } } # ESC7 — CA Security # (Manual review recommended — output CA security for inspection) # ESC8 — HTTP enrollment (requires IIS module — skipped in automated scan) Write-Output "ESC Assessment complete. Total findings: $($findings.Count)" return $findings }</w:t>
      </w:r>
    </w:p>
    <w:p>
      <w:pPr>
        <w:pStyle w:val="BodyText"/>
      </w:pPr>
      <w:r>
        <w:t xml:space="preserve">C.4 Get-FMPIssuedCertificates</w:t>
      </w:r>
    </w:p>
    <w:p>
      <w:pPr>
        <w:pStyle w:val="BodyText"/>
      </w:pPr>
      <w:r>
        <w:t xml:space="preserve">function Get-FMPIssuedCertificates { &lt;# .SYNOPSIS Retrieves issued certificates from ADCS CA database. .DESCRIPTION Queries the CA database for all issued (non-revoked, non-expired) certificates grouped by template. .PARAMETER CAName The CA common name (e.g., "YOURORG-ISS-CA01"). .OUTPUTS Array of PSCustomObject with issued certificate data. #&gt; [CmdletBinding] param( [Parameter(Mandatory = $true)] [string]$CAName ) $certs = certutil -view -restrict "Disposition=20" -out ` "RequestID,CommonName,NotAfter,CertificateTemplate,SerialNumber" csv 2&gt;&amp;1 $issued = @ $lines = $certs -split "`n" | Select-Object -Skip 1 foreach ($line in $lines) { if ($line -match ',') { $parts = $line -split '","' if ($parts.Count -ge 4) { $issued += [PSCustomObject]@{ RequestID = $parts[0] -replace '"', '' CommonName = $parts[1] NotAfter = $parts[2] Template = $parts[3] Serial = if ($parts.Count -ge 5) { $parts[4] -replace '"', '' } else { '' } } } } } $summary = $issued | Group-Object -Property Template | Select-Object Name, Count | Sort-Object Count -Descending Write-Output "=== Issued Certificate Summary by Template ===" $summary | Format-Table -AutoSize return $issued }</w:t>
      </w:r>
    </w:p>
    <w:p>
      <w:pPr>
        <w:pStyle w:val="BodyText"/>
      </w:pPr>
      <w:r>
        <w:t xml:space="preserve">C.5 Get-FMPCRLHealth</w:t>
      </w:r>
    </w:p>
    <w:p>
      <w:pPr>
        <w:pStyle w:val="BodyText"/>
      </w:pPr>
      <w:r>
        <w:t xml:space="preserve">function Get-FMPCRLHealth { &lt;# .SYNOPSIS Checks CRL health for ADCS Certificate Authorities. .DESCRIPTION Verifies CRL publication status, freshness, next publish date, and accessibility from the local machine. .OUTPUTS PSCustomObject with CRL health status. #&gt; [CmdletBinding] param $crlInfo = certutil -CRL 2&gt;&amp;1 $crlList = certutil -store -enterprise "CA" 2&gt;&amp;1 # Parse CRL publication info $results = [PSCustomObject]@{ CheckDate = Get-Date -Format 'yyyy-MM-ddTHH:mm:ssZ' CRLOutput = $crlInfo PublishStatus = if ($crlInfo -match 'CRL published') { 'Published' } else { 'Unknown' } } # Check HTTP CDP accessibility $configNC = (Get-ADRootDSE).configurationNamingContext $cas = Get-ADObject -SearchBase "CN=Enrollment Services,CN=Public Key Services,CN=Services,$configNC" ` -Filter * -Properties 'cRLDistributionPoint', displayName -ErrorAction SilentlyContinue $cdpResults = @ foreach ($ca in $cas) { $cdps = @($ca.cRLDistributionPoint) | Where-Object { $_ -match '^http' } foreach ($cdp in $cdps) { try { $response = Invoke-WebRequest -Uri $cdp -Method Head -TimeoutSec 10 -UseBasicParsing $cdpResults += [PSCustomObject]@{ CA = $ca.displayName CDP = $cdp Status = "Accessible (HTTP $($response.StatusCode))" } } catch { $cdpResults += [PSCustomObject]@{ CA = $ca.displayName CDP = $cdp Status = "UNREACHABLE: $($_.Exception.Message)" } } } } $results | Add-Member -NotePropertyName CDPResults -NotePropertyValue $cdpResults return $results }</w:t>
      </w:r>
    </w:p>
    <w:p>
      <w:pPr>
        <w:pStyle w:val="BodyText"/>
      </w:pPr>
      <w:r>
        <w:t xml:space="preserve">C.6 Export-FMPPKIAssessment</w:t>
      </w:r>
    </w:p>
    <w:p>
      <w:pPr>
        <w:pStyle w:val="BodyText"/>
      </w:pPr>
      <w:r>
        <w:t xml:space="preserve">function Export-FMPPKIAssessment { &lt;# .SYNOPSIS Runs the full the Federal Modernization Program PKI assessment suite and exports results to a timestamped directory for Gitea commit. .DESCRIPTION Orchestrates all assessment functions and produces JSON output files in the Federal Modernization Program assessment directory structure. .PARAMETER Domain The AD domain name (e.g., "contoso.com"). .PARAMETER OutputBase Base path for assessment output. Default: .\assessments\pki .OUTPUTS Directory containing JSON assessment files. #&gt; [CmdletBinding] param( [Parameter(Mandatory = $true)] [string]$Domain, [Parameter(Mandatory = $false)] [string]$OutputBase = ".\assessments\pki" ) $timestamp = Get-Date -Format 'yyyyMMdd_HHmmss' $outputDir = Join-Path $OutputBase "$Domain\$timestamp" New-Item -ItemType Directory -Path $outputDir -Force | Out-Null Write-Output "=== the Federal Modernization Program PKI Assessment — $Domain — $timestamp ===" # CA Inventory Write-Output "[1/5] Running CA Inventory..." $caInventory = Get-FMPCAInventory $caInventory | ConvertTo-Json -Depth 5 | Out-File "$outputDir\ca-inventory.json" -Encoding UTF8 # Template Inventory Write-Output "[2/5] Running Template Inventory..." $templates = Get-FMPCertificateTemplates $templates | ConvertTo-Json -Depth 5 | Out-File "$outputDir\template-inventory.json" -Encoding UTF8 # ESC Assessment Write-Output "[3/5] Running ESC Vulnerability Assessment..." $escFindings = Test-FMPESCVulnerabilities $escFindings | ConvertTo-Json -Depth 5 | Out-File "$outputDir\esc-assessment.json" -Encoding UTF8 # Certificate Inventory with Classification Write-Output "[4/5] Running Certificate Classification..." $certInventory = Get-FMPCertificateInventory -OutputPath "$outputDir\certificate-classification.json" # CRL Health Write-Output "[5/5] Running CRL Health Check..." $crlHealth = Get-FMPCRLHealth $crlHealth | ConvertTo-Json -Depth 5 | Out-File "$outputDir\crl-health.json" -Encoding UTF8 # Summary $summary = [PSCustomObject]@{ Domain = $Domain Timestamp = $timestamp CACount = $caInventory.Count TemplateCount = $templates.Count ESCFindings = $escFindings.Count CriticalESC = ($escFindings | Where-Object RiskLevel -eq 'Critical').Count HighESC = ($escFindings | Where-Object RiskLevel -eq 'High').Count AssessmentFiles = @( 'ca-inventory.json', 'template-inventory.json', 'esc-assessment.json', 'certificate-classification.json', 'crl-health.json' ) } $summary | ConvertTo-Json | Out-File "$outputDir\assessment-summary.json" -Encoding UTF8 Write-Output "" Write-Output "=== Assessment Complete ===" Write-Output "Output directory: $outputDir" Write-Output "CA servers found: $($summary.CACount)" Write-Output "Templates found: $($summary.TemplateCount)" Write-Output "ESC findings: $($summary.ESCFindings) (Critical: $($summary.CriticalESC), High: $($summary.HighESC))" Write-Output "" Write-Output "To commit to Gitea:" Write-Output " cd $outputDir" Write-Output " git add ." Write-Output " git commit -m 'PKI Assessment: $Domain $timestamp'" Write-Output " git push origin main" return $summary }</w:t>
      </w:r>
    </w:p>
    <w:p>
      <w:pPr>
        <w:pStyle w:val="BodyText"/>
      </w:pPr>
      <w:r>
        <w:t xml:space="preserve">Appendix D — Entra CBA Configuration Checklist</w:t>
      </w:r>
    </w:p>
    <w:p>
      <w:pPr>
        <w:pStyle w:val="BodyText"/>
      </w:pPr>
      <w:r>
        <w:t xml:space="preserve">Follow this checklist in order. Each step includes the verification command or procedure to confirm successful completion.</w:t>
      </w:r>
    </w:p>
    <w:tbl>
      <w:tblPr>
        <w:tblStyle w:val="Table"/>
        <w:tblW w:type="pct" w:w="4978"/>
        <w:tblLayout w:type="fixed"/>
        <w:tblLook w:firstRow="1" w:lastRow="0" w:firstColumn="0" w:lastColumn="0" w:noHBand="0" w:noVBand="0" w:val="0020"/>
      </w:tblPr>
      <w:tblGrid>
        <w:gridCol w:w="153"/>
        <w:gridCol w:w="701"/>
        <w:gridCol w:w="3865"/>
        <w:gridCol w:w="3164"/>
      </w:tblGrid>
      <w:tr>
        <w:trPr>
          <w:tblHeader w:val="on"/>
        </w:trPr>
        <w:tc>
          <w:tcPr/>
          <w:p>
            <w:pPr>
              <w:pStyle w:val="Compact"/>
              <w:jc w:val="left"/>
            </w:pPr>
            <w:r>
              <w:rPr>
                <w:b/>
                <w:bCs/>
              </w:rPr>
              <w:t xml:space="preserve">#</w:t>
            </w:r>
          </w:p>
        </w:tc>
        <w:tc>
          <w:tcPr/>
          <w:p>
            <w:pPr>
              <w:pStyle w:val="Compact"/>
              <w:jc w:val="left"/>
            </w:pPr>
            <w:r>
              <w:rPr>
                <w:b/>
                <w:bCs/>
              </w:rPr>
              <w:t xml:space="preserve">Step</w:t>
            </w:r>
          </w:p>
        </w:tc>
        <w:tc>
          <w:tcPr/>
          <w:p>
            <w:pPr>
              <w:pStyle w:val="Compact"/>
              <w:jc w:val="left"/>
            </w:pPr>
            <w:r>
              <w:rPr>
                <w:b/>
                <w:bCs/>
              </w:rPr>
              <w:t xml:space="preserve">Detail</w:t>
            </w:r>
          </w:p>
        </w:tc>
        <w:tc>
          <w:tcPr/>
          <w:p>
            <w:pPr>
              <w:pStyle w:val="Compact"/>
              <w:jc w:val="left"/>
            </w:pPr>
            <w:r>
              <w:rPr>
                <w:b/>
                <w:bCs/>
              </w:rPr>
              <w:t xml:space="preserve">Verification</w:t>
            </w:r>
          </w:p>
        </w:tc>
      </w:tr>
      <w:tr>
        <w:tc>
          <w:tcPr/>
          <w:p>
            <w:pPr>
              <w:pStyle w:val="Compact"/>
              <w:jc w:val="left"/>
            </w:pPr>
            <w:r>
              <w:t xml:space="preserve">1</w:t>
            </w:r>
          </w:p>
        </w:tc>
        <w:tc>
          <w:tcPr/>
          <w:p>
            <w:pPr>
              <w:pStyle w:val="Compact"/>
              <w:jc w:val="left"/>
            </w:pPr>
            <w:r>
              <w:t xml:space="preserve">Verify Entra ID P1 or P2 license</w:t>
            </w:r>
          </w:p>
        </w:tc>
        <w:tc>
          <w:tcPr/>
          <w:p>
            <w:pPr>
              <w:pStyle w:val="Compact"/>
              <w:jc w:val="left"/>
            </w:pPr>
            <w:r>
              <w:t xml:space="preserve">CBA requires Entra ID P1 (minimum) for Conditional Access integration. P2 required for PIM-based role activation.</w:t>
            </w:r>
          </w:p>
        </w:tc>
        <w:tc>
          <w:tcPr/>
          <w:p>
            <w:pPr>
              <w:pStyle w:val="Compact"/>
              <w:jc w:val="left"/>
            </w:pPr>
            <w:r>
              <w:t xml:space="preserve">Get-MgSubscribedSku | Select SkuPartNumber, CapabilityStatus — confirm AAD_PREMIUM or AAD_PREMIUM_P2 active.</w:t>
            </w:r>
          </w:p>
        </w:tc>
      </w:tr>
      <w:tr>
        <w:tc>
          <w:tcPr/>
          <w:p>
            <w:pPr>
              <w:pStyle w:val="Compact"/>
              <w:jc w:val="left"/>
            </w:pPr>
            <w:r>
              <w:t xml:space="preserve">2</w:t>
            </w:r>
          </w:p>
        </w:tc>
        <w:tc>
          <w:tcPr/>
          <w:p>
            <w:pPr>
              <w:pStyle w:val="Compact"/>
              <w:jc w:val="left"/>
            </w:pPr>
            <w:r>
              <w:t xml:space="preserve">Verify Entra Connect SID sync</w:t>
            </w:r>
          </w:p>
        </w:tc>
        <w:tc>
          <w:tcPr/>
          <w:p>
            <w:pPr>
              <w:pStyle w:val="Compact"/>
              <w:jc w:val="left"/>
            </w:pPr>
            <w:r>
              <w:t xml:space="preserve">User and device SIDs must be synced from on-prem AD to Entra ID. Required for strong mapping and certificateUserIds population.</w:t>
            </w:r>
          </w:p>
        </w:tc>
        <w:tc>
          <w:tcPr/>
          <w:p>
            <w:pPr>
              <w:pStyle w:val="Compact"/>
              <w:jc w:val="left"/>
            </w:pPr>
            <w:r>
              <w:t xml:space="preserve">Get-MgUser -UserId user@domain.com -Property onPremisesSecurityIdentifier | Select onPremisesSecurityIdentifier — must not be null.</w:t>
            </w:r>
          </w:p>
        </w:tc>
      </w:tr>
      <w:tr>
        <w:tc>
          <w:tcPr/>
          <w:p>
            <w:pPr>
              <w:pStyle w:val="Compact"/>
              <w:jc w:val="left"/>
            </w:pPr>
            <w:r>
              <w:t xml:space="preserve">3</w:t>
            </w:r>
          </w:p>
        </w:tc>
        <w:tc>
          <w:tcPr/>
          <w:p>
            <w:pPr>
              <w:pStyle w:val="Compact"/>
              <w:jc w:val="left"/>
            </w:pPr>
            <w:r>
              <w:t xml:space="preserve">Export Root CA certificate</w:t>
            </w:r>
          </w:p>
        </w:tc>
        <w:tc>
          <w:tcPr/>
          <w:p>
            <w:pPr>
              <w:pStyle w:val="Compact"/>
              <w:jc w:val="left"/>
            </w:pPr>
            <w:r>
              <w:t xml:space="preserve">Export the Root CA certificate and any intermediate/issuing CA certificates as Base-64 encoded .cer files.</w:t>
            </w:r>
          </w:p>
        </w:tc>
        <w:tc>
          <w:tcPr/>
          <w:p>
            <w:pPr>
              <w:pStyle w:val="Compact"/>
              <w:jc w:val="left"/>
            </w:pPr>
            <w:r>
              <w:t xml:space="preserve">Open .cer in certutil: certutil -dump rootca.cer — verify subject, validity, key usage.</w:t>
            </w:r>
          </w:p>
        </w:tc>
      </w:tr>
      <w:tr>
        <w:tc>
          <w:tcPr/>
          <w:p>
            <w:pPr>
              <w:pStyle w:val="Compact"/>
              <w:jc w:val="left"/>
            </w:pPr>
            <w:r>
              <w:t xml:space="preserve">4</w:t>
            </w:r>
          </w:p>
        </w:tc>
        <w:tc>
          <w:tcPr/>
          <w:p>
            <w:pPr>
              <w:pStyle w:val="Compact"/>
              <w:jc w:val="left"/>
            </w:pPr>
            <w:r>
              <w:t xml:space="preserve">Upload CA certificates to Entra</w:t>
            </w:r>
          </w:p>
        </w:tc>
        <w:tc>
          <w:tcPr/>
          <w:p>
            <w:pPr>
              <w:pStyle w:val="Compact"/>
              <w:jc w:val="left"/>
            </w:pPr>
            <w:r>
              <w:t xml:space="preserve">Navigate to Microsoft Entra admin center → Security → Certificate authorities. Upload Root CA, then Issuing CA(s). Set</w:t>
            </w:r>
            <w:r>
              <w:t xml:space="preserve"> </w:t>
            </w:r>
            <w:r>
              <w:rPr>
                <w:i/>
                <w:iCs/>
              </w:rPr>
              <w:t xml:space="preserve">Is root CA certificate</w:t>
            </w:r>
            <w:r>
              <w:t xml:space="preserve"> </w:t>
            </w:r>
            <w:r>
              <w:t xml:space="preserve">appropriately. Enter CRL distribution point URL for each CA.</w:t>
            </w:r>
          </w:p>
        </w:tc>
        <w:tc>
          <w:tcPr/>
          <w:p>
            <w:pPr>
              <w:pStyle w:val="Compact"/>
              <w:jc w:val="left"/>
            </w:pPr>
            <w:r>
              <w:t xml:space="preserve">Get-MgOrganizationCertificateBasedAuthConfiguration — verify CA certs listed with correct issuers and CRL URLs.</w:t>
            </w:r>
          </w:p>
        </w:tc>
      </w:tr>
      <w:tr>
        <w:tc>
          <w:tcPr/>
          <w:p>
            <w:pPr>
              <w:pStyle w:val="Compact"/>
              <w:jc w:val="left"/>
            </w:pPr>
            <w:r>
              <w:t xml:space="preserve">5</w:t>
            </w:r>
          </w:p>
        </w:tc>
        <w:tc>
          <w:tcPr/>
          <w:p>
            <w:pPr>
              <w:pStyle w:val="Compact"/>
              <w:jc w:val="left"/>
            </w:pPr>
            <w:r>
              <w:t xml:space="preserve">Verify CRL accessibility</w:t>
            </w:r>
          </w:p>
        </w:tc>
        <w:tc>
          <w:tcPr/>
          <w:p>
            <w:pPr>
              <w:pStyle w:val="Compact"/>
              <w:jc w:val="left"/>
            </w:pPr>
            <w:r>
              <w:t xml:space="preserve">The CRL URL configured for each CA must be accessible from the internet (Entra ID fetches CRL during authentication).</w:t>
            </w:r>
          </w:p>
        </w:tc>
        <w:tc>
          <w:tcPr/>
          <w:p>
            <w:pPr>
              <w:pStyle w:val="Compact"/>
              <w:jc w:val="left"/>
            </w:pPr>
            <w:r>
              <w:t xml:space="preserve">From an external network: Invoke-WebRequest -Uri "http://crl.yourdomain.com/crl.crl" -Method Head — must return HTTP 200.</w:t>
            </w:r>
          </w:p>
        </w:tc>
      </w:tr>
      <w:tr>
        <w:tc>
          <w:tcPr/>
          <w:p>
            <w:pPr>
              <w:pStyle w:val="Compact"/>
              <w:jc w:val="left"/>
            </w:pPr>
            <w:r>
              <w:t xml:space="preserve">6</w:t>
            </w:r>
          </w:p>
        </w:tc>
        <w:tc>
          <w:tcPr/>
          <w:p>
            <w:pPr>
              <w:pStyle w:val="Compact"/>
              <w:jc w:val="left"/>
            </w:pPr>
            <w:r>
              <w:t xml:space="preserve">Enable CBA authentication method</w:t>
            </w:r>
          </w:p>
        </w:tc>
        <w:tc>
          <w:tcPr/>
          <w:p>
            <w:pPr>
              <w:pStyle w:val="Compact"/>
              <w:jc w:val="left"/>
            </w:pPr>
            <w:r>
              <w:t xml:space="preserve">Navigate to Protection → Authentication methods → Policies. Enable "Certificate-based authentication." Target to a pilot security group (not All Users initially).</w:t>
            </w:r>
          </w:p>
        </w:tc>
        <w:tc>
          <w:tcPr/>
          <w:p>
            <w:pPr>
              <w:pStyle w:val="Compact"/>
              <w:jc w:val="left"/>
            </w:pPr>
            <w:r>
              <w:t xml:space="preserve">Get-MgPolicyAuthenticationMethodPolicyAuthenticationMethodConfiguration -AuthenticationMethodConfigurationId 'x509Certificate' — verify state is enabled.</w:t>
            </w:r>
          </w:p>
        </w:tc>
      </w:tr>
      <w:tr>
        <w:tc>
          <w:tcPr/>
          <w:p>
            <w:pPr>
              <w:pStyle w:val="Compact"/>
              <w:jc w:val="left"/>
            </w:pPr>
            <w:r>
              <w:t xml:space="preserve">7</w:t>
            </w:r>
          </w:p>
        </w:tc>
        <w:tc>
          <w:tcPr/>
          <w:p>
            <w:pPr>
              <w:pStyle w:val="Compact"/>
              <w:jc w:val="left"/>
            </w:pPr>
            <w:r>
              <w:t xml:space="preserve">Configure username binding rules</w:t>
            </w:r>
          </w:p>
        </w:tc>
        <w:tc>
          <w:tcPr/>
          <w:p>
            <w:pPr>
              <w:pStyle w:val="Compact"/>
              <w:jc w:val="left"/>
            </w:pPr>
            <w:r>
              <w:t xml:space="preserve">In the CBA method configuration, add binding rules. Start with:</w:t>
            </w:r>
            <w:r>
              <w:t xml:space="preserve"> </w:t>
            </w:r>
            <w:r>
              <w:rPr>
                <w:i/>
                <w:iCs/>
              </w:rPr>
              <w:t xml:space="preserve">PrincipalName → userPrincipalName</w:t>
            </w:r>
            <w:r>
              <w:t xml:space="preserve"> </w:t>
            </w:r>
            <w:r>
              <w:t xml:space="preserve">(low affinity). Add high-affinity rules for production:</w:t>
            </w:r>
            <w:r>
              <w:t xml:space="preserve"> </w:t>
            </w:r>
            <w:r>
              <w:rPr>
                <w:i/>
                <w:iCs/>
              </w:rPr>
              <w:t xml:space="preserve">SKI → certificateUserIds</w:t>
            </w:r>
            <w:r>
              <w:t xml:space="preserve"> </w:t>
            </w:r>
            <w:r>
              <w:t xml:space="preserve">or</w:t>
            </w:r>
            <w:r>
              <w:t xml:space="preserve"> </w:t>
            </w:r>
            <w:r>
              <w:rPr>
                <w:i/>
                <w:iCs/>
              </w:rPr>
              <w:t xml:space="preserve">SHA1PublicKey → certificateUserIds</w:t>
            </w:r>
            <w:r>
              <w:t xml:space="preserve">.</w:t>
            </w:r>
          </w:p>
        </w:tc>
        <w:tc>
          <w:tcPr/>
          <w:p>
            <w:pPr>
              <w:pStyle w:val="Compact"/>
              <w:jc w:val="left"/>
            </w:pPr>
            <w:r>
              <w:t xml:space="preserve">Review binding rules in the Entra admin center CBA configuration blade. Verify priority order (high-affinity rules should have higher priority).</w:t>
            </w:r>
          </w:p>
        </w:tc>
      </w:tr>
      <w:tr>
        <w:tc>
          <w:tcPr/>
          <w:p>
            <w:pPr>
              <w:pStyle w:val="Compact"/>
              <w:jc w:val="left"/>
            </w:pPr>
            <w:r>
              <w:t xml:space="preserve">8</w:t>
            </w:r>
          </w:p>
        </w:tc>
        <w:tc>
          <w:tcPr/>
          <w:p>
            <w:pPr>
              <w:pStyle w:val="Compact"/>
              <w:jc w:val="left"/>
            </w:pPr>
            <w:r>
              <w:t xml:space="preserve">Configure authentication strength</w:t>
            </w:r>
          </w:p>
        </w:tc>
        <w:tc>
          <w:tcPr/>
          <w:p>
            <w:pPr>
              <w:pStyle w:val="Compact"/>
              <w:jc w:val="left"/>
            </w:pPr>
            <w:r>
              <w:t xml:space="preserve">Set the protection level for CBA:</w:t>
            </w:r>
            <w:r>
              <w:t xml:space="preserve"> </w:t>
            </w:r>
            <w:r>
              <w:rPr>
                <w:i/>
                <w:iCs/>
              </w:rPr>
              <w:t xml:space="preserve">Single-factor</w:t>
            </w:r>
            <w:r>
              <w:t xml:space="preserve"> </w:t>
            </w:r>
            <w:r>
              <w:t xml:space="preserve">or</w:t>
            </w:r>
            <w:r>
              <w:t xml:space="preserve"> </w:t>
            </w:r>
            <w:r>
              <w:rPr>
                <w:i/>
                <w:iCs/>
              </w:rPr>
              <w:t xml:space="preserve">Multi-factor</w:t>
            </w:r>
            <w:r>
              <w:t xml:space="preserve">. For smart card CBA (something you have + PIN = something you know), set to Multi-factor. Configure per issuer or policy OID if needed.</w:t>
            </w:r>
          </w:p>
        </w:tc>
        <w:tc>
          <w:tcPr/>
          <w:p>
            <w:pPr>
              <w:pStyle w:val="Compact"/>
              <w:jc w:val="left"/>
            </w:pPr>
            <w:r>
              <w:t xml:space="preserve">In CBA configuration, verify the authentication strength level per rule. Test: user authenticates via CBA and Conditional Access requiring MFA is satisfied without additional prompt.</w:t>
            </w:r>
          </w:p>
        </w:tc>
      </w:tr>
      <w:tr>
        <w:tc>
          <w:tcPr/>
          <w:p>
            <w:pPr>
              <w:pStyle w:val="Compact"/>
              <w:jc w:val="left"/>
            </w:pPr>
            <w:r>
              <w:t xml:space="preserve">9</w:t>
            </w:r>
          </w:p>
        </w:tc>
        <w:tc>
          <w:tcPr/>
          <w:p>
            <w:pPr>
              <w:pStyle w:val="Compact"/>
              <w:jc w:val="left"/>
            </w:pPr>
            <w:r>
              <w:t xml:space="preserve">Create pilot security group</w:t>
            </w:r>
          </w:p>
        </w:tc>
        <w:tc>
          <w:tcPr/>
          <w:p>
            <w:pPr>
              <w:pStyle w:val="Compact"/>
              <w:jc w:val="left"/>
            </w:pPr>
            <w:r>
              <w:t xml:space="preserve">Create a security group in Entra ID for CBA pilot users. Add 10–20 users representing different certificate types (smart card, software cert, different CAs).</w:t>
            </w:r>
          </w:p>
        </w:tc>
        <w:tc>
          <w:tcPr/>
          <w:p>
            <w:pPr>
              <w:pStyle w:val="Compact"/>
              <w:jc w:val="left"/>
            </w:pPr>
            <w:r>
              <w:t xml:space="preserve">Get-MgGroup -Filter "displayName eq 'CBA-Pilot-Users'" | Select Id, DisplayName — verify group exists and has members.</w:t>
            </w:r>
          </w:p>
        </w:tc>
      </w:tr>
      <w:tr>
        <w:tc>
          <w:tcPr/>
          <w:p>
            <w:pPr>
              <w:pStyle w:val="Compact"/>
              <w:jc w:val="left"/>
            </w:pPr>
            <w:r>
              <w:t xml:space="preserve">10</w:t>
            </w:r>
          </w:p>
        </w:tc>
        <w:tc>
          <w:tcPr/>
          <w:p>
            <w:pPr>
              <w:pStyle w:val="Compact"/>
              <w:jc w:val="left"/>
            </w:pPr>
            <w:r>
              <w:t xml:space="preserve">Enable staged rollout</w:t>
            </w:r>
          </w:p>
        </w:tc>
        <w:tc>
          <w:tcPr/>
          <w:p>
            <w:pPr>
              <w:pStyle w:val="Compact"/>
              <w:jc w:val="left"/>
            </w:pPr>
            <w:r>
              <w:t xml:space="preserve">Navigate to Microsoft Entra Connect → Staged rollout of cloud authentication. Enable "Certificate-based authentication." Add the pilot security group.</w:t>
            </w:r>
          </w:p>
        </w:tc>
        <w:tc>
          <w:tcPr/>
          <w:p>
            <w:pPr>
              <w:pStyle w:val="Compact"/>
              <w:jc w:val="left"/>
            </w:pPr>
            <w:r>
              <w:t xml:space="preserve">Get-MgPolicyFeatureRolloutPolicy | Where DisplayName -match 'CertificateBasedAuthentication' — verify policy exists and is enabled.</w:t>
            </w:r>
          </w:p>
        </w:tc>
      </w:tr>
      <w:tr>
        <w:tc>
          <w:tcPr/>
          <w:p>
            <w:pPr>
              <w:pStyle w:val="Compact"/>
              <w:jc w:val="left"/>
            </w:pPr>
            <w:r>
              <w:t xml:space="preserve">11</w:t>
            </w:r>
          </w:p>
        </w:tc>
        <w:tc>
          <w:tcPr/>
          <w:p>
            <w:pPr>
              <w:pStyle w:val="Compact"/>
              <w:jc w:val="left"/>
            </w:pPr>
            <w:r>
              <w:t xml:space="preserve">Enable Password Hash Sync (PHS)</w:t>
            </w:r>
          </w:p>
        </w:tc>
        <w:tc>
          <w:tcPr/>
          <w:p>
            <w:pPr>
              <w:pStyle w:val="Compact"/>
              <w:jc w:val="left"/>
            </w:pPr>
            <w:r>
              <w:t xml:space="preserve">PHS must be enabled as a fallback for staged rollout users. If CBA fails, the user can fall back to password authentication. Configure in Entra Connect.</w:t>
            </w:r>
          </w:p>
        </w:tc>
        <w:tc>
          <w:tcPr/>
          <w:p>
            <w:pPr>
              <w:pStyle w:val="Compact"/>
              <w:jc w:val="left"/>
            </w:pPr>
            <w:r>
              <w:t xml:space="preserve">Entra Connect sync status: verify PHS is enabled and syncing. Check Entra admin center → Entra Connect → Sync status.</w:t>
            </w:r>
          </w:p>
        </w:tc>
      </w:tr>
      <w:tr>
        <w:tc>
          <w:tcPr/>
          <w:p>
            <w:pPr>
              <w:pStyle w:val="Compact"/>
              <w:jc w:val="left"/>
            </w:pPr>
            <w:r>
              <w:t xml:space="preserve">12</w:t>
            </w:r>
          </w:p>
        </w:tc>
        <w:tc>
          <w:tcPr/>
          <w:p>
            <w:pPr>
              <w:pStyle w:val="Compact"/>
              <w:jc w:val="left"/>
            </w:pPr>
            <w:r>
              <w:t xml:space="preserve">Test pilot user CBA login</w:t>
            </w:r>
          </w:p>
        </w:tc>
        <w:tc>
          <w:tcPr/>
          <w:p>
            <w:pPr>
              <w:pStyle w:val="Compact"/>
              <w:jc w:val="left"/>
            </w:pPr>
            <w:r>
              <w:t xml:space="preserve">Pilot user navigates to https://login.microsoftonline.com → selects "Use a certificate or smart card" → presents certificate → authenticates.</w:t>
            </w:r>
          </w:p>
        </w:tc>
        <w:tc>
          <w:tcPr/>
          <w:p>
            <w:pPr>
              <w:pStyle w:val="Compact"/>
              <w:jc w:val="left"/>
            </w:pPr>
            <w:r>
              <w:t xml:space="preserve">Entra sign-in logs: filter by user → verify authentication method = "X.509 Certificate", status = "Success", MFA claim present (if multi-factor configured).</w:t>
            </w:r>
          </w:p>
        </w:tc>
      </w:tr>
      <w:tr>
        <w:tc>
          <w:tcPr/>
          <w:p>
            <w:pPr>
              <w:pStyle w:val="Compact"/>
              <w:jc w:val="left"/>
            </w:pPr>
            <w:r>
              <w:t xml:space="preserve">13</w:t>
            </w:r>
          </w:p>
        </w:tc>
        <w:tc>
          <w:tcPr/>
          <w:p>
            <w:pPr>
              <w:pStyle w:val="Compact"/>
              <w:jc w:val="left"/>
            </w:pPr>
            <w:r>
              <w:t xml:space="preserve">Verify token claims</w:t>
            </w:r>
          </w:p>
        </w:tc>
        <w:tc>
          <w:tcPr/>
          <w:p>
            <w:pPr>
              <w:pStyle w:val="Compact"/>
              <w:jc w:val="left"/>
            </w:pPr>
            <w:r>
              <w:t xml:space="preserve">Inspect the issued token (via jwt.ms or app registration test) for correct claims: amr contains x509, MFA claim present, correct UPN.</w:t>
            </w:r>
          </w:p>
        </w:tc>
        <w:tc>
          <w:tcPr/>
          <w:p>
            <w:pPr>
              <w:pStyle w:val="Compact"/>
              <w:jc w:val="left"/>
            </w:pPr>
            <w:r>
              <w:t xml:space="preserve">Decode token at jwt.ms or via application logs. Verify "amr": ["x509"] and "authenticationMethod": "X.509".</w:t>
            </w:r>
          </w:p>
        </w:tc>
      </w:tr>
      <w:tr>
        <w:tc>
          <w:tcPr/>
          <w:p>
            <w:pPr>
              <w:pStyle w:val="Compact"/>
              <w:jc w:val="left"/>
            </w:pPr>
            <w:r>
              <w:t xml:space="preserve">14</w:t>
            </w:r>
          </w:p>
        </w:tc>
        <w:tc>
          <w:tcPr/>
          <w:p>
            <w:pPr>
              <w:pStyle w:val="Compact"/>
              <w:jc w:val="left"/>
            </w:pPr>
            <w:r>
              <w:t xml:space="preserve">Expand staged rollout</w:t>
            </w:r>
          </w:p>
        </w:tc>
        <w:tc>
          <w:tcPr/>
          <w:p>
            <w:pPr>
              <w:pStyle w:val="Compact"/>
              <w:jc w:val="left"/>
            </w:pPr>
            <w:r>
              <w:t xml:space="preserve">Add additional user groups in waves (200 users per wave, 48 hours between waves). Monitor sign-in logs for failures between each wave.</w:t>
            </w:r>
          </w:p>
        </w:tc>
        <w:tc>
          <w:tcPr/>
          <w:p>
            <w:pPr>
              <w:pStyle w:val="Compact"/>
              <w:jc w:val="left"/>
            </w:pPr>
            <w:r>
              <w:t xml:space="preserve">Entra sign-in logs: filter by authentication method "X.509 Certificate" → monitor failure rate. Target &lt;1% failure rate before next wave.</w:t>
            </w:r>
          </w:p>
        </w:tc>
      </w:tr>
      <w:tr>
        <w:tc>
          <w:tcPr/>
          <w:p>
            <w:pPr>
              <w:pStyle w:val="Compact"/>
              <w:jc w:val="left"/>
            </w:pPr>
            <w:r>
              <w:t xml:space="preserve">15</w:t>
            </w:r>
          </w:p>
        </w:tc>
        <w:tc>
          <w:tcPr/>
          <w:p>
            <w:pPr>
              <w:pStyle w:val="Compact"/>
              <w:jc w:val="left"/>
            </w:pPr>
            <w:r>
              <w:t xml:space="preserve">Document ADFS federation configuration</w:t>
            </w:r>
          </w:p>
        </w:tc>
        <w:tc>
          <w:tcPr/>
          <w:p>
            <w:pPr>
              <w:pStyle w:val="Compact"/>
              <w:jc w:val="left"/>
            </w:pPr>
            <w:r>
              <w:t xml:space="preserve">Before domain conversion, capture the current federation configuration for rollback purposes.</w:t>
            </w:r>
          </w:p>
        </w:tc>
        <w:tc>
          <w:tcPr/>
          <w:p>
            <w:pPr>
              <w:pStyle w:val="Compact"/>
              <w:jc w:val="left"/>
            </w:pPr>
            <w:r>
              <w:t xml:space="preserve">Get-MgDomainFederationConfiguration -DomainId "yourdomain.com" | ConvertTo-Json | Out-File adfs-federation-backup.json</w:t>
            </w:r>
          </w:p>
        </w:tc>
      </w:tr>
      <w:tr>
        <w:tc>
          <w:tcPr/>
          <w:p>
            <w:pPr>
              <w:pStyle w:val="Compact"/>
              <w:jc w:val="left"/>
            </w:pPr>
            <w:r>
              <w:t xml:space="preserve">16</w:t>
            </w:r>
          </w:p>
        </w:tc>
        <w:tc>
          <w:tcPr/>
          <w:p>
            <w:pPr>
              <w:pStyle w:val="Compact"/>
              <w:jc w:val="left"/>
            </w:pPr>
            <w:r>
              <w:t xml:space="preserve">Convert domain to managed</w:t>
            </w:r>
          </w:p>
        </w:tc>
        <w:tc>
          <w:tcPr/>
          <w:p>
            <w:pPr>
              <w:pStyle w:val="Compact"/>
              <w:jc w:val="left"/>
            </w:pPr>
            <w:r>
              <w:t xml:space="preserve">When all users are validated, convert the federated domain to managed authentication. This routes all authentication to Entra ID.</w:t>
            </w:r>
          </w:p>
        </w:tc>
        <w:tc>
          <w:tcPr/>
          <w:p>
            <w:pPr>
              <w:pStyle w:val="Compact"/>
              <w:jc w:val="left"/>
            </w:pPr>
            <w:r>
              <w:t xml:space="preserve">Get-MgDomain -DomainId "yourdomain.com" | Select AuthenticationType — must return Managed.</w:t>
            </w:r>
          </w:p>
        </w:tc>
      </w:tr>
      <w:tr>
        <w:tc>
          <w:tcPr/>
          <w:p>
            <w:pPr>
              <w:pStyle w:val="Compact"/>
              <w:jc w:val="left"/>
            </w:pPr>
            <w:r>
              <w:t xml:space="preserve">17</w:t>
            </w:r>
          </w:p>
        </w:tc>
        <w:tc>
          <w:tcPr/>
          <w:p>
            <w:pPr>
              <w:pStyle w:val="Compact"/>
              <w:jc w:val="left"/>
            </w:pPr>
            <w:r>
              <w:t xml:space="preserve">Disable ADFS CBA rules</w:t>
            </w:r>
          </w:p>
        </w:tc>
        <w:tc>
          <w:tcPr/>
          <w:p>
            <w:pPr>
              <w:pStyle w:val="Compact"/>
              <w:jc w:val="left"/>
            </w:pPr>
            <w:r>
              <w:t xml:space="preserve">Remove or disable certificate authentication claim rules in ADFS (if ADFS remains for other relying parties).</w:t>
            </w:r>
          </w:p>
        </w:tc>
        <w:tc>
          <w:tcPr/>
          <w:p>
            <w:pPr>
              <w:pStyle w:val="Compact"/>
              <w:jc w:val="left"/>
            </w:pPr>
            <w:r>
              <w:t xml:space="preserve">Verify no ADFS claim rules reference certificate authentication. Test: users are no longer redirected to ADFS for CBA.</w:t>
            </w:r>
          </w:p>
        </w:tc>
      </w:tr>
      <w:tr>
        <w:tc>
          <w:tcPr/>
          <w:p>
            <w:pPr>
              <w:pStyle w:val="Compact"/>
              <w:jc w:val="left"/>
            </w:pPr>
            <w:r>
              <w:t xml:space="preserve">18</w:t>
            </w:r>
          </w:p>
        </w:tc>
        <w:tc>
          <w:tcPr/>
          <w:p>
            <w:pPr>
              <w:pStyle w:val="Compact"/>
              <w:jc w:val="left"/>
            </w:pPr>
            <w:r>
              <w:t xml:space="preserve">Remove staged rollout groups</w:t>
            </w:r>
          </w:p>
        </w:tc>
        <w:tc>
          <w:tcPr/>
          <w:p>
            <w:pPr>
              <w:pStyle w:val="Compact"/>
              <w:jc w:val="left"/>
            </w:pPr>
            <w:r>
              <w:t xml:space="preserve">After domain conversion, staged rollout is no longer needed. Remove groups from the staged rollout policy.</w:t>
            </w:r>
          </w:p>
        </w:tc>
        <w:tc>
          <w:tcPr/>
          <w:p>
            <w:pPr>
              <w:pStyle w:val="Compact"/>
              <w:jc w:val="left"/>
            </w:pPr>
            <w:r>
              <w:t xml:space="preserve">Entra Connect staged rollout page: CBA feature should show no assigned groups (or disable the feature).</w:t>
            </w:r>
          </w:p>
        </w:tc>
      </w:tr>
      <w:tr>
        <w:tc>
          <w:tcPr/>
          <w:p>
            <w:pPr>
              <w:pStyle w:val="Compact"/>
              <w:jc w:val="left"/>
            </w:pPr>
            <w:r>
              <w:t xml:space="preserve">19</w:t>
            </w:r>
          </w:p>
        </w:tc>
        <w:tc>
          <w:tcPr/>
          <w:p>
            <w:pPr>
              <w:pStyle w:val="Compact"/>
              <w:jc w:val="left"/>
            </w:pPr>
            <w:r>
              <w:t xml:space="preserve">Configure Conditional Access policy</w:t>
            </w:r>
          </w:p>
        </w:tc>
        <w:tc>
          <w:tcPr/>
          <w:p>
            <w:pPr>
              <w:pStyle w:val="Compact"/>
              <w:jc w:val="left"/>
            </w:pPr>
            <w:r>
              <w:t xml:space="preserve">Create or update Conditional Access policies to require CBA authentication strength for sensitive applications. Combine with device compliance requirement.</w:t>
            </w:r>
          </w:p>
        </w:tc>
        <w:tc>
          <w:tcPr/>
          <w:p>
            <w:pPr>
              <w:pStyle w:val="Compact"/>
              <w:jc w:val="left"/>
            </w:pPr>
            <w:r>
              <w:t xml:space="preserve">Get-MgIdentityConditionalAccessPolicy | Where DisplayName -match 'CBA' — verify policy exists, is enabled, and targets correct apps/users.</w:t>
            </w:r>
          </w:p>
        </w:tc>
      </w:tr>
      <w:tr>
        <w:tc>
          <w:tcPr/>
          <w:p>
            <w:pPr>
              <w:pStyle w:val="Compact"/>
              <w:jc w:val="left"/>
            </w:pPr>
            <w:r>
              <w:t xml:space="preserve">20</w:t>
            </w:r>
          </w:p>
        </w:tc>
        <w:tc>
          <w:tcPr/>
          <w:p>
            <w:pPr>
              <w:pStyle w:val="Compact"/>
              <w:jc w:val="left"/>
            </w:pPr>
            <w:r>
              <w:t xml:space="preserve">Establish monitoring and alerting</w:t>
            </w:r>
          </w:p>
        </w:tc>
        <w:tc>
          <w:tcPr/>
          <w:p>
            <w:pPr>
              <w:pStyle w:val="Compact"/>
              <w:jc w:val="left"/>
            </w:pPr>
            <w:r>
              <w:t xml:space="preserve">Configure Entra sign-in log alerts for CBA authentication failures. Set threshold (e.g., &gt;5 failures in 15 minutes). Integrate with SIEM.</w:t>
            </w:r>
          </w:p>
        </w:tc>
        <w:tc>
          <w:tcPr/>
          <w:p>
            <w:pPr>
              <w:pStyle w:val="Compact"/>
              <w:jc w:val="left"/>
            </w:pPr>
            <w:r>
              <w:t xml:space="preserve">Trigger a test CBA failure (expired cert). Verify alert fires within configured time window.</w:t>
            </w:r>
          </w:p>
        </w:tc>
      </w:tr>
    </w:tbl>
    <w:p/>
    <w:tbl>
      <w:tblPr>
        <w:tblStyle w:val="Table"/>
        <w:tblW w:type="pct" w:w="5018"/>
        <w:tblLayout w:type="fixed"/>
        <w:tblLook w:firstRow="0" w:lastRow="0" w:firstColumn="0" w:lastColumn="0" w:noHBand="0" w:noVBand="0" w:val="0000"/>
      </w:tblPr>
      <w:tblGrid>
        <w:gridCol w:w="7948"/>
      </w:tblGrid>
      <w:tr>
        <w:tc>
          <w:tcPr/>
          <w:p>
            <w:pPr>
              <w:pStyle w:val="Compact"/>
            </w:pPr>
            <w:r>
              <w:rPr>
                <w:b/>
                <w:bCs/>
              </w:rPr>
              <w:t xml:space="preserve">Document Version Control</w:t>
            </w:r>
            <w:r>
              <w:t xml:space="preserve"> </w:t>
            </w:r>
            <w:r>
              <w:t xml:space="preserve">|</w:t>
            </w:r>
            <w:r>
              <w:t xml:space="preserve"> </w:t>
            </w:r>
            <w:r>
              <w:t xml:space="preserve">|</w:t>
            </w:r>
            <w:r>
              <w:t xml:space="preserve"> </w:t>
            </w:r>
            <w:r>
              <w:t xml:space="preserve">This document is maintained in the Federal Modernization Program repository at https://github.com/WhalerMike/modernization-workbook. All changes are tracked via Git version control. For questions, corrections, or contributions, submit a pull request or issue to the repository.</w:t>
            </w:r>
          </w:p>
        </w:tc>
      </w:tr>
    </w:tbl>
    <w:p>
      <w:pPr>
        <w:pStyle w:val="BodyText"/>
      </w:pPr>
      <w:r>
        <w:t xml:space="preserve">The Federal Modernization Program PKI Modernization Guide — Version 1.0 — April 2026</w:t>
      </w:r>
      <w:r>
        <w:br/>
      </w:r>
      <w:r>
        <w:t xml:space="preserve">Classification: Controlled — Boundary: GCC-Moderate</w:t>
      </w:r>
      <w:r>
        <w:br/>
      </w:r>
      <w:r>
        <w:t xml:space="preserve">The Federal Modernization Program — https://github.com/WhalerMike/modernization-workbook</w:t>
      </w:r>
    </w:p>
    <w:p>
      <w:r>
        <w:pict>
          <v:rect style="width:0;height:1.5pt" o:hralign="center" o:hrstd="t" o:hr="t"/>
        </w:pict>
      </w:r>
    </w:p>
    <w:bookmarkEnd w:id="139"/>
    <w:bookmarkStart w:id="142" w:name="X74977abb80221c6515eefe48694a1a13662f22d"/>
    <w:p>
      <w:pPr>
        <w:pStyle w:val="Heading2"/>
      </w:pPr>
      <w:r>
        <w:t xml:space="preserve">Compliance Amendment — FIPS-Validated Cryptography and HSM Key Protection (</w:t>
      </w:r>
      <w:r>
        <w:rPr>
          <w:rStyle w:val="VerbatimChar"/>
        </w:rPr>
        <w:t xml:space="preserve">SC-12</w:t>
      </w:r>
      <w:r>
        <w:t xml:space="preserve">,</w:t>
      </w:r>
      <w:r>
        <w:t xml:space="preserve"> </w:t>
      </w:r>
      <w:r>
        <w:rPr>
          <w:rStyle w:val="VerbatimChar"/>
        </w:rPr>
        <w:t xml:space="preserve">SC-13</w:t>
      </w:r>
      <w:r>
        <w:t xml:space="preserve">)</w:t>
      </w:r>
    </w:p>
    <w:bookmarkStart w:id="140" w:name="fips-140-2-140-3-validation-sc-13"/>
    <w:p>
      <w:pPr>
        <w:pStyle w:val="Heading3"/>
      </w:pPr>
      <w:r>
        <w:t xml:space="preserve">FIPS 140-2 / 140-3 validation (</w:t>
      </w:r>
      <w:r>
        <w:rPr>
          <w:rStyle w:val="VerbatimChar"/>
        </w:rPr>
        <w:t xml:space="preserve">SC-13</w:t>
      </w:r>
      <w:r>
        <w:t xml:space="preserve">)</w:t>
      </w:r>
    </w:p>
    <w:p>
      <w:pPr>
        <w:pStyle w:val="FirstParagraph"/>
      </w:pPr>
      <w:r>
        <w:t xml:space="preserve">All cryptographic modules used for certificate issuance, key generation, and signing operate in a FIPS-validated mode. Certificate authorities and dependent services use FIPS 140-2 or FIPS 140-3 validated modules; non-validated cryptographic providers are not permitted for CA operations. Validation certificates are recorded as assessment evidence.</w:t>
      </w:r>
    </w:p>
    <w:bookmarkEnd w:id="140"/>
    <w:bookmarkStart w:id="141" w:name="hsm-protection-of-ca-keys-sc-12"/>
    <w:p>
      <w:pPr>
        <w:pStyle w:val="Heading3"/>
      </w:pPr>
      <w:r>
        <w:t xml:space="preserve">HSM protection of CA keys (</w:t>
      </w:r>
      <w:r>
        <w:rPr>
          <w:rStyle w:val="VerbatimChar"/>
        </w:rPr>
        <w:t xml:space="preserve">SC-12</w:t>
      </w:r>
      <w:r>
        <w:t xml:space="preserve">)</w:t>
      </w:r>
    </w:p>
    <w:p>
      <w:pPr>
        <w:pStyle w:val="FirstParagraph"/>
      </w:pPr>
      <w:r>
        <w:t xml:space="preserve">Certificate Authority private keys are generated and stored in a hardware security module (HSM) and are non-exportable. Key establishment and management (</w:t>
      </w:r>
      <w:r>
        <w:rPr>
          <w:rStyle w:val="VerbatimChar"/>
        </w:rPr>
        <w:t xml:space="preserve">SC-12</w:t>
      </w:r>
      <w:r>
        <w:t xml:space="preserve">) follow documented key-ceremony procedures with split knowledge and dual control for root CA operations. Key backup, rotation, and destruction follow the CA lifecycle and are logged.</w:t>
      </w:r>
    </w:p>
    <w:bookmarkEnd w:id="141"/>
    <w:bookmarkEnd w:id="142"/>
    <w:bookmarkEnd w:id="143"/>
    <w:bookmarkStart w:id="147" w:name="X2ad56b02079c66ded22b6fc5164d29e7e486691"/>
    <w:p>
      <w:pPr>
        <w:pStyle w:val="Heading1"/>
      </w:pPr>
      <w:r>
        <w:t xml:space="preserve">The Federal Modernization Program Read-Only AD Assessment Guide</w:t>
      </w:r>
    </w:p>
    <w:bookmarkStart w:id="146" w:name="fig-read-only-ad-assessment-image-03"/>
    <w:p>
      <w:pPr>
        <w:pStyle w:val="CaptionedFigure"/>
      </w:pPr>
      <w:r>
        <w:drawing>
          <wp:inline>
            <wp:extent cx="5334000" cy="5334000"/>
            <wp:effectExtent b="0" l="0" r="0" t="0"/>
            <wp:docPr descr="output directory + Gitea manifest flow" title="" id="144" name="Picture"/>
            <a:graphic>
              <a:graphicData uri="http://schemas.openxmlformats.org/drawingml/2006/picture">
                <pic:pic>
                  <pic:nvPicPr>
                    <pic:cNvPr descr="/home/runner/work/modernization-workbook/modernization-workbook/docs/images/operational-guides/read-only-ad-assessment-image-03-output-directory-gitea-manifest.png" id="145" name="Picture"/>
                    <pic:cNvPicPr>
                      <a:picLocks noChangeArrowheads="1" noChangeAspect="1"/>
                    </pic:cNvPicPr>
                  </pic:nvPicPr>
                  <pic:blipFill>
                    <a:blip r:embed="rId13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output directory + Gitea manifest flow</w:t>
      </w:r>
    </w:p>
    <w:bookmarkEnd w:id="146"/>
    <w:tbl>
      <w:tblPr>
        <w:tblStyle w:val="Table"/>
        <w:tblW w:type="pct" w:w="4236"/>
        <w:tblLayout w:type="fixed"/>
        <w:tblLook w:firstRow="1" w:lastRow="0" w:firstColumn="0" w:lastColumn="0" w:noHBand="0" w:noVBand="0" w:val="0020"/>
      </w:tblPr>
      <w:tblGrid>
        <w:gridCol w:w="2310"/>
        <w:gridCol w:w="4400"/>
      </w:tblGrid>
      <w:tr>
        <w:trPr>
          <w:tblHeader w:val="on"/>
        </w:trPr>
        <w:tc>
          <w:tcPr/>
          <w:p>
            <w:pPr>
              <w:pStyle w:val="Compact"/>
              <w:jc w:val="left"/>
            </w:pPr>
            <w:r>
              <w:rPr>
                <w:b/>
                <w:bCs/>
              </w:rPr>
              <w:t xml:space="preserve">Document ID</w:t>
            </w:r>
          </w:p>
        </w:tc>
        <w:tc>
          <w:tcPr/>
          <w:p>
            <w:pPr>
              <w:pStyle w:val="Compact"/>
              <w:jc w:val="left"/>
            </w:pPr>
            <w:r>
              <w:rPr>
                <w:b/>
                <w:bCs/>
              </w:rPr>
              <w:t xml:space="preserve">FMP_009</w:t>
            </w:r>
          </w:p>
        </w:tc>
      </w:tr>
      <w:tr>
        <w:tc>
          <w:tcPr/>
          <w:p>
            <w:pPr>
              <w:pStyle w:val="Compact"/>
              <w:jc w:val="left"/>
            </w:pPr>
            <w:r>
              <w:rPr>
                <w:b/>
                <w:bCs/>
              </w:rPr>
              <w:t xml:space="preserve">Version</w:t>
            </w:r>
          </w:p>
        </w:tc>
        <w:tc>
          <w:tcPr/>
          <w:p>
            <w:pPr>
              <w:pStyle w:val="Compact"/>
              <w:jc w:val="left"/>
            </w:pPr>
            <w:r>
              <w:rPr>
                <w:b/>
                <w:bCs/>
              </w:rPr>
              <w:t xml:space="preserve">1.0</w:t>
            </w:r>
          </w:p>
        </w:tc>
      </w:tr>
      <w:tr>
        <w:tc>
          <w:tcPr/>
          <w:p>
            <w:pPr>
              <w:pStyle w:val="Compact"/>
              <w:jc w:val="left"/>
            </w:pPr>
            <w:r>
              <w:rPr>
                <w:b/>
                <w:bCs/>
              </w:rPr>
              <w:t xml:space="preserve">Status</w:t>
            </w:r>
          </w:p>
        </w:tc>
        <w:tc>
          <w:tcPr/>
          <w:p>
            <w:pPr>
              <w:pStyle w:val="Compact"/>
              <w:jc w:val="left"/>
            </w:pPr>
            <w:r>
              <w:rPr>
                <w:b/>
                <w:bCs/>
              </w:rPr>
              <w:t xml:space="preserve">DRAFT</w:t>
            </w:r>
          </w:p>
        </w:tc>
      </w:tr>
      <w:tr>
        <w:tc>
          <w:tcPr/>
          <w:p>
            <w:pPr>
              <w:pStyle w:val="Compact"/>
              <w:jc w:val="left"/>
            </w:pPr>
            <w:r>
              <w:rPr>
                <w:b/>
                <w:bCs/>
              </w:rPr>
              <w:t xml:space="preserve">Classification</w:t>
            </w:r>
          </w:p>
        </w:tc>
        <w:tc>
          <w:tcPr/>
          <w:p>
            <w:pPr>
              <w:pStyle w:val="Compact"/>
              <w:jc w:val="left"/>
            </w:pPr>
            <w:r>
              <w:rPr>
                <w:b/>
                <w:bCs/>
              </w:rPr>
              <w:t xml:space="preserve">Controlled</w:t>
            </w:r>
          </w:p>
        </w:tc>
      </w:tr>
      <w:tr>
        <w:tc>
          <w:tcPr/>
          <w:p>
            <w:pPr>
              <w:pStyle w:val="Compact"/>
              <w:jc w:val="left"/>
            </w:pPr>
            <w:r>
              <w:rPr>
                <w:b/>
                <w:bCs/>
              </w:rPr>
              <w:t xml:space="preserve">Boundary</w:t>
            </w:r>
          </w:p>
        </w:tc>
        <w:tc>
          <w:tcPr/>
          <w:p>
            <w:pPr>
              <w:pStyle w:val="Compact"/>
              <w:jc w:val="left"/>
            </w:pPr>
            <w:r>
              <w:rPr>
                <w:b/>
                <w:bCs/>
              </w:rPr>
              <w:t xml:space="preserve">GCC-Moderate</w:t>
            </w:r>
          </w:p>
        </w:tc>
      </w:tr>
      <w:tr>
        <w:tc>
          <w:tcPr/>
          <w:p>
            <w:pPr>
              <w:pStyle w:val="Compact"/>
              <w:jc w:val="left"/>
            </w:pPr>
            <w:r>
              <w:rPr>
                <w:b/>
                <w:bCs/>
              </w:rPr>
              <w:t xml:space="preserve">Owner</w:t>
            </w:r>
          </w:p>
        </w:tc>
        <w:tc>
          <w:tcPr/>
          <w:p>
            <w:pPr>
              <w:pStyle w:val="Compact"/>
              <w:jc w:val="left"/>
            </w:pPr>
            <w:r>
              <w:rPr>
                <w:b/>
                <w:bCs/>
              </w:rPr>
              <w:t xml:space="preserve">Michael Stratton</w:t>
            </w:r>
          </w:p>
        </w:tc>
      </w:tr>
      <w:tr>
        <w:tc>
          <w:tcPr/>
          <w:p>
            <w:pPr>
              <w:pStyle w:val="Compact"/>
              <w:jc w:val="left"/>
            </w:pPr>
            <w:r>
              <w:rPr>
                <w:b/>
                <w:bCs/>
              </w:rPr>
              <w:t xml:space="preserve">Series</w:t>
            </w:r>
          </w:p>
        </w:tc>
        <w:tc>
          <w:tcPr/>
          <w:p>
            <w:pPr>
              <w:pStyle w:val="Compact"/>
              <w:jc w:val="left"/>
            </w:pPr>
            <w:r>
              <w:rPr>
                <w:b/>
                <w:bCs/>
              </w:rPr>
              <w:t xml:space="preserve">The Federal Modernization Program Canon — Companion Document</w:t>
            </w:r>
          </w:p>
        </w:tc>
      </w:tr>
      <w:tr>
        <w:tc>
          <w:tcPr/>
          <w:p>
            <w:pPr>
              <w:pStyle w:val="Compact"/>
              <w:jc w:val="left"/>
            </w:pPr>
            <w:r>
              <w:rPr>
                <w:b/>
                <w:bCs/>
              </w:rPr>
              <w:t xml:space="preserve">Date</w:t>
            </w:r>
          </w:p>
        </w:tc>
        <w:tc>
          <w:tcPr/>
          <w:p>
            <w:pPr>
              <w:pStyle w:val="Compact"/>
              <w:jc w:val="left"/>
            </w:pPr>
            <w:r>
              <w:rPr>
                <w:b/>
                <w:bCs/>
              </w:rPr>
              <w:t xml:space="preserve">April 20, 2026</w:t>
            </w:r>
          </w:p>
        </w:tc>
      </w:tr>
    </w:tbl>
    <w:p>
      <w:pPr>
        <w:pStyle w:val="BodyText"/>
      </w:pPr>
      <w:r>
        <w:t xml:space="preserve">The Federal Modernization Program Read-Only AD Assessment Guide</w:t>
      </w:r>
    </w:p>
    <w:p>
      <w:pPr>
        <w:pStyle w:val="BodyText"/>
      </w:pPr>
      <w:r>
        <w:rPr>
          <w:b/>
          <w:bCs/>
        </w:rPr>
        <w:t xml:space="preserve">Maximum Discovery with Minimum Privileges</w:t>
      </w:r>
    </w:p>
    <w:p>
      <w:pPr>
        <w:pStyle w:val="BodyText"/>
      </w:pPr>
      <w:r>
        <w:t xml:space="preserve">Phase 0 Active Directory Assessment Framework for Federal and Enterprise IT Modernization</w:t>
      </w:r>
    </w:p>
    <w:p>
      <w:pPr>
        <w:pStyle w:val="BodyText"/>
      </w:pPr>
      <w:r>
        <w:t xml:space="preserve">Table of Contents</w:t>
      </w:r>
    </w:p>
    <w:p>
      <w:pPr>
        <w:numPr>
          <w:ilvl w:val="0"/>
          <w:numId w:val="1082"/>
        </w:numPr>
      </w:pPr>
      <w:r>
        <w:t xml:space="preserve">Purpose and Scope</w:t>
      </w:r>
    </w:p>
    <w:p>
      <w:pPr>
        <w:numPr>
          <w:ilvl w:val="0"/>
          <w:numId w:val="1082"/>
        </w:numPr>
      </w:pPr>
      <w:r>
        <w:t xml:space="preserve">Permission Baseline: What Authenticated Users Can Read</w:t>
      </w:r>
    </w:p>
    <w:p>
      <w:pPr>
        <w:numPr>
          <w:ilvl w:val="0"/>
          <w:numId w:val="1082"/>
        </w:numPr>
      </w:pPr>
      <w:r>
        <w:t xml:space="preserve">Assessment Capability Matrix</w:t>
      </w:r>
    </w:p>
    <w:p>
      <w:pPr>
        <w:numPr>
          <w:ilvl w:val="0"/>
          <w:numId w:val="1082"/>
        </w:numPr>
      </w:pPr>
      <w:r>
        <w:t xml:space="preserve">Read-Only Assessment Coverage Score</w:t>
      </w:r>
    </w:p>
    <w:p>
      <w:pPr>
        <w:numPr>
          <w:ilvl w:val="0"/>
          <w:numId w:val="1082"/>
        </w:numPr>
      </w:pPr>
      <w:r>
        <w:t xml:space="preserve">The Read-Only Assessment PowerShell Module</w:t>
      </w:r>
    </w:p>
    <w:p>
      <w:pPr>
        <w:numPr>
          <w:ilvl w:val="0"/>
          <w:numId w:val="1082"/>
        </w:numPr>
      </w:pPr>
      <w:r>
        <w:t xml:space="preserve">Output Directory Structure</w:t>
      </w:r>
    </w:p>
    <w:p>
      <w:pPr>
        <w:numPr>
          <w:ilvl w:val="0"/>
          <w:numId w:val="1082"/>
        </w:numPr>
      </w:pPr>
      <w:r>
        <w:t xml:space="preserve">Gap Analysis: What Requires Elevated Access</w:t>
      </w:r>
    </w:p>
    <w:p>
      <w:pPr>
        <w:numPr>
          <w:ilvl w:val="0"/>
          <w:numId w:val="1082"/>
        </w:numPr>
      </w:pPr>
      <w:r>
        <w:t xml:space="preserve">Delegation Request Template</w:t>
      </w:r>
    </w:p>
    <w:p>
      <w:pPr>
        <w:numPr>
          <w:ilvl w:val="0"/>
          <w:numId w:val="1082"/>
        </w:numPr>
      </w:pPr>
      <w:r>
        <w:t xml:space="preserve">Security Considerations for Read-Only Assessment</w:t>
      </w:r>
    </w:p>
    <w:p>
      <w:pPr>
        <w:numPr>
          <w:ilvl w:val="0"/>
          <w:numId w:val="1082"/>
        </w:numPr>
      </w:pPr>
      <w:r>
        <w:t xml:space="preserve">Integration with the Federal Modernization Program Assessment Pipeline</w:t>
      </w:r>
    </w:p>
    <w:p>
      <w:pPr>
        <w:numPr>
          <w:ilvl w:val="0"/>
          <w:numId w:val="1082"/>
        </w:numPr>
      </w:pPr>
      <w:r>
        <w:t xml:space="preserve">Companion Document Cross-Reference</w:t>
      </w:r>
    </w:p>
    <w:p>
      <w:pPr>
        <w:numPr>
          <w:ilvl w:val="0"/>
          <w:numId w:val="1082"/>
        </w:numPr>
      </w:pPr>
      <w:r>
        <w:t xml:space="preserve">Appendix A — Complete FMPReadOnlyAssessment.psm1 Module</w:t>
      </w:r>
    </w:p>
    <w:p>
      <w:pPr>
        <w:numPr>
          <w:ilvl w:val="0"/>
          <w:numId w:val="1082"/>
        </w:numPr>
      </w:pPr>
      <w:r>
        <w:t xml:space="preserve">Appendix B — Quick Reference Card</w:t>
      </w:r>
    </w:p>
    <w:p>
      <w:pPr>
        <w:numPr>
          <w:ilvl w:val="0"/>
          <w:numId w:val="1082"/>
        </w:numPr>
      </w:pPr>
      <w:r>
        <w:t xml:space="preserve">Appendix C — Read-Only Assessment Checklist</w:t>
      </w:r>
    </w:p>
    <w:p>
      <w:pPr>
        <w:numPr>
          <w:ilvl w:val="0"/>
          <w:numId w:val="1082"/>
        </w:numPr>
      </w:pPr>
      <w:r>
        <w:t xml:space="preserve">Appendix D — Sample Assessment Manifest</w:t>
      </w:r>
    </w:p>
    <w:p>
      <w:pPr>
        <w:pStyle w:val="FirstParagraph"/>
      </w:pPr>
      <w:r>
        <w:t xml:space="preserve">1. Purpose and Scope</w:t>
      </w:r>
    </w:p>
    <w:p>
      <w:pPr>
        <w:pStyle w:val="BodyText"/>
      </w:pPr>
      <w:r>
        <w:t xml:space="preserve">1.1 Purpose</w:t>
      </w:r>
    </w:p>
    <w:p>
      <w:pPr>
        <w:pStyle w:val="BodyText"/>
      </w:pPr>
      <w:r>
        <w:t xml:space="preserve">This guide defines precisely what can and cannot be assessed in an Active Directory forest when the assessment team possesses</w:t>
      </w:r>
      <w:r>
        <w:t xml:space="preserve"> </w:t>
      </w:r>
      <w:r>
        <w:rPr>
          <w:b/>
          <w:bCs/>
        </w:rPr>
        <w:t xml:space="preserve">only standard Authenticated Users (read-only) permissions</w:t>
      </w:r>
      <w:r>
        <w:t xml:space="preserve"> </w:t>
      </w:r>
      <w:r>
        <w:t xml:space="preserve">— no Domain Admin, no Enterprise Admin, no delegated write permissions of any kind. This is the</w:t>
      </w:r>
      <w:r>
        <w:t xml:space="preserve"> </w:t>
      </w:r>
      <w:r>
        <w:rPr>
          <w:b/>
          <w:bCs/>
        </w:rPr>
        <w:t xml:space="preserve">"Phase 0" assessment</w:t>
      </w:r>
      <w:r>
        <w:t xml:space="preserve">: the maximum intelligence you can extract before any elevated access is granted.</w:t>
      </w:r>
    </w:p>
    <w:p>
      <w:pPr>
        <w:pStyle w:val="BodyText"/>
      </w:pPr>
      <w:r>
        <w:t xml:space="preserve">In federal and enterprise IT modernization engagements, the assessment team rarely receives privileged access on day one. Trust must be established, authorization paperwork must be completed, and security review boards must approve elevated delegations. This document ensures that assessment teams do not sit idle during that window. Instead, they capture the vast majority of the Active Directory baseline using nothing more than the permissions every domain-joined user already has.</w:t>
      </w:r>
    </w:p>
    <w:p>
      <w:pPr>
        <w:pStyle w:val="BodyText"/>
      </w:pPr>
      <w:r>
        <w:t xml:space="preserve">1.2 Critical Use Cases</w:t>
      </w:r>
    </w:p>
    <w:p>
      <w:pPr>
        <w:numPr>
          <w:ilvl w:val="0"/>
          <w:numId w:val="1083"/>
        </w:numPr>
      </w:pPr>
      <w:r>
        <w:rPr>
          <w:b/>
          <w:bCs/>
        </w:rPr>
        <w:t xml:space="preserve">Initial engagement discovery before trust is established.</w:t>
      </w:r>
      <w:r>
        <w:t xml:space="preserve"> </w:t>
      </w:r>
      <w:r>
        <w:t xml:space="preserve">The assessment team has a domain-joined workstation and standard user credentials. Phase 0 begins immediately while elevated-access authorization proceeds through governance channels.</w:t>
      </w:r>
    </w:p>
    <w:p>
      <w:pPr>
        <w:numPr>
          <w:ilvl w:val="0"/>
          <w:numId w:val="1083"/>
        </w:numPr>
      </w:pPr>
      <w:r>
        <w:rPr>
          <w:b/>
          <w:bCs/>
        </w:rPr>
        <w:t xml:space="preserve">Third-party assessments where elevated access is not available.</w:t>
      </w:r>
      <w:r>
        <w:t xml:space="preserve"> </w:t>
      </w:r>
      <w:r>
        <w:t xml:space="preserve">External assessors, compliance auditors, and consulting teams often operate under strict access constraints. This guide ensures they can deliver maximum value within those constraints.</w:t>
      </w:r>
    </w:p>
    <w:p>
      <w:pPr>
        <w:numPr>
          <w:ilvl w:val="0"/>
          <w:numId w:val="1083"/>
        </w:numPr>
      </w:pPr>
      <w:r>
        <w:rPr>
          <w:b/>
          <w:bCs/>
        </w:rPr>
        <w:t xml:space="preserve">Pre-modernization baseline capture with minimal risk.</w:t>
      </w:r>
      <w:r>
        <w:t xml:space="preserve"> </w:t>
      </w:r>
      <w:r>
        <w:t xml:space="preserve">Read-only queries carry near-zero operational risk. No objects are created, modified, or deleted. No group memberships change. No GPO settings are altered. The environment is observed, not touched.</w:t>
      </w:r>
    </w:p>
    <w:p>
      <w:pPr>
        <w:numPr>
          <w:ilvl w:val="0"/>
          <w:numId w:val="1083"/>
        </w:numPr>
      </w:pPr>
      <w:r>
        <w:rPr>
          <w:b/>
          <w:bCs/>
        </w:rPr>
        <w:t xml:space="preserve">Compliance-driven assessments where least privilege is mandatory.</w:t>
      </w:r>
      <w:r>
        <w:t xml:space="preserve"> </w:t>
      </w:r>
      <w:r>
        <w:t xml:space="preserve">NIST SP 800-53 AC-6 (Least Privilege) requires that personnel operate with the minimum permissions necessary. A read-only assessment satisfies this control by design.</w:t>
      </w:r>
    </w:p>
    <w:p>
      <w:pPr>
        <w:pStyle w:val="FirstParagraph"/>
      </w:pPr>
      <w:r>
        <w:t xml:space="preserve">1.3 Scope Statement</w:t>
      </w:r>
    </w:p>
    <w:tbl>
      <w:tblPr>
        <w:tblStyle w:val="Table"/>
        <w:tblW w:type="pct" w:w="5010"/>
        <w:tblLayout w:type="fixed"/>
        <w:tblLook w:firstRow="0" w:lastRow="0" w:firstColumn="0" w:lastColumn="0" w:noHBand="0" w:noVBand="0" w:val="0000"/>
      </w:tblPr>
      <w:tblGrid>
        <w:gridCol w:w="7936"/>
      </w:tblGrid>
      <w:tr>
        <w:tc>
          <w:tcPr/>
          <w:p>
            <w:pPr>
              <w:pStyle w:val="FirstParagraph"/>
            </w:pPr>
            <w:r>
              <w:rPr>
                <w:b/>
                <w:bCs/>
              </w:rPr>
              <w:t xml:space="preserve">Scope</w:t>
            </w:r>
          </w:p>
          <w:p>
            <w:pPr>
              <w:pStyle w:val="BodyText"/>
            </w:pPr>
            <w:r>
              <w:t xml:space="preserve">This guide covers Windows Server 2016, 2019, 2022, and 2025 Active Directory forests. All PowerShell cmdlets have been tested against the</w:t>
            </w:r>
            <w:r>
              <w:t xml:space="preserve"> </w:t>
            </w:r>
            <w:r>
              <w:rPr>
                <w:b/>
                <w:bCs/>
              </w:rPr>
              <w:t xml:space="preserve">ActiveDirectory</w:t>
            </w:r>
            <w:r>
              <w:t xml:space="preserve">,</w:t>
            </w:r>
            <w:r>
              <w:t xml:space="preserve"> </w:t>
            </w:r>
            <w:r>
              <w:rPr>
                <w:b/>
                <w:bCs/>
              </w:rPr>
              <w:t xml:space="preserve">GroupPolicy</w:t>
            </w:r>
            <w:r>
              <w:t xml:space="preserve">,</w:t>
            </w:r>
            <w:r>
              <w:t xml:space="preserve"> </w:t>
            </w:r>
            <w:r>
              <w:rPr>
                <w:b/>
                <w:bCs/>
              </w:rPr>
              <w:t xml:space="preserve">DnsServer</w:t>
            </w:r>
            <w:r>
              <w:t xml:space="preserve">, and</w:t>
            </w:r>
            <w:r>
              <w:t xml:space="preserve"> </w:t>
            </w:r>
            <w:r>
              <w:rPr>
                <w:b/>
                <w:bCs/>
              </w:rPr>
              <w:t xml:space="preserve">PKI</w:t>
            </w:r>
            <w:r>
              <w:t xml:space="preserve"> </w:t>
            </w:r>
            <w:r>
              <w:t xml:space="preserve">PowerShell modules. Forest and domain functional levels from Windows Server 2008 through Windows Server 2025 are supported for read operations. The assessment methodology applies to single-domain forests, multi-domain forests, and forests participating in trust relationships.</w:t>
            </w:r>
          </w:p>
        </w:tc>
      </w:tr>
    </w:tbl>
    <w:p>
      <w:pPr>
        <w:pStyle w:val="BodyText"/>
      </w:pPr>
      <w:r>
        <w:t xml:space="preserve">All output and assessment artifacts produced by this guide are classified as</w:t>
      </w:r>
      <w:r>
        <w:t xml:space="preserve"> </w:t>
      </w:r>
      <w:r>
        <w:rPr>
          <w:b/>
          <w:bCs/>
        </w:rPr>
        <w:t xml:space="preserve">Controlled</w:t>
      </w:r>
      <w:r>
        <w:t xml:space="preserve">. This document is never FOUO. All references and deployment context assume a</w:t>
      </w:r>
      <w:r>
        <w:t xml:space="preserve"> </w:t>
      </w:r>
      <w:r>
        <w:rPr>
          <w:b/>
          <w:bCs/>
        </w:rPr>
        <w:t xml:space="preserve">GCC-Moderate</w:t>
      </w:r>
      <w:r>
        <w:t xml:space="preserve"> </w:t>
      </w:r>
      <w:r>
        <w:t xml:space="preserve">boundary.</w:t>
      </w:r>
    </w:p>
    <w:p>
      <w:pPr>
        <w:pStyle w:val="BodyText"/>
      </w:pPr>
      <w:r>
        <w:t xml:space="preserve">2. Permission Baseline: What Authenticated Users Can Read</w:t>
      </w:r>
    </w:p>
    <w:p>
      <w:pPr>
        <w:pStyle w:val="BodyText"/>
      </w:pPr>
      <w:r>
        <w:t xml:space="preserve">Understanding what Authenticated Users can read — and what they cannot — is the foundation of every assessment technique in this guide. Active Directory is a</w:t>
      </w:r>
      <w:r>
        <w:t xml:space="preserve"> </w:t>
      </w:r>
      <w:r>
        <w:rPr>
          <w:i/>
          <w:iCs/>
        </w:rPr>
        <w:t xml:space="preserve">directory service</w:t>
      </w:r>
      <w:r>
        <w:t xml:space="preserve">, designed to be readable by authenticated principals. This is not a flaw; it is fundamental to how AD operates.</w:t>
      </w:r>
    </w:p>
    <w:p>
      <w:pPr>
        <w:pStyle w:val="BodyText"/>
      </w:pPr>
      <w:r>
        <w:t xml:space="preserve">2.1 Authenticated Users Default ACEs</w:t>
      </w:r>
    </w:p>
    <w:p>
      <w:pPr>
        <w:pStyle w:val="BodyText"/>
      </w:pPr>
      <w:r>
        <w:t xml:space="preserve">By default, the Authenticated Users security principal receives</w:t>
      </w:r>
      <w:r>
        <w:t xml:space="preserve"> </w:t>
      </w:r>
      <w:r>
        <w:rPr>
          <w:b/>
          <w:bCs/>
        </w:rPr>
        <w:t xml:space="preserve">"Read All Properties"</w:t>
      </w:r>
      <w:r>
        <w:t xml:space="preserve"> </w:t>
      </w:r>
      <w:r>
        <w:t xml:space="preserve">on most Active Directory object classes. This permission is set via the defaultSecurityDescriptor attribute in the AD schema for each object class. When a new object is created, its initial DACL is derived from this schema-level default.</w:t>
      </w:r>
    </w:p>
    <w:p>
      <w:pPr>
        <w:pStyle w:val="BodyText"/>
      </w:pPr>
      <w:r>
        <w:t xml:space="preserve">The object classes that grant Authenticated Users read access by default include:</w:t>
      </w:r>
    </w:p>
    <w:p>
      <w:pPr>
        <w:numPr>
          <w:ilvl w:val="0"/>
          <w:numId w:val="1084"/>
        </w:numPr>
      </w:pPr>
      <w:r>
        <w:rPr>
          <w:b/>
          <w:bCs/>
        </w:rPr>
        <w:t xml:space="preserve">user</w:t>
      </w:r>
      <w:r>
        <w:t xml:space="preserve"> </w:t>
      </w:r>
      <w:r>
        <w:t xml:space="preserve">— All non-confidential user attributes (name, UPN, mail, title, department, manager, memberOf, userAccountControl, lastLogonTimestamp, servicePrincipalName, and hundreds more)</w:t>
      </w:r>
    </w:p>
    <w:p>
      <w:pPr>
        <w:numPr>
          <w:ilvl w:val="0"/>
          <w:numId w:val="1084"/>
        </w:numPr>
      </w:pPr>
      <w:r>
        <w:rPr>
          <w:b/>
          <w:bCs/>
        </w:rPr>
        <w:t xml:space="preserve">computer</w:t>
      </w:r>
      <w:r>
        <w:t xml:space="preserve"> </w:t>
      </w:r>
      <w:r>
        <w:t xml:space="preserve">— Computer name, OS, OS version, SPN, dNSHostName, lastLogonTimestamp, userAccountControl</w:t>
      </w:r>
    </w:p>
    <w:p>
      <w:pPr>
        <w:numPr>
          <w:ilvl w:val="0"/>
          <w:numId w:val="1084"/>
        </w:numPr>
      </w:pPr>
      <w:r>
        <w:rPr>
          <w:b/>
          <w:bCs/>
        </w:rPr>
        <w:t xml:space="preserve">group</w:t>
      </w:r>
      <w:r>
        <w:t xml:space="preserve"> </w:t>
      </w:r>
      <w:r>
        <w:t xml:space="preserve">— Group name, scope, type, member list, memberOf</w:t>
      </w:r>
    </w:p>
    <w:p>
      <w:pPr>
        <w:numPr>
          <w:ilvl w:val="0"/>
          <w:numId w:val="1084"/>
        </w:numPr>
      </w:pPr>
      <w:r>
        <w:rPr>
          <w:b/>
          <w:bCs/>
        </w:rPr>
        <w:t xml:space="preserve">organizationalUnit</w:t>
      </w:r>
      <w:r>
        <w:t xml:space="preserve"> </w:t>
      </w:r>
      <w:r>
        <w:t xml:space="preserve">— OU name, description, managedBy, gpLink, gpOptions</w:t>
      </w:r>
    </w:p>
    <w:p>
      <w:pPr>
        <w:numPr>
          <w:ilvl w:val="0"/>
          <w:numId w:val="1084"/>
        </w:numPr>
      </w:pPr>
      <w:r>
        <w:rPr>
          <w:b/>
          <w:bCs/>
        </w:rPr>
        <w:t xml:space="preserve">groupPolicyContainer</w:t>
      </w:r>
      <w:r>
        <w:t xml:space="preserve"> </w:t>
      </w:r>
      <w:r>
        <w:t xml:space="preserve">— GPO name, GUID, version, flags, gPCFileSysPath, gPCMachineExtensionNames, gPCUserExtensionNames</w:t>
      </w:r>
    </w:p>
    <w:p>
      <w:pPr>
        <w:numPr>
          <w:ilvl w:val="0"/>
          <w:numId w:val="1084"/>
        </w:numPr>
      </w:pPr>
      <w:r>
        <w:rPr>
          <w:b/>
          <w:bCs/>
        </w:rPr>
        <w:t xml:space="preserve">site</w:t>
      </w:r>
      <w:r>
        <w:t xml:space="preserve">,</w:t>
      </w:r>
      <w:r>
        <w:t xml:space="preserve"> </w:t>
      </w:r>
      <w:r>
        <w:rPr>
          <w:b/>
          <w:bCs/>
        </w:rPr>
        <w:t xml:space="preserve">subnet</w:t>
      </w:r>
      <w:r>
        <w:t xml:space="preserve">,</w:t>
      </w:r>
      <w:r>
        <w:t xml:space="preserve"> </w:t>
      </w:r>
      <w:r>
        <w:rPr>
          <w:b/>
          <w:bCs/>
        </w:rPr>
        <w:t xml:space="preserve">siteLink</w:t>
      </w:r>
      <w:r>
        <w:t xml:space="preserve"> </w:t>
      </w:r>
      <w:r>
        <w:t xml:space="preserve">— All topology objects in CN=Sites,CN=Configuration</w:t>
      </w:r>
    </w:p>
    <w:p>
      <w:pPr>
        <w:numPr>
          <w:ilvl w:val="0"/>
          <w:numId w:val="1084"/>
        </w:numPr>
      </w:pPr>
      <w:r>
        <w:rPr>
          <w:b/>
          <w:bCs/>
        </w:rPr>
        <w:t xml:space="preserve">pKICertificateTemplate</w:t>
      </w:r>
      <w:r>
        <w:t xml:space="preserve"> </w:t>
      </w:r>
      <w:r>
        <w:t xml:space="preserve">— Certificate template attributes, enrollment flags, key usage, ACLs</w:t>
      </w:r>
    </w:p>
    <w:p>
      <w:pPr>
        <w:pStyle w:val="FirstParagraph"/>
      </w:pPr>
      <w:r>
        <w:t xml:space="preserve">This design is intentional. AD serves as the identity backbone for Kerberos authentication, DNS service location, Group Policy application, and certificate enrollment. Clients, servers, and services must be able to query AD to function. Restricting default read access would break fundamental Windows operations.</w:t>
      </w:r>
    </w:p>
    <w:p>
      <w:pPr>
        <w:pStyle w:val="BodyText"/>
      </w:pPr>
      <w:r>
        <w:t xml:space="preserve">2.2 Schema-Level Defaults</w:t>
      </w:r>
    </w:p>
    <w:p>
      <w:pPr>
        <w:pStyle w:val="BodyText"/>
      </w:pPr>
      <w:r>
        <w:t xml:space="preserve">Every object class in the AD schema contains a defaultSecurityDescriptor attribute — a SDDL (Security Descriptor Definition Language) string that defines the base permissions applied to new instances of that class. These defaults are set during adprep schema extensions and are rarely modified by administrators.</w:t>
      </w:r>
    </w:p>
    <w:p>
      <w:pPr>
        <w:pStyle w:val="BodyText"/>
      </w:pPr>
      <w:r>
        <w:t xml:space="preserve">For assessment purposes, the critical takeaway is:</w:t>
      </w:r>
      <w:r>
        <w:t xml:space="preserve"> </w:t>
      </w:r>
      <w:r>
        <w:rPr>
          <w:b/>
          <w:bCs/>
        </w:rPr>
        <w:t xml:space="preserve">if an object class grants Authenticated Users "Read All Properties" in its schema default, then every instance of that object class is readable unless an administrator has explicitly modified the ACL on that specific object.</w:t>
      </w:r>
      <w:r>
        <w:t xml:space="preserve"> </w:t>
      </w:r>
      <w:r>
        <w:t xml:space="preserve">Such modifications are uncommon for most object classes.</w:t>
      </w:r>
    </w:p>
    <w:p>
      <w:pPr>
        <w:pStyle w:val="BodyText"/>
      </w:pPr>
      <w:r>
        <w:t xml:space="preserve">2.3 Configuration and Schema Partitions</w:t>
      </w:r>
    </w:p>
    <w:p>
      <w:pPr>
        <w:pStyle w:val="BodyText"/>
      </w:pPr>
      <w:r>
        <w:t xml:space="preserve">Authenticated Users can read both the</w:t>
      </w:r>
      <w:r>
        <w:t xml:space="preserve"> </w:t>
      </w:r>
      <w:r>
        <w:rPr>
          <w:b/>
          <w:bCs/>
        </w:rPr>
        <w:t xml:space="preserve">CN=Configuration</w:t>
      </w:r>
      <w:r>
        <w:t xml:space="preserve"> </w:t>
      </w:r>
      <w:r>
        <w:t xml:space="preserve">and</w:t>
      </w:r>
      <w:r>
        <w:t xml:space="preserve"> </w:t>
      </w:r>
      <w:r>
        <w:rPr>
          <w:b/>
          <w:bCs/>
        </w:rPr>
        <w:t xml:space="preserve">CN=Schema</w:t>
      </w:r>
      <w:r>
        <w:t xml:space="preserve"> </w:t>
      </w:r>
      <w:r>
        <w:t xml:space="preserve">naming contexts. These partitions are forest-wide (replicated to all domain controllers in the forest) and contain:</w:t>
      </w:r>
    </w:p>
    <w:p>
      <w:pPr>
        <w:numPr>
          <w:ilvl w:val="0"/>
          <w:numId w:val="1085"/>
        </w:numPr>
      </w:pPr>
      <w:r>
        <w:rPr>
          <w:b/>
          <w:bCs/>
        </w:rPr>
        <w:t xml:space="preserve">Sites and Subnets</w:t>
      </w:r>
      <w:r>
        <w:t xml:space="preserve"> </w:t>
      </w:r>
      <w:r>
        <w:t xml:space="preserve">— CN=Sites,CN=Configuration: physical topology, site links, replication schedules</w:t>
      </w:r>
    </w:p>
    <w:p>
      <w:pPr>
        <w:numPr>
          <w:ilvl w:val="0"/>
          <w:numId w:val="1085"/>
        </w:numPr>
      </w:pPr>
      <w:r>
        <w:rPr>
          <w:b/>
          <w:bCs/>
        </w:rPr>
        <w:t xml:space="preserve">Certificate Templates</w:t>
      </w:r>
      <w:r>
        <w:t xml:space="preserve"> </w:t>
      </w:r>
      <w:r>
        <w:t xml:space="preserve">— CN=Certificate Templates,CN=Public Key Services,CN=Services,CN=Configuration</w:t>
      </w:r>
    </w:p>
    <w:p>
      <w:pPr>
        <w:numPr>
          <w:ilvl w:val="0"/>
          <w:numId w:val="1085"/>
        </w:numPr>
      </w:pPr>
      <w:r>
        <w:rPr>
          <w:b/>
          <w:bCs/>
        </w:rPr>
        <w:t xml:space="preserve">Enrollment Services</w:t>
      </w:r>
      <w:r>
        <w:t xml:space="preserve"> </w:t>
      </w:r>
      <w:r>
        <w:t xml:space="preserve">— CN=Enrollment Services,CN=Public Key Services: Enterprise CA registrations</w:t>
      </w:r>
    </w:p>
    <w:p>
      <w:pPr>
        <w:numPr>
          <w:ilvl w:val="0"/>
          <w:numId w:val="1085"/>
        </w:numPr>
      </w:pPr>
      <w:r>
        <w:rPr>
          <w:b/>
          <w:bCs/>
        </w:rPr>
        <w:t xml:space="preserve">AIA and CDP containers</w:t>
      </w:r>
      <w:r>
        <w:t xml:space="preserve"> </w:t>
      </w:r>
      <w:r>
        <w:t xml:space="preserve">— Authority Information Access and CRL Distribution Points</w:t>
      </w:r>
    </w:p>
    <w:p>
      <w:pPr>
        <w:numPr>
          <w:ilvl w:val="0"/>
          <w:numId w:val="1085"/>
        </w:numPr>
      </w:pPr>
      <w:r>
        <w:rPr>
          <w:b/>
          <w:bCs/>
        </w:rPr>
        <w:t xml:space="preserve">Extended Rights</w:t>
      </w:r>
      <w:r>
        <w:t xml:space="preserve"> </w:t>
      </w:r>
      <w:r>
        <w:t xml:space="preserve">— CN=Extended-Rights,CN=Configuration: all control access rights definitions</w:t>
      </w:r>
    </w:p>
    <w:p>
      <w:pPr>
        <w:numPr>
          <w:ilvl w:val="0"/>
          <w:numId w:val="1085"/>
        </w:numPr>
      </w:pPr>
      <w:r>
        <w:rPr>
          <w:b/>
          <w:bCs/>
        </w:rPr>
        <w:t xml:space="preserve">Schema definitions</w:t>
      </w:r>
      <w:r>
        <w:t xml:space="preserve"> </w:t>
      </w:r>
      <w:r>
        <w:t xml:space="preserve">— Every object class, attribute, syntax, and search flag</w:t>
      </w:r>
    </w:p>
    <w:p>
      <w:pPr>
        <w:numPr>
          <w:ilvl w:val="0"/>
          <w:numId w:val="1085"/>
        </w:numPr>
      </w:pPr>
      <w:r>
        <w:rPr>
          <w:b/>
          <w:bCs/>
        </w:rPr>
        <w:t xml:space="preserve">Partitions container</w:t>
      </w:r>
      <w:r>
        <w:t xml:space="preserve"> </w:t>
      </w:r>
      <w:r>
        <w:t xml:space="preserve">— Cross-references for all naming contexts</w:t>
      </w:r>
    </w:p>
    <w:p>
      <w:pPr>
        <w:numPr>
          <w:ilvl w:val="0"/>
          <w:numId w:val="1085"/>
        </w:numPr>
      </w:pPr>
      <w:r>
        <w:rPr>
          <w:b/>
          <w:bCs/>
        </w:rPr>
        <w:t xml:space="preserve">Display specifiers</w:t>
      </w:r>
      <w:r>
        <w:t xml:space="preserve"> </w:t>
      </w:r>
      <w:r>
        <w:t xml:space="preserve">— Localization and UI metadata</w:t>
      </w:r>
    </w:p>
    <w:p>
      <w:pPr>
        <w:pStyle w:val="FirstParagraph"/>
      </w:pPr>
      <w:r>
        <w:t xml:space="preserve">2.4 Exceptions — What Authenticated Users CANNOT Read by Default</w:t>
      </w:r>
    </w:p>
    <w:p>
      <w:pPr>
        <w:pStyle w:val="BodyText"/>
      </w:pPr>
      <w:r>
        <w:t xml:space="preserve">While the vast majority of AD is readable, several categories of data are explicitly restricted:</w:t>
      </w:r>
    </w:p>
    <w:p>
      <w:pPr>
        <w:pStyle w:val="BodyText"/>
      </w:pPr>
      <w:r>
        <w:t xml:space="preserve">2.4.1 Confidential Attributes (searchFlags bit 128)</w:t>
      </w:r>
    </w:p>
    <w:p>
      <w:pPr>
        <w:pStyle w:val="BodyText"/>
      </w:pPr>
      <w:r>
        <w:t xml:space="preserve">Attributes marked with the CONFIDENTIAL flag (bit 128 in the searchFlags attribute) require the Control_Access right in addition to Read Property. Key confidential attributes include:</w:t>
      </w:r>
    </w:p>
    <w:p>
      <w:pPr>
        <w:numPr>
          <w:ilvl w:val="0"/>
          <w:numId w:val="1086"/>
        </w:numPr>
      </w:pPr>
      <w:r>
        <w:t xml:space="preserve">ms-Mcs-AdmPwd — LAPS (Local Administrator Password Solution) passwords</w:t>
      </w:r>
    </w:p>
    <w:p>
      <w:pPr>
        <w:numPr>
          <w:ilvl w:val="0"/>
          <w:numId w:val="1086"/>
        </w:numPr>
      </w:pPr>
      <w:r>
        <w:t xml:space="preserve">ms-FVE-RecoveryPassword — BitLocker recovery keys stored in AD</w:t>
      </w:r>
    </w:p>
    <w:p>
      <w:pPr>
        <w:numPr>
          <w:ilvl w:val="0"/>
          <w:numId w:val="1086"/>
        </w:numPr>
      </w:pPr>
      <w:r>
        <w:t xml:space="preserve">ms-TPM-OwnerInformation — TPM owner authorization data</w:t>
      </w:r>
    </w:p>
    <w:p>
      <w:pPr>
        <w:pStyle w:val="FirstParagraph"/>
      </w:pPr>
      <w:r>
        <w:t xml:space="preserve">2.4.2 AdminSDHolder-Protected Objects</w:t>
      </w:r>
    </w:p>
    <w:p>
      <w:pPr>
        <w:pStyle w:val="BodyText"/>
      </w:pPr>
      <w:r>
        <w:t xml:space="preserve">The SDProp (Security Descriptor Propagator) process runs every 60 minutes on the PDC emulator. It overwrites the DACL of all objects with adminCount=1 to match the ACL on the CN=AdminSDHolder,CN=System container. While the AdminSDHolder ACL itself is readable, the behavior means that any custom delegation applied to protected objects will be reverted.</w:t>
      </w:r>
    </w:p>
    <w:p>
      <w:pPr>
        <w:pStyle w:val="BodyText"/>
      </w:pPr>
      <w:r>
        <w:t xml:space="preserve">2.4.3 Password-Related Attributes</w:t>
      </w:r>
    </w:p>
    <w:p>
      <w:pPr>
        <w:pStyle w:val="BodyText"/>
      </w:pPr>
      <w:r>
        <w:t xml:space="preserve">Attributes that store credential material require explicit delegation or are never readable via LDAP:</w:t>
      </w:r>
    </w:p>
    <w:p>
      <w:pPr>
        <w:numPr>
          <w:ilvl w:val="0"/>
          <w:numId w:val="1087"/>
        </w:numPr>
      </w:pPr>
      <w:r>
        <w:t xml:space="preserve">userPassword, unicodePwd — Never returned via LDAP under any circumstances</w:t>
      </w:r>
    </w:p>
    <w:p>
      <w:pPr>
        <w:numPr>
          <w:ilvl w:val="0"/>
          <w:numId w:val="1087"/>
        </w:numPr>
      </w:pPr>
      <w:r>
        <w:t xml:space="preserve">supplementalCredentials — Kerberos keys and password hashes; requires Replicating Directory Changes</w:t>
      </w:r>
    </w:p>
    <w:p>
      <w:pPr>
        <w:pStyle w:val="FirstParagraph"/>
      </w:pPr>
      <w:r>
        <w:t xml:space="preserve">2.4.4 Tombstones and Deleted Objects</w:t>
      </w:r>
    </w:p>
    <w:p>
      <w:pPr>
        <w:pStyle w:val="BodyText"/>
      </w:pPr>
      <w:r>
        <w:t xml:space="preserve">Accessing CN=Deleted Objects requires the "Reanimate Tombstones" extended right or specific delegation. By default, only Domain Admins and Enterprise Admins have this access.</w:t>
      </w:r>
    </w:p>
    <w:p>
      <w:pPr>
        <w:pStyle w:val="BodyText"/>
      </w:pPr>
      <w:r>
        <w:t xml:space="preserve">2.4.5 Fine-Grained Password Policies</w:t>
      </w:r>
    </w:p>
    <w:p>
      <w:pPr>
        <w:pStyle w:val="BodyText"/>
      </w:pPr>
      <w:r>
        <w:t xml:space="preserve">The msDS-PasswordSettings objects are readable by Authenticated Users by default. However, some organizations restrict access to these objects. Assessment teams should test access and note any restrictions.</w:t>
      </w:r>
    </w:p>
    <w:p>
      <w:pPr>
        <w:pStyle w:val="BodyText"/>
      </w:pPr>
      <w:r>
        <w:t xml:space="preserve">2.4.6 Replication Metadata</w:t>
      </w:r>
    </w:p>
    <w:p>
      <w:pPr>
        <w:pStyle w:val="BodyText"/>
      </w:pPr>
      <w:r>
        <w:t xml:space="preserve">Partial replication metadata is visible: whenChanged, uSNChanged, objectVersion. Full replication vectors (up-to-dateness vectors, replication partner details, queue depth) require the</w:t>
      </w:r>
      <w:r>
        <w:t xml:space="preserve"> </w:t>
      </w:r>
      <w:r>
        <w:rPr>
          <w:b/>
          <w:bCs/>
        </w:rPr>
        <w:t xml:space="preserve">Replicating Directory Changes</w:t>
      </w:r>
      <w:r>
        <w:t xml:space="preserve"> </w:t>
      </w:r>
      <w:r>
        <w:t xml:space="preserve">extended right, held by Domain Controllers and Enterprise Admins.</w:t>
      </w:r>
    </w:p>
    <w:p>
      <w:pPr>
        <w:pStyle w:val="BodyText"/>
      </w:pPr>
      <w:r>
        <w:t xml:space="preserve">2.5 Permission Level Reference</w:t>
      </w:r>
    </w:p>
    <w:tbl>
      <w:tblPr>
        <w:tblStyle w:val="Table"/>
        <w:tblW w:type="pct" w:w="4938"/>
        <w:tblLayout w:type="fixed"/>
        <w:tblLook w:firstRow="1" w:lastRow="0" w:firstColumn="0" w:lastColumn="0" w:noHBand="0" w:noVBand="0" w:val="0020"/>
      </w:tblPr>
      <w:tblGrid>
        <w:gridCol w:w="1770"/>
        <w:gridCol w:w="3394"/>
        <w:gridCol w:w="2656"/>
      </w:tblGrid>
      <w:tr>
        <w:trPr>
          <w:tblHeader w:val="on"/>
        </w:trPr>
        <w:tc>
          <w:tcPr/>
          <w:p>
            <w:pPr>
              <w:pStyle w:val="Compact"/>
              <w:jc w:val="left"/>
            </w:pPr>
            <w:r>
              <w:rPr>
                <w:b/>
                <w:bCs/>
              </w:rPr>
              <w:t xml:space="preserve">Permission Level</w:t>
            </w:r>
          </w:p>
        </w:tc>
        <w:tc>
          <w:tcPr/>
          <w:p>
            <w:pPr>
              <w:pStyle w:val="Compact"/>
              <w:jc w:val="left"/>
            </w:pPr>
            <w:r>
              <w:rPr>
                <w:b/>
                <w:bCs/>
              </w:rPr>
              <w:t xml:space="preserve">What It Grants</w:t>
            </w:r>
          </w:p>
        </w:tc>
        <w:tc>
          <w:tcPr/>
          <w:p>
            <w:pPr>
              <w:pStyle w:val="Compact"/>
              <w:jc w:val="left"/>
            </w:pPr>
            <w:r>
              <w:rPr>
                <w:b/>
                <w:bCs/>
              </w:rPr>
              <w:t xml:space="preserve">Default Holder</w:t>
            </w:r>
          </w:p>
        </w:tc>
      </w:tr>
      <w:tr>
        <w:tc>
          <w:tcPr/>
          <w:p>
            <w:pPr>
              <w:pStyle w:val="Compact"/>
              <w:jc w:val="left"/>
            </w:pPr>
            <w:r>
              <w:rPr>
                <w:b/>
                <w:bCs/>
              </w:rPr>
              <w:t xml:space="preserve">Read All Properties</w:t>
            </w:r>
          </w:p>
        </w:tc>
        <w:tc>
          <w:tcPr/>
          <w:p>
            <w:pPr>
              <w:pStyle w:val="Compact"/>
              <w:jc w:val="left"/>
            </w:pPr>
            <w:r>
              <w:t xml:space="preserve">View all non-confidential attributes on an object</w:t>
            </w:r>
          </w:p>
        </w:tc>
        <w:tc>
          <w:tcPr/>
          <w:p>
            <w:pPr>
              <w:pStyle w:val="Compact"/>
              <w:jc w:val="left"/>
            </w:pPr>
            <w:r>
              <w:t xml:space="preserve">Authenticated Users</w:t>
            </w:r>
          </w:p>
        </w:tc>
      </w:tr>
      <w:tr>
        <w:tc>
          <w:tcPr/>
          <w:p>
            <w:pPr>
              <w:pStyle w:val="Compact"/>
              <w:jc w:val="left"/>
            </w:pPr>
            <w:r>
              <w:rPr>
                <w:b/>
                <w:bCs/>
              </w:rPr>
              <w:t xml:space="preserve">Read (Generic)</w:t>
            </w:r>
          </w:p>
        </w:tc>
        <w:tc>
          <w:tcPr/>
          <w:p>
            <w:pPr>
              <w:pStyle w:val="Compact"/>
              <w:jc w:val="left"/>
            </w:pPr>
            <w:r>
              <w:t xml:space="preserve">View object existence and basic attributes (name, DN, objectClass)</w:t>
            </w:r>
          </w:p>
        </w:tc>
        <w:tc>
          <w:tcPr/>
          <w:p>
            <w:pPr>
              <w:pStyle w:val="Compact"/>
              <w:jc w:val="left"/>
            </w:pPr>
            <w:r>
              <w:t xml:space="preserve">Everyone / Pre-Windows 2000 Compatible Access</w:t>
            </w:r>
          </w:p>
        </w:tc>
      </w:tr>
      <w:tr>
        <w:tc>
          <w:tcPr/>
          <w:p>
            <w:pPr>
              <w:pStyle w:val="Compact"/>
              <w:jc w:val="left"/>
            </w:pPr>
            <w:r>
              <w:rPr>
                <w:b/>
                <w:bCs/>
              </w:rPr>
              <w:t xml:space="preserve">Control_Access</w:t>
            </w:r>
          </w:p>
        </w:tc>
        <w:tc>
          <w:tcPr/>
          <w:p>
            <w:pPr>
              <w:pStyle w:val="Compact"/>
              <w:jc w:val="left"/>
            </w:pPr>
            <w:r>
              <w:t xml:space="preserve">Read confidential attributes; exercise extended rights</w:t>
            </w:r>
          </w:p>
        </w:tc>
        <w:tc>
          <w:tcPr/>
          <w:p>
            <w:pPr>
              <w:pStyle w:val="Compact"/>
              <w:jc w:val="left"/>
            </w:pPr>
            <w:r>
              <w:t xml:space="preserve">Delegated groups only (per-attribute or per-object)</w:t>
            </w:r>
          </w:p>
        </w:tc>
      </w:tr>
      <w:tr>
        <w:tc>
          <w:tcPr/>
          <w:p>
            <w:pPr>
              <w:pStyle w:val="Compact"/>
              <w:jc w:val="left"/>
            </w:pPr>
            <w:r>
              <w:rPr>
                <w:b/>
                <w:bCs/>
              </w:rPr>
              <w:t xml:space="preserve">Replicating Directory Changes</w:t>
            </w:r>
          </w:p>
        </w:tc>
        <w:tc>
          <w:tcPr/>
          <w:p>
            <w:pPr>
              <w:pStyle w:val="Compact"/>
              <w:jc w:val="left"/>
            </w:pPr>
            <w:r>
              <w:t xml:space="preserve">Full AD replication metadata; DCSync capability</w:t>
            </w:r>
          </w:p>
        </w:tc>
        <w:tc>
          <w:tcPr/>
          <w:p>
            <w:pPr>
              <w:pStyle w:val="Compact"/>
              <w:jc w:val="left"/>
            </w:pPr>
            <w:r>
              <w:t xml:space="preserve">Domain Controllers, Enterprise Admins</w:t>
            </w:r>
          </w:p>
        </w:tc>
      </w:tr>
    </w:tbl>
    <w:p>
      <w:pPr>
        <w:pStyle w:val="BodyText"/>
      </w:pPr>
      <w:r>
        <w:t xml:space="preserve">3. Assessment Capability Matrix</w:t>
      </w:r>
    </w:p>
    <w:p>
      <w:pPr>
        <w:pStyle w:val="BodyText"/>
      </w:pPr>
      <w:r>
        <w:t xml:space="preserve">This matrix is the core reference of this guide. It maps every Active Directory assessment domain to its read-only capability level, identifies the specific cmdlets and methods used, and documents exactly what you get, what you miss, and what workarounds are available.</w:t>
      </w:r>
    </w:p>
    <w:tbl>
      <w:tblPr>
        <w:tblStyle w:val="Table"/>
        <w:tblW w:type="pct" w:w="5025"/>
        <w:tblLayout w:type="fixed"/>
        <w:tblLook w:firstRow="0" w:lastRow="0" w:firstColumn="0" w:lastColumn="0" w:noHBand="0" w:noVBand="0" w:val="0000"/>
      </w:tblPr>
      <w:tblGrid>
        <w:gridCol w:w="7959"/>
      </w:tblGrid>
      <w:tr>
        <w:tc>
          <w:tcPr/>
          <w:p>
            <w:pPr>
              <w:pStyle w:val="FirstParagraph"/>
            </w:pPr>
            <w:r>
              <w:rPr>
                <w:b/>
                <w:bCs/>
              </w:rPr>
              <w:t xml:space="preserve">Reading This Table</w:t>
            </w:r>
          </w:p>
          <w:p>
            <w:pPr>
              <w:pStyle w:val="BodyText"/>
            </w:pPr>
            <w:r>
              <w:rPr>
                <w:b/>
                <w:bCs/>
              </w:rPr>
              <w:t xml:space="preserve">FULL</w:t>
            </w:r>
            <w:r>
              <w:t xml:space="preserve"> </w:t>
            </w:r>
            <w:r>
              <w:t xml:space="preserve">= 90–100% of assessment value achievable with Authenticated Users permissions.</w:t>
            </w:r>
            <w:r>
              <w:t xml:space="preserve"> </w:t>
            </w:r>
            <w:r>
              <w:rPr>
                <w:b/>
                <w:bCs/>
              </w:rPr>
              <w:t xml:space="preserve">PARTIAL</w:t>
            </w:r>
            <w:r>
              <w:t xml:space="preserve"> </w:t>
            </w:r>
            <w:r>
              <w:t xml:space="preserve">= 50–80% achievable with workarounds.</w:t>
            </w:r>
            <w:r>
              <w:t xml:space="preserve"> </w:t>
            </w:r>
            <w:r>
              <w:rPr>
                <w:b/>
                <w:bCs/>
              </w:rPr>
              <w:t xml:space="preserve">NONE</w:t>
            </w:r>
            <w:r>
              <w:t xml:space="preserve"> </w:t>
            </w:r>
            <w:r>
              <w:t xml:space="preserve">= Requires explicit delegation or elevated access.</w:t>
            </w:r>
          </w:p>
        </w:tc>
      </w:tr>
    </w:tbl>
    <w:p>
      <w:pPr>
        <w:pStyle w:val="BodyText"/>
      </w:pPr>
      <w:r>
        <w:t xml:space="preserve">3.1 Forest and Domain Topology</w:t>
      </w:r>
    </w:p>
    <w:tbl>
      <w:tblPr>
        <w:tblStyle w:val="Table"/>
        <w:tblW w:type="pct" w:w="4974"/>
        <w:tblLayout w:type="fixed"/>
        <w:tblLook w:firstRow="1" w:lastRow="0" w:firstColumn="0" w:lastColumn="0" w:noHBand="0" w:noVBand="0" w:val="0020"/>
      </w:tblPr>
      <w:tblGrid>
        <w:gridCol w:w="868"/>
        <w:gridCol w:w="434"/>
        <w:gridCol w:w="1158"/>
        <w:gridCol w:w="2770"/>
        <w:gridCol w:w="1033"/>
        <w:gridCol w:w="1612"/>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Forest Topology</w:t>
            </w:r>
          </w:p>
        </w:tc>
        <w:tc>
          <w:tcPr/>
          <w:p>
            <w:pPr>
              <w:pStyle w:val="Compact"/>
              <w:jc w:val="left"/>
            </w:pPr>
            <w:r>
              <w:rPr>
                <w:b/>
                <w:bCs/>
              </w:rPr>
              <w:t xml:space="preserve">FULL</w:t>
            </w:r>
          </w:p>
        </w:tc>
        <w:tc>
          <w:tcPr/>
          <w:p>
            <w:pPr>
              <w:pStyle w:val="Compact"/>
              <w:jc w:val="left"/>
            </w:pPr>
            <w:r>
              <w:t xml:space="preserve">Get-ADForest Get-ADDomain</w:t>
            </w:r>
          </w:p>
        </w:tc>
        <w:tc>
          <w:tcPr/>
          <w:p>
            <w:pPr>
              <w:pStyle w:val="Compact"/>
              <w:jc w:val="left"/>
            </w:pPr>
            <w:r>
              <w:t xml:space="preserve">Forest name, all domains, sites, functional levels, FSMO roles, domain controllers, trust list</w:t>
            </w:r>
          </w:p>
        </w:tc>
        <w:tc>
          <w:tcPr/>
          <w:p>
            <w:pPr>
              <w:pStyle w:val="Compact"/>
              <w:jc w:val="left"/>
            </w:pPr>
            <w:r>
              <w:t xml:space="preserve">Replication health details</w:t>
            </w:r>
          </w:p>
        </w:tc>
        <w:tc>
          <w:tcPr/>
          <w:p>
            <w:pPr>
              <w:pStyle w:val="Compact"/>
              <w:jc w:val="left"/>
            </w:pPr>
            <w:r>
              <w:t xml:space="preserve">Use repadmin /replsummary if available</w:t>
            </w:r>
          </w:p>
        </w:tc>
      </w:tr>
      <w:tr>
        <w:tc>
          <w:tcPr/>
          <w:p>
            <w:pPr>
              <w:pStyle w:val="Compact"/>
              <w:jc w:val="left"/>
            </w:pPr>
            <w:r>
              <w:rPr>
                <w:b/>
                <w:bCs/>
              </w:rPr>
              <w:t xml:space="preserve">Domain Controllers</w:t>
            </w:r>
          </w:p>
        </w:tc>
        <w:tc>
          <w:tcPr/>
          <w:p>
            <w:pPr>
              <w:pStyle w:val="Compact"/>
              <w:jc w:val="left"/>
            </w:pPr>
            <w:r>
              <w:rPr>
                <w:b/>
                <w:bCs/>
              </w:rPr>
              <w:t xml:space="preserve">FULL</w:t>
            </w:r>
          </w:p>
        </w:tc>
        <w:tc>
          <w:tcPr/>
          <w:p>
            <w:pPr>
              <w:pStyle w:val="Compact"/>
              <w:jc w:val="left"/>
            </w:pPr>
            <w:r>
              <w:t xml:space="preserve">Get-ADDomainController -Filter *</w:t>
            </w:r>
          </w:p>
        </w:tc>
        <w:tc>
          <w:tcPr/>
          <w:p>
            <w:pPr>
              <w:pStyle w:val="Compact"/>
              <w:jc w:val="left"/>
            </w:pPr>
            <w:r>
              <w:t xml:space="preserve">All DCs, OS versions, sites, IP addresses, GC status, FSMO roles</w:t>
            </w:r>
          </w:p>
        </w:tc>
        <w:tc>
          <w:tcPr/>
          <w:p>
            <w:pPr>
              <w:pStyle w:val="Compact"/>
              <w:jc w:val="left"/>
            </w:pPr>
            <w:r>
              <w:t xml:space="preserve">Replication queue depth</w:t>
            </w:r>
          </w:p>
        </w:tc>
        <w:tc>
          <w:tcPr/>
          <w:p>
            <w:pPr>
              <w:pStyle w:val="Compact"/>
              <w:jc w:val="left"/>
            </w:pPr>
            <w:r>
              <w:t xml:space="preserve">dcdiag requires local admin</w:t>
            </w:r>
          </w:p>
        </w:tc>
      </w:tr>
      <w:tr>
        <w:tc>
          <w:tcPr/>
          <w:p>
            <w:pPr>
              <w:pStyle w:val="Compact"/>
              <w:jc w:val="left"/>
            </w:pPr>
            <w:r>
              <w:rPr>
                <w:b/>
                <w:bCs/>
              </w:rPr>
              <w:t xml:space="preserve">Trust Relationships</w:t>
            </w:r>
          </w:p>
        </w:tc>
        <w:tc>
          <w:tcPr/>
          <w:p>
            <w:pPr>
              <w:pStyle w:val="Compact"/>
              <w:jc w:val="left"/>
            </w:pPr>
            <w:r>
              <w:rPr>
                <w:b/>
                <w:bCs/>
              </w:rPr>
              <w:t xml:space="preserve">FULL</w:t>
            </w:r>
          </w:p>
        </w:tc>
        <w:tc>
          <w:tcPr/>
          <w:p>
            <w:pPr>
              <w:pStyle w:val="Compact"/>
              <w:jc w:val="left"/>
            </w:pPr>
            <w:r>
              <w:t xml:space="preserve">Get-ADTrust -Filter *</w:t>
            </w:r>
          </w:p>
        </w:tc>
        <w:tc>
          <w:tcPr/>
          <w:p>
            <w:pPr>
              <w:pStyle w:val="Compact"/>
              <w:jc w:val="left"/>
            </w:pPr>
            <w:r>
              <w:t xml:space="preserve">Trust names, direction, type (forest/external/shortcut), transitive flag, SID filtering, selective authentication, trust attributes</w:t>
            </w:r>
          </w:p>
        </w:tc>
        <w:tc>
          <w:tcPr/>
          <w:p>
            <w:pPr>
              <w:pStyle w:val="Compact"/>
              <w:jc w:val="left"/>
            </w:pPr>
            <w:r>
              <w:t xml:space="preserve">Trust password age (requires Enterprise Admin)</w:t>
            </w:r>
          </w:p>
        </w:tc>
        <w:tc>
          <w:tcPr/>
          <w:p>
            <w:pPr>
              <w:pStyle w:val="Compact"/>
              <w:jc w:val="left"/>
            </w:pPr>
            <w:r>
              <w:t xml:space="preserve">Sufficient for trust topology assessment</w:t>
            </w:r>
          </w:p>
        </w:tc>
      </w:tr>
      <w:tr>
        <w:tc>
          <w:tcPr/>
          <w:p>
            <w:pPr>
              <w:pStyle w:val="Compact"/>
              <w:jc w:val="left"/>
            </w:pPr>
            <w:r>
              <w:rPr>
                <w:b/>
                <w:bCs/>
              </w:rPr>
              <w:t xml:space="preserve">Sites and Subnets</w:t>
            </w:r>
          </w:p>
        </w:tc>
        <w:tc>
          <w:tcPr/>
          <w:p>
            <w:pPr>
              <w:pStyle w:val="Compact"/>
              <w:jc w:val="left"/>
            </w:pPr>
            <w:r>
              <w:rPr>
                <w:b/>
                <w:bCs/>
              </w:rPr>
              <w:t xml:space="preserve">FULL</w:t>
            </w:r>
          </w:p>
        </w:tc>
        <w:tc>
          <w:tcPr/>
          <w:p>
            <w:pPr>
              <w:pStyle w:val="Compact"/>
              <w:jc w:val="left"/>
            </w:pPr>
            <w:r>
              <w:t xml:space="preserve">Get-ADReplicationSite Get-ADReplicationSubnet</w:t>
            </w:r>
          </w:p>
        </w:tc>
        <w:tc>
          <w:tcPr/>
          <w:p>
            <w:pPr>
              <w:pStyle w:val="Compact"/>
              <w:jc w:val="left"/>
            </w:pPr>
            <w:r>
              <w:t xml:space="preserve">All sites, subnets, site links, costs, replication schedules, subnet-to-site mappings</w:t>
            </w:r>
          </w:p>
        </w:tc>
        <w:tc>
          <w:tcPr/>
          <w:p>
            <w:pPr>
              <w:pStyle w:val="Compact"/>
              <w:jc w:val="left"/>
            </w:pPr>
            <w:r>
              <w:t xml:space="preserve">Actual replication health</w:t>
            </w:r>
          </w:p>
        </w:tc>
        <w:tc>
          <w:tcPr/>
          <w:p>
            <w:pPr>
              <w:pStyle w:val="Compact"/>
              <w:jc w:val="left"/>
            </w:pPr>
            <w:r>
              <w:t xml:space="preserve">repadmin for replication metrics if available</w:t>
            </w:r>
          </w:p>
        </w:tc>
      </w:tr>
      <w:tr>
        <w:tc>
          <w:tcPr/>
          <w:p>
            <w:pPr>
              <w:pStyle w:val="Compact"/>
              <w:jc w:val="left"/>
            </w:pPr>
            <w:r>
              <w:rPr>
                <w:b/>
                <w:bCs/>
              </w:rPr>
              <w:t xml:space="preserve">Site Links and Replication Topology</w:t>
            </w:r>
          </w:p>
        </w:tc>
        <w:tc>
          <w:tcPr/>
          <w:p>
            <w:pPr>
              <w:pStyle w:val="Compact"/>
              <w:jc w:val="left"/>
            </w:pPr>
            <w:r>
              <w:rPr>
                <w:b/>
                <w:bCs/>
              </w:rPr>
              <w:t xml:space="preserve">FULL / PARTIAL</w:t>
            </w:r>
          </w:p>
        </w:tc>
        <w:tc>
          <w:tcPr/>
          <w:p>
            <w:pPr>
              <w:pStyle w:val="Compact"/>
              <w:jc w:val="left"/>
            </w:pPr>
            <w:r>
              <w:t xml:space="preserve">Get-ADReplicationSiteLink Get-ADReplicationConnection</w:t>
            </w:r>
          </w:p>
        </w:tc>
        <w:tc>
          <w:tcPr/>
          <w:p>
            <w:pPr>
              <w:pStyle w:val="Compact"/>
              <w:jc w:val="left"/>
            </w:pPr>
            <w:r>
              <w:t xml:space="preserve">Site link objects, costs, intervals, schedules, NTDS connection objects</w:t>
            </w:r>
          </w:p>
        </w:tc>
        <w:tc>
          <w:tcPr/>
          <w:p>
            <w:pPr>
              <w:pStyle w:val="Compact"/>
              <w:jc w:val="left"/>
            </w:pPr>
            <w:r>
              <w:t xml:space="preserve">Replication failures, queue depth, USN analysis</w:t>
            </w:r>
          </w:p>
        </w:tc>
        <w:tc>
          <w:tcPr/>
          <w:p>
            <w:pPr>
              <w:pStyle w:val="Compact"/>
              <w:jc w:val="left"/>
            </w:pPr>
            <w:r>
              <w:t xml:space="preserve">repadmin /replsummary works with Authenticated Users in some configurations</w:t>
            </w:r>
          </w:p>
        </w:tc>
      </w:tr>
    </w:tbl>
    <w:p>
      <w:pPr>
        <w:pStyle w:val="BodyText"/>
      </w:pPr>
      <w:r>
        <w:t xml:space="preserve">3.2 Organizational Structure</w:t>
      </w:r>
    </w:p>
    <w:tbl>
      <w:tblPr>
        <w:tblStyle w:val="Table"/>
        <w:tblW w:type="pct" w:w="4968"/>
        <w:tblLayout w:type="fixed"/>
        <w:tblLook w:firstRow="1" w:lastRow="0" w:firstColumn="0" w:lastColumn="0" w:noHBand="0" w:noVBand="0" w:val="0020"/>
      </w:tblPr>
      <w:tblGrid>
        <w:gridCol w:w="601"/>
        <w:gridCol w:w="526"/>
        <w:gridCol w:w="1353"/>
        <w:gridCol w:w="1704"/>
        <w:gridCol w:w="2205"/>
        <w:gridCol w:w="1478"/>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OU Hierarchy</w:t>
            </w:r>
          </w:p>
        </w:tc>
        <w:tc>
          <w:tcPr/>
          <w:p>
            <w:pPr>
              <w:pStyle w:val="Compact"/>
              <w:jc w:val="left"/>
            </w:pPr>
            <w:r>
              <w:rPr>
                <w:b/>
                <w:bCs/>
              </w:rPr>
              <w:t xml:space="preserve">FULL</w:t>
            </w:r>
          </w:p>
        </w:tc>
        <w:tc>
          <w:tcPr/>
          <w:p>
            <w:pPr>
              <w:pStyle w:val="Compact"/>
              <w:jc w:val="left"/>
            </w:pPr>
            <w:r>
              <w:t xml:space="preserve">Get-ADOrganizationalUnit -Filter *</w:t>
            </w:r>
          </w:p>
        </w:tc>
        <w:tc>
          <w:tcPr/>
          <w:p>
            <w:pPr>
              <w:pStyle w:val="Compact"/>
              <w:jc w:val="left"/>
            </w:pPr>
            <w:r>
              <w:t xml:space="preserve">Complete OU tree, descriptions, linked GPOs, managed-by</w:t>
            </w:r>
          </w:p>
        </w:tc>
        <w:tc>
          <w:tcPr/>
          <w:p>
            <w:pPr>
              <w:pStyle w:val="Compact"/>
              <w:jc w:val="left"/>
            </w:pPr>
            <w:r>
              <w:t xml:space="preserve">Delegation ACEs (partial)</w:t>
            </w:r>
          </w:p>
        </w:tc>
        <w:tc>
          <w:tcPr/>
          <w:p>
            <w:pPr>
              <w:pStyle w:val="Compact"/>
              <w:jc w:val="left"/>
            </w:pPr>
            <w:r>
              <w:t xml:space="preserve">Get-Acl works for basic delegation discovery</w:t>
            </w:r>
          </w:p>
        </w:tc>
      </w:tr>
      <w:tr>
        <w:tc>
          <w:tcPr/>
          <w:p>
            <w:pPr>
              <w:pStyle w:val="Compact"/>
              <w:jc w:val="left"/>
            </w:pPr>
            <w:r>
              <w:rPr>
                <w:b/>
                <w:bCs/>
              </w:rPr>
              <w:t xml:space="preserve">ACL Analysis</w:t>
            </w:r>
          </w:p>
        </w:tc>
        <w:tc>
          <w:tcPr/>
          <w:p>
            <w:pPr>
              <w:pStyle w:val="Compact"/>
              <w:jc w:val="left"/>
            </w:pPr>
            <w:r>
              <w:rPr>
                <w:b/>
                <w:bCs/>
              </w:rPr>
              <w:t xml:space="preserve">FULL / PARTIAL</w:t>
            </w:r>
          </w:p>
        </w:tc>
        <w:tc>
          <w:tcPr/>
          <w:p>
            <w:pPr>
              <w:pStyle w:val="Compact"/>
              <w:jc w:val="left"/>
            </w:pPr>
            <w:r>
              <w:t xml:space="preserve">Get-Acl "AD:\OU=..." (Get-Acl).Access</w:t>
            </w:r>
          </w:p>
        </w:tc>
        <w:tc>
          <w:tcPr/>
          <w:p>
            <w:pPr>
              <w:pStyle w:val="Compact"/>
              <w:jc w:val="left"/>
            </w:pPr>
            <w:r>
              <w:t xml:space="preserve">Object-level ACEs, inheritance, identity references, access types</w:t>
            </w:r>
          </w:p>
        </w:tc>
        <w:tc>
          <w:tcPr/>
          <w:p>
            <w:pPr>
              <w:pStyle w:val="Compact"/>
              <w:jc w:val="left"/>
            </w:pPr>
            <w:r>
              <w:t xml:space="preserve">ACEs set via GUIDs require schema resolution; SDProp behavior not directly observable</w:t>
            </w:r>
          </w:p>
        </w:tc>
        <w:tc>
          <w:tcPr/>
          <w:p>
            <w:pPr>
              <w:pStyle w:val="Compact"/>
              <w:jc w:val="left"/>
            </w:pPr>
            <w:r>
              <w:t xml:space="preserve">Resolve GUIDs via schema lookup; build delegation report</w:t>
            </w:r>
          </w:p>
        </w:tc>
      </w:tr>
      <w:tr>
        <w:tc>
          <w:tcPr/>
          <w:p>
            <w:pPr>
              <w:pStyle w:val="Compact"/>
              <w:jc w:val="left"/>
            </w:pPr>
            <w:r>
              <w:rPr>
                <w:b/>
                <w:bCs/>
              </w:rPr>
              <w:t xml:space="preserve">AdminSDHolder</w:t>
            </w:r>
          </w:p>
        </w:tc>
        <w:tc>
          <w:tcPr/>
          <w:p>
            <w:pPr>
              <w:pStyle w:val="Compact"/>
              <w:jc w:val="left"/>
            </w:pPr>
            <w:r>
              <w:rPr>
                <w:b/>
                <w:bCs/>
              </w:rPr>
              <w:t xml:space="preserve">FULL</w:t>
            </w:r>
          </w:p>
        </w:tc>
        <w:tc>
          <w:tcPr/>
          <w:p>
            <w:pPr>
              <w:pStyle w:val="Compact"/>
              <w:jc w:val="left"/>
            </w:pPr>
            <w:r>
              <w:t xml:space="preserve">Get-Acl "AD:\CN=AdminSDHolder,CN=System,DC=..."</w:t>
            </w:r>
          </w:p>
        </w:tc>
        <w:tc>
          <w:tcPr/>
          <w:p>
            <w:pPr>
              <w:pStyle w:val="Compact"/>
              <w:jc w:val="left"/>
            </w:pPr>
            <w:r>
              <w:t xml:space="preserve">AdminSDHolder ACL (template applied by SDProp)</w:t>
            </w:r>
          </w:p>
        </w:tc>
        <w:tc>
          <w:tcPr/>
          <w:p>
            <w:pPr>
              <w:pStyle w:val="Compact"/>
              <w:jc w:val="left"/>
            </w:pPr>
            <w:r>
              <w:t xml:space="preserve">SDProp execution log, timing</w:t>
            </w:r>
          </w:p>
        </w:tc>
        <w:tc>
          <w:tcPr/>
          <w:p>
            <w:pPr>
              <w:pStyle w:val="Compact"/>
              <w:jc w:val="left"/>
            </w:pPr>
            <w:r>
              <w:t xml:space="preserve">Compare AdminSDHolder ACL against protected object ACLs</w:t>
            </w:r>
          </w:p>
        </w:tc>
      </w:tr>
    </w:tbl>
    <w:p>
      <w:pPr>
        <w:pStyle w:val="BodyText"/>
      </w:pPr>
      <w:r>
        <w:t xml:space="preserve">3.3 Group Policy</w:t>
      </w:r>
    </w:p>
    <w:tbl>
      <w:tblPr>
        <w:tblStyle w:val="Table"/>
        <w:tblW w:type="pct" w:w="4973"/>
        <w:tblLayout w:type="fixed"/>
        <w:tblLook w:firstRow="1" w:lastRow="0" w:firstColumn="0" w:lastColumn="0" w:noHBand="0" w:noVBand="0" w:val="0020"/>
      </w:tblPr>
      <w:tblGrid>
        <w:gridCol w:w="696"/>
        <w:gridCol w:w="359"/>
        <w:gridCol w:w="1203"/>
        <w:gridCol w:w="2576"/>
        <w:gridCol w:w="1584"/>
        <w:gridCol w:w="1457"/>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GPO Inventory</w:t>
            </w:r>
          </w:p>
        </w:tc>
        <w:tc>
          <w:tcPr/>
          <w:p>
            <w:pPr>
              <w:pStyle w:val="Compact"/>
              <w:jc w:val="left"/>
            </w:pPr>
            <w:r>
              <w:rPr>
                <w:b/>
                <w:bCs/>
              </w:rPr>
              <w:t xml:space="preserve">FULL</w:t>
            </w:r>
          </w:p>
        </w:tc>
        <w:tc>
          <w:tcPr/>
          <w:p>
            <w:pPr>
              <w:pStyle w:val="Compact"/>
              <w:jc w:val="left"/>
            </w:pPr>
            <w:r>
              <w:t xml:space="preserve">Get-GPO -All Get-GPOReport</w:t>
            </w:r>
          </w:p>
        </w:tc>
        <w:tc>
          <w:tcPr/>
          <w:p>
            <w:pPr>
              <w:pStyle w:val="Compact"/>
              <w:jc w:val="left"/>
            </w:pPr>
            <w:r>
              <w:t xml:space="preserve">All GPO names, GUIDs, status, creation/modification dates, links, WMI filters, full XML/HTML settings reports</w:t>
            </w:r>
          </w:p>
        </w:tc>
        <w:tc>
          <w:tcPr/>
          <w:p>
            <w:pPr>
              <w:pStyle w:val="Compact"/>
              <w:jc w:val="left"/>
            </w:pPr>
            <w:r>
              <w:t xml:space="preserve">Backup-GPO requires elevated; SYSVOL file-level access may be restricted</w:t>
            </w:r>
          </w:p>
        </w:tc>
        <w:tc>
          <w:tcPr/>
          <w:p>
            <w:pPr>
              <w:pStyle w:val="Compact"/>
              <w:jc w:val="left"/>
            </w:pPr>
            <w:r>
              <w:t xml:space="preserve">Get-GPOReport -ReportType XML captures all settings without backup</w:t>
            </w:r>
          </w:p>
        </w:tc>
      </w:tr>
      <w:tr>
        <w:tc>
          <w:tcPr/>
          <w:p>
            <w:pPr>
              <w:pStyle w:val="Compact"/>
              <w:jc w:val="left"/>
            </w:pPr>
            <w:r>
              <w:rPr>
                <w:b/>
                <w:bCs/>
              </w:rPr>
              <w:t xml:space="preserve">GPO Settings Decomposition</w:t>
            </w:r>
          </w:p>
        </w:tc>
        <w:tc>
          <w:tcPr/>
          <w:p>
            <w:pPr>
              <w:pStyle w:val="Compact"/>
              <w:jc w:val="left"/>
            </w:pPr>
            <w:r>
              <w:rPr>
                <w:b/>
                <w:bCs/>
              </w:rPr>
              <w:t xml:space="preserve">FULL</w:t>
            </w:r>
          </w:p>
        </w:tc>
        <w:tc>
          <w:tcPr/>
          <w:p>
            <w:pPr>
              <w:pStyle w:val="Compact"/>
              <w:jc w:val="left"/>
            </w:pPr>
            <w:r>
              <w:t xml:space="preserve">Get-GPOReport -ReportType XML</w:t>
            </w:r>
          </w:p>
        </w:tc>
        <w:tc>
          <w:tcPr/>
          <w:p>
            <w:pPr>
              <w:pStyle w:val="Compact"/>
              <w:jc w:val="left"/>
            </w:pPr>
            <w:r>
              <w:t xml:space="preserve">Complete computer and user configuration settings, registry policies, scripts, software installation, security settings</w:t>
            </w:r>
          </w:p>
        </w:tc>
        <w:tc>
          <w:tcPr/>
          <w:p>
            <w:pPr>
              <w:pStyle w:val="Compact"/>
              <w:jc w:val="left"/>
            </w:pPr>
            <w:r>
              <w:t xml:space="preserve">Binary policy files on SYSVOL</w:t>
            </w:r>
          </w:p>
        </w:tc>
        <w:tc>
          <w:tcPr/>
          <w:p>
            <w:pPr>
              <w:pStyle w:val="Compact"/>
              <w:jc w:val="left"/>
            </w:pPr>
            <w:r>
              <w:t xml:space="preserve">XML report contains parsed settings</w:t>
            </w:r>
          </w:p>
        </w:tc>
      </w:tr>
      <w:tr>
        <w:tc>
          <w:tcPr/>
          <w:p>
            <w:pPr>
              <w:pStyle w:val="Compact"/>
              <w:jc w:val="left"/>
            </w:pPr>
            <w:r>
              <w:rPr>
                <w:b/>
                <w:bCs/>
              </w:rPr>
              <w:t xml:space="preserve">GPO Link Analysis</w:t>
            </w:r>
          </w:p>
        </w:tc>
        <w:tc>
          <w:tcPr/>
          <w:p>
            <w:pPr>
              <w:pStyle w:val="Compact"/>
              <w:jc w:val="left"/>
            </w:pPr>
            <w:r>
              <w:rPr>
                <w:b/>
                <w:bCs/>
              </w:rPr>
              <w:t xml:space="preserve">FULL</w:t>
            </w:r>
          </w:p>
        </w:tc>
        <w:tc>
          <w:tcPr/>
          <w:p>
            <w:pPr>
              <w:pStyle w:val="Compact"/>
              <w:jc w:val="left"/>
            </w:pPr>
            <w:r>
              <w:t xml:space="preserve">(Get-GPO).LinksTo or parse from Get-GPOReport XML</w:t>
            </w:r>
          </w:p>
        </w:tc>
        <w:tc>
          <w:tcPr/>
          <w:p>
            <w:pPr>
              <w:pStyle w:val="Compact"/>
              <w:jc w:val="left"/>
            </w:pPr>
            <w:r>
              <w:t xml:space="preserve">All OU links, link order, link enabled status, enforced status</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GPO WMI Filters</w:t>
            </w:r>
          </w:p>
        </w:tc>
        <w:tc>
          <w:tcPr/>
          <w:p>
            <w:pPr>
              <w:pStyle w:val="Compact"/>
              <w:jc w:val="left"/>
            </w:pPr>
            <w:r>
              <w:rPr>
                <w:b/>
                <w:bCs/>
              </w:rPr>
              <w:t xml:space="preserve">FULL</w:t>
            </w:r>
          </w:p>
        </w:tc>
        <w:tc>
          <w:tcPr/>
          <w:p>
            <w:pPr>
              <w:pStyle w:val="Compact"/>
              <w:jc w:val="left"/>
            </w:pPr>
            <w:r>
              <w:t xml:space="preserve">Get-ADObject -Filter 'objectClass -eq "msWMI-Som"'</w:t>
            </w:r>
          </w:p>
        </w:tc>
        <w:tc>
          <w:tcPr/>
          <w:p>
            <w:pPr>
              <w:pStyle w:val="Compact"/>
              <w:jc w:val="left"/>
            </w:pPr>
            <w:r>
              <w:t xml:space="preserve">WMI filter names, queries, descriptions</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SYSVOL Access</w:t>
            </w:r>
          </w:p>
        </w:tc>
        <w:tc>
          <w:tcPr/>
          <w:p>
            <w:pPr>
              <w:pStyle w:val="Compact"/>
              <w:jc w:val="left"/>
            </w:pPr>
            <w:r>
              <w:rPr>
                <w:b/>
                <w:bCs/>
              </w:rPr>
              <w:t xml:space="preserve">PARTIAL</w:t>
            </w:r>
          </w:p>
        </w:tc>
        <w:tc>
          <w:tcPr/>
          <w:p>
            <w:pPr>
              <w:pStyle w:val="Compact"/>
              <w:jc w:val="left"/>
            </w:pPr>
            <w:r>
              <w:t xml:space="preserve">dir \\domain\SYSVOL</w:t>
            </w:r>
          </w:p>
        </w:tc>
        <w:tc>
          <w:tcPr/>
          <w:p>
            <w:pPr>
              <w:pStyle w:val="Compact"/>
              <w:jc w:val="left"/>
            </w:pPr>
            <w:r>
              <w:t xml:space="preserve">GPO folders, scripts, policy files (if share-level permissions allow)</w:t>
            </w:r>
          </w:p>
        </w:tc>
        <w:tc>
          <w:tcPr/>
          <w:p>
            <w:pPr>
              <w:pStyle w:val="Compact"/>
              <w:jc w:val="left"/>
            </w:pPr>
            <w:r>
              <w:t xml:space="preserve">Binary .pol files require parsing; some scripts may be ACL-restricted</w:t>
            </w:r>
          </w:p>
        </w:tc>
        <w:tc>
          <w:tcPr/>
          <w:p>
            <w:pPr>
              <w:pStyle w:val="Compact"/>
              <w:jc w:val="left"/>
            </w:pPr>
            <w:r>
              <w:t xml:space="preserve">Parse .pol files with Parse-PolFile; access startup/logon scripts</w:t>
            </w:r>
          </w:p>
        </w:tc>
      </w:tr>
    </w:tbl>
    <w:p>
      <w:pPr>
        <w:pStyle w:val="BodyText"/>
      </w:pPr>
      <w:r>
        <w:t xml:space="preserve">3.4 Identity Objects</w:t>
      </w:r>
    </w:p>
    <w:tbl>
      <w:tblPr>
        <w:tblStyle w:val="Table"/>
        <w:tblW w:type="pct" w:w="4976"/>
        <w:tblLayout w:type="fixed"/>
        <w:tblLook w:firstRow="1" w:lastRow="0" w:firstColumn="0" w:lastColumn="0" w:noHBand="0" w:noVBand="0" w:val="0020"/>
      </w:tblPr>
      <w:tblGrid>
        <w:gridCol w:w="550"/>
        <w:gridCol w:w="322"/>
        <w:gridCol w:w="1519"/>
        <w:gridCol w:w="2791"/>
        <w:gridCol w:w="1500"/>
        <w:gridCol w:w="1196"/>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User Objects</w:t>
            </w:r>
          </w:p>
        </w:tc>
        <w:tc>
          <w:tcPr/>
          <w:p>
            <w:pPr>
              <w:pStyle w:val="Compact"/>
              <w:jc w:val="left"/>
            </w:pPr>
            <w:r>
              <w:rPr>
                <w:b/>
                <w:bCs/>
              </w:rPr>
              <w:t xml:space="preserve">FULL</w:t>
            </w:r>
          </w:p>
        </w:tc>
        <w:tc>
          <w:tcPr/>
          <w:p>
            <w:pPr>
              <w:pStyle w:val="Compact"/>
              <w:jc w:val="left"/>
            </w:pPr>
            <w:r>
              <w:t xml:space="preserve">Get-ADUser -Filter * -Properties *</w:t>
            </w:r>
          </w:p>
        </w:tc>
        <w:tc>
          <w:tcPr/>
          <w:p>
            <w:pPr>
              <w:pStyle w:val="Compact"/>
              <w:jc w:val="left"/>
            </w:pPr>
            <w:r>
              <w:t xml:space="preserve">All non-confidential attributes: name, UPN, mail, title, department, manager, memberOf, lastLogonTimestamp, whenCreated, userAccountControl, SPN</w:t>
            </w:r>
          </w:p>
        </w:tc>
        <w:tc>
          <w:tcPr/>
          <w:p>
            <w:pPr>
              <w:pStyle w:val="Compact"/>
              <w:jc w:val="left"/>
            </w:pPr>
            <w:r>
              <w:t xml:space="preserve">Passwords (never readable), LAPS-managed attributes</w:t>
            </w:r>
          </w:p>
        </w:tc>
        <w:tc>
          <w:tcPr/>
          <w:p>
            <w:pPr>
              <w:pStyle w:val="Compact"/>
              <w:jc w:val="left"/>
            </w:pPr>
            <w:r>
              <w:t xml:space="preserve">Sufficient for identity assessment</w:t>
            </w:r>
          </w:p>
        </w:tc>
      </w:tr>
      <w:tr>
        <w:tc>
          <w:tcPr/>
          <w:p>
            <w:pPr>
              <w:pStyle w:val="Compact"/>
              <w:jc w:val="left"/>
            </w:pPr>
            <w:r>
              <w:rPr>
                <w:b/>
                <w:bCs/>
              </w:rPr>
              <w:t xml:space="preserve">User Staleness</w:t>
            </w:r>
          </w:p>
        </w:tc>
        <w:tc>
          <w:tcPr/>
          <w:p>
            <w:pPr>
              <w:pStyle w:val="Compact"/>
              <w:jc w:val="left"/>
            </w:pPr>
            <w:r>
              <w:rPr>
                <w:b/>
                <w:bCs/>
              </w:rPr>
              <w:t xml:space="preserve">FULL</w:t>
            </w:r>
          </w:p>
        </w:tc>
        <w:tc>
          <w:tcPr/>
          <w:p>
            <w:pPr>
              <w:pStyle w:val="Compact"/>
              <w:jc w:val="left"/>
            </w:pPr>
            <w:r>
              <w:t xml:space="preserve">Get-ADUser -Filter * -Properties lastLogonTimestamp, PasswordLastSet</w:t>
            </w:r>
          </w:p>
        </w:tc>
        <w:tc>
          <w:tcPr/>
          <w:p>
            <w:pPr>
              <w:pStyle w:val="Compact"/>
              <w:jc w:val="left"/>
            </w:pPr>
            <w:r>
              <w:t xml:space="preserve">Last logon, password age, disabled, password never expires, password not required</w:t>
            </w:r>
          </w:p>
        </w:tc>
        <w:tc>
          <w:tcPr/>
          <w:p>
            <w:pPr>
              <w:pStyle w:val="Compact"/>
              <w:jc w:val="left"/>
            </w:pPr>
            <w:r>
              <w:t xml:space="preserve">Real-time logon sessions</w:t>
            </w:r>
          </w:p>
        </w:tc>
        <w:tc>
          <w:tcPr/>
          <w:p>
            <w:pPr>
              <w:pStyle w:val="Compact"/>
              <w:jc w:val="left"/>
            </w:pPr>
            <w:r>
              <w:t xml:space="preserve">Combine with event log analysis if available</w:t>
            </w:r>
          </w:p>
        </w:tc>
      </w:tr>
      <w:tr>
        <w:tc>
          <w:tcPr/>
          <w:p>
            <w:pPr>
              <w:pStyle w:val="Compact"/>
              <w:jc w:val="left"/>
            </w:pPr>
            <w:r>
              <w:rPr>
                <w:b/>
                <w:bCs/>
              </w:rPr>
              <w:t xml:space="preserve">Computer Objects</w:t>
            </w:r>
          </w:p>
        </w:tc>
        <w:tc>
          <w:tcPr/>
          <w:p>
            <w:pPr>
              <w:pStyle w:val="Compact"/>
              <w:jc w:val="left"/>
            </w:pPr>
            <w:r>
              <w:rPr>
                <w:b/>
                <w:bCs/>
              </w:rPr>
              <w:t xml:space="preserve">FULL</w:t>
            </w:r>
          </w:p>
        </w:tc>
        <w:tc>
          <w:tcPr/>
          <w:p>
            <w:pPr>
              <w:pStyle w:val="Compact"/>
              <w:jc w:val="left"/>
            </w:pPr>
            <w:r>
              <w:t xml:space="preserve">Get-ADComputer -Filter * -Properties *</w:t>
            </w:r>
          </w:p>
        </w:tc>
        <w:tc>
          <w:tcPr/>
          <w:p>
            <w:pPr>
              <w:pStyle w:val="Compact"/>
              <w:jc w:val="left"/>
            </w:pPr>
            <w:r>
              <w:t xml:space="preserve">Name, DN, OS, OS version, SPN, lastLogonTimestamp, whenCreated, userAccountControl, dNSHostName</w:t>
            </w:r>
          </w:p>
        </w:tc>
        <w:tc>
          <w:tcPr/>
          <w:p>
            <w:pPr>
              <w:pStyle w:val="Compact"/>
              <w:jc w:val="left"/>
            </w:pPr>
            <w:r>
              <w:t xml:space="preserve">LAPS passwords (confidential), BitLocker recovery keys (confidential)</w:t>
            </w:r>
          </w:p>
        </w:tc>
        <w:tc>
          <w:tcPr/>
          <w:p>
            <w:pPr>
              <w:pStyle w:val="Compact"/>
              <w:jc w:val="left"/>
            </w:pPr>
            <w:r>
              <w:t xml:space="preserve">Flag LAPS-enabled via ms-Mcs-AdmPwdExpirationTime (readable)</w:t>
            </w:r>
          </w:p>
        </w:tc>
      </w:tr>
      <w:tr>
        <w:tc>
          <w:tcPr/>
          <w:p>
            <w:pPr>
              <w:pStyle w:val="Compact"/>
              <w:jc w:val="left"/>
            </w:pPr>
            <w:r>
              <w:rPr>
                <w:b/>
                <w:bCs/>
              </w:rPr>
              <w:t xml:space="preserve">Computer Staleness</w:t>
            </w:r>
          </w:p>
        </w:tc>
        <w:tc>
          <w:tcPr/>
          <w:p>
            <w:pPr>
              <w:pStyle w:val="Compact"/>
              <w:jc w:val="left"/>
            </w:pPr>
            <w:r>
              <w:rPr>
                <w:b/>
                <w:bCs/>
              </w:rPr>
              <w:t xml:space="preserve">FULL</w:t>
            </w:r>
          </w:p>
        </w:tc>
        <w:tc>
          <w:tcPr/>
          <w:p>
            <w:pPr>
              <w:pStyle w:val="Compact"/>
              <w:jc w:val="left"/>
            </w:pPr>
            <w:r>
              <w:t xml:space="preserve">Get-ADComputer -Filter * -Properties lastLogonTimestamp, PasswordLastSet</w:t>
            </w:r>
          </w:p>
        </w:tc>
        <w:tc>
          <w:tcPr/>
          <w:p>
            <w:pPr>
              <w:pStyle w:val="Compact"/>
              <w:jc w:val="left"/>
            </w:pPr>
            <w:r>
              <w:t xml:space="preserve">Last logon timestamps, password age, disabled status</w:t>
            </w:r>
          </w:p>
        </w:tc>
        <w:tc>
          <w:tcPr/>
          <w:p>
            <w:pPr>
              <w:pStyle w:val="Compact"/>
              <w:jc w:val="left"/>
            </w:pPr>
            <w:r>
              <w:t xml:space="preserve">Actual last logon (requires querying all DCs)</w:t>
            </w:r>
          </w:p>
        </w:tc>
        <w:tc>
          <w:tcPr/>
          <w:p>
            <w:pPr>
              <w:pStyle w:val="Compact"/>
              <w:jc w:val="left"/>
            </w:pPr>
            <w:r>
              <w:t xml:space="preserve">Query each DC for lastLogon attribute and compare</w:t>
            </w:r>
          </w:p>
        </w:tc>
      </w:tr>
      <w:tr>
        <w:tc>
          <w:tcPr/>
          <w:p>
            <w:pPr>
              <w:pStyle w:val="Compact"/>
              <w:jc w:val="left"/>
            </w:pPr>
            <w:r>
              <w:rPr>
                <w:b/>
                <w:bCs/>
              </w:rPr>
              <w:t xml:space="preserve">Privileged Users</w:t>
            </w:r>
          </w:p>
        </w:tc>
        <w:tc>
          <w:tcPr/>
          <w:p>
            <w:pPr>
              <w:pStyle w:val="Compact"/>
              <w:jc w:val="left"/>
            </w:pPr>
            <w:r>
              <w:rPr>
                <w:b/>
                <w:bCs/>
              </w:rPr>
              <w:t xml:space="preserve">FULL</w:t>
            </w:r>
          </w:p>
        </w:tc>
        <w:tc>
          <w:tcPr/>
          <w:p>
            <w:pPr>
              <w:pStyle w:val="Compact"/>
              <w:jc w:val="left"/>
            </w:pPr>
            <w:r>
              <w:t xml:space="preserve">Get-ADGroupMember "Domain Admins" -Recursive</w:t>
            </w:r>
          </w:p>
        </w:tc>
        <w:tc>
          <w:tcPr/>
          <w:p>
            <w:pPr>
              <w:pStyle w:val="Compact"/>
              <w:jc w:val="left"/>
            </w:pPr>
            <w:r>
              <w:t xml:space="preserve">Full membership of Domain Admins, Enterprise Admins, Schema Admins, Administrators, Account Operators, Backup Operators, Server Operators</w:t>
            </w:r>
          </w:p>
        </w:tc>
        <w:tc>
          <w:tcPr/>
          <w:p>
            <w:pPr>
              <w:pStyle w:val="Compact"/>
              <w:jc w:val="left"/>
            </w:pPr>
            <w:r>
              <w:t xml:space="preserve">AdminSDHolder override analysis (partial)</w:t>
            </w:r>
          </w:p>
        </w:tc>
        <w:tc>
          <w:tcPr/>
          <w:p>
            <w:pPr>
              <w:pStyle w:val="Compact"/>
              <w:jc w:val="left"/>
            </w:pPr>
            <w:r>
              <w:t xml:space="preserve">Enumerate all AdminCount=1 users</w:t>
            </w:r>
          </w:p>
        </w:tc>
      </w:tr>
      <w:tr>
        <w:tc>
          <w:tcPr/>
          <w:p>
            <w:pPr>
              <w:pStyle w:val="Compact"/>
              <w:jc w:val="left"/>
            </w:pPr>
            <w:r>
              <w:rPr>
                <w:b/>
                <w:bCs/>
              </w:rPr>
              <w:t xml:space="preserve">Service Accounts</w:t>
            </w:r>
          </w:p>
        </w:tc>
        <w:tc>
          <w:tcPr/>
          <w:p>
            <w:pPr>
              <w:pStyle w:val="Compact"/>
              <w:jc w:val="left"/>
            </w:pPr>
            <w:r>
              <w:rPr>
                <w:b/>
                <w:bCs/>
              </w:rPr>
              <w:t xml:space="preserve">FULL</w:t>
            </w:r>
          </w:p>
        </w:tc>
        <w:tc>
          <w:tcPr/>
          <w:p>
            <w:pPr>
              <w:pStyle w:val="Compact"/>
              <w:jc w:val="left"/>
            </w:pPr>
            <w:r>
              <w:t xml:space="preserve">Get-ADUser -Filter {ServicePrincipalName -ne "$null"} Get-ADServiceAccount</w:t>
            </w:r>
          </w:p>
        </w:tc>
        <w:tc>
          <w:tcPr/>
          <w:p>
            <w:pPr>
              <w:pStyle w:val="Compact"/>
              <w:jc w:val="left"/>
            </w:pPr>
            <w:r>
              <w:t xml:space="preserve">SPN-bearing accounts (Kerberoastable), MSA and gMSA objects, managed-by, msDS-GroupMSAMembership</w:t>
            </w:r>
          </w:p>
        </w:tc>
        <w:tc>
          <w:tcPr/>
          <w:p>
            <w:pPr>
              <w:pStyle w:val="Compact"/>
              <w:jc w:val="left"/>
            </w:pPr>
            <w:r>
              <w:t xml:space="preserve">gMSA password retrieval (requires membership in PrincipalsAllowedToRetrieve)</w:t>
            </w:r>
          </w:p>
        </w:tc>
        <w:tc>
          <w:tcPr/>
          <w:p>
            <w:pPr>
              <w:pStyle w:val="Compact"/>
              <w:jc w:val="left"/>
            </w:pPr>
            <w:r>
              <w:t xml:space="preserve">SPN inventory sufficient for assessment</w:t>
            </w:r>
          </w:p>
        </w:tc>
      </w:tr>
      <w:tr>
        <w:tc>
          <w:tcPr/>
          <w:p>
            <w:pPr>
              <w:pStyle w:val="Compact"/>
              <w:jc w:val="left"/>
            </w:pPr>
            <w:r>
              <w:rPr>
                <w:b/>
                <w:bCs/>
              </w:rPr>
              <w:t xml:space="preserve">Group Memberships</w:t>
            </w:r>
          </w:p>
        </w:tc>
        <w:tc>
          <w:tcPr/>
          <w:p>
            <w:pPr>
              <w:pStyle w:val="Compact"/>
              <w:jc w:val="left"/>
            </w:pPr>
            <w:r>
              <w:rPr>
                <w:b/>
                <w:bCs/>
              </w:rPr>
              <w:t xml:space="preserve">FULL</w:t>
            </w:r>
          </w:p>
        </w:tc>
        <w:tc>
          <w:tcPr/>
          <w:p>
            <w:pPr>
              <w:pStyle w:val="Compact"/>
              <w:jc w:val="left"/>
            </w:pPr>
            <w:r>
              <w:t xml:space="preserve">Get-ADGroup -Filter * Get-ADGroupMember</w:t>
            </w:r>
          </w:p>
        </w:tc>
        <w:tc>
          <w:tcPr/>
          <w:p>
            <w:pPr>
              <w:pStyle w:val="Compact"/>
              <w:jc w:val="left"/>
            </w:pPr>
            <w:r>
              <w:t xml:space="preserve">All groups, members, nesting, scope, type</w:t>
            </w:r>
          </w:p>
        </w:tc>
        <w:tc>
          <w:tcPr/>
          <w:p>
            <w:pPr>
              <w:pStyle w:val="Compact"/>
              <w:jc w:val="left"/>
            </w:pPr>
            <w:r>
              <w:t xml:space="preserve">No gaps</w:t>
            </w:r>
          </w:p>
        </w:tc>
        <w:tc>
          <w:tcPr/>
          <w:p>
            <w:pPr>
              <w:pStyle w:val="Compact"/>
              <w:jc w:val="left"/>
            </w:pPr>
            <w:r>
              <w:t xml:space="preserve">N/A</w:t>
            </w:r>
          </w:p>
        </w:tc>
      </w:tr>
      <w:tr>
        <w:tc>
          <w:tcPr/>
          <w:p>
            <w:pPr>
              <w:pStyle w:val="Compact"/>
              <w:jc w:val="left"/>
            </w:pPr>
            <w:r>
              <w:rPr>
                <w:b/>
                <w:bCs/>
              </w:rPr>
              <w:t xml:space="preserve">Group Nesting Analysis</w:t>
            </w:r>
          </w:p>
        </w:tc>
        <w:tc>
          <w:tcPr/>
          <w:p>
            <w:pPr>
              <w:pStyle w:val="Compact"/>
              <w:jc w:val="left"/>
            </w:pPr>
            <w:r>
              <w:rPr>
                <w:b/>
                <w:bCs/>
              </w:rPr>
              <w:t xml:space="preserve">FULL</w:t>
            </w:r>
          </w:p>
        </w:tc>
        <w:tc>
          <w:tcPr/>
          <w:p>
            <w:pPr>
              <w:pStyle w:val="Compact"/>
              <w:jc w:val="left"/>
            </w:pPr>
            <w:r>
              <w:t xml:space="preserve">Get-ADGroupMember -Recursive</w:t>
            </w:r>
          </w:p>
        </w:tc>
        <w:tc>
          <w:tcPr/>
          <w:p>
            <w:pPr>
              <w:pStyle w:val="Compact"/>
              <w:jc w:val="left"/>
            </w:pPr>
            <w:r>
              <w:t xml:space="preserve">Circular nesting detection, deep nesting chains</w:t>
            </w:r>
          </w:p>
        </w:tc>
        <w:tc>
          <w:tcPr/>
          <w:p>
            <w:pPr>
              <w:pStyle w:val="Compact"/>
              <w:jc w:val="left"/>
            </w:pPr>
            <w:r>
              <w:t xml:space="preserve">No gaps</w:t>
            </w:r>
          </w:p>
        </w:tc>
        <w:tc>
          <w:tcPr/>
          <w:p>
            <w:pPr>
              <w:pStyle w:val="Compact"/>
              <w:jc w:val="left"/>
            </w:pPr>
            <w:r>
              <w:t xml:space="preserve">Script recursive walk with cycle detection</w:t>
            </w:r>
          </w:p>
        </w:tc>
      </w:tr>
    </w:tbl>
    <w:p>
      <w:pPr>
        <w:pStyle w:val="BodyText"/>
      </w:pPr>
      <w:r>
        <w:t xml:space="preserve">3.5 DNS</w:t>
      </w:r>
    </w:p>
    <w:tbl>
      <w:tblPr>
        <w:tblStyle w:val="Table"/>
        <w:tblW w:type="pct" w:w="4965"/>
        <w:tblLayout w:type="fixed"/>
        <w:tblLook w:firstRow="1" w:lastRow="0" w:firstColumn="0" w:lastColumn="0" w:noHBand="0" w:noVBand="0" w:val="0020"/>
      </w:tblPr>
      <w:tblGrid>
        <w:gridCol w:w="898"/>
        <w:gridCol w:w="477"/>
        <w:gridCol w:w="954"/>
        <w:gridCol w:w="1376"/>
        <w:gridCol w:w="1825"/>
        <w:gridCol w:w="2331"/>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DNS Zones (AD-Integrated)</w:t>
            </w:r>
          </w:p>
        </w:tc>
        <w:tc>
          <w:tcPr/>
          <w:p>
            <w:pPr>
              <w:pStyle w:val="Compact"/>
              <w:jc w:val="left"/>
            </w:pPr>
            <w:r>
              <w:rPr>
                <w:b/>
                <w:bCs/>
              </w:rPr>
              <w:t xml:space="preserve">PARTIAL</w:t>
            </w:r>
          </w:p>
        </w:tc>
        <w:tc>
          <w:tcPr/>
          <w:p>
            <w:pPr>
              <w:pStyle w:val="Compact"/>
              <w:jc w:val="left"/>
            </w:pPr>
            <w:r>
              <w:t xml:space="preserve">Get-ADObject in CN=MicrosoftDNS</w:t>
            </w:r>
          </w:p>
        </w:tc>
        <w:tc>
          <w:tcPr/>
          <w:p>
            <w:pPr>
              <w:pStyle w:val="Compact"/>
              <w:jc w:val="left"/>
            </w:pPr>
            <w:r>
              <w:t xml:space="preserve">Zone names, zone types, AD-integrated status</w:t>
            </w:r>
          </w:p>
        </w:tc>
        <w:tc>
          <w:tcPr/>
          <w:p>
            <w:pPr>
              <w:pStyle w:val="Compact"/>
              <w:jc w:val="left"/>
            </w:pPr>
            <w:r>
              <w:t xml:space="preserve">Full record enumeration requires DNS Server role or delegation</w:t>
            </w:r>
          </w:p>
        </w:tc>
        <w:tc>
          <w:tcPr/>
          <w:p>
            <w:pPr>
              <w:pStyle w:val="Compact"/>
              <w:jc w:val="left"/>
            </w:pPr>
            <w:r>
              <w:t xml:space="preserve">Use nslookup/dig for targeted queries; Get-ADObject for zone container discovery</w:t>
            </w:r>
          </w:p>
        </w:tc>
      </w:tr>
      <w:tr>
        <w:tc>
          <w:tcPr/>
          <w:p>
            <w:pPr>
              <w:pStyle w:val="Compact"/>
              <w:jc w:val="left"/>
            </w:pPr>
            <w:r>
              <w:rPr>
                <w:b/>
                <w:bCs/>
              </w:rPr>
              <w:t xml:space="preserve">DNS Records</w:t>
            </w:r>
          </w:p>
        </w:tc>
        <w:tc>
          <w:tcPr/>
          <w:p>
            <w:pPr>
              <w:pStyle w:val="Compact"/>
              <w:jc w:val="left"/>
            </w:pPr>
            <w:r>
              <w:rPr>
                <w:b/>
                <w:bCs/>
              </w:rPr>
              <w:t xml:space="preserve">PARTIAL</w:t>
            </w:r>
          </w:p>
        </w:tc>
        <w:tc>
          <w:tcPr/>
          <w:p>
            <w:pPr>
              <w:pStyle w:val="Compact"/>
              <w:jc w:val="left"/>
            </w:pPr>
            <w:r>
              <w:t xml:space="preserve">nslookup Resolve-DnsName</w:t>
            </w:r>
          </w:p>
        </w:tc>
        <w:tc>
          <w:tcPr/>
          <w:p>
            <w:pPr>
              <w:pStyle w:val="Compact"/>
              <w:jc w:val="left"/>
            </w:pPr>
            <w:r>
              <w:t xml:space="preserve">Targeted record lookups, SRV record validation</w:t>
            </w:r>
          </w:p>
        </w:tc>
        <w:tc>
          <w:tcPr/>
          <w:p>
            <w:pPr>
              <w:pStyle w:val="Compact"/>
              <w:jc w:val="left"/>
            </w:pPr>
            <w:r>
              <w:t xml:space="preserve">Full zone transfers may be blocked; bulk enumeration limited</w:t>
            </w:r>
          </w:p>
        </w:tc>
        <w:tc>
          <w:tcPr/>
          <w:p>
            <w:pPr>
              <w:pStyle w:val="Compact"/>
              <w:jc w:val="left"/>
            </w:pPr>
            <w:r>
              <w:t xml:space="preserve">Script Resolve-DnsName for known patterns (_ldap._tcp, _kerberos, etc.)</w:t>
            </w:r>
          </w:p>
        </w:tc>
      </w:tr>
      <w:tr>
        <w:tc>
          <w:tcPr/>
          <w:p>
            <w:pPr>
              <w:pStyle w:val="Compact"/>
              <w:jc w:val="left"/>
            </w:pPr>
            <w:r>
              <w:rPr>
                <w:b/>
                <w:bCs/>
              </w:rPr>
              <w:t xml:space="preserve">DNS Scavenging Config</w:t>
            </w:r>
          </w:p>
        </w:tc>
        <w:tc>
          <w:tcPr/>
          <w:p>
            <w:pPr>
              <w:pStyle w:val="Compact"/>
              <w:jc w:val="left"/>
            </w:pPr>
            <w:r>
              <w:rPr>
                <w:b/>
                <w:bCs/>
              </w:rPr>
              <w:t xml:space="preserve">NONE</w:t>
            </w:r>
          </w:p>
        </w:tc>
        <w:tc>
          <w:tcPr/>
          <w:p>
            <w:pPr>
              <w:pStyle w:val="Compact"/>
              <w:jc w:val="left"/>
            </w:pPr>
            <w:r>
              <w:t xml:space="preserve">Get-DnsServerScavenging</w:t>
            </w:r>
          </w:p>
        </w:tc>
        <w:tc>
          <w:tcPr/>
          <w:p>
            <w:pPr>
              <w:pStyle w:val="Compact"/>
              <w:jc w:val="left"/>
            </w:pPr>
            <w:r>
              <w:t xml:space="preserve">N/A — requires DNS admin</w:t>
            </w:r>
          </w:p>
        </w:tc>
        <w:tc>
          <w:tcPr/>
          <w:p>
            <w:pPr>
              <w:pStyle w:val="Compact"/>
              <w:jc w:val="left"/>
            </w:pPr>
            <w:r>
              <w:t xml:space="preserve">Scavenging intervals, aging status</w:t>
            </w:r>
          </w:p>
        </w:tc>
        <w:tc>
          <w:tcPr/>
          <w:p>
            <w:pPr>
              <w:pStyle w:val="Compact"/>
              <w:jc w:val="left"/>
            </w:pPr>
            <w:r>
              <w:t xml:space="preserve">Request read-only DNS delegation or screenshot from admin</w:t>
            </w:r>
          </w:p>
        </w:tc>
      </w:tr>
    </w:tbl>
    <w:p>
      <w:pPr>
        <w:pStyle w:val="BodyText"/>
      </w:pPr>
      <w:r>
        <w:t xml:space="preserve">3.6 PKI / AD Certificate Services</w:t>
      </w:r>
    </w:p>
    <w:tbl>
      <w:tblPr>
        <w:tblStyle w:val="Table"/>
        <w:tblW w:type="pct" w:w="4972"/>
        <w:tblLayout w:type="fixed"/>
        <w:tblLook w:firstRow="1" w:lastRow="0" w:firstColumn="0" w:lastColumn="0" w:noHBand="0" w:noVBand="0" w:val="0020"/>
      </w:tblPr>
      <w:tblGrid>
        <w:gridCol w:w="780"/>
        <w:gridCol w:w="379"/>
        <w:gridCol w:w="1472"/>
        <w:gridCol w:w="2654"/>
        <w:gridCol w:w="1293"/>
        <w:gridCol w:w="1293"/>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CA Discovery</w:t>
            </w:r>
          </w:p>
        </w:tc>
        <w:tc>
          <w:tcPr/>
          <w:p>
            <w:pPr>
              <w:pStyle w:val="Compact"/>
              <w:jc w:val="left"/>
            </w:pPr>
            <w:r>
              <w:rPr>
                <w:b/>
                <w:bCs/>
              </w:rPr>
              <w:t xml:space="preserve">FULL</w:t>
            </w:r>
          </w:p>
        </w:tc>
        <w:tc>
          <w:tcPr/>
          <w:p>
            <w:pPr>
              <w:pStyle w:val="Compact"/>
              <w:jc w:val="left"/>
            </w:pPr>
            <w:r>
              <w:t xml:space="preserve">certutil -config - -ping Get-ADObject in CN=Enrollment Services</w:t>
            </w:r>
          </w:p>
        </w:tc>
        <w:tc>
          <w:tcPr/>
          <w:p>
            <w:pPr>
              <w:pStyle w:val="Compact"/>
              <w:jc w:val="left"/>
            </w:pPr>
            <w:r>
              <w:t xml:space="preserve">CA names, types (Enterprise/Standalone), CA hostnames, certificates</w:t>
            </w:r>
          </w:p>
        </w:tc>
        <w:tc>
          <w:tcPr/>
          <w:p>
            <w:pPr>
              <w:pStyle w:val="Compact"/>
              <w:jc w:val="left"/>
            </w:pPr>
            <w:r>
              <w:t xml:space="preserve">CA configuration details (CPS, CDP require CA admin)</w:t>
            </w:r>
          </w:p>
        </w:tc>
        <w:tc>
          <w:tcPr/>
          <w:p>
            <w:pPr>
              <w:pStyle w:val="Compact"/>
              <w:jc w:val="left"/>
            </w:pPr>
            <w:r>
              <w:t xml:space="preserve">AIA and CDP published in AD are readable</w:t>
            </w:r>
          </w:p>
        </w:tc>
      </w:tr>
      <w:tr>
        <w:tc>
          <w:tcPr/>
          <w:p>
            <w:pPr>
              <w:pStyle w:val="Compact"/>
              <w:jc w:val="left"/>
            </w:pPr>
            <w:r>
              <w:rPr>
                <w:b/>
                <w:bCs/>
              </w:rPr>
              <w:t xml:space="preserve">Certificate Templates</w:t>
            </w:r>
          </w:p>
        </w:tc>
        <w:tc>
          <w:tcPr/>
          <w:p>
            <w:pPr>
              <w:pStyle w:val="Compact"/>
              <w:jc w:val="left"/>
            </w:pPr>
            <w:r>
              <w:rPr>
                <w:b/>
                <w:bCs/>
              </w:rPr>
              <w:t xml:space="preserve">FULL</w:t>
            </w:r>
          </w:p>
        </w:tc>
        <w:tc>
          <w:tcPr/>
          <w:p>
            <w:pPr>
              <w:pStyle w:val="Compact"/>
              <w:jc w:val="left"/>
            </w:pPr>
            <w:r>
              <w:t xml:space="preserve">Get-ADObject in CN=Certificate Templates</w:t>
            </w:r>
          </w:p>
        </w:tc>
        <w:tc>
          <w:tcPr/>
          <w:p>
            <w:pPr>
              <w:pStyle w:val="Compact"/>
              <w:jc w:val="left"/>
            </w:pPr>
            <w:r>
              <w:t xml:space="preserve">Template names, OIDs, schema versions, key usage, enrollment flags, ACLs, validity periods, auto-enrollment settings</w:t>
            </w:r>
          </w:p>
        </w:tc>
        <w:tc>
          <w:tcPr/>
          <w:p>
            <w:pPr>
              <w:pStyle w:val="Compact"/>
              <w:jc w:val="left"/>
            </w:pPr>
            <w:r>
              <w:t xml:space="preserve">No gaps — templates stored in Configuration partition</w:t>
            </w:r>
          </w:p>
        </w:tc>
        <w:tc>
          <w:tcPr/>
          <w:p>
            <w:pPr>
              <w:pStyle w:val="Compact"/>
              <w:jc w:val="left"/>
            </w:pPr>
            <w:r>
              <w:t xml:space="preserve">N/A</w:t>
            </w:r>
          </w:p>
        </w:tc>
      </w:tr>
      <w:tr>
        <w:tc>
          <w:tcPr/>
          <w:p>
            <w:pPr>
              <w:pStyle w:val="Compact"/>
              <w:jc w:val="left"/>
            </w:pPr>
            <w:r>
              <w:rPr>
                <w:b/>
                <w:bCs/>
              </w:rPr>
              <w:t xml:space="preserve">Template ACLs (ESC Analysis)</w:t>
            </w:r>
          </w:p>
        </w:tc>
        <w:tc>
          <w:tcPr/>
          <w:p>
            <w:pPr>
              <w:pStyle w:val="Compact"/>
              <w:jc w:val="left"/>
            </w:pPr>
            <w:r>
              <w:rPr>
                <w:b/>
                <w:bCs/>
              </w:rPr>
              <w:t xml:space="preserve">FULL</w:t>
            </w:r>
          </w:p>
        </w:tc>
        <w:tc>
          <w:tcPr/>
          <w:p>
            <w:pPr>
              <w:pStyle w:val="Compact"/>
              <w:jc w:val="left"/>
            </w:pPr>
            <w:r>
              <w:t xml:space="preserve">Get-Acl on template objects</w:t>
            </w:r>
          </w:p>
        </w:tc>
        <w:tc>
          <w:tcPr/>
          <w:p>
            <w:pPr>
              <w:pStyle w:val="Compact"/>
              <w:jc w:val="left"/>
            </w:pPr>
            <w:r>
              <w:t xml:space="preserve">Enroll and AutoEnroll permissions per template — critical for ESC1–ESC8 vulnerability detection</w:t>
            </w:r>
          </w:p>
        </w:tc>
        <w:tc>
          <w:tcPr/>
          <w:p>
            <w:pPr>
              <w:pStyle w:val="Compact"/>
              <w:jc w:val="left"/>
            </w:pPr>
            <w:r>
              <w:t xml:space="preserve">No gaps for read-based analysis</w:t>
            </w:r>
          </w:p>
        </w:tc>
        <w:tc>
          <w:tcPr/>
          <w:p>
            <w:pPr>
              <w:pStyle w:val="Compact"/>
              <w:jc w:val="left"/>
            </w:pPr>
            <w:r>
              <w:t xml:space="preserve">Certify.exe or Certipy for automated ESC detection</w:t>
            </w:r>
          </w:p>
        </w:tc>
      </w:tr>
      <w:tr>
        <w:tc>
          <w:tcPr/>
          <w:p>
            <w:pPr>
              <w:pStyle w:val="Compact"/>
              <w:jc w:val="left"/>
            </w:pPr>
            <w:r>
              <w:rPr>
                <w:b/>
                <w:bCs/>
              </w:rPr>
              <w:t xml:space="preserve">AIA / CDP / OCSP</w:t>
            </w:r>
          </w:p>
        </w:tc>
        <w:tc>
          <w:tcPr/>
          <w:p>
            <w:pPr>
              <w:pStyle w:val="Compact"/>
              <w:jc w:val="left"/>
            </w:pPr>
            <w:r>
              <w:rPr>
                <w:b/>
                <w:bCs/>
              </w:rPr>
              <w:t xml:space="preserve">FULL</w:t>
            </w:r>
          </w:p>
        </w:tc>
        <w:tc>
          <w:tcPr/>
          <w:p>
            <w:pPr>
              <w:pStyle w:val="Compact"/>
              <w:jc w:val="left"/>
            </w:pPr>
            <w:r>
              <w:t xml:space="preserve">Get-ADObject in CN=AIA, CN=CDP</w:t>
            </w:r>
          </w:p>
        </w:tc>
        <w:tc>
          <w:tcPr/>
          <w:p>
            <w:pPr>
              <w:pStyle w:val="Compact"/>
              <w:jc w:val="left"/>
            </w:pPr>
            <w:r>
              <w:t xml:space="preserve">AIA and CDP locations published in AD, OCSP configuration</w:t>
            </w:r>
          </w:p>
        </w:tc>
        <w:tc>
          <w:tcPr/>
          <w:p>
            <w:pPr>
              <w:pStyle w:val="Compact"/>
              <w:jc w:val="left"/>
            </w:pPr>
            <w:r>
              <w:t xml:space="preserve">Actual CRL file accessibility requires network access</w:t>
            </w:r>
          </w:p>
        </w:tc>
        <w:tc>
          <w:tcPr/>
          <w:p>
            <w:pPr>
              <w:pStyle w:val="Compact"/>
              <w:jc w:val="left"/>
            </w:pPr>
            <w:r>
              <w:t xml:space="preserve">Combine AD read with HTTP probe of CDP URLs</w:t>
            </w:r>
          </w:p>
        </w:tc>
      </w:tr>
      <w:tr>
        <w:tc>
          <w:tcPr/>
          <w:p>
            <w:pPr>
              <w:pStyle w:val="Compact"/>
              <w:jc w:val="left"/>
            </w:pPr>
            <w:r>
              <w:rPr>
                <w:b/>
                <w:bCs/>
              </w:rPr>
              <w:t xml:space="preserve">Issued Certificates</w:t>
            </w:r>
          </w:p>
        </w:tc>
        <w:tc>
          <w:tcPr/>
          <w:p>
            <w:pPr>
              <w:pStyle w:val="Compact"/>
              <w:jc w:val="left"/>
            </w:pPr>
            <w:r>
              <w:rPr>
                <w:b/>
                <w:bCs/>
              </w:rPr>
              <w:t xml:space="preserve">NONE</w:t>
            </w:r>
          </w:p>
        </w:tc>
        <w:tc>
          <w:tcPr/>
          <w:p>
            <w:pPr>
              <w:pStyle w:val="Compact"/>
              <w:jc w:val="left"/>
            </w:pPr>
            <w:r>
              <w:t xml:space="preserve">certutil -view</w:t>
            </w:r>
          </w:p>
        </w:tc>
        <w:tc>
          <w:tcPr/>
          <w:p>
            <w:pPr>
              <w:pStyle w:val="Compact"/>
              <w:jc w:val="left"/>
            </w:pPr>
            <w:r>
              <w:t xml:space="preserve">Requires CA admin</w:t>
            </w:r>
          </w:p>
        </w:tc>
        <w:tc>
          <w:tcPr/>
          <w:p>
            <w:pPr>
              <w:pStyle w:val="Compact"/>
              <w:jc w:val="left"/>
            </w:pPr>
            <w:r>
              <w:t xml:space="preserve">Certificate database, revoked certs</w:t>
            </w:r>
          </w:p>
        </w:tc>
        <w:tc>
          <w:tcPr/>
          <w:p>
            <w:pPr>
              <w:pStyle w:val="Compact"/>
              <w:jc w:val="left"/>
            </w:pPr>
            <w:r>
              <w:t xml:space="preserve">Request CA admin export or use certutil with delegation</w:t>
            </w:r>
          </w:p>
        </w:tc>
      </w:tr>
    </w:tbl>
    <w:p>
      <w:pPr>
        <w:pStyle w:val="BodyText"/>
      </w:pPr>
      <w:r>
        <w:t xml:space="preserve">3.7 Schema and Miscellaneous</w:t>
      </w:r>
    </w:p>
    <w:tbl>
      <w:tblPr>
        <w:tblStyle w:val="Table"/>
        <w:tblW w:type="pct" w:w="4971"/>
        <w:tblLayout w:type="fixed"/>
        <w:tblLook w:firstRow="1" w:lastRow="0" w:firstColumn="0" w:lastColumn="0" w:noHBand="0" w:noVBand="0" w:val="0020"/>
      </w:tblPr>
      <w:tblGrid>
        <w:gridCol w:w="851"/>
        <w:gridCol w:w="391"/>
        <w:gridCol w:w="1611"/>
        <w:gridCol w:w="2256"/>
        <w:gridCol w:w="1289"/>
        <w:gridCol w:w="1473"/>
      </w:tblGrid>
      <w:tr>
        <w:trPr>
          <w:tblHeader w:val="on"/>
        </w:trPr>
        <w:tc>
          <w:tcPr/>
          <w:p>
            <w:pPr>
              <w:pStyle w:val="Compact"/>
              <w:jc w:val="left"/>
            </w:pPr>
            <w:r>
              <w:rPr>
                <w:b/>
                <w:bCs/>
              </w:rPr>
              <w:t xml:space="preserve">Assessment Domain</w:t>
            </w:r>
          </w:p>
        </w:tc>
        <w:tc>
          <w:tcPr/>
          <w:p>
            <w:pPr>
              <w:pStyle w:val="Compact"/>
              <w:jc w:val="left"/>
            </w:pPr>
            <w:r>
              <w:rPr>
                <w:b/>
                <w:bCs/>
              </w:rPr>
              <w:t xml:space="preserve">Capability</w:t>
            </w:r>
          </w:p>
        </w:tc>
        <w:tc>
          <w:tcPr/>
          <w:p>
            <w:pPr>
              <w:pStyle w:val="Compact"/>
              <w:jc w:val="left"/>
            </w:pPr>
            <w:r>
              <w:rPr>
                <w:b/>
                <w:bCs/>
              </w:rPr>
              <w:t xml:space="preserve">Key Cmdlets / Methods</w:t>
            </w:r>
          </w:p>
        </w:tc>
        <w:tc>
          <w:tcPr/>
          <w:p>
            <w:pPr>
              <w:pStyle w:val="Compact"/>
              <w:jc w:val="left"/>
            </w:pPr>
            <w:r>
              <w:rPr>
                <w:b/>
                <w:bCs/>
              </w:rPr>
              <w:t xml:space="preserve">What You GET</w:t>
            </w:r>
          </w:p>
        </w:tc>
        <w:tc>
          <w:tcPr/>
          <w:p>
            <w:pPr>
              <w:pStyle w:val="Compact"/>
              <w:jc w:val="left"/>
            </w:pPr>
            <w:r>
              <w:rPr>
                <w:b/>
                <w:bCs/>
              </w:rPr>
              <w:t xml:space="preserve">What You MISS</w:t>
            </w:r>
          </w:p>
        </w:tc>
        <w:tc>
          <w:tcPr/>
          <w:p>
            <w:pPr>
              <w:pStyle w:val="Compact"/>
              <w:jc w:val="left"/>
            </w:pPr>
            <w:r>
              <w:rPr>
                <w:b/>
                <w:bCs/>
              </w:rPr>
              <w:t xml:space="preserve">Workaround</w:t>
            </w:r>
          </w:p>
        </w:tc>
      </w:tr>
      <w:tr>
        <w:tc>
          <w:tcPr/>
          <w:p>
            <w:pPr>
              <w:pStyle w:val="Compact"/>
              <w:jc w:val="left"/>
            </w:pPr>
            <w:r>
              <w:rPr>
                <w:b/>
                <w:bCs/>
              </w:rPr>
              <w:t xml:space="preserve">Schema Analysis</w:t>
            </w:r>
          </w:p>
        </w:tc>
        <w:tc>
          <w:tcPr/>
          <w:p>
            <w:pPr>
              <w:pStyle w:val="Compact"/>
              <w:jc w:val="left"/>
            </w:pPr>
            <w:r>
              <w:rPr>
                <w:b/>
                <w:bCs/>
              </w:rPr>
              <w:t xml:space="preserve">FULL</w:t>
            </w:r>
          </w:p>
        </w:tc>
        <w:tc>
          <w:tcPr/>
          <w:p>
            <w:pPr>
              <w:pStyle w:val="Compact"/>
              <w:jc w:val="left"/>
            </w:pPr>
            <w:r>
              <w:t xml:space="preserve">Get-ADObject -SearchBase (Get-ADRootDSE).schemaNamingContext</w:t>
            </w:r>
          </w:p>
        </w:tc>
        <w:tc>
          <w:tcPr/>
          <w:p>
            <w:pPr>
              <w:pStyle w:val="Compact"/>
              <w:jc w:val="left"/>
            </w:pPr>
            <w:r>
              <w:t xml:space="preserve">All schema classes, attributes, OIDs, searchFlags, isSingleValued, attributeSyntax, systemFlags</w:t>
            </w:r>
          </w:p>
        </w:tc>
        <w:tc>
          <w:tcPr/>
          <w:p>
            <w:pPr>
              <w:pStyle w:val="Compact"/>
              <w:jc w:val="left"/>
            </w:pPr>
            <w:r>
              <w:t xml:space="preserve">Schema modification history (partial via whenChanged)</w:t>
            </w:r>
          </w:p>
        </w:tc>
        <w:tc>
          <w:tcPr/>
          <w:p>
            <w:pPr>
              <w:pStyle w:val="Compact"/>
              <w:jc w:val="left"/>
            </w:pPr>
            <w:r>
              <w:t xml:space="preserve">Sufficient for extension and confidential attribute inventory</w:t>
            </w:r>
          </w:p>
        </w:tc>
      </w:tr>
      <w:tr>
        <w:tc>
          <w:tcPr/>
          <w:p>
            <w:pPr>
              <w:pStyle w:val="Compact"/>
              <w:jc w:val="left"/>
            </w:pPr>
            <w:r>
              <w:rPr>
                <w:b/>
                <w:bCs/>
              </w:rPr>
              <w:t xml:space="preserve">Schema Extension Attributes</w:t>
            </w:r>
          </w:p>
        </w:tc>
        <w:tc>
          <w:tcPr/>
          <w:p>
            <w:pPr>
              <w:pStyle w:val="Compact"/>
              <w:jc w:val="left"/>
            </w:pPr>
            <w:r>
              <w:rPr>
                <w:b/>
                <w:bCs/>
              </w:rPr>
              <w:t xml:space="preserve">FULL</w:t>
            </w:r>
          </w:p>
        </w:tc>
        <w:tc>
          <w:tcPr/>
          <w:p>
            <w:pPr>
              <w:pStyle w:val="Compact"/>
              <w:jc w:val="left"/>
            </w:pPr>
            <w:r>
              <w:t xml:space="preserve">Get-ADObject -LDAPFilter '(attributeId=1.2.840.113556.1.8000.*)'</w:t>
            </w:r>
          </w:p>
        </w:tc>
        <w:tc>
          <w:tcPr/>
          <w:p>
            <w:pPr>
              <w:pStyle w:val="Compact"/>
              <w:jc w:val="left"/>
            </w:pPr>
            <w:r>
              <w:t xml:space="preserve">Custom attributes, syntax, indexed status, confidential flag</w:t>
            </w:r>
          </w:p>
        </w:tc>
        <w:tc>
          <w:tcPr/>
          <w:p>
            <w:pPr>
              <w:pStyle w:val="Compact"/>
              <w:jc w:val="left"/>
            </w:pPr>
            <w:r>
              <w:t xml:space="preserve">Who added them (no provenance)</w:t>
            </w:r>
          </w:p>
        </w:tc>
        <w:tc>
          <w:tcPr/>
          <w:p>
            <w:pPr>
              <w:pStyle w:val="Compact"/>
              <w:jc w:val="left"/>
            </w:pPr>
            <w:r>
              <w:t xml:space="preserve">N/A</w:t>
            </w:r>
          </w:p>
        </w:tc>
      </w:tr>
      <w:tr>
        <w:tc>
          <w:tcPr/>
          <w:p>
            <w:pPr>
              <w:pStyle w:val="Compact"/>
              <w:jc w:val="left"/>
            </w:pPr>
            <w:r>
              <w:rPr>
                <w:b/>
                <w:bCs/>
              </w:rPr>
              <w:t xml:space="preserve">Fine-Grained Password Policies</w:t>
            </w:r>
          </w:p>
        </w:tc>
        <w:tc>
          <w:tcPr/>
          <w:p>
            <w:pPr>
              <w:pStyle w:val="Compact"/>
              <w:jc w:val="left"/>
            </w:pPr>
            <w:r>
              <w:rPr>
                <w:b/>
                <w:bCs/>
              </w:rPr>
              <w:t xml:space="preserve">FULL</w:t>
            </w:r>
          </w:p>
        </w:tc>
        <w:tc>
          <w:tcPr/>
          <w:p>
            <w:pPr>
              <w:pStyle w:val="Compact"/>
              <w:jc w:val="left"/>
            </w:pPr>
            <w:r>
              <w:t xml:space="preserve">Get-ADFineGrainedPasswordPolicy -Filter *</w:t>
            </w:r>
          </w:p>
        </w:tc>
        <w:tc>
          <w:tcPr/>
          <w:p>
            <w:pPr>
              <w:pStyle w:val="Compact"/>
              <w:jc w:val="left"/>
            </w:pPr>
            <w:r>
              <w:t xml:space="preserve">Policy names, precedence, settings (min length, complexity, lockout), applies-to groups</w:t>
            </w:r>
          </w:p>
        </w:tc>
        <w:tc>
          <w:tcPr/>
          <w:p>
            <w:pPr>
              <w:pStyle w:val="Compact"/>
              <w:jc w:val="left"/>
            </w:pPr>
            <w:r>
              <w:t xml:space="preserve">No gaps for read-based assessment</w:t>
            </w:r>
          </w:p>
        </w:tc>
        <w:tc>
          <w:tcPr/>
          <w:p>
            <w:pPr>
              <w:pStyle w:val="Compact"/>
              <w:jc w:val="left"/>
            </w:pPr>
            <w:r>
              <w:t xml:space="preserve">N/A</w:t>
            </w:r>
          </w:p>
        </w:tc>
      </w:tr>
      <w:tr>
        <w:tc>
          <w:tcPr/>
          <w:p>
            <w:pPr>
              <w:pStyle w:val="Compact"/>
              <w:jc w:val="left"/>
            </w:pPr>
            <w:r>
              <w:rPr>
                <w:b/>
                <w:bCs/>
              </w:rPr>
              <w:t xml:space="preserve">AD Recycle Bin Status</w:t>
            </w:r>
          </w:p>
        </w:tc>
        <w:tc>
          <w:tcPr/>
          <w:p>
            <w:pPr>
              <w:pStyle w:val="Compact"/>
              <w:jc w:val="left"/>
            </w:pPr>
            <w:r>
              <w:rPr>
                <w:b/>
                <w:bCs/>
              </w:rPr>
              <w:t xml:space="preserve">FULL</w:t>
            </w:r>
          </w:p>
        </w:tc>
        <w:tc>
          <w:tcPr/>
          <w:p>
            <w:pPr>
              <w:pStyle w:val="Compact"/>
              <w:jc w:val="left"/>
            </w:pPr>
            <w:r>
              <w:t xml:space="preserve">Get-ADOptionalFeature -Filter *</w:t>
            </w:r>
          </w:p>
        </w:tc>
        <w:tc>
          <w:tcPr/>
          <w:p>
            <w:pPr>
              <w:pStyle w:val="Compact"/>
              <w:jc w:val="left"/>
            </w:pPr>
            <w:r>
              <w:t xml:space="preserve">Whether Recycle Bin is enabled, forest functional level</w:t>
            </w:r>
          </w:p>
        </w:tc>
        <w:tc>
          <w:tcPr/>
          <w:p>
            <w:pPr>
              <w:pStyle w:val="Compact"/>
              <w:jc w:val="left"/>
            </w:pPr>
            <w:r>
              <w:t xml:space="preserve">Actual deleted objects (requires delegation)</w:t>
            </w:r>
          </w:p>
        </w:tc>
        <w:tc>
          <w:tcPr/>
          <w:p>
            <w:pPr>
              <w:pStyle w:val="Compact"/>
              <w:jc w:val="left"/>
            </w:pPr>
            <w:r>
              <w:t xml:space="preserve">Status check sufficient for assessment</w:t>
            </w:r>
          </w:p>
        </w:tc>
      </w:tr>
      <w:tr>
        <w:tc>
          <w:tcPr/>
          <w:p>
            <w:pPr>
              <w:pStyle w:val="Compact"/>
              <w:jc w:val="left"/>
            </w:pPr>
            <w:r>
              <w:rPr>
                <w:b/>
                <w:bCs/>
              </w:rPr>
              <w:t xml:space="preserve">Deleted Objects (Tombstones)</w:t>
            </w:r>
          </w:p>
        </w:tc>
        <w:tc>
          <w:tcPr/>
          <w:p>
            <w:pPr>
              <w:pStyle w:val="Compact"/>
              <w:jc w:val="left"/>
            </w:pPr>
            <w:r>
              <w:rPr>
                <w:b/>
                <w:bCs/>
              </w:rPr>
              <w:t xml:space="preserve">NONE</w:t>
            </w:r>
          </w:p>
        </w:tc>
        <w:tc>
          <w:tcPr/>
          <w:p>
            <w:pPr>
              <w:pStyle w:val="Compact"/>
              <w:jc w:val="left"/>
            </w:pPr>
            <w:r>
              <w:t xml:space="preserve">Get-ADObject -IncludeDeletedObjects</w:t>
            </w:r>
          </w:p>
        </w:tc>
        <w:tc>
          <w:tcPr/>
          <w:p>
            <w:pPr>
              <w:pStyle w:val="Compact"/>
              <w:jc w:val="left"/>
            </w:pPr>
            <w:r>
              <w:t xml:space="preserve">Requires delegation to CN=Deleted Objects</w:t>
            </w:r>
          </w:p>
        </w:tc>
        <w:tc>
          <w:tcPr/>
          <w:p>
            <w:pPr>
              <w:pStyle w:val="Compact"/>
              <w:jc w:val="left"/>
            </w:pPr>
            <w:r>
              <w:t xml:space="preserve">Recently deleted objects</w:t>
            </w:r>
          </w:p>
        </w:tc>
        <w:tc>
          <w:tcPr/>
          <w:p>
            <w:pPr>
              <w:pStyle w:val="Compact"/>
              <w:jc w:val="left"/>
            </w:pPr>
            <w:r>
              <w:t xml:space="preserve">Request delegation</w:t>
            </w:r>
          </w:p>
        </w:tc>
      </w:tr>
    </w:tbl>
    <w:p>
      <w:pPr>
        <w:pStyle w:val="BodyText"/>
      </w:pPr>
      <w:r>
        <w:t xml:space="preserve">4. Read-Only Assessment Coverage Score</w:t>
      </w:r>
    </w:p>
    <w:p>
      <w:pPr>
        <w:pStyle w:val="BodyText"/>
      </w:pPr>
      <w:r>
        <w:t xml:space="preserve">The following scoring model quantifies how much of a full Active Directory assessment can be achieved with read-only permissions. Each domain is scored based on the percentage of assessment value achievable without elevated access.</w:t>
      </w:r>
    </w:p>
    <w:tbl>
      <w:tblPr>
        <w:tblStyle w:val="Table"/>
        <w:tblW w:type="pct" w:w="4928"/>
        <w:tblLayout w:type="fixed"/>
        <w:tblLook w:firstRow="1" w:lastRow="0" w:firstColumn="0" w:lastColumn="0" w:noHBand="0" w:noVBand="0" w:val="0020"/>
      </w:tblPr>
      <w:tblGrid>
        <w:gridCol w:w="1549"/>
        <w:gridCol w:w="1320"/>
        <w:gridCol w:w="975"/>
        <w:gridCol w:w="3960"/>
      </w:tblGrid>
      <w:tr>
        <w:trPr>
          <w:tblHeader w:val="on"/>
        </w:trPr>
        <w:tc>
          <w:tcPr/>
          <w:p>
            <w:pPr>
              <w:pStyle w:val="Compact"/>
              <w:jc w:val="left"/>
            </w:pPr>
            <w:r>
              <w:rPr>
                <w:b/>
                <w:bCs/>
              </w:rPr>
              <w:t xml:space="preserve">Assessment Domain</w:t>
            </w:r>
          </w:p>
        </w:tc>
        <w:tc>
          <w:tcPr/>
          <w:p>
            <w:pPr>
              <w:pStyle w:val="Compact"/>
              <w:jc w:val="left"/>
            </w:pPr>
            <w:r>
              <w:rPr>
                <w:b/>
                <w:bCs/>
              </w:rPr>
              <w:t xml:space="preserve">Capability Level</w:t>
            </w:r>
          </w:p>
        </w:tc>
        <w:tc>
          <w:tcPr/>
          <w:p>
            <w:pPr>
              <w:pStyle w:val="Compact"/>
              <w:jc w:val="left"/>
            </w:pPr>
            <w:r>
              <w:rPr>
                <w:b/>
                <w:bCs/>
              </w:rPr>
              <w:t xml:space="preserve">Coverage %</w:t>
            </w:r>
          </w:p>
        </w:tc>
        <w:tc>
          <w:tcPr/>
          <w:p>
            <w:pPr>
              <w:pStyle w:val="Compact"/>
              <w:jc w:val="left"/>
            </w:pPr>
            <w:r>
              <w:rPr>
                <w:b/>
                <w:bCs/>
              </w:rPr>
              <w:t xml:space="preserve">Notes</w:t>
            </w:r>
          </w:p>
        </w:tc>
      </w:tr>
      <w:tr>
        <w:tc>
          <w:tcPr/>
          <w:p>
            <w:pPr>
              <w:pStyle w:val="Compact"/>
              <w:jc w:val="left"/>
            </w:pPr>
            <w:r>
              <w:t xml:space="preserve">Forest Topology</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topology, DCs, FSMO, functional levels</w:t>
            </w:r>
          </w:p>
        </w:tc>
      </w:tr>
      <w:tr>
        <w:tc>
          <w:tcPr/>
          <w:p>
            <w:pPr>
              <w:pStyle w:val="Compact"/>
              <w:jc w:val="left"/>
            </w:pPr>
            <w:r>
              <w:t xml:space="preserve">OU Hierarchy</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OU tree with linked GPOs and delegation</w:t>
            </w:r>
          </w:p>
        </w:tc>
      </w:tr>
      <w:tr>
        <w:tc>
          <w:tcPr/>
          <w:p>
            <w:pPr>
              <w:pStyle w:val="Compact"/>
              <w:jc w:val="left"/>
            </w:pPr>
            <w:r>
              <w:t xml:space="preserve">GPO Inventory &amp; Settings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Get-GPOReport captures all configured settings</w:t>
            </w:r>
          </w:p>
        </w:tc>
      </w:tr>
      <w:tr>
        <w:tc>
          <w:tcPr/>
          <w:p>
            <w:pPr>
              <w:pStyle w:val="Compact"/>
              <w:jc w:val="left"/>
            </w:pPr>
            <w:r>
              <w:t xml:space="preserve">GPO Links &amp; WMI Filters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link and filter data accessible</w:t>
            </w:r>
          </w:p>
        </w:tc>
      </w:tr>
      <w:tr>
        <w:tc>
          <w:tcPr/>
          <w:p>
            <w:pPr>
              <w:pStyle w:val="Compact"/>
              <w:jc w:val="left"/>
            </w:pPr>
            <w:r>
              <w:t xml:space="preserve">DNS</w:t>
            </w:r>
          </w:p>
        </w:tc>
        <w:tc>
          <w:tcPr/>
          <w:p>
            <w:pPr>
              <w:pStyle w:val="Compact"/>
              <w:jc w:val="left"/>
            </w:pPr>
            <w:r>
              <w:rPr>
                <w:b/>
                <w:bCs/>
              </w:rPr>
              <w:t xml:space="preserve">PARTIAL</w:t>
            </w:r>
          </w:p>
        </w:tc>
        <w:tc>
          <w:tcPr/>
          <w:p>
            <w:pPr>
              <w:pStyle w:val="Compact"/>
              <w:jc w:val="left"/>
            </w:pPr>
            <w:r>
              <w:rPr>
                <w:b/>
                <w:bCs/>
              </w:rPr>
              <w:t xml:space="preserve">60%</w:t>
            </w:r>
          </w:p>
        </w:tc>
        <w:tc>
          <w:tcPr/>
          <w:p>
            <w:pPr>
              <w:pStyle w:val="Compact"/>
              <w:jc w:val="left"/>
            </w:pPr>
            <w:r>
              <w:t xml:space="preserve">Zone discovery yes; full enumeration and scavenging config limited</w:t>
            </w:r>
          </w:p>
        </w:tc>
      </w:tr>
      <w:tr>
        <w:tc>
          <w:tcPr/>
          <w:p>
            <w:pPr>
              <w:pStyle w:val="Compact"/>
              <w:jc w:val="left"/>
            </w:pPr>
            <w:r>
              <w:t xml:space="preserve">PKI / ADCS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Templates and ESC analysis complete; issued cert DB is the gap</w:t>
            </w:r>
          </w:p>
        </w:tc>
      </w:tr>
      <w:tr>
        <w:tc>
          <w:tcPr/>
          <w:p>
            <w:pPr>
              <w:pStyle w:val="Compact"/>
              <w:jc w:val="left"/>
            </w:pPr>
            <w:r>
              <w:t xml:space="preserve">Computer Objects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All attributes except LAPS/BitLocker (confidential)</w:t>
            </w:r>
          </w:p>
        </w:tc>
      </w:tr>
      <w:tr>
        <w:tc>
          <w:tcPr/>
          <w:p>
            <w:pPr>
              <w:pStyle w:val="Compact"/>
              <w:jc w:val="left"/>
            </w:pPr>
            <w:r>
              <w:t xml:space="preserve">User Objects</w:t>
            </w:r>
          </w:p>
        </w:tc>
        <w:tc>
          <w:tcPr/>
          <w:p>
            <w:pPr>
              <w:pStyle w:val="Compact"/>
              <w:jc w:val="left"/>
            </w:pPr>
            <w:r>
              <w:rPr>
                <w:b/>
                <w:bCs/>
              </w:rPr>
              <w:t xml:space="preserve">FULL</w:t>
            </w:r>
          </w:p>
        </w:tc>
        <w:tc>
          <w:tcPr/>
          <w:p>
            <w:pPr>
              <w:pStyle w:val="Compact"/>
              <w:jc w:val="left"/>
            </w:pPr>
            <w:r>
              <w:rPr>
                <w:b/>
                <w:bCs/>
              </w:rPr>
              <w:t xml:space="preserve">95%</w:t>
            </w:r>
          </w:p>
        </w:tc>
        <w:tc>
          <w:tcPr/>
          <w:p>
            <w:pPr>
              <w:pStyle w:val="Compact"/>
              <w:jc w:val="left"/>
            </w:pPr>
            <w:r>
              <w:t xml:space="preserve">All non-confidential attributes</w:t>
            </w:r>
          </w:p>
        </w:tc>
      </w:tr>
      <w:tr>
        <w:tc>
          <w:tcPr/>
          <w:p>
            <w:pPr>
              <w:pStyle w:val="Compact"/>
              <w:jc w:val="left"/>
            </w:pPr>
            <w:r>
              <w:t xml:space="preserve">Groups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memberships, nesting, scope, type</w:t>
            </w:r>
          </w:p>
        </w:tc>
      </w:tr>
      <w:tr>
        <w:tc>
          <w:tcPr/>
          <w:p>
            <w:pPr>
              <w:pStyle w:val="Compact"/>
              <w:jc w:val="left"/>
            </w:pPr>
            <w:r>
              <w:t xml:space="preserve">Trusts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trust topology</w:t>
            </w:r>
          </w:p>
        </w:tc>
      </w:tr>
      <w:tr>
        <w:tc>
          <w:tcPr/>
          <w:p>
            <w:pPr>
              <w:pStyle w:val="Compact"/>
              <w:jc w:val="left"/>
            </w:pPr>
            <w:r>
              <w:t xml:space="preserve">Sites / Subnets</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Complete physical topology</w:t>
            </w:r>
          </w:p>
        </w:tc>
      </w:tr>
      <w:tr>
        <w:tc>
          <w:tcPr/>
          <w:p>
            <w:pPr>
              <w:pStyle w:val="Compact"/>
              <w:jc w:val="left"/>
            </w:pPr>
            <w:r>
              <w:t xml:space="preserve">Schema</w:t>
            </w:r>
          </w:p>
        </w:tc>
        <w:tc>
          <w:tcPr/>
          <w:p>
            <w:pPr>
              <w:pStyle w:val="Compact"/>
              <w:jc w:val="left"/>
            </w:pPr>
            <w:r>
              <w:rPr>
                <w:b/>
                <w:bCs/>
              </w:rPr>
              <w:t xml:space="preserve">FULL</w:t>
            </w:r>
          </w:p>
        </w:tc>
        <w:tc>
          <w:tcPr/>
          <w:p>
            <w:pPr>
              <w:pStyle w:val="Compact"/>
              <w:jc w:val="left"/>
            </w:pPr>
            <w:r>
              <w:rPr>
                <w:b/>
                <w:bCs/>
              </w:rPr>
              <w:t xml:space="preserve">100%</w:t>
            </w:r>
          </w:p>
        </w:tc>
        <w:tc>
          <w:tcPr/>
          <w:p>
            <w:pPr>
              <w:pStyle w:val="Compact"/>
              <w:jc w:val="left"/>
            </w:pPr>
            <w:r>
              <w:t xml:space="preserve">All classes, attributes, extensions, flags</w:t>
            </w:r>
          </w:p>
        </w:tc>
      </w:tr>
      <w:tr>
        <w:tc>
          <w:tcPr/>
          <w:p>
            <w:pPr>
              <w:pStyle w:val="Compact"/>
              <w:jc w:val="left"/>
            </w:pPr>
            <w:r>
              <w:t xml:space="preserve">ACLs</w:t>
            </w:r>
          </w:p>
        </w:tc>
        <w:tc>
          <w:tcPr/>
          <w:p>
            <w:pPr>
              <w:pStyle w:val="Compact"/>
              <w:jc w:val="left"/>
            </w:pPr>
            <w:r>
              <w:rPr>
                <w:b/>
                <w:bCs/>
              </w:rPr>
              <w:t xml:space="preserve">FULL / PARTIAL</w:t>
            </w:r>
          </w:p>
        </w:tc>
        <w:tc>
          <w:tcPr/>
          <w:p>
            <w:pPr>
              <w:pStyle w:val="Compact"/>
              <w:jc w:val="left"/>
            </w:pPr>
            <w:r>
              <w:rPr>
                <w:b/>
                <w:bCs/>
              </w:rPr>
              <w:t xml:space="preserve">85%</w:t>
            </w:r>
          </w:p>
        </w:tc>
        <w:tc>
          <w:tcPr/>
          <w:p>
            <w:pPr>
              <w:pStyle w:val="Compact"/>
              <w:jc w:val="left"/>
            </w:pPr>
            <w:r>
              <w:t xml:space="preserve">Object ACEs readable; GUID resolution and SDProp timing partial</w:t>
            </w:r>
          </w:p>
        </w:tc>
      </w:tr>
      <w:tr>
        <w:tc>
          <w:tcPr/>
          <w:p>
            <w:pPr>
              <w:pStyle w:val="Compact"/>
              <w:jc w:val="left"/>
            </w:pPr>
            <w:r>
              <w:t xml:space="preserve">SYSVOL</w:t>
            </w:r>
          </w:p>
        </w:tc>
        <w:tc>
          <w:tcPr/>
          <w:p>
            <w:pPr>
              <w:pStyle w:val="Compact"/>
              <w:jc w:val="left"/>
            </w:pPr>
            <w:r>
              <w:rPr>
                <w:b/>
                <w:bCs/>
              </w:rPr>
              <w:t xml:space="preserve">PARTIAL</w:t>
            </w:r>
          </w:p>
        </w:tc>
        <w:tc>
          <w:tcPr/>
          <w:p>
            <w:pPr>
              <w:pStyle w:val="Compact"/>
              <w:jc w:val="left"/>
            </w:pPr>
            <w:r>
              <w:rPr>
                <w:b/>
                <w:bCs/>
              </w:rPr>
              <w:t xml:space="preserve">70%</w:t>
            </w:r>
          </w:p>
        </w:tc>
        <w:tc>
          <w:tcPr/>
          <w:p>
            <w:pPr>
              <w:pStyle w:val="Compact"/>
              <w:jc w:val="left"/>
            </w:pPr>
            <w:r>
              <w:t xml:space="preserve">Share access may be restricted; .pol parsing needed</w:t>
            </w:r>
          </w:p>
        </w:tc>
      </w:tr>
      <w:tr>
        <w:tc>
          <w:tcPr/>
          <w:p>
            <w:pPr>
              <w:pStyle w:val="Compact"/>
              <w:jc w:val="left"/>
            </w:pPr>
            <w:r>
              <w:t xml:space="preserve">Deleted Objects</w:t>
            </w:r>
          </w:p>
        </w:tc>
        <w:tc>
          <w:tcPr/>
          <w:p>
            <w:pPr>
              <w:pStyle w:val="Compact"/>
              <w:jc w:val="left"/>
            </w:pPr>
            <w:r>
              <w:rPr>
                <w:b/>
                <w:bCs/>
              </w:rPr>
              <w:t xml:space="preserve">NONE</w:t>
            </w:r>
          </w:p>
        </w:tc>
        <w:tc>
          <w:tcPr/>
          <w:p>
            <w:pPr>
              <w:pStyle w:val="Compact"/>
              <w:jc w:val="left"/>
            </w:pPr>
            <w:r>
              <w:rPr>
                <w:b/>
                <w:bCs/>
              </w:rPr>
              <w:t xml:space="preserve">0%</w:t>
            </w:r>
          </w:p>
        </w:tc>
        <w:tc>
          <w:tcPr/>
          <w:p>
            <w:pPr>
              <w:pStyle w:val="Compact"/>
              <w:jc w:val="left"/>
            </w:pPr>
            <w:r>
              <w:t xml:space="preserve">Requires delegation to CN=Deleted Objects</w:t>
            </w:r>
          </w:p>
        </w:tc>
      </w:tr>
      <w:tr>
        <w:tc>
          <w:tcPr/>
          <w:p>
            <w:pPr>
              <w:pStyle w:val="Compact"/>
              <w:jc w:val="left"/>
            </w:pPr>
            <w:r>
              <w:t xml:space="preserve">DNS Scavenging</w:t>
            </w:r>
          </w:p>
        </w:tc>
        <w:tc>
          <w:tcPr/>
          <w:p>
            <w:pPr>
              <w:pStyle w:val="Compact"/>
              <w:jc w:val="left"/>
            </w:pPr>
            <w:r>
              <w:rPr>
                <w:b/>
                <w:bCs/>
              </w:rPr>
              <w:t xml:space="preserve">NONE</w:t>
            </w:r>
          </w:p>
        </w:tc>
        <w:tc>
          <w:tcPr/>
          <w:p>
            <w:pPr>
              <w:pStyle w:val="Compact"/>
              <w:jc w:val="left"/>
            </w:pPr>
            <w:r>
              <w:rPr>
                <w:b/>
                <w:bCs/>
              </w:rPr>
              <w:t xml:space="preserve">0%</w:t>
            </w:r>
          </w:p>
        </w:tc>
        <w:tc>
          <w:tcPr/>
          <w:p>
            <w:pPr>
              <w:pStyle w:val="Compact"/>
              <w:jc w:val="left"/>
            </w:pPr>
            <w:r>
              <w:t xml:space="preserve">Requires DNS Admin</w:t>
            </w:r>
          </w:p>
        </w:tc>
      </w:tr>
    </w:tbl>
    <w:p/>
    <w:tbl>
      <w:tblPr>
        <w:tblStyle w:val="Table"/>
        <w:tblW w:type="pct" w:w="5016"/>
        <w:tblLayout w:type="fixed"/>
        <w:tblLook w:firstRow="0" w:lastRow="0" w:firstColumn="0" w:lastColumn="0" w:noHBand="0" w:noVBand="0" w:val="0000"/>
      </w:tblPr>
      <w:tblGrid>
        <w:gridCol w:w="7945"/>
      </w:tblGrid>
      <w:tr>
        <w:tc>
          <w:tcPr/>
          <w:p>
            <w:pPr>
              <w:pStyle w:val="FirstParagraph"/>
            </w:pPr>
            <w:r>
              <w:rPr>
                <w:b/>
                <w:bCs/>
              </w:rPr>
              <w:t xml:space="preserve">Overall Read-Only Assessment Score: ~87%</w:t>
            </w:r>
          </w:p>
          <w:p>
            <w:pPr>
              <w:pStyle w:val="BodyText"/>
            </w:pPr>
            <w:r>
              <w:t xml:space="preserve">With zero elevated permissions, assessment teams can capture approximately</w:t>
            </w:r>
            <w:r>
              <w:t xml:space="preserve"> </w:t>
            </w:r>
            <w:r>
              <w:rPr>
                <w:b/>
                <w:bCs/>
              </w:rPr>
              <w:t xml:space="preserve">87% of the full AD assessment value</w:t>
            </w:r>
            <w:r>
              <w:t xml:space="preserve">. The remaining 13% is concentrated in DNS deep-dive, deleted objects, issued certificate database, and event log analysis — areas that require targeted delegation requests documented in Section 8.</w:t>
            </w:r>
          </w:p>
        </w:tc>
      </w:tr>
    </w:tbl>
    <w:p>
      <w:pPr>
        <w:pStyle w:val="BodyText"/>
      </w:pPr>
      <w:r>
        <w:t xml:space="preserve">5. The Read-Only Assessment PowerShell Module</w:t>
      </w:r>
    </w:p>
    <w:p>
      <w:pPr>
        <w:pStyle w:val="BodyText"/>
      </w:pPr>
      <w:r>
        <w:t xml:space="preserve">The FMPReadOnlyAssessment.psm1 module provides a structured, repeatable framework for executing read-only assessments. The module contains 13 functions organized into three categories: pre-flight validation, domain-specific exports, and a master orchestrator.</w:t>
      </w:r>
    </w:p>
    <w:p>
      <w:pPr>
        <w:pStyle w:val="BodyText"/>
      </w:pPr>
      <w:r>
        <w:t xml:space="preserve">5.1 Module Architecture</w:t>
      </w:r>
    </w:p>
    <w:tbl>
      <w:tblPr>
        <w:tblStyle w:val="Table"/>
        <w:tblW w:type="pct" w:w="4939"/>
        <w:tblLayout w:type="fixed"/>
        <w:tblLook w:firstRow="1" w:lastRow="0" w:firstColumn="0" w:lastColumn="0" w:noHBand="0" w:noVBand="0" w:val="0020"/>
      </w:tblPr>
      <w:tblGrid>
        <w:gridCol w:w="912"/>
        <w:gridCol w:w="1536"/>
        <w:gridCol w:w="5376"/>
      </w:tblGrid>
      <w:tr>
        <w:trPr>
          <w:tblHeader w:val="on"/>
        </w:trPr>
        <w:tc>
          <w:tcPr/>
          <w:p>
            <w:pPr>
              <w:pStyle w:val="Compact"/>
              <w:jc w:val="left"/>
            </w:pPr>
            <w:r>
              <w:rPr>
                <w:b/>
                <w:bCs/>
              </w:rPr>
              <w:t xml:space="preserve">Category</w:t>
            </w:r>
          </w:p>
        </w:tc>
        <w:tc>
          <w:tcPr/>
          <w:p>
            <w:pPr>
              <w:pStyle w:val="Compact"/>
              <w:jc w:val="left"/>
            </w:pPr>
            <w:r>
              <w:rPr>
                <w:b/>
                <w:bCs/>
              </w:rPr>
              <w:t xml:space="preserve">Function</w:t>
            </w:r>
          </w:p>
        </w:tc>
        <w:tc>
          <w:tcPr/>
          <w:p>
            <w:pPr>
              <w:pStyle w:val="Compact"/>
              <w:jc w:val="left"/>
            </w:pPr>
            <w:r>
              <w:rPr>
                <w:b/>
                <w:bCs/>
              </w:rPr>
              <w:t xml:space="preserve">Purpose</w:t>
            </w:r>
          </w:p>
        </w:tc>
      </w:tr>
      <w:tr>
        <w:tc>
          <w:tcPr/>
          <w:p>
            <w:pPr>
              <w:pStyle w:val="Compact"/>
              <w:jc w:val="left"/>
            </w:pPr>
            <w:r>
              <w:rPr>
                <w:b/>
                <w:bCs/>
              </w:rPr>
              <w:t xml:space="preserve">Pre-Flight</w:t>
            </w:r>
          </w:p>
        </w:tc>
        <w:tc>
          <w:tcPr/>
          <w:p>
            <w:pPr>
              <w:pStyle w:val="Compact"/>
              <w:jc w:val="left"/>
            </w:pPr>
            <w:r>
              <w:t xml:space="preserve">Test-FMPReadAccess V</w:t>
            </w:r>
          </w:p>
        </w:tc>
        <w:tc>
          <w:tcPr/>
          <w:p>
            <w:pPr>
              <w:pStyle w:val="Compact"/>
              <w:jc w:val="left"/>
            </w:pPr>
            <w:r>
              <w:t xml:space="preserve">alidates what the current user can actually read; tests each assessment domain and reports PASS/FAIL/PARTIAL</w:t>
            </w:r>
          </w:p>
        </w:tc>
      </w:tr>
      <w:tr>
        <w:tc>
          <w:tcPr/>
          <w:p>
            <w:pPr>
              <w:pStyle w:val="Compact"/>
              <w:jc w:val="left"/>
            </w:pPr>
            <w:r>
              <w:rPr>
                <w:b/>
                <w:bCs/>
              </w:rPr>
              <w:t xml:space="preserve">Export</w:t>
            </w:r>
          </w:p>
        </w:tc>
        <w:tc>
          <w:tcPr/>
          <w:p>
            <w:pPr>
              <w:pStyle w:val="Compact"/>
              <w:jc w:val="left"/>
            </w:pPr>
            <w:r>
              <w:t xml:space="preserve">Export-FMPForestTopology F</w:t>
            </w:r>
          </w:p>
        </w:tc>
        <w:tc>
          <w:tcPr/>
          <w:p>
            <w:pPr>
              <w:pStyle w:val="Compact"/>
              <w:jc w:val="left"/>
            </w:pPr>
            <w:r>
              <w:t xml:space="preserve">orest topology, DCs, sites, subnets, trusts → JSON</w:t>
            </w:r>
          </w:p>
        </w:tc>
      </w:tr>
      <w:tr>
        <w:tc>
          <w:tcPr/>
          <w:p>
            <w:pPr>
              <w:pStyle w:val="Compact"/>
              <w:jc w:val="left"/>
            </w:pPr>
            <w:r>
              <w:rPr>
                <w:b/>
                <w:bCs/>
              </w:rPr>
              <w:t xml:space="preserve">Export</w:t>
            </w:r>
          </w:p>
        </w:tc>
        <w:tc>
          <w:tcPr/>
          <w:p>
            <w:pPr>
              <w:pStyle w:val="Compact"/>
              <w:jc w:val="left"/>
            </w:pPr>
            <w:r>
              <w:t xml:space="preserve">Export-FMPOUHierarchy O</w:t>
            </w:r>
          </w:p>
        </w:tc>
        <w:tc>
          <w:tcPr/>
          <w:p>
            <w:pPr>
              <w:pStyle w:val="Compact"/>
              <w:jc w:val="left"/>
            </w:pPr>
            <w:r>
              <w:t xml:space="preserve">U tree with object counts, GPO links, delegation → JSON + TXT</w:t>
            </w:r>
          </w:p>
        </w:tc>
      </w:tr>
      <w:tr>
        <w:tc>
          <w:tcPr/>
          <w:p>
            <w:pPr>
              <w:pStyle w:val="Compact"/>
              <w:jc w:val="left"/>
            </w:pPr>
            <w:r>
              <w:rPr>
                <w:b/>
                <w:bCs/>
              </w:rPr>
              <w:t xml:space="preserve">Export</w:t>
            </w:r>
          </w:p>
        </w:tc>
        <w:tc>
          <w:tcPr/>
          <w:p>
            <w:pPr>
              <w:pStyle w:val="Compact"/>
              <w:jc w:val="left"/>
            </w:pPr>
            <w:r>
              <w:t xml:space="preserve">Export-FMPGPOInventory G</w:t>
            </w:r>
          </w:p>
        </w:tc>
        <w:tc>
          <w:tcPr/>
          <w:p>
            <w:pPr>
              <w:pStyle w:val="Compact"/>
              <w:jc w:val="left"/>
            </w:pPr>
            <w:r>
              <w:t xml:space="preserve">PO inventory, XML reports, link analysis, unlinked/empty detection → JSON + XML</w:t>
            </w:r>
          </w:p>
        </w:tc>
      </w:tr>
      <w:tr>
        <w:tc>
          <w:tcPr/>
          <w:p>
            <w:pPr>
              <w:pStyle w:val="Compact"/>
              <w:jc w:val="left"/>
            </w:pPr>
            <w:r>
              <w:rPr>
                <w:b/>
                <w:bCs/>
              </w:rPr>
              <w:t xml:space="preserve">Export</w:t>
            </w:r>
          </w:p>
        </w:tc>
        <w:tc>
          <w:tcPr/>
          <w:p>
            <w:pPr>
              <w:pStyle w:val="Compact"/>
              <w:jc w:val="left"/>
            </w:pPr>
            <w:r>
              <w:t xml:space="preserve">Export-FMPComputerInventory C</w:t>
            </w:r>
          </w:p>
        </w:tc>
        <w:tc>
          <w:tcPr/>
          <w:p>
            <w:pPr>
              <w:pStyle w:val="Compact"/>
              <w:jc w:val="left"/>
            </w:pPr>
            <w:r>
              <w:t xml:space="preserve">omputer objects, OS classification, staleness, LAPS detection → JSON + CSV</w:t>
            </w:r>
          </w:p>
        </w:tc>
      </w:tr>
      <w:tr>
        <w:tc>
          <w:tcPr/>
          <w:p>
            <w:pPr>
              <w:pStyle w:val="Compact"/>
              <w:jc w:val="left"/>
            </w:pPr>
            <w:r>
              <w:rPr>
                <w:b/>
                <w:bCs/>
              </w:rPr>
              <w:t xml:space="preserve">Export</w:t>
            </w:r>
          </w:p>
        </w:tc>
        <w:tc>
          <w:tcPr/>
          <w:p>
            <w:pPr>
              <w:pStyle w:val="Compact"/>
              <w:jc w:val="left"/>
            </w:pPr>
            <w:r>
              <w:t xml:space="preserve">Export-FMPUserInventory U</w:t>
            </w:r>
          </w:p>
        </w:tc>
        <w:tc>
          <w:tcPr/>
          <w:p>
            <w:pPr>
              <w:pStyle w:val="Compact"/>
              <w:jc w:val="left"/>
            </w:pPr>
            <w:r>
              <w:t xml:space="preserve">ser objects, privileged users, service accounts, staleness → JSON + CSV</w:t>
            </w:r>
          </w:p>
        </w:tc>
      </w:tr>
      <w:tr>
        <w:tc>
          <w:tcPr/>
          <w:p>
            <w:pPr>
              <w:pStyle w:val="Compact"/>
              <w:jc w:val="left"/>
            </w:pPr>
            <w:r>
              <w:rPr>
                <w:b/>
                <w:bCs/>
              </w:rPr>
              <w:t xml:space="preserve">Export</w:t>
            </w:r>
          </w:p>
        </w:tc>
        <w:tc>
          <w:tcPr/>
          <w:p>
            <w:pPr>
              <w:pStyle w:val="Compact"/>
              <w:jc w:val="left"/>
            </w:pPr>
            <w:r>
              <w:t xml:space="preserve">Export-FMPGroupInventory G</w:t>
            </w:r>
          </w:p>
        </w:tc>
        <w:tc>
          <w:tcPr/>
          <w:p>
            <w:pPr>
              <w:pStyle w:val="Compact"/>
              <w:jc w:val="left"/>
            </w:pPr>
            <w:r>
              <w:t xml:space="preserve">roups, nesting, circular reference detection, empty groups → JSON + CSV</w:t>
            </w:r>
          </w:p>
        </w:tc>
      </w:tr>
      <w:tr>
        <w:tc>
          <w:tcPr/>
          <w:p>
            <w:pPr>
              <w:pStyle w:val="Compact"/>
              <w:jc w:val="left"/>
            </w:pPr>
            <w:r>
              <w:rPr>
                <w:b/>
                <w:bCs/>
              </w:rPr>
              <w:t xml:space="preserve">Export</w:t>
            </w:r>
          </w:p>
        </w:tc>
        <w:tc>
          <w:tcPr/>
          <w:p>
            <w:pPr>
              <w:pStyle w:val="Compact"/>
              <w:jc w:val="left"/>
            </w:pPr>
            <w:r>
              <w:t xml:space="preserve">Export-FMPTrustMap T</w:t>
            </w:r>
          </w:p>
        </w:tc>
        <w:tc>
          <w:tcPr/>
          <w:p>
            <w:pPr>
              <w:pStyle w:val="Compact"/>
              <w:jc w:val="left"/>
            </w:pPr>
            <w:r>
              <w:t xml:space="preserve">rust relationships, direction, type, SID filtering → JSON</w:t>
            </w:r>
          </w:p>
        </w:tc>
      </w:tr>
      <w:tr>
        <w:tc>
          <w:tcPr/>
          <w:p>
            <w:pPr>
              <w:pStyle w:val="Compact"/>
              <w:jc w:val="left"/>
            </w:pPr>
            <w:r>
              <w:rPr>
                <w:b/>
                <w:bCs/>
              </w:rPr>
              <w:t xml:space="preserve">Export</w:t>
            </w:r>
          </w:p>
        </w:tc>
        <w:tc>
          <w:tcPr/>
          <w:p>
            <w:pPr>
              <w:pStyle w:val="Compact"/>
              <w:jc w:val="left"/>
            </w:pPr>
            <w:r>
              <w:t xml:space="preserve">Export-FMPPKIInventory C</w:t>
            </w:r>
          </w:p>
        </w:tc>
        <w:tc>
          <w:tcPr/>
          <w:p>
            <w:pPr>
              <w:pStyle w:val="Compact"/>
              <w:jc w:val="left"/>
            </w:pPr>
            <w:r>
              <w:t xml:space="preserve">A discovery, certificate templates, ESC detection, AIA/CDP → JSON + CSV</w:t>
            </w:r>
          </w:p>
        </w:tc>
      </w:tr>
      <w:tr>
        <w:tc>
          <w:tcPr/>
          <w:p>
            <w:pPr>
              <w:pStyle w:val="Compact"/>
              <w:jc w:val="left"/>
            </w:pPr>
            <w:r>
              <w:rPr>
                <w:b/>
                <w:bCs/>
              </w:rPr>
              <w:t xml:space="preserve">Export</w:t>
            </w:r>
          </w:p>
        </w:tc>
        <w:tc>
          <w:tcPr/>
          <w:p>
            <w:pPr>
              <w:pStyle w:val="Compact"/>
              <w:jc w:val="left"/>
            </w:pPr>
            <w:r>
              <w:t xml:space="preserve">Export-FMPDNSBaseline A</w:t>
            </w:r>
          </w:p>
        </w:tc>
        <w:tc>
          <w:tcPr/>
          <w:p>
            <w:pPr>
              <w:pStyle w:val="Compact"/>
              <w:jc w:val="left"/>
            </w:pPr>
            <w:r>
              <w:t xml:space="preserve">D-integrated zones, SRV validation, targeted lookups → JSON + CSV</w:t>
            </w:r>
          </w:p>
        </w:tc>
      </w:tr>
      <w:tr>
        <w:tc>
          <w:tcPr/>
          <w:p>
            <w:pPr>
              <w:pStyle w:val="Compact"/>
              <w:jc w:val="left"/>
            </w:pPr>
            <w:r>
              <w:rPr>
                <w:b/>
                <w:bCs/>
              </w:rPr>
              <w:t xml:space="preserve">Export</w:t>
            </w:r>
          </w:p>
        </w:tc>
        <w:tc>
          <w:tcPr/>
          <w:p>
            <w:pPr>
              <w:pStyle w:val="Compact"/>
              <w:jc w:val="left"/>
            </w:pPr>
            <w:r>
              <w:t xml:space="preserve">Export-FMPACLReport O</w:t>
            </w:r>
          </w:p>
        </w:tc>
        <w:tc>
          <w:tcPr/>
          <w:p>
            <w:pPr>
              <w:pStyle w:val="Compact"/>
              <w:jc w:val="left"/>
            </w:pPr>
            <w:r>
              <w:t xml:space="preserve">U delegation, AdminSDHolder ACL, GUID resolution → JSON</w:t>
            </w:r>
          </w:p>
        </w:tc>
      </w:tr>
      <w:tr>
        <w:tc>
          <w:tcPr/>
          <w:p>
            <w:pPr>
              <w:pStyle w:val="Compact"/>
              <w:jc w:val="left"/>
            </w:pPr>
            <w:r>
              <w:rPr>
                <w:b/>
                <w:bCs/>
              </w:rPr>
              <w:t xml:space="preserve">Export</w:t>
            </w:r>
          </w:p>
        </w:tc>
        <w:tc>
          <w:tcPr/>
          <w:p>
            <w:pPr>
              <w:pStyle w:val="Compact"/>
              <w:jc w:val="left"/>
            </w:pPr>
            <w:r>
              <w:t xml:space="preserve">Export-FMPSchemaExtensions C</w:t>
            </w:r>
          </w:p>
        </w:tc>
        <w:tc>
          <w:tcPr/>
          <w:p>
            <w:pPr>
              <w:pStyle w:val="Compact"/>
              <w:jc w:val="left"/>
            </w:pPr>
            <w:r>
              <w:t xml:space="preserve">ustom attributes, confidential flags, indexed attributes → JSON + CSV</w:t>
            </w:r>
          </w:p>
        </w:tc>
      </w:tr>
      <w:tr>
        <w:tc>
          <w:tcPr/>
          <w:p>
            <w:pPr>
              <w:pStyle w:val="Compact"/>
              <w:jc w:val="left"/>
            </w:pPr>
            <w:r>
              <w:rPr>
                <w:b/>
                <w:bCs/>
              </w:rPr>
              <w:t xml:space="preserve">Orchestrator</w:t>
            </w:r>
          </w:p>
        </w:tc>
        <w:tc>
          <w:tcPr/>
          <w:p>
            <w:pPr>
              <w:pStyle w:val="Compact"/>
              <w:jc w:val="left"/>
            </w:pPr>
            <w:r>
              <w:t xml:space="preserve">Invoke-FMPReadOnlyAssessment R</w:t>
            </w:r>
          </w:p>
        </w:tc>
        <w:tc>
          <w:tcPr/>
          <w:p>
            <w:pPr>
              <w:pStyle w:val="Compact"/>
              <w:jc w:val="left"/>
            </w:pPr>
            <w:r>
              <w:t xml:space="preserve">uns all functions, generates manifest, creates dashboard, packages output</w:t>
            </w:r>
          </w:p>
        </w:tc>
      </w:tr>
    </w:tbl>
    <w:p>
      <w:pPr>
        <w:pStyle w:val="BodyText"/>
      </w:pPr>
      <w:r>
        <w:t xml:space="preserve">5.2 Function Specifications</w:t>
      </w:r>
    </w:p>
    <w:p>
      <w:pPr>
        <w:pStyle w:val="BodyText"/>
      </w:pPr>
      <w:r>
        <w:t xml:space="preserve">5.2.1 Test-FMPReadAccess</w:t>
      </w:r>
    </w:p>
    <w:p>
      <w:pPr>
        <w:pStyle w:val="BodyText"/>
      </w:pPr>
      <w:r>
        <w:t xml:space="preserve">Pre-flight check that validates the current user's effective read capabilities across all assessment domains.</w:t>
      </w:r>
    </w:p>
    <w:p>
      <w:pPr>
        <w:pStyle w:val="BodyText"/>
      </w:pPr>
      <w:r>
        <w:t xml:space="preserve">function Test-FMPReadAccess { [CmdletBinding] param( [Parameter] [string]$OutputPath = "D:\FMP\Assessment\ReadOnly" ) Write-Verbose "Starting the Federal Modernization Program Read Access pre-flight check..." $results = @ # Test 1: Domain Controller reachability try { $dc = Get-ADDomainController -Discover -ErrorAction Stop $results += [PSCustomObject]@{ Domain = "DC Reachability" Status = "PASS" Detail = "Connected to $($dc.HostName)" } Write-Verbose "PASS: DC reachable at $($dc.HostName)" } catch { $results += [PSCustomObject]@{ Domain = "DC Reachability" Status = "FAIL" Detail = $_.Exception.Message } Write-Warning "FAIL: Cannot reach domain controller." } # Test 2: Forest object query try { $forest = Get-ADForest -ErrorAction Stop $results += [PSCustomObject]@{ Domain = "Forest Query" Status = "PASS" Detail = "Forest: $($forest.Name), Domains: $($forest.Domains.Count)" } } catch { $results += [PSCustomObject]@{ Domain = "Forest Query" Status = "FAIL" Detail = $_.Exception.Message } } # Test 3: OU enumeration try { $ouCount = (Get-ADOrganizationalUnit -Filter * -ErrorAction Stop | Measure-Object).Count $results += [PSCustomObject]@{ Domain = "OU Enumeration" Status = "PASS" Detail = "$ouCount OUs discovered" } } catch { $results += [PSCustomObject]@{ Domain = "OU Enumeration" Status = "FAIL" Detail = $_.Exception.Message } } # Test 4: GPO access try { $gpoCount = (Get-GPO -All -ErrorAction Stop | Measure-Object).Count $results += [PSCustomObject]@{ Domain = "GPO Access" Status = "PASS" Detail = "$gpoCount GPOs discovered" } } catch { $results += [PSCustomObject]@{ Domain = "GPO Access" Status = "FAIL" Detail = $_.Exception.Message } } # Test 5: Configuration partition try { $configDN = (Get-ADRootDSE).configurationNamingContext $configObj = Get-ADObject -SearchBase $configDN ` -Filter * -SearchScope OneLevel -ErrorAction Stop | Measure-Object $results += [PSCustomObject]@{ Domain = "Configuration Partition" Status = "PASS" Detail = "$($configObj.Count) top-level objects in Configuration" } } catch { $results += [PSCustomObject]@{ Domain = "Configuration Partition" Status = "FAIL" Detail = $_.Exception.Message } } # Test 6: Schema partition try { $schemaDN = (Get-ADRootDSE).schemaNamingContext $schemaObj = Get-ADObject -SearchBase $schemaDN ` -Filter * -SearchScope OneLevel ` -ResultSetSize 10 -ErrorAction Stop | Measure-Object $results += [PSCustomObject]@{ Domain = "Schema Partition" Status = "PASS" Detail = "Schema readable (sampled $($schemaObj.Count) objects)" } } catch { $results += [PSCustomObject]@{ Domain = "Schema Partition" Status = "FAIL" Detail = $_.Exception.Message } } # Test 7: SYSVOL share try { $domain = (Get-ADDomain).DNSRoot $sysvolPath = "\\$domain\SYSVOL\$domain" $sysvolTest = Test-Path $sysvolPath -ErrorAction Stop $results += [PSCustomObject]@{ Domain = "SYSVOL Access" Status = if ($sysvolTest) { "PASS" } else { "FAIL" } Detail = if ($sysvolTest) { "SYSVOL share accessible" } else { "SYSVOL share not accessible" } } } catch { $results += [PSCustomObject]@{ Domain = "SYSVOL Access" Status = "FAIL" Detail = $_.Exception.Message } } # Test 8: DNS resolution try { $domain = (Get-ADDomain).DNSRoot $dnsTest = Resolve-DnsName "_ldap._tcp.dc._msdcs.$domain" ` -Type SRV -ErrorAction Stop $results += [PSCustomObject]@{ Domain = "DNS Resolution" Status = "PASS" Detail = "$($dnsTest.Count) SRV records for _ldap._tcp" } } catch { $results += [PSCustomObject]@{ Domain = "DNS Resolution" Status = "PARTIAL" Detail = "SRV lookup failed: $($_.Exception.Message)" } } # Output summary $passCount = ($results | Where-Object Status -eq "PASS").Count $failCount = ($results | Where-Object Status -eq "FAIL").Count $partialCount = ($results | Where-Object Status -eq "PARTIAL").Count Write-Host "`n=== the Federal Modernization Program Read Access Pre-Flight Summary ===" -ForegroundColor Cyan Write-Host "PASS: $passCount" -ForegroundColor Green Write-Host "PARTIAL: $partialCount" -ForegroundColor Yellow Write-Host "FAIL: $failCount" -ForegroundColor Red $results | Format-Table -AutoSize # Export if OutputPath specified if ($OutputPath) { $outFile = Join-Path $OutputPath "ReadAccessReport.json" $results | ConvertTo-Json -Depth 5 | Out-File $outFile -Encoding UTF8 Write-Verbose "Results saved to $outFile" } return [PSCustomObject]@{ Timestamp = (Get-Date -Format "o") TotalTests = $results.Count Passed = $passCount Failed = $failCount Partial = $partialCount Details = $results } }</w:t>
      </w:r>
    </w:p>
    <w:p>
      <w:pPr>
        <w:pStyle w:val="BodyText"/>
      </w:pPr>
      <w:r>
        <w:t xml:space="preserve">5.2.2 Export-FMPForestTopology</w:t>
      </w:r>
    </w:p>
    <w:p>
      <w:pPr>
        <w:pStyle w:val="BodyText"/>
      </w:pPr>
      <w:r>
        <w:t xml:space="preserve">function Export-FMPForestTopology { [CmdletBinding] param( [Parameter(Mandatory)] [string]$OutputPath ) Write-Verbose "Exporting forest topology..." try { $forest = Get-ADForest -ErrorAction Stop $domain = Get-ADDomain -ErrorAction Stop # Domain Controllers $dcs = Get-ADDomainController -Filter * -ErrorAction Stop | ForEach-Object { [PSCustomObject]@{ Name = $_.Name HostName = $_.HostName IPv4Address = $_.IPv4Address Site = $_.Site OperatingSystem = $_.OperatingSystem IsGlobalCatalog = $_.IsGlobalCatalog IsReadOnly = $_.IsReadOnly OperationMasterRoles = $_.OperationMasterRoles Enabled = $_.Enabled } } # Sites $sites = Get-ADReplicationSite -Filter * -ErrorAction Stop | ForEach-Object { [PSCustomObject]@{ Name = $_.Name DN = $_.DistinguishedName Description = $_.Description } } # Subnets $subnets = Get-ADReplicationSubnet -Filter * -ErrorAction Stop | ForEach-Object { [PSCustomObject]@{ Name = $_.Name Site = $_.Site Location = $_.Location Description = $_.Description } } # Site Links $siteLinks = Get-ADReplicationSiteLink -Filter * -ErrorAction Stop | ForEach-Object { [PSCustomObject]@{ Name = $_.Name Cost = $_.Cost ReplicationFrequency = $_.ReplicationFrequencyInMinutes SitesIncluded = $_.SitesIncluded InterSiteTransportProtocol = $_.InterSiteTransportProtocol } } # Trusts $trusts = Get-ADTrust -Filter * -ErrorAction Stop | ForEach-Object { [PSCustomObject]@{ Name = $_.Name Source = $_.Source Target = $_.Target Direction = $_.Direction TrustType = $_.TrustType ForestTransitive = $_.ForestTransitive IntraForest = $_.IntraForest SIDFilteringForestAware = $_.SIDFilteringForestAware SIDFilteringQuarantined = $_.SIDFilteringQuarantined SelectiveAuthentication = $_.SelectiveAuthentication TrustAttributes = $_.TrustAttributes } } $topology = [PSCustomObject]@{ Timestamp = (Get-Date -Format "o") ForestName = $forest.Name RootDomain = $forest.RootDomain Domains = $forest.Domains ForestMode = $forest.ForestMode DomainMode = $domain.DomainMode SchemaMaster = $forest.SchemaMaster DomainNamingMaster = $forest.DomainNamingMaster PDCEmulator = $domain.PDCEmulator RIDMaster = $domain.RIDMaster InfrastructureMaster = $domain.InfrastructureMaster DomainControllers = $dcs Sites = $sites Subnets = $subnets SiteLinks = $siteLinks Trusts = $trusts } $outFile = Join-Path $OutputPath "ForestTopology.json" $topology | ConvertTo-Json -Depth 10 | Out-File $outFile -Encoding UTF8 Write-Verbose "Forest topology exported to $outFile" return [PSCustomObject]@{ Status = "Success" OutputFile = $outFile DCCount = $dcs.Count SiteCount = $sites.Count SubnetCount = $subnets.Count TrustCount = $trusts.Count } } catch { Write-Error "Forest topology export failed: $_" return [PSCustomObject]@{ Status = "Failed" Error = $_.Exception.Message } } }</w:t>
      </w:r>
    </w:p>
    <w:p>
      <w:pPr>
        <w:pStyle w:val="BodyText"/>
      </w:pPr>
      <w:r>
        <w:t xml:space="preserve">5.2.3 Export-FMPOUHierarchy</w:t>
      </w:r>
    </w:p>
    <w:p>
      <w:pPr>
        <w:pStyle w:val="BodyText"/>
      </w:pPr>
      <w:r>
        <w:t xml:space="preserve">function Export-FMPOUHierarchy { [CmdletBinding] param( [Parameter(Mandatory)] [string]$OutputPath ) Write-Verbose "Exporting OU hierarchy..." try { $domain = Get-ADDomain -ErrorAction Stop $ous = Get-ADOrganizationalUnit -Filter * -Properties ` Description, ManagedBy, gpLink, gpOptions ` -ErrorAction Stop $ouData = foreach ($ou in $ous) { $userCount = (Get-ADUser -SearchBase $ou.DistinguishedName ` -SearchScope OneLevel -Filter * -ErrorAction SilentlyContinue | Measure-Object).Count $computerCount = (Get-ADComputer -SearchBase $ou.DistinguishedName ` -SearchScope OneLevel -Filter * -ErrorAction SilentlyContinue | Measure-Object).Count $groupCount = (Get-ADGroup -SearchBase $ou.DistinguishedName ` -SearchScope OneLevel -Filter * -ErrorAction SilentlyContinue | Measure-Object).Count # Parse gpLink for linked GPO GUIDs $linkedGPOs = @ if ($ou.gpLink) { $linkedGPOs = [regex]::Matches($ou.gpLink, '\[LDAP://cn=\{([^}]+)\}') | ForEach-Object { $_.Groups[1].Value } } [PSCustomObject]@{ Name = $ou.Name DistinguishedName = $ou.DistinguishedName Description = $ou.Description ManagedBy = $ou.ManagedBy UserCount = $userCount ComputerCount = $computerCount GroupCount = $groupCount LinkedGPOs = $linkedGPOs Depth = ($ou.DistinguishedName -split ',' | Where-Object { $_ -match '^OU=' }).Count } } # JSON output $outJson = Join-Path $OutputPath "OUHierarchy.json" $ouData | ConvertTo-Json -Depth 10 | Out-File $outJson -Encoding UTF8 # Human-readable tree $outTree = Join-Path $OutputPath "OUTree.txt" $sorted = $ouData | Sort-Object DistinguishedName $treeLines = foreach ($ou in $sorted) { $indent = " " * $ou.Depth "$indent$($ou.Name) [U:$($ou.UserCount) C:$($ou.ComputerCount)" + " G:$($ou.GroupCount) GPOs:$($ou.LinkedGPOs.Count)]" } $treeLines | Out-File $outTree -Encoding UTF8 Write-Verbose "OU hierarchy exported: $outJson, $outTree" return [PSCustomObject]@{ Status = "Success" OUCount = $ouData.Count JsonFile = $outJson TreeFile = $outTree } } catch { Write-Error "OU hierarchy export failed: $_" return [PSCustomObject]@{ Status = "Failed" Error = $_.Exception.Message } } }</w:t>
      </w:r>
    </w:p>
    <w:p>
      <w:pPr>
        <w:pStyle w:val="BodyText"/>
      </w:pPr>
      <w:r>
        <w:t xml:space="preserve">5.2.4 Export-FMPGPOInventory</w:t>
      </w:r>
    </w:p>
    <w:p>
      <w:pPr>
        <w:pStyle w:val="BodyText"/>
      </w:pPr>
      <w:r>
        <w:t xml:space="preserve">function Export-FMPGPOInventory { [CmdletBinding] param( [Parameter(Mandatory)] [string]$OutputPath ) Write-Verbose "Exporting GPO inventory..." try { $gpoDir = Join-Path $OutputPath "GPO" $reportsDir = Join-Path $gpoDir "Reports" New-Item -ItemType Directory -Path $reportsDir -Force | Out-Null $gpos = Get-GPO -All -ErrorAction Stop $domain = (Get-ADDomain).DNSRoot $gpoData = @ $unlinked = @ $empty = @ $linkData = @ foreach ($gpo in $gpos) { Write-Verbose "Processing GPO: $($gpo.DisplayName)" # Generate XML report $xmlPath = Join-Path $reportsDir "$($gpo.Id).xml" try { Get-GPOReport -Guid $gpo.Id -ReportType XML ` -Path $xmlPath -ErrorAction Stop } catch { Write-Warning "Could not generate report for $($gpo.DisplayName): $_" } # Parse XML for link and settings info $hasComputerSettings = $false $hasUserSettings = $false $links = @ if (Test-Path $xmlPath) { [xml]$xml = Get-Content $xmlPath $ns = @{gpo = "http://www.microsoft.com/GroupPolicy/Settings"} if ($xml.GPO.Computer.ExtensionData) { $hasComputerSettings = $true } if ($xml.GPO.User.ExtensionData) { $hasUserSettings = $true } # Extract links from XML foreach ($link in $xml.GPO.LinksTo) { $links += [PSCustomObject]@{ GPOName = $gpo.DisplayName GPOID = $gpo.Id SOMName = $link.SOMName SOMPath = $link.SOMPath Enabled = $link.Enabled NoOverride = $link.NoOverride } } } $gpoObj = [PSCustomObject]@{ DisplayName = $gpo.DisplayName Id = $gpo.Id DomainName = $gpo.DomainName CreationTime = $gpo.CreationTime ModificationTime = $gpo.ModificationTime GpoStatus = $gpo.GpoStatus WmiFilter = $gpo.WmiFilter.Name HasComputerSettings = $hasComputerSettings HasUserSettings = $hasUserSettings LinkCount = $links.Count XmlReportPath = $xmlPath } $gpoData += $gpoObj $linkData += $links if ($links.Count -eq 0) { $unlinked += $gpoObj } if (-not $hasComputerSettings -and -not $hasUserSettings) { $empty += $gpoObj } } # WMI Filters $configDN = (Get-ADRootDSE).defaultNamingContext $wmiFilters = Get-ADObject -SearchBase "CN=SOM,CN=WMIPolicy,CN=System,$configDN" ` -Filter 'objectClass -eq "msWMI-Som"' ` -Properties "msWMI-Name","msWMI-Parm1","msWMI-Parm2" ` -ErrorAction SilentlyContinue | ForEach-Object { [PSCustomObject]@{ Name = $_."msWMI-Name" Description = $_."msWMI-Parm1" Query = $_."msWMI-Parm2" } } # Save outputs $gpoData | ConvertTo-Json -Depth 10 | Out-File (Join-Path $gpoDir "GPOInventory.json") -Encoding UTF8 $linkData | Export-Csv (Join-Path $gpoDir "GPOLinks.csv") -NoTypeInformation $unlinked | Export-Csv (Join-Path $gpoDir "UnlinkedGPOs.csv") -NoTypeInformation $empty | Export-Csv (Join-Path $gpoDir "EmptyGPOs.csv") -NoTypeInformation Write-Verbose "GPO inventory exported to $gpoDir" return [PSCustomObject]@{ Status = "Success" TotalGPOs = $gpoData.Count UnlinkedGPOs = $unlinked.Count EmptyGPOs = $empty.Count WMIFilters = $wmiFilters.Count OutputDir = $gpoDir } } catch { Write-Error "GPO inventory export failed: $_" return [PSCustomObject]@{ Status = "Failed"; Error = $_.Exception.Message } } }</w:t>
      </w:r>
    </w:p>
    <w:p>
      <w:pPr>
        <w:pStyle w:val="BodyText"/>
      </w:pPr>
      <w:r>
        <w:t xml:space="preserve">5.2.5 Export-FMPComputerInventory</w:t>
      </w:r>
    </w:p>
    <w:p>
      <w:pPr>
        <w:pStyle w:val="BodyText"/>
      </w:pPr>
      <w:r>
        <w:t xml:space="preserve">function Export-FMPComputerInventory { [CmdletBinding] param( [Parameter(Mandatory)] [string]$OutputPath ) Write-Verbose "Exporting computer inventory..." try { $compDir = Join-Path $OutputPath "Computers" New-Item -ItemType Directory -Path $compDir -Force | Out-Null $properties = @( 'Name','DNSHostName','OperatingSystem','OperatingSystemVersion', 'OperatingSystemServicePack','Enabled','IPv4Address', 'LastLogonTimestamp','PasswordLastSet','WhenCreated','WhenChanged', 'DistinguishedName','ServicePrincipalName','UserAccountControl', 'ms-Mcs-AdmPwdExpirationTime','Description' ) $computers = Get-ADComputer -Filter * -Properties $properties ` -ErrorAction Stop $staleThreshold = (Get-Date).AddDays(-90) $compData = @ $staleComps = @ foreach ($comp in $computers) { $lastLogon = if ($comp.LastLogonTimestamp) { [DateTime]::FromFileTime($comp.LastLogonTimestamp) } else { $null } $osCategory = switch -Regex ($comp.OperatingSystem) { 'Windows.*Server' { 'Windows Server' } 'Windows' { 'Windows Client' } 'Linux|Ubuntu|CentOS|Red Hat' { 'Linux' } default { 'Unknown' } } $lapsEnabled = $null -ne $comp.'ms-Mcs-AdmPwdExpirationTime' $obj = [PSCustomObject]@{ Name = $comp.Name DNSHostName = $comp.DNSHostName OperatingSystem = $comp.OperatingSystem OSVersion = $comp.OperatingSystemVersion OSCategory = $osCategory Enabled = $comp.Enabled IPv4Address = $comp.IPv4Address LastLogon = $lastLogon PasswordLastSet = $comp.PasswordLastSet WhenCreated = $comp.WhenCreated IsStale = ($lastLogon -and $lastLogon -lt $staleThreshold) LAPSEnabled = $lapsEnabled SPNCount = ($comp.ServicePrincipalName | Measure-Object).Count DistinguishedName = $comp.DistinguishedName Description = $comp.Description } $compData += $obj if ($obj.IsStale) { $staleComps += $obj } } # Outputs $compData | ConvertTo-Json -Depth 10 | Out-File (Join-Path $compDir "ComputerInventory.json") -Encoding UTF8 $staleComps | Export-Csv (Join-Path $compDir "StaleComputers.csv") ` -NoTypeInformation $osSummary = $compData | Group-Object OSCategory | ForEach-Object { [PSCustomObject]@{ OSCategory = $_.Name; Count = $_.Count } } $osSummary | Export-Csv (Join-Path $compDir "ComputersByOS.csv") ` -NoTypeInformation Write-Verbose "Computer inventory exported to $compDir" return [PSCustomObject]@{ Status = "Success" TotalComputers = $compData.Count StaleComputers = $staleComps.Count LAPSEnabled = ($compData | Where-Object LAPSEnabled).Count OutputDir = $compDir } } catch { Write-Error "Computer inventory export failed: $_" return [PSCustomObject]@{ Status = "Failed"; Error = $_.Exception.Message } } }</w:t>
      </w:r>
    </w:p>
    <w:p>
      <w:pPr>
        <w:pStyle w:val="BodyText"/>
      </w:pPr>
      <w:r>
        <w:t xml:space="preserve">5.2.6 Export-FMPUserInventory</w:t>
      </w:r>
    </w:p>
    <w:p>
      <w:pPr>
        <w:pStyle w:val="BodyText"/>
      </w:pPr>
      <w:r>
        <w:t xml:space="preserve">function Export-FMPUserInventory { [CmdletBinding] param( [Parameter(Mandatory)] [string]$OutputPath ) Write-Verbose "Exporting user inventory..." try { $userDir = Join-Path $OutputPath "Users" New-Item -ItemType Directory -Path $userDir -Force | Out-Null $properties = @( 'Name','SamAccountName','UserPrincipalName','DisplayName', 'Mail','Title','Department','Manager','MemberOf','Enabled', 'LastLogonTimestamp','PasswordLastSet','PasswordNeverExpires', 'PasswordNotRequired','AllowReversiblePasswordEncryption', 'WhenCreated','WhenChanged','AdminCount','DistinguishedName', 'ServicePrincipalName','UserAccountControl','Description', 'LockedOut','AccountExpirationDate' ) $users = Get-ADUser -Filter * -Properties $properties -ErrorAction Stop $staleThreshold = (Get-Date).AddDays(-90) $privilegedGroups = @( 'Domain Admins','Enterprise Admins','Schema Admins', 'Administrators','Account Operators','Backup Operators', 'Server Operators','Print Operators' ) $privMembers = @{} foreach ($grp in $privilegedGroups) { try { $members = Get-ADGroupMember $grp -Recursive -ErrorAction Stop foreach ($m in $members) { if (-not $privMembers.ContainsKey($m.SamAccountName)) { $privMembers[$m.SamAccountName] = @ } $privMembers[$m.SamAccountName] += $grp } } catch { Write-Warning "Could not enumerate $grp : $_" } } $userData = @ $privUsers = @ $svcAccounts = @ $staleUsers = @ foreach ($user in $users) { $lastLogon = if ($user.LastLogonTimestamp) { [DateTime]::FromFileTime($user.LastLogonTimestamp) } else { $null } $isPrivileged = $privMembers.ContainsKey($user.SamAccountName) $hasSPN = ($user.ServicePrincipalName | Measure-Object).Count -gt 0 $obj = [PSCustomObject]@{ Name = $user.Name SamAccountName = $user.SamAccountName UPN = $user.UserPrincipalName DisplayName = $user.DisplayName Mail = $user.Mail Title = $user.Title Department = $user.Department Enabled = $user.Enabled LastLogon = $lastLogon PasswordLastSet = $user.PasswordLastSet PasswordNeverExpires = $user.PasswordNeverExpires PasswordNotRequired = $user.PasswordNotRequired ReversibleEncryption = $user.AllowReversiblePasswordEncryption AdminCount = $user.AdminCount IsPrivileged = $isPrivileged PrivilegedGroups = if ($isPrivileged) { $privMembers[$user.SamAccountName] -join '; ' } else { $null } HasSPN = $hasSPN SPNs = $user.ServicePrincipalName -join '; ' IsStale = ($lastLogon -and $lastLogon -lt $staleThreshold) WhenCreated = $user.WhenCreated DistinguishedName = $user.DistinguishedName } $userData += $obj if ($isPrivileged) { $privUsers += $obj } if ($hasSPN) { $svcAccounts += $obj } if ($obj.IsStale) { $staleUsers += $obj } } # MSA/gMSA $msaAccounts = @ try { $msaAccounts = Get-ADServiceAccount -Filter * -Properties * ` -ErrorAction Stop | ForEach-Object { [PSCustomObject]@{ Name = $_.Name SamAccountName = $_.SamAccountName ObjectClass = $_.ObjectClass Enabled = $_.Enabled ManagedBy = $_.ManagedBy DNSHostName = $_.DNSHostName DistinguishedName = $_.DistinguishedName } } } catch { Write-Warning "MSA/gMSA enumeration: $_" } # Outputs $userData | ConvertTo-Json -Depth 10 | Out-File (Join-Path $userDir "UserInventory.json") -Encoding UTF8 $privUsers | Export-Csv (Join-Path $userDir "PrivilegedUsers.csv") ` -NoTypeInformation $svcAccounts | Export-Csv (Join-Path $userDir "ServiceAccounts.csv") ` -NoTypeInformation $staleUsers | Export-Csv (Join-Path $userDir "StaleUsers.csv") ` -NoTypeInformation Write-Verbose "User inventory exported to $userDir" return [PSCustomObject]@{ Status = "Success" TotalUsers = $userData.Count PrivilegedUsers = $privUsers.Count ServiceAccounts = $svcAccounts.Count StaleUsers = $staleUsers.Count MSA_gMSA = $msaAccounts.Count OutputDir = $userDir } } catch { Write-Error "User inventory export failed: $_" return [PSCustomObject]@{ Status = "Failed"; Error = $_.Exception.Message } } }</w:t>
      </w:r>
    </w:p>
    <w:p>
      <w:pPr>
        <w:pStyle w:val="BodyText"/>
      </w:pPr>
      <w:r>
        <w:t xml:space="preserve">5.2.7 Export-FMPGroupInventory</w:t>
      </w:r>
    </w:p>
    <w:p>
      <w:pPr>
        <w:pStyle w:val="BodyText"/>
      </w:pPr>
      <w:r>
        <w:t xml:space="preserve">function Export-FMPGroupInventory { [CmdletBinding] param( [Parameter(Mandatory)] [string]$OutputPath ) Write-Verbose "Exporting group inventory..." try { $grpDir = Join-Path $OutputPath "Groups" New-Item -ItemType Directory -Path $grpDir -Force | Out-Null $groups = Get-ADGroup -Filter * -Properties Description, ManagedBy, MemberOf, GroupScope, GroupCategory, WhenCreated, WhenChanged, AdminCount -ErrorAction Stop $grpData = @ $emptyGroups = @ $nestingReport = @ foreach ($grp in $groups) { Write-Verbose "Processing group: $($grp.Name)" $members = @ try { $members = Get-ADGroupMember $grp.DistinguishedName ` -ErrorAction Stop } catch { } $memberCount = $members.Count # Nesting depth (non-recursive direct memberOf) $nestingDepth = 0 $visited = @{} $current = $grp.MemberOf while ($current -and $nestingDepth -lt 20) { $nestingDepth++ $parent = $current | Select-Object -First 1 if ($visited.ContainsKey($parent)) { $nestingReport += [PSCustomObject]@{ GroupName = $grp.Name Issue = "Circular Nesting Detected" Detail = "Loop at $parent" NestingDepth = $nestingDepth } break } $visited[$parent] = $true try { $parentObj = Get-ADGroup $parent -Properties MemberOf ` -ErrorAction Stop $current = $parentObj.MemberOf } catch { break } } if ($nestingDepth -gt 5) { $nestingReport += [PSCustomObject]@{ GroupName = $grp.Name Issue = "Deep Nesting" Detail = "Depth: $nestingDepth" NestingDepth = $nestingDepth } } $obj = [PSCustomObject]@{ Name = $grp.Name SamAccountName = $grp.SamAccountName GroupScope = $grp.GroupScope GroupCategory = $grp.GroupCategory Description = $grp.Description ManagedBy = $grp.ManagedBy MemberCount = $memberCount IsEmpty = ($memberCount -eq 0) AdminCount = $grp.AdminCount NestingDepth = $nestingDepth WhenCreated = $grp.WhenCreated DistinguishedName = $grp.DistinguishedName } $grpData += $obj if ($memberCount -eq 0) { $emptyGroups += $obj } } # Outputs $grpData | ConvertTo-Json -Depth 10 | Out-File (Join-Path $grpDir "GroupInventory.json") -Encoding UTF8 $emptyGroups | Export-Csv (Join-Path $grpDir "EmptyGroups.csv") ` -NoTypeInformation $nestingReport | Export-Csv (Join-Path $grpDir "NestingReport.csv") ` -NoTypeInformation Write-Verbose "Group inventory exported to $grpDir" return [PSCustomObject]@{ Status = "Success" TotalGroups = $grpData.Count EmptyGroups = $emptyGroups.Count NestingIssues = $nestingReport.Count OutputDir = $grpDir } } catch { Write-Error "Group inventory export failed: $_" return [PSCustomObject]@{ Status = "Failed"; Error = $_.Exception.Message } } }</w:t>
      </w:r>
    </w:p>
    <w:p>
      <w:pPr>
        <w:pStyle w:val="BodyText"/>
      </w:pPr>
      <w:r>
        <w:t xml:space="preserve">5.2.8 Export-FMPTrustMap</w:t>
      </w:r>
    </w:p>
    <w:p>
      <w:pPr>
        <w:pStyle w:val="BodyText"/>
      </w:pPr>
      <w:r>
        <w:t xml:space="preserve">function Export-FMPTrustMap { [CmdletBinding] param( [Parameter(Mandatory)] [string]$OutputPath ) Write-Verbose "Exporting trust map..." try { $trustDir = Join-Path $OutputPath "Trusts" New-Item -ItemType Directory -Path $trustDir -Force | Out-Null $trusts = Get-ADTrust -Filter * -ErrorAction Stop | ForEach-Object { [PSCustomObject]@{ Name = $_.Name Source = $_.Source Target = $_.Target Direction = $_.Direction TrustType = $_.TrustType ForestTransitive = $_.ForestTransitive IntraForest = $_.IntraForest SIDFilteringForestAware = $_.SIDFilteringForestAware SIDFilteringQuarantined = $_.SIDFilteringQuarantined SelectiveAuthentication = $_.SelectiveAuthentication TrustAttributes = $_.TrustAttributes IsTreeParent = $_.IsTreeParent IsTreeRoot = $_.IsTreeRoot } } # Cross-forest enumeration attempt foreach ($trust in $trusts) { if ($trust.ForestTransitive -and $trust.Direction -in @('BiDirectional','Inbound')) { try { $remoteDomain = Get-ADDomain -Server $trust.Target ` -ErrorAction Stop $trust | Add-Member -NotePropertyName "RemoteDomainMode" ` -NotePropertyValue $remoteDomain.DomainMode $trust | Add-Member -NotePropertyName "RemoteDNSRoot" ` -NotePropertyValue $remoteDomain.DNSRoot } catch { Write-Verbose "Could not query remote domain $($trust.Target): $_" } } } $trusts | ConvertTo-Json -Depth 10 | Out-File (Join-Path $trustDir "TrustMap.json") -Encoding UTF8 Write-Verbose "Trust map exported to $trustDir" return [PSCustomObject]@{ Status = "Success" TrustCount = $trusts.Count OutputDir = $trustDir } } catch { Write-Error "Trust map export failed: $_" return [PSCustomObject]@{ Status = "Failed"; Error = $_.Exception.Message } } }</w:t>
      </w:r>
    </w:p>
    <w:p>
      <w:pPr>
        <w:pStyle w:val="BodyText"/>
      </w:pPr>
      <w:r>
        <w:t xml:space="preserve">5.2.9 Export-FMPPKIInventory</w:t>
      </w:r>
    </w:p>
    <w:p>
      <w:pPr>
        <w:pStyle w:val="BodyText"/>
      </w:pPr>
      <w:r>
        <w:t xml:space="preserve">function Export-FMPPKIInventory { [CmdletBinding] param( [Parameter(Mandatory)] [string]$OutputPath ) Write-Verbose "Exporting PKI inventory..." try { $pkiDir = Join-Path $OutputPath "PKI" New-Item -ItemType Directory -Path $pkiDir -Force | Out-Null $configDN = (Get-ADRootDSE).configurationNamingContext $pkiBase = "CN=Public Key Services,CN=Services,$configDN" # CA Discovery $cas = Get-ADObject -SearchBase "CN=Enrollment Services,$pkiBase" ` -Filter * -Properties * -ErrorAction Stop | ForEach-Object { [PSCustomObject]@{ Name = $_.Name DNSHostName = $_.dNSHostName DisplayName = $_.DisplayName CACertificate = ($_.cACertificate | Measure-Object).Count CertTemplates = $_.certificateTemplates DN = $_.DistinguishedName } } # Certificate Templates $templates = Get-ADObject -SearchBase "CN=Certificate Templates,$pkiBase" ` -Filter * -Properties * -ErrorAction Stop | ForEach-Object { $acl = Get-Acl "AD:\$($_.DistinguishedName)" -ErrorAction SilentlyContinue $enrollPerms = @ if ($acl) { $enrollPerms = $acl.Access | Where-Object { $_.ActiveDirectoryRights -match 'ExtendedRight' -and ($_.ObjectType -eq '0e10c968-78fb-11d2-90d4-00c04f79dc55' -or # Enroll $_.ObjectType -eq 'a05b8cc2-17bc-4802-a710-e7c15ab866a2') # AutoEnroll } | ForEach-Object { [PSCustomObject]@{ Identity = $_.IdentityReference.Value Right = if ($_.ObjectType -eq '0e10c968-78fb-11d2-90d4-00c04f79dc55') { 'Enroll' } else { 'AutoEnroll' } AccessType = $_.AccessControlType } } } # ESC Detection Flags $flags = $_.'msPKI-Certificate-Name-Flag' $enrollmentFlag = $_.'msPKI-Enrollment-Flag' $eku = $_.'pKIExtendedKeyUsage' $escFindings = @ # ESC1: SAN flag + low-priv enroll if ($flags -band 1) { # CT_FLAG_ENROLLEE_SUPPLIES_SUBJECT $lowPrivEnroll = $enrollPerms | Where-Object { $_.Identity -match 'Authenticated Users|Domain Users|Everyone' } if ($lowPrivEnroll) { $escFindings += "ESC1: Enrollee supplies SAN + low-priv enroll" } } # ESC2: Any Purpose EKU or no EKU if (-not $eku -or $eku -contains '2.5.29.37.0') { $escFindings += "ESC2: Any Purpose or no EKU restriction" } # ESC4: Low-priv write on template if ($acl) { $writePerms = $acl.Access | Where-Object { $_.ActiveDirectoryRights -match 'WriteProperty|WriteDacl|WriteOwner|GenericAll|GenericWrite' -and $_.IdentityReference -match 'Authenticated Users|Domain Users|Everyone' } if ($writePerms) { $escFindings += "ESC4: Low-priv write on template" } } [PSCustomObject]@{ Name = $_.Name DisplayName = $_.DisplayName TemplateName = $_.'msPKI-Cert-Template-OID' SchemaVersion = $_.'msPKI-Template-Schema-Version' ValidityPeriod = $_.'pKIExpirationPeriod' RenewalPeriod = $_.'pKIOverlapPeriod' EKU = $eku -join '; ' NameFlags = $flags EnrollmentFlags = $enrollmentFlag EnrollPermissions = $enrollPerms ESCFindings = $escFindings DN = $_.DistinguishedName } } # AIA / CDP $aia = Get-ADObject -SearchBase "CN=AIA,$pkiBase" -Filter * ` -Properties * -ErrorAction SilentlyContinue $cdp = Get-ADObject -SearchBase "CN=CDP,$pkiBase" -Filter * ` -Properties * -ErrorAction SilentlyContinue # ESC vulnerability summary $escVulns = $templates | Where-Object { $_.ESCFindings.Count -gt 0 } | ForEach-Object { [PSCustomObject]@{ TemplateName = $_.Name Findings = $_.ESCFindings -join '; ' EnrollAccess = ($_.EnrollPermissions | ForEach-Object { "$($_.Identity):$($_.Right)" }) -join '; ' } } # Outputs $cas | ConvertTo-Json -Depth 10 | Out-File (Join-Path $pkiDir "CADiscovery.json") -Encoding UTF8 $templates | ConvertTo-Json -Depth 10 | Out-File (Join-Path $pkiDir "CertTemplates.json") -Encoding UTF8 $escVulns | Export-Csv (Join-Path $pkiDir "ESCVulnerabilities.csv") ` -NoTypeInformation [PSCustomObject]@{ CAs = $cas AIA = $aia CDP = $cdp Templates = $templates } | ConvertTo-Json -Depth 10 | Out-File (Join-Path $pkiDir "PKIInventory.json") -Encoding UTF8 Write-Verbose "PKI inventory exported to $pkiDir" return [PSCustomObject]@{ Status = "Success" CACount = $cas.Count TemplateCount = $templates.Count ESCVulnerabilities = $escVulns.Count OutputDir = $pkiDir } } catch { Write-Error "PKI inventory export failed: $_" return [PSCustomObject]@{ Status = "Failed"; Error = $_.Exception.Message } } }</w:t>
      </w:r>
    </w:p>
    <w:p>
      <w:pPr>
        <w:pStyle w:val="BodyText"/>
      </w:pPr>
      <w:r>
        <w:t xml:space="preserve">5.2.10 Export-FMPDNSBaseline</w:t>
      </w:r>
    </w:p>
    <w:p>
      <w:pPr>
        <w:pStyle w:val="BodyText"/>
      </w:pPr>
      <w:r>
        <w:t xml:space="preserve">function Export-FMPDNSBaseline { [CmdletBinding] param( [Parameter(Mandatory)] [string]$OutputPath ) Write-Verbose "Exporting DNS baseline..." try { $dnsDir = Join-Path $OutputPath "DNS" New-Item -ItemType Directory -Path $dnsDir -Force | Out-Null $domain = (Get-ADDomain).DNSRoot # AD-integrated zone discovery $zones = @ $zoneDNs = @( "CN=MicrosoftDNS,DC=DomainDnsZones,DC=$($domain -replace '\.',',DC=')", "CN=MicrosoftDNS,DC=ForestDnsZones,DC=$($domain -replace '\.',',DC=')" ) foreach ($base in $zoneDNs) { try { $zoneObjs = Get-ADObject -SearchBase $base ` -Filter 'objectClass -eq "dnsZone"' ` -Properties Name, WhenCreated, WhenChanged ` -ErrorAction Stop foreach ($z in $zoneObjs) { $zones += [PSCustomObject]@{ ZoneName = $z.Name Partition = if ($base -match 'ForestDnsZones') { 'ForestDnsZones' } else { 'DomainDnsZones' } WhenCreated = $z.WhenCreated WhenChanged = $z.WhenChanged } } } catch { Write-Warning "Could not query zone base $base : $_" } } # SRV record validation $srvRecords = @( "_ldap._tcp.dc._msdcs.$domain", "_kerberos._tcp.dc._msdcs.$domain", "_ldap._tcp.$domain", "_kerberos._tcp.$domain", "_gc._tcp.$domain", "_kpasswd._tcp.$domain", "_ldap._tcp.pdc._msdcs.$domain" ) $srvResults = foreach ($srv in $srvRecords) { try { $result = Resolve-DnsName $srv -Type SRV -ErrorAction Stop [PSCustomObject]@{ Query = $srv Status = "OK" RecordCount = ($result | Measure-Object).Count Targets = ($result | Where-Object { $_.Type -eq 'SRV' } | ForEach-Object { $_.NameTarget }) -join '; ' } } catch { [PSCustomObject]@{ Query = $srv Status = "FAILED" RecordCount = 0 Targets = $_.Exception.Message } } } # Forward/reverse lookup validation for DCs $dcs = Get-ADDomainController -Filter * -ErrorAction Stop $lookupResults = foreach ($dc in $dcs) { $fwd = $null; $rev = $null try { $fwd = Resolve-DnsName $dc.HostName -ErrorAction Stop | Select-Object -First 1 } catch { } try { if ($dc.IPv4Address) { $rev = Resolve-DnsName $dc.IPv4Address -ErrorAction Stop | Select-Object -First 1 } } catch { } [PSCustomObject]@{ DC = $dc.Name HostName = $dc.HostName ForwardLookup = if ($fwd) { "OK" } else { "FAILED" } ReverseLookup = if ($rev) { "OK" } else { "FAILED" } } } # Outputs [PSCustomObject]@{ Timestamp = (Get-Date -Format "o") Domain = $domain Zones = $zones SRVResults = $srvResults DCLookups = $lookupResults } | ConvertTo-Json -Depth 10 | Out-File (Join-Path $dnsDir "DNSBaseline.json") -Encoding UTF8 $srvResults | Export-Csv (Join-Path $dnsDir "SRVValidation.csv") ` -NoTypeInformation Write-Verbose "DNS baseline exported to $dnsDir" return [PSCustomObject]@{ Status = "Success" ZoneCount = $zones.Count SRVRecords = $srvResults.Count SRVFailures = ($srvResults | Where-Object Status -eq "FAILED").Count OutputDir = $dnsDir } } catch { Write-Error "DNS baseline export failed: $_" return [PSCustomObject]@{ Status = "Failed"; Error = $_.Exception.Message } } }</w:t>
      </w:r>
    </w:p>
    <w:p>
      <w:pPr>
        <w:pStyle w:val="BodyText"/>
      </w:pPr>
      <w:r>
        <w:t xml:space="preserve">5.2.11 Export-FMPACLReport</w:t>
      </w:r>
    </w:p>
    <w:p>
      <w:pPr>
        <w:pStyle w:val="BodyText"/>
      </w:pPr>
      <w:r>
        <w:t xml:space="preserve">function Export-FMPACLReport { [CmdletBinding] param( [Parameter(Mandatory)] [string]$OutputPath ) Write-Verbose "Exporting ACL report..." try { $aclDir = Join-Path $OutputPath "ACLs" New-Item -ItemType Directory -Path $aclDir -Force | Out-Null # Build GUID-to-name map from schema $schemaPath = (Get-ADRootDSE).schemaNamingContext $guidMap = @{} Get-ADObject -SearchBase $schemaPath ` -LDAPFilter '(schemaIdGuid=*)' ` -Properties lDAPDisplayName, schemaIdGuid ` -ErrorAction SilentlyContinue | ForEach-Object { $guid = [System.GUID]$_.schemaIdGuid $guidMap[$guid.ToString] = $_.lDAPDisplayName } # Extended rights GUID map $configDN = (Get-ADRootDSE).configurationNamingContext Get-ADObject -SearchBase "CN=Extended-Rights,$configDN" ` -Filter * -Properties rightsGuid, displayName ` -ErrorAction SilentlyContinue | ForEach-Object { $guidMap[$_.rightsGuid] = $_.displayName } # OU-level delegation $ous = Get-ADOrganizationalUnit -Filter * -ErrorAction Stop $ouDelegation = foreach ($ou in $ous) { try { $acl = Get-Acl "AD:\$($ou.DistinguishedName)" -ErrorAction Stop $nonInherited = $acl.Access | Where-Object { -not $_.IsInherited } foreach ($ace in $nonInherited) { $resolvedRight = $guidMap[$ace.ObjectType.ToString] [PSCustomObject]@{ OU = $ou.DistinguishedName Identity = $ace.IdentityReference.Value Rights = $ace.ActiveDirectoryRights AccessType = $ace.AccessControlType ObjectType = $ace.ObjectType ResolvedRight = $resolvedRight InheritanceType = $ace.InheritanceType Inherited = $ace.IsInherited } } } catch { Write-Warning "Could not read ACL for $($ou.DistinguishedName): $_" } } # AdminSDHolder ACL $domainDN = (Get-ADDomain).DistinguishedName $adminSDHolderDN = "CN=AdminSDHolder,CN=System,$domainDN" $adminSDHolderACL = @ try { $acl = Get-Acl "AD:\$adminSDHolderDN" -ErrorAction Stop $adminSDHolderACL = $acl.Access | ForEach-Object { [PSCustomObject]@{ Identity = $_.IdentityReference.Value Rights = $_.ActiveDirectoryRights AccessType = $_.AccessControlType ObjectType = $_.ObjectType ResolvedRight = $guidMap[$_.ObjectType.ToString] InheritanceType = $_.InheritanceType } } } catch { Write-Warning "Could not read AdminSDHolder ACL: $_" } # Outputs $ouDelegation | ConvertTo-Json -Depth 10 | Out-File (Join-Path $aclDir "OUDelegation.json") -Encoding UTF8 $adminSDHolderACL | ConvertTo-Json -Depth 10 | Out-File (Join-Path $aclDir "AdminSDHolder.json") -Encoding UTF8 Write-Verbose "ACL report exported to $aclDir" return [PSCustomObject]@{ Status = "Success" OUsAnalyzed = $ous.Count DelegationEntries = ($ouDelegation | Measure-Object).Count AdminSDHolderACEs = $adminSDHolderACL.Count OutputDir = $aclDir } } catch { Write-Error "ACL report export failed: $_" return [PSCustomObject]@{ Status = "Failed"; Error = $_.Exception.Message } } }</w:t>
      </w:r>
    </w:p>
    <w:p>
      <w:pPr>
        <w:pStyle w:val="BodyText"/>
      </w:pPr>
      <w:r>
        <w:t xml:space="preserve">5.2.12 Export-FMPSchemaExtensions</w:t>
      </w:r>
    </w:p>
    <w:p>
      <w:pPr>
        <w:pStyle w:val="BodyText"/>
      </w:pPr>
      <w:r>
        <w:t xml:space="preserve">function Export-FMPSchemaExtensions { [CmdletBinding] param( [Parameter(Mandatory)] [string]$OutputPath ) Write-Verbose "Exporting schema extensions..." try { $schemaDir = Join-Path $OutputPath "Schema" New-Item -ItemType Directory -Path $schemaDir -Force | Out-Null $schemaDN = (Get-ADRootDSE).schemaNamingContext # Custom / extension attributes (OID 1.2.840.113556.1.8000.*) $extensions = Get-ADObject -SearchBase $schemaDN ` -LDAPFilter '(attributeId=1.2.840.113556.1.8000.*)' ` -Properties lDAPDisplayName, attributeId, attributeSyntax, isSingleValued, searchFlags, systemFlags, WhenCreated, WhenChanged -ErrorAction Stop | ForEach-Object { $sf = [int]$_.searchFlags [PSCustomObject]@{ Name = $_.lDAPDisplayName OID = $_.attributeId Syntax = $_.attributeSyntax SingleValued = $_.isSingleValued SearchFlags = $sf IsIndexed =</w:t>
      </w:r>
      <w:r>
        <w:t xml:space="preserve"> </w:t>
      </w:r>
      <w:r>
        <w:t xml:space="preserve"> IsConfidential =</w:t>
      </w:r>
      <w:r>
        <w:t xml:space="preserve"> </w:t>
      </w:r>
      <w:r>
        <w:t xml:space="preserve"> IsCopied =</w:t>
      </w:r>
      <w:r>
        <w:t xml:space="preserve"> </w:t>
      </w:r>
      <w:r>
        <w:t xml:space="preserve"> WhenCreated = $_.WhenCreated WhenChanged = $_.WhenChanged DN = $_.DistinguishedName } } # All confidential attributes (any OID) $confidential = Get-ADObject -SearchBase $schemaDN ` -LDAPFilter '(&amp;(objectClass=attributeSchema)(searchFlags:1.2.840.113556.1.4.803:=128))' ` -Properties lDAPDisplayName, attributeId, searchFlags ` -ErrorAction Stop | ForEach-Object { [PSCustomObject]@{ Name = $_.lDAPDisplayName OID = $_.attributeId SearchFlags = $_.searchFlags } } # All indexed attributes $indexed = Get-ADObject -SearchBase $schemaDN ` -LDAPFilter '(&amp;(objectClass=attributeSchema)(searchFlags:1.2.840.113556.1.4.803:=1))' ` -Properties lDAPDisplayName, attributeId ` -ErrorAction SilentlyContinue | ForEach-Object { [PSCustomObject]@{ Name = $_.lDAPDisplayName OID = $_.attributeId } } # Outputs $extensions | ConvertTo-Json -Depth 10 | Out-File (Join-Path $schemaDir "SchemaExtensions.json") -Encoding UTF8 $confidential | Export-Csv (Join-Path $schemaDir "ConfidentialAttributes.csv") ` -NoTypeInformation Write-Verbose "Schema extensions exported to $schemaDir" return [PSCustomObject]@{ Status = "Success" ExtensionAttributes = $extensions.Count ConfidentialAttributes = $confidential.Count IndexedAttributes = $indexed.Count OutputDir = $schemaDir } } catch { Write-Error "Schema extensions export failed: $_" return [PSCustomObject]@{ Status = "Failed"; Error = $_.Exception.Message } } }</w:t>
      </w:r>
    </w:p>
    <w:p>
      <w:pPr>
        <w:pStyle w:val="BodyText"/>
      </w:pPr>
      <w:r>
        <w:t xml:space="preserve">5.2.13 Invoke-FMPReadOnlyAssessment (Master Orchestrator)</w:t>
      </w:r>
    </w:p>
    <w:p>
      <w:pPr>
        <w:pStyle w:val="BodyText"/>
      </w:pPr>
      <w:r>
        <w:t xml:space="preserve">function Invoke-FMPReadOnlyAssessment { [CmdletBinding] param( [Parameter] [string]$BasePath = "D:\FMP\Assessment\ReadOnly" ) $domain = (Get-ADDomain).DNSRoot $timestamp = Get-Date -Format "yyyy-MM-ddTHHmm" $outputPath = Join-Path $BasePath "$domain\$timestamp" New-Item -ItemType Directory -Path $outputPath -Force | Out-Null Write-Host "=====================================================" -ForegroundColor Cyan Write-Host " the Federal Modernization Program Read-Only Active Directory Assessment" -ForegroundColor Cyan Write-Host " Domain: $domain" -ForegroundColor Cyan Write-Host " Output: $outputPath" -ForegroundColor Cyan Write-Host " Started: $(Get-Date -Format 'o')" -ForegroundColor Cyan Write-Host "=====================================================" -ForegroundColor Cyan $manifest = [PSCustomObject]@{ AssessmentType = "ReadOnly" Framework = "FMP" ForestName = $domain AssessedBy = "$env:USERDOMAIN\$env:USERNAME" Timestamp = (Get-Date -Format "o") Classification = "Controlled" Boundary = "GCC-Moderate" CoverageScore = 0 OutputPath = $outputPath Outputs = @ Gaps = @ Hashes = @ } # Step 1: Pre-flight Write-Host "`n[1/12] Running pre-flight checks..." -ForegroundColor Yellow $preflight = Test-FMPReadAccess -OutputPath $outputPath -Verbose:$VerbosePreference $manifest.Outputs += @{ Name = "ReadAccessReport"; File = "ReadAccessReport.json" Status = "Complete" } # Step 2-12: Export functions $exportFunctions = @( @{ Step = 2; Name = "ForestTopology"; Fn = "Export-FMPForestTopology" }, @{ Step = 3; Name = "OUHierarchy"; Fn = "Export-FMPOUHierarchy" }, @{ Step = 4; Name = "GPOInventory"; Fn = "Export-FMPGPOInventory" }, @{ Step = 5; Name = "ComputerInventory"; Fn = "Export-FMPComputerInventory" }, @{ Step = 6; Name = "UserInventory"; Fn = "Export-FMPUserInventory" }, @{ Step = 7; Name = "GroupInventory"; Fn = "Export-FMPGroupInventory" }, @{ Step = 8; Name = "TrustMap"; Fn = "Export-FMPTrustMap" }, @{ Step = 9; Name = "PKIInventory"; Fn = "Export-FMPPKIInventory" }, @{ Step = 10; Name = "DNSBaseline"; Fn = "Export-FMPDNSBaseline" }, @{ Step = 11; Name = "ACLReport"; Fn = "Export-FMPACLReport" }, @{ Step = 12; Name = "SchemaExtensions"; Fn = "Export-FMPSchemaExtensions" } ) foreach ($exp in $exportFunctions) { Write-Host "`n[$($exp.Step)/12] Exporting $($exp.Name)..." -ForegroundColor Yellow try { $result = &amp; $exp.Fn -OutputPath $outputPath -Verbose:$VerbosePreference $manifest.Outputs += @{ Name = $exp.Name Status = $result.Status Detail = $result } } catch { Write-Warning "FAILED: $($exp.Name) - $_" $manifest.Outputs += @{ Name = $exp.Name Status = "Failed" Error = $_.Exception.Message } } } # Calculate coverage score $scores = @{ ForestTopology = 100; OUHierarchy = 100 GPOInventory = 100; ComputerInventory = 95 UserInventory = 95; GroupInventory = 100 TrustMap = 100; PKIInventory = 95 DNSBaseline = 60; ACLReport = 85 SchemaExtensions = 100 } $manifest.CoverageScore = [math]::Round( ($scores.Values | Measure-Object -Average).Average ) # Identify gaps $manifest.Gaps = @( "DNS Scavenging Configuration (requires DNS Admin)", "Deleted Objects / Tombstones (requires delegation)", "Issued Certificate Database (requires CA Admin)", "LAPS Passwords (requires delegation)", "BitLocker Recovery Keys (requires delegation)", "Event Logs on DCs (requires local admin)", "Replication Health Details (requires Replicating Directory Changes)" ) # Generate file hashes $allFiles = Get-ChildItem $outputPath -Recurse -File $manifest.Hashes = $allFiles | ForEach-Object { [PSCustomObject]@{ File = $_.FullName.Replace($outputPath, '.') SHA256 = (Get-FileHash $_.FullName -Algorithm SHA256).Hash } } # Save manifest $manifestPath = Join-Path $outputPath "AssessmentManifest.json" $manifest | ConvertTo-Json -Depth 10 | Out-File $manifestPath -Encoding UTF8 Write-Host "`n=====================================================" -ForegroundColor Green Write-Host " Assessment Complete" -ForegroundColor Green Write-Host " Coverage Score: $($manifest.CoverageScore)%" -ForegroundColor Green Write-Host " Output: $outputPath" -ForegroundColor Green Write-Host " Manifest: $manifestPath" -ForegroundColor Green Write-Host "=====================================================" -ForegroundColor Green return $manifest }</w:t>
      </w:r>
    </w:p>
    <w:p>
      <w:pPr>
        <w:pStyle w:val="BodyText"/>
      </w:pPr>
      <w:r>
        <w:t xml:space="preserve">6. Output Directory Structure</w:t>
      </w:r>
    </w:p>
    <w:p>
      <w:pPr>
        <w:pStyle w:val="BodyText"/>
      </w:pPr>
      <w:r>
        <w:t xml:space="preserve">The master orchestrator (Invoke-FMPReadOnlyAssessment) creates the following directory tree. All output is organized by assessment domain within a timestamped, domain-specific root.</w:t>
      </w:r>
    </w:p>
    <w:tbl>
      <w:tblPr>
        <w:tblStyle w:val="Table"/>
        <w:tblW w:type="pct" w:w="4990"/>
        <w:tblLayout w:type="fixed"/>
        <w:tblLook w:firstRow="0" w:lastRow="0" w:firstColumn="0" w:lastColumn="0" w:noHBand="0" w:noVBand="0" w:val="0000"/>
      </w:tblPr>
      <w:tblGrid>
        <w:gridCol w:w="7904"/>
      </w:tblGrid>
      <w:tr>
        <w:tc>
          <w:tcPr/>
          <w:p>
            <w:pPr>
              <w:pStyle w:val="Compact"/>
              <w:jc w:val="left"/>
            </w:pPr>
            <w:r>
              <w:t xml:space="preserve">D:\FMP\Assessment\ReadOnly\ └── contoso.com\ └── 2026-04-20T2032\ ├── AssessmentManifest.json ├── ReadAccessReport.json ├── ForestTopology.json ├── OUHierarchy.json ├── OUTree.txt ├── GPO\ │ ├── GPOInventory.json │ ├── GPOLinks.csv │ ├── UnlinkedGPOs.csv │ ├── EmptyGPOs.csv │ └── Reports\ │ ├── {GPO-GUID-1}.xml │ └── {GPO-GUID-N}.xml ├── Computers\ │ ├── ComputerInventory.json │ ├── StaleComputers.csv │ └── ComputersByOS.csv ├── Users\ │ ├── UserInventory.json │ ├── PrivilegedUsers.csv │ ├── ServiceAccounts.csv │ └── StaleUsers.csv ├── Groups\ │ ├── GroupInventory.json │ ├── EmptyGroups.csv │ └── NestingReport.csv ├── Trusts\ │ └── TrustMap.json ├── PKI\ │ ├── PKIInventory.json │ ├── CertTemplates.json │ ├── ESCVulnerabilities.csv │ └── CADiscovery.json ├── DNS\ │ ├── DNSBaseline.json │ └── SRVValidation.csv ├── ACLs\ │ ├── OUDelegation.json │ └── AdminSDHolder.json ├── Schema\ │ ├── SchemaExtensions.json │ └── ConfidentialAttributes.csv └── Dashboard.html</w:t>
            </w:r>
          </w:p>
        </w:tc>
      </w:tr>
    </w:tbl>
    <w:p/>
    <w:tbl>
      <w:tblPr>
        <w:tblStyle w:val="Table"/>
        <w:tblW w:type="pct" w:w="5019"/>
        <w:tblLayout w:type="fixed"/>
        <w:tblLook w:firstRow="0" w:lastRow="0" w:firstColumn="0" w:lastColumn="0" w:noHBand="0" w:noVBand="0" w:val="0000"/>
      </w:tblPr>
      <w:tblGrid>
        <w:gridCol w:w="7949"/>
      </w:tblGrid>
      <w:tr>
        <w:tc>
          <w:tcPr/>
          <w:p>
            <w:pPr>
              <w:pStyle w:val="FirstParagraph"/>
            </w:pPr>
            <w:r>
              <w:rPr>
                <w:b/>
                <w:bCs/>
              </w:rPr>
              <w:t xml:space="preserve">Storage Requirement</w:t>
            </w:r>
          </w:p>
          <w:p>
            <w:pPr>
              <w:pStyle w:val="BodyText"/>
            </w:pPr>
            <w:r>
              <w:t xml:space="preserve">All assessment output must be stored on encrypted volumes. Assessment output contains sensitive organizational data including privileged group memberships, service account SPNs, certificate template ACLs, and delegation maps. Classify all output as</w:t>
            </w:r>
            <w:r>
              <w:t xml:space="preserve"> </w:t>
            </w:r>
            <w:r>
              <w:rPr>
                <w:b/>
                <w:bCs/>
              </w:rPr>
              <w:t xml:space="preserve">Controlled</w:t>
            </w:r>
            <w:r>
              <w:t xml:space="preserve">.</w:t>
            </w:r>
          </w:p>
        </w:tc>
      </w:tr>
    </w:tbl>
    <w:p>
      <w:pPr>
        <w:pStyle w:val="BodyText"/>
      </w:pPr>
      <w:r>
        <w:t xml:space="preserve">7. Gap Analysis: What Requires Elevated Access</w:t>
      </w:r>
    </w:p>
    <w:p>
      <w:pPr>
        <w:pStyle w:val="BodyText"/>
      </w:pPr>
      <w:r>
        <w:t xml:space="preserve">The following capabilities cannot be performed with standard Authenticated Users permissions. Each entry documents the required permission, why it matters for assessment, and what mitigation or alternative is available.</w:t>
      </w:r>
    </w:p>
    <w:tbl>
      <w:tblPr>
        <w:tblStyle w:val="Table"/>
        <w:tblW w:type="pct" w:w="4962"/>
        <w:tblLayout w:type="fixed"/>
        <w:tblLook w:firstRow="1" w:lastRow="0" w:firstColumn="0" w:lastColumn="0" w:noHBand="0" w:noVBand="0" w:val="0020"/>
      </w:tblPr>
      <w:tblGrid>
        <w:gridCol w:w="926"/>
        <w:gridCol w:w="1046"/>
        <w:gridCol w:w="1972"/>
        <w:gridCol w:w="3915"/>
      </w:tblGrid>
      <w:tr>
        <w:trPr>
          <w:tblHeader w:val="on"/>
        </w:trPr>
        <w:tc>
          <w:tcPr/>
          <w:p>
            <w:pPr>
              <w:pStyle w:val="Compact"/>
              <w:jc w:val="left"/>
            </w:pPr>
            <w:r>
              <w:rPr>
                <w:b/>
                <w:bCs/>
              </w:rPr>
              <w:t xml:space="preserve">Capability</w:t>
            </w:r>
          </w:p>
        </w:tc>
        <w:tc>
          <w:tcPr/>
          <w:p>
            <w:pPr>
              <w:pStyle w:val="Compact"/>
              <w:jc w:val="left"/>
            </w:pPr>
            <w:r>
              <w:rPr>
                <w:b/>
                <w:bCs/>
              </w:rPr>
              <w:t xml:space="preserve">Required Permission</w:t>
            </w:r>
          </w:p>
        </w:tc>
        <w:tc>
          <w:tcPr/>
          <w:p>
            <w:pPr>
              <w:pStyle w:val="Compact"/>
              <w:jc w:val="left"/>
            </w:pPr>
            <w:r>
              <w:rPr>
                <w:b/>
                <w:bCs/>
              </w:rPr>
              <w:t xml:space="preserve">Why It Matters</w:t>
            </w:r>
          </w:p>
        </w:tc>
        <w:tc>
          <w:tcPr/>
          <w:p>
            <w:pPr>
              <w:pStyle w:val="Compact"/>
              <w:jc w:val="left"/>
            </w:pPr>
            <w:r>
              <w:rPr>
                <w:b/>
                <w:bCs/>
              </w:rPr>
              <w:t xml:space="preserve">Mitigation</w:t>
            </w:r>
          </w:p>
        </w:tc>
      </w:tr>
      <w:tr>
        <w:tc>
          <w:tcPr/>
          <w:p>
            <w:pPr>
              <w:pStyle w:val="Compact"/>
              <w:jc w:val="left"/>
            </w:pPr>
            <w:r>
              <w:t xml:space="preserve">Backup-GPO (file-level)</w:t>
            </w:r>
          </w:p>
        </w:tc>
        <w:tc>
          <w:tcPr/>
          <w:p>
            <w:pPr>
              <w:pStyle w:val="Compact"/>
              <w:jc w:val="left"/>
            </w:pPr>
            <w:r>
              <w:t xml:space="preserve">Backup Operators or Domain Admin</w:t>
            </w:r>
          </w:p>
        </w:tc>
        <w:tc>
          <w:tcPr/>
          <w:p>
            <w:pPr>
              <w:pStyle w:val="Compact"/>
              <w:jc w:val="left"/>
            </w:pPr>
            <w:r>
              <w:t xml:space="preserve">Full GPO backup for offline analysis and migration</w:t>
            </w:r>
          </w:p>
        </w:tc>
        <w:tc>
          <w:tcPr/>
          <w:p>
            <w:pPr>
              <w:pStyle w:val="Compact"/>
              <w:jc w:val="left"/>
            </w:pPr>
            <w:r>
              <w:t xml:space="preserve">Get-GPOReport -ReportType XML captures all settings — backup is redundant for assessment purposes</w:t>
            </w:r>
          </w:p>
        </w:tc>
      </w:tr>
      <w:tr>
        <w:tc>
          <w:tcPr/>
          <w:p>
            <w:pPr>
              <w:pStyle w:val="Compact"/>
              <w:jc w:val="left"/>
            </w:pPr>
            <w:r>
              <w:t xml:space="preserve">LAPS Password Read</w:t>
            </w:r>
          </w:p>
        </w:tc>
        <w:tc>
          <w:tcPr/>
          <w:p>
            <w:pPr>
              <w:pStyle w:val="Compact"/>
              <w:jc w:val="left"/>
            </w:pPr>
            <w:r>
              <w:t xml:space="preserve">ms-Mcs-AdmPwd Read delegation</w:t>
            </w:r>
          </w:p>
        </w:tc>
        <w:tc>
          <w:tcPr/>
          <w:p>
            <w:pPr>
              <w:pStyle w:val="Compact"/>
              <w:jc w:val="left"/>
            </w:pPr>
            <w:r>
              <w:t xml:space="preserve">Verify LAPS deployment coverage and password rotation</w:t>
            </w:r>
          </w:p>
        </w:tc>
        <w:tc>
          <w:tcPr/>
          <w:p>
            <w:pPr>
              <w:pStyle w:val="Compact"/>
              <w:jc w:val="left"/>
            </w:pPr>
            <w:r>
              <w:t xml:space="preserve">Can detect LAPS-enabled computers via ms-Mcs-AdmPwdExpirationTime without reading actual passwords — sufficient for assessment</w:t>
            </w:r>
          </w:p>
        </w:tc>
      </w:tr>
      <w:tr>
        <w:tc>
          <w:tcPr/>
          <w:p>
            <w:pPr>
              <w:pStyle w:val="Compact"/>
              <w:jc w:val="left"/>
            </w:pPr>
            <w:r>
              <w:t xml:space="preserve">BitLocker Recovery Keys</w:t>
            </w:r>
          </w:p>
        </w:tc>
        <w:tc>
          <w:tcPr/>
          <w:p>
            <w:pPr>
              <w:pStyle w:val="Compact"/>
              <w:jc w:val="left"/>
            </w:pPr>
            <w:r>
              <w:t xml:space="preserve">ms-FVE-RecoveryPassword Read</w:t>
            </w:r>
          </w:p>
        </w:tc>
        <w:tc>
          <w:tcPr/>
          <w:p>
            <w:pPr>
              <w:pStyle w:val="Compact"/>
              <w:jc w:val="left"/>
            </w:pPr>
            <w:r>
              <w:t xml:space="preserve">Verify BitLocker deployment and key escrow</w:t>
            </w:r>
          </w:p>
        </w:tc>
        <w:tc>
          <w:tcPr/>
          <w:p>
            <w:pPr>
              <w:pStyle w:val="Compact"/>
              <w:jc w:val="left"/>
            </w:pPr>
            <w:r>
              <w:t xml:space="preserve">Can detect BitLocker status via userAccountControl flags and msFVE-RecoveryInformation child objects</w:t>
            </w:r>
          </w:p>
        </w:tc>
      </w:tr>
      <w:tr>
        <w:tc>
          <w:tcPr/>
          <w:p>
            <w:pPr>
              <w:pStyle w:val="Compact"/>
              <w:jc w:val="left"/>
            </w:pPr>
            <w:r>
              <w:t xml:space="preserve">Replication Health</w:t>
            </w:r>
          </w:p>
        </w:tc>
        <w:tc>
          <w:tcPr/>
          <w:p>
            <w:pPr>
              <w:pStyle w:val="Compact"/>
              <w:jc w:val="left"/>
            </w:pPr>
            <w:r>
              <w:t xml:space="preserve">Replicating Directory Changes</w:t>
            </w:r>
          </w:p>
        </w:tc>
        <w:tc>
          <w:tcPr/>
          <w:p>
            <w:pPr>
              <w:pStyle w:val="Compact"/>
              <w:jc w:val="left"/>
            </w:pPr>
            <w:r>
              <w:t xml:space="preserve">Identify replication failures, latency, and convergence issues</w:t>
            </w:r>
          </w:p>
        </w:tc>
        <w:tc>
          <w:tcPr/>
          <w:p>
            <w:pPr>
              <w:pStyle w:val="Compact"/>
              <w:jc w:val="left"/>
            </w:pPr>
            <w:r>
              <w:t xml:space="preserve">repadmin /replsummary may work; otherwise request admin screenshot or SIEM data</w:t>
            </w:r>
          </w:p>
        </w:tc>
      </w:tr>
      <w:tr>
        <w:tc>
          <w:tcPr/>
          <w:p>
            <w:pPr>
              <w:pStyle w:val="Compact"/>
              <w:jc w:val="left"/>
            </w:pPr>
            <w:r>
              <w:t xml:space="preserve">DNS Full Zone Transfer</w:t>
            </w:r>
          </w:p>
        </w:tc>
        <w:tc>
          <w:tcPr/>
          <w:p>
            <w:pPr>
              <w:pStyle w:val="Compact"/>
              <w:jc w:val="left"/>
            </w:pPr>
            <w:r>
              <w:t xml:space="preserve">DNS Admin or zone transfer ACL</w:t>
            </w:r>
          </w:p>
        </w:tc>
        <w:tc>
          <w:tcPr/>
          <w:p>
            <w:pPr>
              <w:pStyle w:val="Compact"/>
              <w:jc w:val="left"/>
            </w:pPr>
            <w:r>
              <w:t xml:space="preserve">Complete DNS record inventory for modernization planning</w:t>
            </w:r>
          </w:p>
        </w:tc>
        <w:tc>
          <w:tcPr/>
          <w:p>
            <w:pPr>
              <w:pStyle w:val="Compact"/>
              <w:jc w:val="left"/>
            </w:pPr>
            <w:r>
              <w:t xml:space="preserve">Targeted queries via Resolve-DnsName cover critical SRV/A/CNAME records</w:t>
            </w:r>
          </w:p>
        </w:tc>
      </w:tr>
      <w:tr>
        <w:tc>
          <w:tcPr/>
          <w:p>
            <w:pPr>
              <w:pStyle w:val="Compact"/>
              <w:jc w:val="left"/>
            </w:pPr>
            <w:r>
              <w:t xml:space="preserve">DNS Scavenging Config</w:t>
            </w:r>
          </w:p>
        </w:tc>
        <w:tc>
          <w:tcPr/>
          <w:p>
            <w:pPr>
              <w:pStyle w:val="Compact"/>
              <w:jc w:val="left"/>
            </w:pPr>
            <w:r>
              <w:t xml:space="preserve">DNS Admin</w:t>
            </w:r>
          </w:p>
        </w:tc>
        <w:tc>
          <w:tcPr/>
          <w:p>
            <w:pPr>
              <w:pStyle w:val="Compact"/>
              <w:jc w:val="left"/>
            </w:pPr>
            <w:r>
              <w:t xml:space="preserve">Identify stale record cleanup status, aging intervals</w:t>
            </w:r>
          </w:p>
        </w:tc>
        <w:tc>
          <w:tcPr/>
          <w:p>
            <w:pPr>
              <w:pStyle w:val="Compact"/>
              <w:jc w:val="left"/>
            </w:pPr>
            <w:r>
              <w:t xml:space="preserve">Request information from DNS admin; document as gap</w:t>
            </w:r>
          </w:p>
        </w:tc>
      </w:tr>
      <w:tr>
        <w:tc>
          <w:tcPr/>
          <w:p>
            <w:pPr>
              <w:pStyle w:val="Compact"/>
              <w:jc w:val="left"/>
            </w:pPr>
            <w:r>
              <w:t xml:space="preserve">Issued Certificate Database</w:t>
            </w:r>
          </w:p>
        </w:tc>
        <w:tc>
          <w:tcPr/>
          <w:p>
            <w:pPr>
              <w:pStyle w:val="Compact"/>
              <w:jc w:val="left"/>
            </w:pPr>
            <w:r>
              <w:t xml:space="preserve">CA Admin</w:t>
            </w:r>
          </w:p>
        </w:tc>
        <w:tc>
          <w:tcPr/>
          <w:p>
            <w:pPr>
              <w:pStyle w:val="Compact"/>
              <w:jc w:val="left"/>
            </w:pPr>
            <w:r>
              <w:t xml:space="preserve">Identify all issued certificates, pending requests, revocations</w:t>
            </w:r>
          </w:p>
        </w:tc>
        <w:tc>
          <w:tcPr/>
          <w:p>
            <w:pPr>
              <w:pStyle w:val="Compact"/>
              <w:jc w:val="left"/>
            </w:pPr>
            <w:r>
              <w:t xml:space="preserve">Template ACL analysis + enrollment log review covers risk assessment</w:t>
            </w:r>
          </w:p>
        </w:tc>
      </w:tr>
      <w:tr>
        <w:tc>
          <w:tcPr/>
          <w:p>
            <w:pPr>
              <w:pStyle w:val="Compact"/>
              <w:jc w:val="left"/>
            </w:pPr>
            <w:r>
              <w:t xml:space="preserve">Deleted Objects Enumeration</w:t>
            </w:r>
          </w:p>
        </w:tc>
        <w:tc>
          <w:tcPr/>
          <w:p>
            <w:pPr>
              <w:pStyle w:val="Compact"/>
              <w:jc w:val="left"/>
            </w:pPr>
            <w:r>
              <w:t xml:space="preserve">Delegation on CN=Deleted Objects</w:t>
            </w:r>
          </w:p>
        </w:tc>
        <w:tc>
          <w:tcPr/>
          <w:p>
            <w:pPr>
              <w:pStyle w:val="Compact"/>
              <w:jc w:val="left"/>
            </w:pPr>
            <w:r>
              <w:t xml:space="preserve">Identify recently deleted objects for recovery or audit</w:t>
            </w:r>
          </w:p>
        </w:tc>
        <w:tc>
          <w:tcPr/>
          <w:p>
            <w:pPr>
              <w:pStyle w:val="Compact"/>
              <w:jc w:val="left"/>
            </w:pPr>
            <w:r>
              <w:t xml:space="preserve">AD Recycle Bin status check + request from admin if needed</w:t>
            </w:r>
          </w:p>
        </w:tc>
      </w:tr>
      <w:tr>
        <w:tc>
          <w:tcPr/>
          <w:p>
            <w:pPr>
              <w:pStyle w:val="Compact"/>
              <w:jc w:val="left"/>
            </w:pPr>
            <w:r>
              <w:t xml:space="preserve">Event Log Analysis</w:t>
            </w:r>
          </w:p>
        </w:tc>
        <w:tc>
          <w:tcPr/>
          <w:p>
            <w:pPr>
              <w:pStyle w:val="Compact"/>
              <w:jc w:val="left"/>
            </w:pPr>
            <w:r>
              <w:t xml:space="preserve">Local admin on DCs</w:t>
            </w:r>
          </w:p>
        </w:tc>
        <w:tc>
          <w:tcPr/>
          <w:p>
            <w:pPr>
              <w:pStyle w:val="Compact"/>
              <w:jc w:val="left"/>
            </w:pPr>
            <w:r>
              <w:t xml:space="preserve">Authentication patterns, security events, logon failures</w:t>
            </w:r>
          </w:p>
        </w:tc>
        <w:tc>
          <w:tcPr/>
          <w:p>
            <w:pPr>
              <w:pStyle w:val="Compact"/>
              <w:jc w:val="left"/>
            </w:pPr>
            <w:r>
              <w:t xml:space="preserve">Request log export from admin or SIEM access</w:t>
            </w:r>
          </w:p>
        </w:tc>
      </w:tr>
      <w:tr>
        <w:tc>
          <w:tcPr/>
          <w:p>
            <w:pPr>
              <w:pStyle w:val="Compact"/>
              <w:jc w:val="left"/>
            </w:pPr>
            <w:r>
              <w:t xml:space="preserve">dcdiag / Network Diagnostics</w:t>
            </w:r>
          </w:p>
        </w:tc>
        <w:tc>
          <w:tcPr/>
          <w:p>
            <w:pPr>
              <w:pStyle w:val="Compact"/>
              <w:jc w:val="left"/>
            </w:pPr>
            <w:r>
              <w:t xml:space="preserve">Local admin on DCs</w:t>
            </w:r>
          </w:p>
        </w:tc>
        <w:tc>
          <w:tcPr/>
          <w:p>
            <w:pPr>
              <w:pStyle w:val="Compact"/>
              <w:jc w:val="left"/>
            </w:pPr>
            <w:r>
              <w:t xml:space="preserve">DC health validation, service status, connectivity</w:t>
            </w:r>
          </w:p>
        </w:tc>
        <w:tc>
          <w:tcPr/>
          <w:p>
            <w:pPr>
              <w:pStyle w:val="Compact"/>
              <w:jc w:val="left"/>
            </w:pPr>
            <w:r>
              <w:t xml:space="preserve">Limited external testing via port checks; request admin output</w:t>
            </w:r>
          </w:p>
        </w:tc>
      </w:tr>
      <w:tr>
        <w:tc>
          <w:tcPr/>
          <w:p>
            <w:pPr>
              <w:pStyle w:val="Compact"/>
              <w:jc w:val="left"/>
            </w:pPr>
            <w:r>
              <w:t xml:space="preserve">Group Policy Modeling</w:t>
            </w:r>
          </w:p>
        </w:tc>
        <w:tc>
          <w:tcPr/>
          <w:p>
            <w:pPr>
              <w:pStyle w:val="Compact"/>
              <w:jc w:val="left"/>
            </w:pPr>
            <w:r>
              <w:t xml:space="preserve">Group Policy Modeling permission</w:t>
            </w:r>
          </w:p>
        </w:tc>
        <w:tc>
          <w:tcPr/>
          <w:p>
            <w:pPr>
              <w:pStyle w:val="Compact"/>
              <w:jc w:val="left"/>
            </w:pPr>
            <w:r>
              <w:t xml:space="preserve">Simulate RSoP for planning and conflict resolution</w:t>
            </w:r>
          </w:p>
        </w:tc>
        <w:tc>
          <w:tcPr/>
          <w:p>
            <w:pPr>
              <w:pStyle w:val="Compact"/>
              <w:jc w:val="left"/>
            </w:pPr>
            <w:r>
              <w:t xml:space="preserve">Use Get-GPOReport XML analysis + manual link tracing</w:t>
            </w:r>
          </w:p>
        </w:tc>
      </w:tr>
      <w:tr>
        <w:tc>
          <w:tcPr/>
          <w:p>
            <w:pPr>
              <w:pStyle w:val="Compact"/>
              <w:jc w:val="left"/>
            </w:pPr>
            <w:r>
              <w:t xml:space="preserve">SYSVOL DFS Health</w:t>
            </w:r>
          </w:p>
        </w:tc>
        <w:tc>
          <w:tcPr/>
          <w:p>
            <w:pPr>
              <w:pStyle w:val="Compact"/>
              <w:jc w:val="left"/>
            </w:pPr>
            <w:r>
              <w:t xml:space="preserve">DFS Admin</w:t>
            </w:r>
          </w:p>
        </w:tc>
        <w:tc>
          <w:tcPr/>
          <w:p>
            <w:pPr>
              <w:pStyle w:val="Compact"/>
              <w:jc w:val="left"/>
            </w:pPr>
            <w:r>
              <w:t xml:space="preserve">Verify SYSVOL replication health and consistency</w:t>
            </w:r>
          </w:p>
        </w:tc>
        <w:tc>
          <w:tcPr/>
          <w:p>
            <w:pPr>
              <w:pStyle w:val="Compact"/>
              <w:jc w:val="left"/>
            </w:pPr>
            <w:r>
              <w:t xml:space="preserve">SYSVOL share access validates basic health; request dfsrdiag output</w:t>
            </w:r>
          </w:p>
        </w:tc>
      </w:tr>
    </w:tbl>
    <w:p>
      <w:pPr>
        <w:pStyle w:val="BodyText"/>
      </w:pPr>
      <w:r>
        <w:t xml:space="preserve">8. Delegation Request Template</w:t>
      </w:r>
    </w:p>
    <w:p>
      <w:pPr>
        <w:pStyle w:val="BodyText"/>
      </w:pPr>
      <w:r>
        <w:t xml:space="preserve">Use the following template to formally request targeted read-only delegations for the gaps identified in Section 7. This template is designed for submission to the AD administration team or security review board.</w:t>
      </w:r>
    </w:p>
    <w:p>
      <w:pPr>
        <w:pStyle w:val="BodyText"/>
      </w:pPr>
      <w:r>
        <w:rPr>
          <w:b/>
          <w:bCs/>
        </w:rPr>
        <w:t xml:space="preserve">TO:</w:t>
      </w:r>
      <w:r>
        <w:t xml:space="preserve"> </w:t>
      </w:r>
      <w:r>
        <w:t xml:space="preserve">Active Directory Administration Team / Security Review Board</w:t>
      </w:r>
    </w:p>
    <w:p>
      <w:pPr>
        <w:pStyle w:val="BodyText"/>
      </w:pPr>
      <w:r>
        <w:rPr>
          <w:b/>
          <w:bCs/>
        </w:rPr>
        <w:t xml:space="preserve">FROM:</w:t>
      </w:r>
      <w:r>
        <w:t xml:space="preserve"> </w:t>
      </w:r>
      <w:r>
        <w:t xml:space="preserve">[Assessment Team Lead Name], the Federal Modernization Program Assessment Team</w:t>
      </w:r>
    </w:p>
    <w:p>
      <w:pPr>
        <w:pStyle w:val="BodyText"/>
      </w:pPr>
      <w:r>
        <w:rPr>
          <w:b/>
          <w:bCs/>
        </w:rPr>
        <w:t xml:space="preserve">DATE:</w:t>
      </w:r>
      <w:r>
        <w:t xml:space="preserve"> </w:t>
      </w:r>
      <w:r>
        <w:t xml:space="preserve">[Date]</w:t>
      </w:r>
    </w:p>
    <w:p>
      <w:pPr>
        <w:pStyle w:val="BodyText"/>
      </w:pPr>
      <w:r>
        <w:rPr>
          <w:b/>
          <w:bCs/>
        </w:rPr>
        <w:t xml:space="preserve">RE:</w:t>
      </w:r>
      <w:r>
        <w:t xml:space="preserve"> </w:t>
      </w:r>
      <w:r>
        <w:t xml:space="preserve">Request for Targeted Read-Only Delegations — the Federal Modernization Program Active Directory Assessment</w:t>
      </w:r>
    </w:p>
    <w:p>
      <w:pPr>
        <w:pStyle w:val="BodyText"/>
      </w:pPr>
      <w:r>
        <w:t xml:space="preserve">1. Background</w:t>
      </w:r>
    </w:p>
    <w:p>
      <w:pPr>
        <w:pStyle w:val="BodyText"/>
      </w:pPr>
      <w:r>
        <w:t xml:space="preserve">The Federal Modernization Program Assessment Team has completed the Phase 0 (read-only) assessment of the [DOMAIN] Active Directory forest. Using only standard Authenticated Users permissions, the team captured approximately 87% of the required assessment data. This request seeks targeted, read-only delegations to close the remaining gaps.</w:t>
      </w:r>
    </w:p>
    <w:p>
      <w:pPr>
        <w:pStyle w:val="BodyText"/>
      </w:pPr>
      <w:r>
        <w:t xml:space="preserve">2. Requested Delegations</w:t>
      </w:r>
    </w:p>
    <w:tbl>
      <w:tblPr>
        <w:tblStyle w:val="Table"/>
        <w:tblW w:type="pct" w:w="4941"/>
        <w:tblLayout w:type="fixed"/>
        <w:tblLook w:firstRow="1" w:lastRow="0" w:firstColumn="0" w:lastColumn="0" w:noHBand="0" w:noVBand="0" w:val="0020"/>
      </w:tblPr>
      <w:tblGrid>
        <w:gridCol w:w="421"/>
        <w:gridCol w:w="1640"/>
        <w:gridCol w:w="2999"/>
        <w:gridCol w:w="2764"/>
      </w:tblGrid>
      <w:tr>
        <w:trPr>
          <w:tblHeader w:val="on"/>
        </w:trPr>
        <w:tc>
          <w:tcPr/>
          <w:p>
            <w:pPr>
              <w:pStyle w:val="Compact"/>
              <w:jc w:val="left"/>
            </w:pPr>
            <w:r>
              <w:rPr>
                <w:b/>
                <w:bCs/>
              </w:rPr>
              <w:t xml:space="preserve">#</w:t>
            </w:r>
          </w:p>
        </w:tc>
        <w:tc>
          <w:tcPr/>
          <w:p>
            <w:pPr>
              <w:pStyle w:val="Compact"/>
              <w:jc w:val="left"/>
            </w:pPr>
            <w:r>
              <w:rPr>
                <w:b/>
                <w:bCs/>
              </w:rPr>
              <w:t xml:space="preserve">Permission Requested</w:t>
            </w:r>
          </w:p>
        </w:tc>
        <w:tc>
          <w:tcPr/>
          <w:p>
            <w:pPr>
              <w:pStyle w:val="Compact"/>
              <w:jc w:val="left"/>
            </w:pPr>
            <w:r>
              <w:rPr>
                <w:b/>
                <w:bCs/>
              </w:rPr>
              <w:t xml:space="preserve">AD Object Path</w:t>
            </w:r>
          </w:p>
        </w:tc>
        <w:tc>
          <w:tcPr/>
          <w:p>
            <w:pPr>
              <w:pStyle w:val="Compact"/>
              <w:jc w:val="left"/>
            </w:pPr>
            <w:r>
              <w:rPr>
                <w:b/>
                <w:bCs/>
              </w:rPr>
              <w:t xml:space="preserve">Business Justification</w:t>
            </w:r>
          </w:p>
        </w:tc>
      </w:tr>
      <w:tr>
        <w:tc>
          <w:tcPr/>
          <w:p>
            <w:pPr>
              <w:pStyle w:val="Compact"/>
              <w:jc w:val="left"/>
            </w:pPr>
            <w:r>
              <w:t xml:space="preserve">1</w:t>
            </w:r>
          </w:p>
        </w:tc>
        <w:tc>
          <w:tcPr/>
          <w:p>
            <w:pPr>
              <w:pStyle w:val="Compact"/>
              <w:jc w:val="left"/>
            </w:pPr>
            <w:r>
              <w:t xml:space="preserve">Generic Read on DNS zones</w:t>
            </w:r>
          </w:p>
        </w:tc>
        <w:tc>
          <w:tcPr/>
          <w:p>
            <w:pPr>
              <w:pStyle w:val="Compact"/>
              <w:jc w:val="left"/>
            </w:pPr>
            <w:r>
              <w:t xml:space="preserve">CN=MicrosoftDNS,DC=DomainDnsZones,DC=contoso,DC=com</w:t>
            </w:r>
          </w:p>
        </w:tc>
        <w:tc>
          <w:tcPr/>
          <w:p>
            <w:pPr>
              <w:pStyle w:val="Compact"/>
              <w:jc w:val="left"/>
            </w:pPr>
            <w:r>
              <w:t xml:space="preserve">Complete DNS record inventory for modernization planning</w:t>
            </w:r>
          </w:p>
        </w:tc>
      </w:tr>
      <w:tr>
        <w:tc>
          <w:tcPr/>
          <w:p>
            <w:pPr>
              <w:pStyle w:val="Compact"/>
              <w:jc w:val="left"/>
            </w:pPr>
            <w:r>
              <w:t xml:space="preserve">2</w:t>
            </w:r>
          </w:p>
        </w:tc>
        <w:tc>
          <w:tcPr/>
          <w:p>
            <w:pPr>
              <w:pStyle w:val="Compact"/>
              <w:jc w:val="left"/>
            </w:pPr>
            <w:r>
              <w:t xml:space="preserve">Read on Deleted Objects</w:t>
            </w:r>
          </w:p>
        </w:tc>
        <w:tc>
          <w:tcPr/>
          <w:p>
            <w:pPr>
              <w:pStyle w:val="Compact"/>
              <w:jc w:val="left"/>
            </w:pPr>
            <w:r>
              <w:t xml:space="preserve">CN=Deleted Objects,DC=contoso,DC=com</w:t>
            </w:r>
          </w:p>
        </w:tc>
        <w:tc>
          <w:tcPr/>
          <w:p>
            <w:pPr>
              <w:pStyle w:val="Compact"/>
              <w:jc w:val="left"/>
            </w:pPr>
            <w:r>
              <w:t xml:space="preserve">Identify recently deleted objects for audit trail</w:t>
            </w:r>
          </w:p>
        </w:tc>
      </w:tr>
      <w:tr>
        <w:tc>
          <w:tcPr/>
          <w:p>
            <w:pPr>
              <w:pStyle w:val="Compact"/>
              <w:jc w:val="left"/>
            </w:pPr>
            <w:r>
              <w:t xml:space="preserve">3</w:t>
            </w:r>
          </w:p>
        </w:tc>
        <w:tc>
          <w:tcPr/>
          <w:p>
            <w:pPr>
              <w:pStyle w:val="Compact"/>
              <w:jc w:val="left"/>
            </w:pPr>
            <w:r>
              <w:t xml:space="preserve">Read ms-Mcs-AdmPwdExpirationTime</w:t>
            </w:r>
          </w:p>
        </w:tc>
        <w:tc>
          <w:tcPr/>
          <w:p>
            <w:pPr>
              <w:pStyle w:val="Compact"/>
              <w:jc w:val="left"/>
            </w:pPr>
            <w:r>
              <w:t xml:space="preserve">All computer objects (already readable — confirmation only)</w:t>
            </w:r>
          </w:p>
        </w:tc>
        <w:tc>
          <w:tcPr/>
          <w:p>
            <w:pPr>
              <w:pStyle w:val="Compact"/>
              <w:jc w:val="left"/>
            </w:pPr>
            <w:r>
              <w:t xml:space="preserve">LAPS deployment coverage verification</w:t>
            </w:r>
          </w:p>
        </w:tc>
      </w:tr>
      <w:tr>
        <w:tc>
          <w:tcPr/>
          <w:p>
            <w:pPr>
              <w:pStyle w:val="Compact"/>
              <w:jc w:val="left"/>
            </w:pPr>
            <w:r>
              <w:t xml:space="preserve">4</w:t>
            </w:r>
          </w:p>
        </w:tc>
        <w:tc>
          <w:tcPr/>
          <w:p>
            <w:pPr>
              <w:pStyle w:val="Compact"/>
              <w:jc w:val="left"/>
            </w:pPr>
            <w:r>
              <w:t xml:space="preserve">DNS Server module read access</w:t>
            </w:r>
          </w:p>
        </w:tc>
        <w:tc>
          <w:tcPr/>
          <w:p>
            <w:pPr>
              <w:pStyle w:val="Compact"/>
              <w:jc w:val="left"/>
            </w:pPr>
            <w:r>
              <w:t xml:space="preserve">DNS Server service on [DC hostname]</w:t>
            </w:r>
          </w:p>
        </w:tc>
        <w:tc>
          <w:tcPr/>
          <w:p>
            <w:pPr>
              <w:pStyle w:val="Compact"/>
              <w:jc w:val="left"/>
            </w:pPr>
            <w:r>
              <w:t xml:space="preserve">Scavenging configuration review</w:t>
            </w:r>
          </w:p>
        </w:tc>
      </w:tr>
    </w:tbl>
    <w:p>
      <w:pPr>
        <w:pStyle w:val="BodyText"/>
      </w:pPr>
      <w:r>
        <w:t xml:space="preserve">3. Scope Limitations</w:t>
      </w:r>
    </w:p>
    <w:p>
      <w:pPr>
        <w:numPr>
          <w:ilvl w:val="0"/>
          <w:numId w:val="1088"/>
        </w:numPr>
      </w:pPr>
      <w:r>
        <w:rPr>
          <w:b/>
          <w:bCs/>
        </w:rPr>
        <w:t xml:space="preserve">Read-only.</w:t>
      </w:r>
      <w:r>
        <w:t xml:space="preserve"> </w:t>
      </w:r>
      <w:r>
        <w:t xml:space="preserve">No write, modify, delete, or create permissions are requested.</w:t>
      </w:r>
    </w:p>
    <w:p>
      <w:pPr>
        <w:numPr>
          <w:ilvl w:val="0"/>
          <w:numId w:val="1088"/>
        </w:numPr>
      </w:pPr>
      <w:r>
        <w:rPr>
          <w:b/>
          <w:bCs/>
        </w:rPr>
        <w:t xml:space="preserve">Time-bound.</w:t>
      </w:r>
      <w:r>
        <w:t xml:space="preserve"> </w:t>
      </w:r>
      <w:r>
        <w:t xml:space="preserve">Delegations should expire after [30 days / assessment window].</w:t>
      </w:r>
    </w:p>
    <w:p>
      <w:pPr>
        <w:numPr>
          <w:ilvl w:val="0"/>
          <w:numId w:val="1088"/>
        </w:numPr>
      </w:pPr>
      <w:r>
        <w:rPr>
          <w:b/>
          <w:bCs/>
        </w:rPr>
        <w:t xml:space="preserve">Dedicated account.</w:t>
      </w:r>
      <w:r>
        <w:t xml:space="preserve"> </w:t>
      </w:r>
      <w:r>
        <w:t xml:space="preserve">All delegations to be granted to service account DOMAIN\svc-fmp-assess, which is a standard user with no existing elevated group memberships.</w:t>
      </w:r>
    </w:p>
    <w:p>
      <w:pPr>
        <w:numPr>
          <w:ilvl w:val="0"/>
          <w:numId w:val="1088"/>
        </w:numPr>
      </w:pPr>
      <w:r>
        <w:rPr>
          <w:b/>
          <w:bCs/>
        </w:rPr>
        <w:t xml:space="preserve">Audit-enabled.</w:t>
      </w:r>
      <w:r>
        <w:t xml:space="preserve"> </w:t>
      </w:r>
      <w:r>
        <w:t xml:space="preserve">All queries from the assessment account will generate standard audit events. SOC has been notified of the assessment window.</w:t>
      </w:r>
    </w:p>
    <w:p>
      <w:pPr>
        <w:pStyle w:val="FirstParagraph"/>
      </w:pPr>
      <w:r>
        <w:t xml:space="preserve">4. PowerShell Commands for Delegation</w:t>
      </w:r>
    </w:p>
    <w:p>
      <w:pPr>
        <w:pStyle w:val="BodyText"/>
      </w:pPr>
      <w:r>
        <w:t xml:space="preserve">The following commands can be executed by a Domain Admin to grant the requested delegations:</w:t>
      </w:r>
    </w:p>
    <w:p>
      <w:pPr>
        <w:pStyle w:val="BodyText"/>
      </w:pPr>
      <w:r>
        <w:t xml:space="preserve"># Define assessment account $AssessmentAccount = "DOMAIN\svc-fmp-assess" # 1. Grant read on DNS zones (DomainDnsZones) dsacls "CN=MicrosoftDNS,DC=DomainDnsZones,DC=contoso,DC=com" ` /G "${AssessmentAccount}:GR" /I:T # 2. Grant read on DNS zones (ForestDnsZones) dsacls "CN=MicrosoftDNS,DC=ForestDnsZones,DC=contoso,DC=com" ` /G "${AssessmentAccount}:GR" /I:T # 3. Grant read on Deleted Objects container dsacls "CN=Deleted Objects,DC=contoso,DC=com" ` /G "${AssessmentAccount}:GR" /I:S # 4. Verify delegation (run as assessment account) # Test-FMPReadAccess -Verbose</w:t>
      </w:r>
    </w:p>
    <w:p>
      <w:pPr>
        <w:pStyle w:val="BodyText"/>
      </w:pPr>
      <w:r>
        <w:t xml:space="preserve">9. Security Considerations for Read-Only Assessment</w:t>
      </w:r>
    </w:p>
    <w:p>
      <w:pPr>
        <w:pStyle w:val="BodyText"/>
      </w:pPr>
      <w:r>
        <w:t xml:space="preserve">Read-only queries carry near-zero operational risk — no objects are modified, no configurations change. However, assessment activities do generate observable events and produce sensitive output. The following controls must be observed.</w:t>
      </w:r>
    </w:p>
    <w:p>
      <w:pPr>
        <w:pStyle w:val="BodyText"/>
      </w:pPr>
      <w:r>
        <w:t xml:space="preserve">9.1 Audit and Monitoring</w:t>
      </w:r>
    </w:p>
    <w:p>
      <w:pPr>
        <w:numPr>
          <w:ilvl w:val="0"/>
          <w:numId w:val="1089"/>
        </w:numPr>
      </w:pPr>
      <w:r>
        <w:rPr>
          <w:b/>
          <w:bCs/>
        </w:rPr>
        <w:t xml:space="preserve">LDAP queries generate audit events.</w:t>
      </w:r>
      <w:r>
        <w:t xml:space="preserve"> </w:t>
      </w:r>
      <w:r>
        <w:t xml:space="preserve">Even standard read operations may trigger Directory Service Access audit entries on domain controllers with advanced audit policy enabled. Coordinate with the SOC before beginning assessment.</w:t>
      </w:r>
    </w:p>
    <w:p>
      <w:pPr>
        <w:numPr>
          <w:ilvl w:val="0"/>
          <w:numId w:val="1089"/>
        </w:numPr>
      </w:pPr>
      <w:r>
        <w:rPr>
          <w:b/>
          <w:bCs/>
        </w:rPr>
        <w:t xml:space="preserve">Large LDAP queries can trigger monitoring alerts.</w:t>
      </w:r>
      <w:r>
        <w:t xml:space="preserve"> </w:t>
      </w:r>
      <w:r>
        <w:t xml:space="preserve">Queries that return thousands of objects (e.g., Get-ADUser -Filter * -Properties *) may trigger SIEM correlation rules for reconnaissance or LDAP enumeration. Notify the security team of expected query patterns.</w:t>
      </w:r>
    </w:p>
    <w:p>
      <w:pPr>
        <w:numPr>
          <w:ilvl w:val="0"/>
          <w:numId w:val="1089"/>
        </w:numPr>
      </w:pPr>
      <w:r>
        <w:rPr>
          <w:b/>
          <w:bCs/>
        </w:rPr>
        <w:t xml:space="preserve">Assessment account activity is logged.</w:t>
      </w:r>
      <w:r>
        <w:t xml:space="preserve"> </w:t>
      </w:r>
      <w:r>
        <w:t xml:space="preserve">Use a dedicated service account (svc-fmp-assess) so all assessment queries are attributable and distinguishable from normal user activity.</w:t>
      </w:r>
    </w:p>
    <w:p>
      <w:pPr>
        <w:pStyle w:val="FirstParagraph"/>
      </w:pPr>
      <w:r>
        <w:t xml:space="preserve">9.2 Performance Management</w:t>
      </w:r>
    </w:p>
    <w:p>
      <w:pPr>
        <w:numPr>
          <w:ilvl w:val="0"/>
          <w:numId w:val="1090"/>
        </w:numPr>
      </w:pPr>
      <w:r>
        <w:rPr>
          <w:b/>
          <w:bCs/>
        </w:rPr>
        <w:t xml:space="preserve">Enumerate in batches.</w:t>
      </w:r>
      <w:r>
        <w:t xml:space="preserve"> </w:t>
      </w:r>
      <w:r>
        <w:t xml:space="preserve">Use -ResultPageSize 500 on large queries to avoid overloading the DC's LDAP worker threads.</w:t>
      </w:r>
    </w:p>
    <w:p>
      <w:pPr>
        <w:numPr>
          <w:ilvl w:val="0"/>
          <w:numId w:val="1090"/>
        </w:numPr>
      </w:pPr>
      <w:r>
        <w:rPr>
          <w:b/>
          <w:bCs/>
        </w:rPr>
        <w:t xml:space="preserve">Avoid peak hours.</w:t>
      </w:r>
      <w:r>
        <w:t xml:space="preserve"> </w:t>
      </w:r>
      <w:r>
        <w:t xml:space="preserve">Schedule bulk queries (full user/computer enumeration) during maintenance windows or off-peak periods.</w:t>
      </w:r>
    </w:p>
    <w:p>
      <w:pPr>
        <w:numPr>
          <w:ilvl w:val="0"/>
          <w:numId w:val="1090"/>
        </w:numPr>
      </w:pPr>
      <w:r>
        <w:rPr>
          <w:b/>
          <w:bCs/>
        </w:rPr>
        <w:t xml:space="preserve">Target specific DCs.</w:t>
      </w:r>
      <w:r>
        <w:t xml:space="preserve"> </w:t>
      </w:r>
      <w:r>
        <w:t xml:space="preserve">Use -Server parameter to direct queries to a specific DC, preferably one designated for administrative workloads.</w:t>
      </w:r>
    </w:p>
    <w:p>
      <w:pPr>
        <w:pStyle w:val="FirstParagraph"/>
      </w:pPr>
      <w:r>
        <w:t xml:space="preserve">9.3 Output Protection</w:t>
      </w:r>
    </w:p>
    <w:p>
      <w:pPr>
        <w:numPr>
          <w:ilvl w:val="0"/>
          <w:numId w:val="1091"/>
        </w:numPr>
      </w:pPr>
      <w:r>
        <w:rPr>
          <w:b/>
          <w:bCs/>
        </w:rPr>
        <w:t xml:space="preserve">Never store assessment output on domain-joined workstations without encryption.</w:t>
      </w:r>
      <w:r>
        <w:t xml:space="preserve"> </w:t>
      </w:r>
      <w:r>
        <w:t xml:space="preserve">Assessment data contains sensitive information including privileged group memberships, service account SPNs (Kerberoasting targets), certificate template ACLs, and delegation maps.</w:t>
      </w:r>
    </w:p>
    <w:p>
      <w:pPr>
        <w:numPr>
          <w:ilvl w:val="0"/>
          <w:numId w:val="1091"/>
        </w:numPr>
      </w:pPr>
      <w:r>
        <w:rPr>
          <w:b/>
          <w:bCs/>
        </w:rPr>
        <w:t xml:space="preserve">All output classified as Controlled.</w:t>
      </w:r>
      <w:r>
        <w:t xml:space="preserve"> </w:t>
      </w:r>
      <w:r>
        <w:t xml:space="preserve">Handle per organizational data classification policy.</w:t>
      </w:r>
    </w:p>
    <w:p>
      <w:pPr>
        <w:numPr>
          <w:ilvl w:val="0"/>
          <w:numId w:val="1091"/>
        </w:numPr>
      </w:pPr>
      <w:r>
        <w:rPr>
          <w:b/>
          <w:bCs/>
        </w:rPr>
        <w:t xml:space="preserve">Use encrypted storage.</w:t>
      </w:r>
      <w:r>
        <w:t xml:space="preserve"> </w:t>
      </w:r>
      <w:r>
        <w:t xml:space="preserve">Assessment output directory (D:\FMP\Assessment\) must reside on a BitLocker-encrypted volume or equivalent.</w:t>
      </w:r>
    </w:p>
    <w:p>
      <w:pPr>
        <w:numPr>
          <w:ilvl w:val="0"/>
          <w:numId w:val="1091"/>
        </w:numPr>
      </w:pPr>
      <w:r>
        <w:rPr>
          <w:b/>
          <w:bCs/>
        </w:rPr>
        <w:t xml:space="preserve">Assessment manifest includes file hashes.</w:t>
      </w:r>
      <w:r>
        <w:t xml:space="preserve"> </w:t>
      </w:r>
      <w:r>
        <w:t xml:space="preserve">Every output file is SHA-256 hashed and recorded in AssessmentManifest.json for integrity verification.</w:t>
      </w:r>
    </w:p>
    <w:p>
      <w:pPr>
        <w:pStyle w:val="FirstParagraph"/>
      </w:pPr>
      <w:r>
        <w:t xml:space="preserve">9.4 Account Management</w:t>
      </w:r>
    </w:p>
    <w:p>
      <w:pPr>
        <w:numPr>
          <w:ilvl w:val="0"/>
          <w:numId w:val="1092"/>
        </w:numPr>
      </w:pPr>
      <w:r>
        <w:rPr>
          <w:b/>
          <w:bCs/>
        </w:rPr>
        <w:t xml:space="preserve">Time-bound the assessment service account.</w:t>
      </w:r>
      <w:r>
        <w:t xml:space="preserve"> </w:t>
      </w:r>
      <w:r>
        <w:t xml:space="preserve">Set accountExpires to the end of the assessment window.</w:t>
      </w:r>
    </w:p>
    <w:p>
      <w:pPr>
        <w:numPr>
          <w:ilvl w:val="0"/>
          <w:numId w:val="1092"/>
        </w:numPr>
      </w:pPr>
      <w:r>
        <w:rPr>
          <w:b/>
          <w:bCs/>
        </w:rPr>
        <w:t xml:space="preserve">Use a dedicated workstation.</w:t>
      </w:r>
      <w:r>
        <w:t xml:space="preserve"> </w:t>
      </w:r>
      <w:r>
        <w:t xml:space="preserve">Run assessment from a PAW (Privileged Access Workstation) or dedicated assessment workstation — not a general-purpose endpoint.</w:t>
      </w:r>
    </w:p>
    <w:p>
      <w:pPr>
        <w:numPr>
          <w:ilvl w:val="0"/>
          <w:numId w:val="1092"/>
        </w:numPr>
      </w:pPr>
      <w:r>
        <w:rPr>
          <w:b/>
          <w:bCs/>
        </w:rPr>
        <w:t xml:space="preserve">Disable account after assessment.</w:t>
      </w:r>
      <w:r>
        <w:t xml:space="preserve"> </w:t>
      </w:r>
      <w:r>
        <w:t xml:space="preserve">Disable svc-fmp-assess immediately upon assessment completion.</w:t>
      </w:r>
    </w:p>
    <w:p>
      <w:pPr>
        <w:pStyle w:val="FirstParagraph"/>
      </w:pPr>
      <w:r>
        <w:t xml:space="preserve">10. Integration with the Federal Modernization Program Assessment Pipeline</w:t>
      </w:r>
    </w:p>
    <w:p>
      <w:pPr>
        <w:pStyle w:val="BodyText"/>
      </w:pPr>
      <w:r>
        <w:t xml:space="preserve">The read-only assessment is the first stage of the Federal Modernization Program assessment pipeline. Its outputs feed directly into the full modernization workflow.</w:t>
      </w:r>
    </w:p>
    <w:p>
      <w:pPr>
        <w:pStyle w:val="BodyText"/>
      </w:pPr>
      <w:r>
        <w:t xml:space="preserve">Pipeline Flow</w:t>
      </w:r>
    </w:p>
    <w:p>
      <w:pPr>
        <w:numPr>
          <w:ilvl w:val="0"/>
          <w:numId w:val="1093"/>
        </w:numPr>
      </w:pPr>
      <w:r>
        <w:rPr>
          <w:b/>
          <w:bCs/>
        </w:rPr>
        <w:t xml:space="preserve">Read-Only Assessment produces baseline JSONs.</w:t>
      </w:r>
      <w:r>
        <w:t xml:space="preserve"> </w:t>
      </w:r>
      <w:r>
        <w:t xml:space="preserve">The Invoke-FMPReadOnlyAssessment orchestrator generates all JSON, CSV, and XML output in the standardized directory structure.</w:t>
      </w:r>
    </w:p>
    <w:p>
      <w:pPr>
        <w:numPr>
          <w:ilvl w:val="0"/>
          <w:numId w:val="1093"/>
        </w:numPr>
      </w:pPr>
      <w:r>
        <w:rPr>
          <w:b/>
          <w:bCs/>
        </w:rPr>
        <w:t xml:space="preserve">JSONs committed to Gitea.</w:t>
      </w:r>
      <w:r>
        <w:t xml:space="preserve"> </w:t>
      </w:r>
      <w:r>
        <w:t xml:space="preserve">Assessment output is committed to the Federal Modernization Program Gitea repository under assessments/readonly/{domain}/{timestamp}/. This creates a versioned, auditable record of the assessment baseline.</w:t>
      </w:r>
    </w:p>
    <w:p>
      <w:pPr>
        <w:numPr>
          <w:ilvl w:val="0"/>
          <w:numId w:val="1093"/>
        </w:numPr>
      </w:pPr>
      <w:r>
        <w:rPr>
          <w:b/>
          <w:bCs/>
        </w:rPr>
        <w:t xml:space="preserve">Gitea webhook triggers validation pipeline.</w:t>
      </w:r>
      <w:r>
        <w:t xml:space="preserve"> </w:t>
      </w:r>
      <w:r>
        <w:t xml:space="preserve">On commit, a Gitea webhook invokes the Federal Modernization Program validation pipeline, which checks JSON schema compliance, verifies file hashes against the manifest, and generates a validation report.</w:t>
      </w:r>
    </w:p>
    <w:p>
      <w:pPr>
        <w:numPr>
          <w:ilvl w:val="0"/>
          <w:numId w:val="1093"/>
        </w:numPr>
      </w:pPr>
      <w:r>
        <w:rPr>
          <w:b/>
          <w:bCs/>
        </w:rPr>
        <w:t xml:space="preserve">Comparison against prior assessments detects drift.</w:t>
      </w:r>
      <w:r>
        <w:t xml:space="preserve"> </w:t>
      </w:r>
      <w:r>
        <w:t xml:space="preserve">If previous assessment snapshots exist, the pipeline compares current output against the prior baseline and generates a drift report highlighting new objects, removed objects, permission changes, and configuration deltas.</w:t>
      </w:r>
    </w:p>
    <w:p>
      <w:pPr>
        <w:numPr>
          <w:ilvl w:val="0"/>
          <w:numId w:val="1093"/>
        </w:numPr>
      </w:pPr>
      <w:r>
        <w:rPr>
          <w:b/>
          <w:bCs/>
        </w:rPr>
        <w:t xml:space="preserve">Gap analysis drives the Delegation Request.</w:t>
      </w:r>
      <w:r>
        <w:t xml:space="preserve"> </w:t>
      </w:r>
      <w:r>
        <w:t xml:space="preserve">The coverage score and identified gaps from the read-only assessment automatically populate the delegation request template (Section 8), prioritizing gaps with the highest modernization impact.</w:t>
      </w:r>
    </w:p>
    <w:p>
      <w:pPr>
        <w:numPr>
          <w:ilvl w:val="0"/>
          <w:numId w:val="1093"/>
        </w:numPr>
      </w:pPr>
      <w:r>
        <w:rPr>
          <w:b/>
          <w:bCs/>
        </w:rPr>
        <w:t xml:space="preserve">Once delegation is granted, full assessment fills the gaps.</w:t>
      </w:r>
      <w:r>
        <w:t xml:space="preserve"> </w:t>
      </w:r>
      <w:r>
        <w:t xml:space="preserve">The full assessment module (documented in the</w:t>
      </w:r>
      <w:r>
        <w:t xml:space="preserve"> </w:t>
      </w:r>
      <w:r>
        <w:rPr>
          <w:i/>
          <w:iCs/>
        </w:rPr>
        <w:t xml:space="preserve">the Federal Modernization Program Active Directory Interaction Guide</w:t>
      </w:r>
      <w:r>
        <w:t xml:space="preserve">) executes with delegated permissions, targeting only the gaps identified by the read-only assessment.</w:t>
      </w:r>
    </w:p>
    <w:p>
      <w:pPr>
        <w:numPr>
          <w:ilvl w:val="0"/>
          <w:numId w:val="1093"/>
        </w:numPr>
      </w:pPr>
      <w:r>
        <w:rPr>
          <w:b/>
          <w:bCs/>
        </w:rPr>
        <w:t xml:space="preserve">Combined dataset feeds modernization planning.</w:t>
      </w:r>
      <w:r>
        <w:t xml:space="preserve"> </w:t>
      </w:r>
      <w:r>
        <w:t xml:space="preserve">The merged read-only + delegated assessment data provides the complete input for modernization planning documents, migration runbooks, and identity modernization roadmaps.</w:t>
      </w:r>
    </w:p>
    <w:tbl>
      <w:tblPr>
        <w:tblStyle w:val="Table"/>
        <w:tblW w:type="pct" w:w="5061"/>
        <w:tblLayout w:type="fixed"/>
        <w:tblLook w:firstRow="0" w:lastRow="0" w:firstColumn="0" w:lastColumn="0" w:noHBand="0" w:noVBand="0" w:val="0000"/>
      </w:tblPr>
      <w:tblGrid>
        <w:gridCol w:w="8016"/>
      </w:tblGrid>
      <w:tr>
        <w:tc>
          <w:tcPr/>
          <w:p>
            <w:pPr>
              <w:pStyle w:val="Compact"/>
            </w:pPr>
            <w:r>
              <w:rPr>
                <w:b/>
                <w:bCs/>
              </w:rPr>
              <w:t xml:space="preserve">Commit Command</w:t>
            </w:r>
            <w:r>
              <w:t xml:space="preserve"> </w:t>
            </w:r>
            <w:r>
              <w:t xml:space="preserve">|</w:t>
            </w:r>
            <w:r>
              <w:t xml:space="preserve"> </w:t>
            </w:r>
            <w:r>
              <w:t xml:space="preserve">|</w:t>
            </w:r>
            <w:r>
              <w:t xml:space="preserve"> </w:t>
            </w:r>
            <w:r>
              <w:t xml:space="preserve">To commit assessment output to Gitea, use the Federal Modernization Program CLI:</w:t>
            </w:r>
          </w:p>
        </w:tc>
      </w:tr>
    </w:tbl>
    <w:p>
      <w:pPr>
        <w:pStyle w:val="BodyText"/>
      </w:pPr>
      <w:r>
        <w:t xml:space="preserve">fmp assessment commit ` --path "D:\FMP\Assessment\ReadOnly\contoso.com\2026-04-20T2032" ` --repo "assessments" ` --branch "main" ` --message "Read-only assessment: contoso.com 2026-04-20"</w:t>
      </w:r>
    </w:p>
    <w:p>
      <w:pPr>
        <w:pStyle w:val="BodyText"/>
      </w:pPr>
      <w:r>
        <w:t xml:space="preserve">11. Companion Document Cross-Reference</w:t>
      </w:r>
    </w:p>
    <w:p>
      <w:pPr>
        <w:pStyle w:val="BodyText"/>
      </w:pPr>
      <w:r>
        <w:t xml:space="preserve">This document is part of the Federal Modernization Program Canon. The following table maps this guide to its companion documents and describes the relationship between each.</w:t>
      </w:r>
    </w:p>
    <w:tbl>
      <w:tblPr>
        <w:tblStyle w:val="Table"/>
        <w:tblW w:type="pct" w:w="4970"/>
        <w:tblLayout w:type="fixed"/>
        <w:tblLook w:firstRow="1" w:lastRow="0" w:firstColumn="0" w:lastColumn="0" w:noHBand="0" w:noVBand="0" w:val="0020"/>
      </w:tblPr>
      <w:tblGrid>
        <w:gridCol w:w="1104"/>
        <w:gridCol w:w="6768"/>
      </w:tblGrid>
      <w:tr>
        <w:trPr>
          <w:tblHeader w:val="on"/>
        </w:trPr>
        <w:tc>
          <w:tcPr/>
          <w:p>
            <w:pPr>
              <w:pStyle w:val="Compact"/>
              <w:jc w:val="left"/>
            </w:pPr>
            <w:r>
              <w:rPr>
                <w:b/>
                <w:bCs/>
              </w:rPr>
              <w:t xml:space="preserve">Companion Document</w:t>
            </w:r>
          </w:p>
        </w:tc>
        <w:tc>
          <w:tcPr/>
          <w:p>
            <w:pPr>
              <w:pStyle w:val="Compact"/>
              <w:jc w:val="left"/>
            </w:pPr>
            <w:r>
              <w:rPr>
                <w:b/>
                <w:bCs/>
              </w:rPr>
              <w:t xml:space="preserve">Relationship</w:t>
            </w:r>
          </w:p>
        </w:tc>
      </w:tr>
      <w:tr>
        <w:tc>
          <w:tcPr/>
          <w:p>
            <w:pPr>
              <w:pStyle w:val="Compact"/>
              <w:jc w:val="left"/>
            </w:pPr>
            <w:r>
              <w:t xml:space="preserve">**The Federal Modernization Program Active Dir</w:t>
            </w:r>
          </w:p>
        </w:tc>
        <w:tc>
          <w:tcPr/>
          <w:p>
            <w:pPr>
              <w:pStyle w:val="Compact"/>
              <w:jc w:val="left"/>
            </w:pPr>
            <w:r>
              <w:t xml:space="preserve">ectory Interaction Guide** Full-privilege superset of this guide. Covers all assessment capabilities including those requiring Domain Admin, Enterprise Admin, and delegated access. Read-only assessment output identifies which sections of the Interaction Guide need to be executed with elevated permissions.</w:t>
            </w:r>
          </w:p>
        </w:tc>
      </w:tr>
      <w:tr>
        <w:tc>
          <w:tcPr/>
          <w:p>
            <w:pPr>
              <w:pStyle w:val="Compact"/>
              <w:jc w:val="left"/>
            </w:pPr>
            <w:r>
              <w:t xml:space="preserve">**The Federal Modernization Program Platform S</w:t>
            </w:r>
          </w:p>
        </w:tc>
        <w:tc>
          <w:tcPr/>
          <w:p>
            <w:pPr>
              <w:pStyle w:val="Compact"/>
              <w:jc w:val="left"/>
            </w:pPr>
            <w:r>
              <w:t xml:space="preserve">erver Build Guide** Defines the Gitea server infrastructure that receives and stores assessment output. Assessment JSONs are committed to the Gitea repository per the pipeline described in Section 10.</w:t>
            </w:r>
          </w:p>
        </w:tc>
      </w:tr>
      <w:tr>
        <w:tc>
          <w:tcPr/>
          <w:p>
            <w:pPr>
              <w:pStyle w:val="Compact"/>
              <w:jc w:val="left"/>
            </w:pPr>
            <w:r>
              <w:t xml:space="preserve">**The Federal Modernization Program CLI and Op</w:t>
            </w:r>
          </w:p>
        </w:tc>
        <w:tc>
          <w:tcPr/>
          <w:p>
            <w:pPr>
              <w:pStyle w:val="Compact"/>
              <w:jc w:val="left"/>
            </w:pPr>
            <w:r>
              <w:t xml:space="preserve">erations Guide** Documents the fmp CLI commands for committing assessment results, triggering validation pipelines, and generating drift reports.</w:t>
            </w:r>
          </w:p>
        </w:tc>
      </w:tr>
      <w:tr>
        <w:tc>
          <w:tcPr/>
          <w:p>
            <w:pPr>
              <w:pStyle w:val="Compact"/>
              <w:jc w:val="left"/>
            </w:pPr>
            <w:r>
              <w:rPr>
                <w:b/>
                <w:bCs/>
              </w:rPr>
              <w:t xml:space="preserve">AD Computer Object Conversion Guide</w:t>
            </w:r>
          </w:p>
        </w:tc>
        <w:tc>
          <w:tcPr/>
          <w:p>
            <w:pPr>
              <w:pStyle w:val="Compact"/>
              <w:jc w:val="left"/>
            </w:pPr>
            <w:r>
              <w:t xml:space="preserve">Consumes the ComputerInventory.json output from this assessment. Computer object data drives OS classification, staleness analysis, and migration planning for compute modernization.</w:t>
            </w:r>
          </w:p>
        </w:tc>
      </w:tr>
      <w:tr>
        <w:tc>
          <w:tcPr/>
          <w:p>
            <w:pPr>
              <w:pStyle w:val="Compact"/>
              <w:jc w:val="left"/>
            </w:pPr>
            <w:r>
              <w:t xml:space="preserve">**The Federal Modernization Program Identity M</w:t>
            </w:r>
          </w:p>
        </w:tc>
        <w:tc>
          <w:tcPr/>
          <w:p>
            <w:pPr>
              <w:pStyle w:val="Compact"/>
              <w:jc w:val="left"/>
            </w:pPr>
            <w:r>
              <w:t xml:space="preserve">odernization Guide** Consumes UserInventory.json and GroupInventory.json. User and group data drives identity lifecycle modernization, privilege reduction, and hybrid identity planning.</w:t>
            </w:r>
          </w:p>
        </w:tc>
      </w:tr>
      <w:tr>
        <w:tc>
          <w:tcPr/>
          <w:p>
            <w:pPr>
              <w:pStyle w:val="Compact"/>
              <w:jc w:val="left"/>
            </w:pPr>
            <w:r>
              <w:t xml:space="preserve">**The Federal Modernization Program DNS Modern</w:t>
            </w:r>
          </w:p>
        </w:tc>
        <w:tc>
          <w:tcPr/>
          <w:p>
            <w:pPr>
              <w:pStyle w:val="Compact"/>
              <w:jc w:val="left"/>
            </w:pPr>
            <w:r>
              <w:t xml:space="preserve">ization Guide** Consumes DNSBaseline.json. DNS zone and record data drives DNS infrastructure modernization, conditional forwarder planning, and split-horizon design.</w:t>
            </w:r>
          </w:p>
        </w:tc>
      </w:tr>
    </w:tbl>
    <w:p>
      <w:pPr>
        <w:pStyle w:val="BodyText"/>
      </w:pPr>
      <w:r>
        <w:t xml:space="preserve">Appendix A — Complete FMPReadOnlyAssessment.psm1 Module</w:t>
      </w:r>
    </w:p>
    <w:p>
      <w:pPr>
        <w:pStyle w:val="BodyText"/>
      </w:pPr>
      <w:r>
        <w:t xml:space="preserve">The following is the complete module file ready for deployment. Save as FMPReadOnlyAssessment.psm1 and import via Import-Module .\FMPReadOnlyAssessment.psm1.</w:t>
      </w:r>
    </w:p>
    <w:p>
      <w:pPr>
        <w:pStyle w:val="BodyText"/>
      </w:pPr>
      <w:r>
        <w:t xml:space="preserve">#Requires -Version 5.1 #Requires -Modules ActiveDirectory, GroupPolicy &lt;# .SYNOPSIS the Federal Modernization Program Read-Only Active Directory Assessment Module .DESCRIPTION Provides a comprehensive set of functions for assessing Active Directory forests using only standard Authenticated Users (read-only) permissions. Part of the Federal Modernization Program governance framework. .NOTES Classification: Controlled Boundary: GCC-Moderate Version: 1.0 Author: The Federal Modernization Program Assessment Team #&gt; # ============================================================ # MODULE CONFIGURATION # ============================================================ $script:FMPModuleVersion = "1.0.0" $script:FMPDefaultBasePath = "D:\FMP\Assessment\ReadOnly" $script:FMPStaleThresholdDays = 90 # ============================================================ # FUNCTION: Test-FMPReadAccess # ============================================================ function Test-FMPReadAccess { [CmdletBinding] param( [Parameter] [string]$OutputPath = $script:FMPDefaultBasePath ) # [Full implementation as shown in Section 5.2.1] # Omitted here for brevity — see Section 5.2.1 for complete code. Write-Verbose "Test-FMPReadAccess: See Section 5.2.1 for full implementation" } # ============================================================ # FUNCTION: Export-FMPForestTopology # ============================================================ function Export-FMPForestTopology { [CmdletBinding] param([Parameter(Mandatory)][string]$OutputPath) # [Full implementation as shown in Section 5.2.2] Write-Verbose "Export-FMPForestTopology: See Section 5.2.2" } # ============================================================ # FUNCTION: Export-FMPOUHierarchy # ============================================================ function Export-FMPOUHierarchy { [CmdletBinding] param([Parameter(Mandatory)][string]$OutputPath) # [Full implementation as shown in Section 5.2.3] Write-Verbose "Export-FMPOUHierarchy: See Section 5.2.3" } # ============================================================ # FUNCTION: Export-FMPGPOInventory # ============================================================ function Export-FMPGPOInventory { [CmdletBinding] param([Parameter(Mandatory)][string]$OutputPath) # [Full implementation as shown in Section 5.2.4] Write-Verbose "Export-FMPGPOInventory: See Section 5.2.4" } # ============================================================ # FUNCTION: Export-FMPComputerInventory # ============================================================ function Export-FMPComputerInventory { [CmdletBinding] param([Parameter(Mandatory)][string]$OutputPath) # [Full implementation as shown in Section 5.2.5] Write-Verbose "Export-FMPComputerInventory: See Section 5.2.5" } # ============================================================ # FUNCTION: Export-FMPUserInventory # ============================================================ function Export-FMPUserInventory { [CmdletBinding] param([Parameter(Mandatory)][string]$OutputPath) # [Full implementation as shown in Section 5.2.6] Write-Verbose "Export-FMPUserInventory: See Section 5.2.6" } # ============================================================ # FUNCTION: Export-FMPGroupInventory # ============================================================ function Export-FMPGroupInventory { [CmdletBinding] param([Parameter(Mandatory)][string]$OutputPath) # [Full implementation as shown in Section 5.2.7] Write-Verbose "Export-FMPGroupInventory: See Section 5.2.7" } # ============================================================ # FUNCTION: Export-FMPTrustMap # ============================================================ function Export-FMPTrustMap { [CmdletBinding] param([Parameter(Mandatory)][string]$OutputPath) # [Full implementation as shown in Section 5.2.8] Write-Verbose "Export-FMPTrustMap: See Section 5.2.8" } # ============================================================ # FUNCTION: Export-FMPPKIInventory # ============================================================ function Export-FMPPKIInventory { [CmdletBinding] param([Parameter(Mandatory)][string]$OutputPath) # [Full implementation as shown in Section 5.2.9] Write-Verbose "Export-FMPPKIInventory: See Section 5.2.9" } # ============================================================ # FUNCTION: Export-FMPDNSBaseline # ============================================================ function Export-FMPDNSBaseline { [CmdletBinding] param([Parameter(Mandatory)][string]$OutputPath) # [Full implementation as shown in Section 5.2.10] Write-Verbose "Export-FMPDNSBaseline: See Section 5.2.10" } # ============================================================ # FUNCTION: Export-FMPACLReport # ============================================================ function Export-FMPACLReport { [CmdletBinding] param([Parameter(Mandatory)][string]$OutputPath) # [Full implementation as shown in Section 5.2.11] Write-Verbose "Export-FMPACLReport: See Section 5.2.11" } # ============================================================ # FUNCTION: Export-FMPSchemaExtensions # ============================================================ function Export-FMPSchemaExtensions { [CmdletBinding] param([Parameter(Mandatory)][string]$OutputPath) # [Full implementation as shown in Section 5.2.12] Write-Verbose "Export-FMPSchemaExtensions: See Section 5.2.12" } # ============================================================ # FUNCTION: Invoke-FMPReadOnlyAssessment # ============================================================ function Invoke-FMPReadOnlyAssessment { [CmdletBinding] param( [Parameter] [string]$BasePath = $script:FMPDefaultBasePath ) # [Full implementation as shown in Section 5.2.13] Write-Verbose "Invoke-FMPReadOnlyAssessment: See Section 5.2.13" } # ============================================================ # MODULE EXPORTS # ============================================================ Export-ModuleMember -Function @( 'Test-FMPReadAccess', 'Export-FMPForestTopology', 'Export-FMPOUHierarchy', 'Export-FMPGPOInventory', 'Export-FMPComputerInventory', 'Export-FMPUserInventory', 'Export-FMPGroupInventory', 'Export-FMPTrustMap', 'Export-FMPPKIInventory', 'Export-FMPDNSBaseline', 'Export-FMPACLReport', 'Export-FMPSchemaExtensions', 'Invoke-FMPReadOnlyAssessment' )</w:t>
      </w:r>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Deployment Note</w:t>
            </w:r>
          </w:p>
          <w:p>
            <w:pPr>
              <w:pStyle w:val="BodyText"/>
            </w:pPr>
            <w:r>
              <w:t xml:space="preserve">For production deployment, copy the full function bodies from Sections 5.2.1–5.2.13 into the module file above, replacing the placeholder comments. The module references in this appendix use abbreviated stubs to avoid content duplication within this document. Each Write-Verbose stub indicates the section containing the full implementation.</w:t>
            </w:r>
          </w:p>
        </w:tc>
      </w:tr>
    </w:tbl>
    <w:p>
      <w:pPr>
        <w:pStyle w:val="BodyText"/>
      </w:pPr>
      <w:r>
        <w:t xml:space="preserve">Appendix B — Quick Reference Card</w:t>
      </w:r>
    </w:p>
    <w:p>
      <w:pPr>
        <w:pStyle w:val="BodyText"/>
      </w:pPr>
      <w:r>
        <w:t xml:space="preserve">One-liner for each assessment domain with expected output file.</w:t>
      </w:r>
    </w:p>
    <w:tbl>
      <w:tblPr>
        <w:tblStyle w:val="Table"/>
        <w:tblW w:type="pct" w:w="4919"/>
        <w:tblLayout w:type="fixed"/>
        <w:tblLook w:firstRow="1" w:lastRow="0" w:firstColumn="0" w:lastColumn="0" w:noHBand="0" w:noVBand="0" w:val="0020"/>
      </w:tblPr>
      <w:tblGrid>
        <w:gridCol w:w="1159"/>
        <w:gridCol w:w="3155"/>
        <w:gridCol w:w="3477"/>
      </w:tblGrid>
      <w:tr>
        <w:trPr>
          <w:tblHeader w:val="on"/>
        </w:trPr>
        <w:tc>
          <w:tcPr/>
          <w:p>
            <w:pPr>
              <w:pStyle w:val="Compact"/>
              <w:jc w:val="left"/>
            </w:pPr>
            <w:r>
              <w:rPr>
                <w:b/>
                <w:bCs/>
              </w:rPr>
              <w:t xml:space="preserve">Domain</w:t>
            </w:r>
          </w:p>
        </w:tc>
        <w:tc>
          <w:tcPr/>
          <w:p>
            <w:pPr>
              <w:pStyle w:val="Compact"/>
              <w:jc w:val="left"/>
            </w:pPr>
            <w:r>
              <w:rPr>
                <w:b/>
                <w:bCs/>
              </w:rPr>
              <w:t xml:space="preserve">One-Liner</w:t>
            </w:r>
          </w:p>
        </w:tc>
        <w:tc>
          <w:tcPr/>
          <w:p>
            <w:pPr>
              <w:pStyle w:val="Compact"/>
              <w:jc w:val="left"/>
            </w:pPr>
            <w:r>
              <w:rPr>
                <w:b/>
                <w:bCs/>
              </w:rPr>
              <w:t xml:space="preserve">Output</w:t>
            </w:r>
          </w:p>
        </w:tc>
      </w:tr>
      <w:tr>
        <w:tc>
          <w:tcPr/>
          <w:p>
            <w:pPr>
              <w:pStyle w:val="Compact"/>
              <w:jc w:val="left"/>
            </w:pPr>
            <w:r>
              <w:t xml:space="preserve">Pre-Flight</w:t>
            </w:r>
          </w:p>
        </w:tc>
        <w:tc>
          <w:tcPr/>
          <w:p>
            <w:pPr>
              <w:pStyle w:val="Compact"/>
              <w:jc w:val="left"/>
            </w:pPr>
            <w:r>
              <w:t xml:space="preserve">Test-FMPReadAccess -OutputPath $out R</w:t>
            </w:r>
          </w:p>
        </w:tc>
        <w:tc>
          <w:tcPr/>
          <w:p>
            <w:pPr>
              <w:pStyle w:val="Compact"/>
              <w:jc w:val="left"/>
            </w:pPr>
            <w:r>
              <w:t xml:space="preserve">eadAccessReport.json</w:t>
            </w:r>
          </w:p>
        </w:tc>
      </w:tr>
      <w:tr>
        <w:tc>
          <w:tcPr/>
          <w:p>
            <w:pPr>
              <w:pStyle w:val="Compact"/>
              <w:jc w:val="left"/>
            </w:pPr>
            <w:r>
              <w:t xml:space="preserve">Forest</w:t>
            </w:r>
          </w:p>
        </w:tc>
        <w:tc>
          <w:tcPr/>
          <w:p>
            <w:pPr>
              <w:pStyle w:val="Compact"/>
              <w:jc w:val="left"/>
            </w:pPr>
            <w:r>
              <w:t xml:space="preserve">Export-FMPForestTopology -OutputPath $out F</w:t>
            </w:r>
          </w:p>
        </w:tc>
        <w:tc>
          <w:tcPr/>
          <w:p>
            <w:pPr>
              <w:pStyle w:val="Compact"/>
              <w:jc w:val="left"/>
            </w:pPr>
            <w:r>
              <w:t xml:space="preserve">orestTopology.json</w:t>
            </w:r>
          </w:p>
        </w:tc>
      </w:tr>
      <w:tr>
        <w:tc>
          <w:tcPr/>
          <w:p>
            <w:pPr>
              <w:pStyle w:val="Compact"/>
              <w:jc w:val="left"/>
            </w:pPr>
            <w:r>
              <w:t xml:space="preserve">OUs</w:t>
            </w:r>
          </w:p>
        </w:tc>
        <w:tc>
          <w:tcPr/>
          <w:p>
            <w:pPr>
              <w:pStyle w:val="Compact"/>
              <w:jc w:val="left"/>
            </w:pPr>
            <w:r>
              <w:t xml:space="preserve">Export-FMPOUHierarchy -OutputPath $out O</w:t>
            </w:r>
          </w:p>
        </w:tc>
        <w:tc>
          <w:tcPr/>
          <w:p>
            <w:pPr>
              <w:pStyle w:val="Compact"/>
              <w:jc w:val="left"/>
            </w:pPr>
            <w:r>
              <w:t xml:space="preserve">UHierarchy.json, OUTree.txt</w:t>
            </w:r>
          </w:p>
        </w:tc>
      </w:tr>
      <w:tr>
        <w:tc>
          <w:tcPr/>
          <w:p>
            <w:pPr>
              <w:pStyle w:val="Compact"/>
              <w:jc w:val="left"/>
            </w:pPr>
            <w:r>
              <w:t xml:space="preserve">GPOs</w:t>
            </w:r>
          </w:p>
        </w:tc>
        <w:tc>
          <w:tcPr/>
          <w:p>
            <w:pPr>
              <w:pStyle w:val="Compact"/>
              <w:jc w:val="left"/>
            </w:pPr>
            <w:r>
              <w:t xml:space="preserve">Export-FMPGPOInventory -OutputPath $out G</w:t>
            </w:r>
          </w:p>
        </w:tc>
        <w:tc>
          <w:tcPr/>
          <w:p>
            <w:pPr>
              <w:pStyle w:val="Compact"/>
              <w:jc w:val="left"/>
            </w:pPr>
            <w:r>
              <w:t xml:space="preserve">PO\GPOInventory.json, GPO\Reports\*.xml</w:t>
            </w:r>
          </w:p>
        </w:tc>
      </w:tr>
      <w:tr>
        <w:tc>
          <w:tcPr/>
          <w:p>
            <w:pPr>
              <w:pStyle w:val="Compact"/>
              <w:jc w:val="left"/>
            </w:pPr>
            <w:r>
              <w:t xml:space="preserve">Computers</w:t>
            </w:r>
          </w:p>
        </w:tc>
        <w:tc>
          <w:tcPr/>
          <w:p>
            <w:pPr>
              <w:pStyle w:val="Compact"/>
              <w:jc w:val="left"/>
            </w:pPr>
            <w:r>
              <w:t xml:space="preserve">Export-FMPComputerInventory -OutputPath $out C</w:t>
            </w:r>
          </w:p>
        </w:tc>
        <w:tc>
          <w:tcPr/>
          <w:p>
            <w:pPr>
              <w:pStyle w:val="Compact"/>
              <w:jc w:val="left"/>
            </w:pPr>
            <w:r>
              <w:t xml:space="preserve">omputers\ComputerInventory.json</w:t>
            </w:r>
          </w:p>
        </w:tc>
      </w:tr>
      <w:tr>
        <w:tc>
          <w:tcPr/>
          <w:p>
            <w:pPr>
              <w:pStyle w:val="Compact"/>
              <w:jc w:val="left"/>
            </w:pPr>
            <w:r>
              <w:t xml:space="preserve">Users</w:t>
            </w:r>
          </w:p>
        </w:tc>
        <w:tc>
          <w:tcPr/>
          <w:p>
            <w:pPr>
              <w:pStyle w:val="Compact"/>
              <w:jc w:val="left"/>
            </w:pPr>
            <w:r>
              <w:t xml:space="preserve">Export-FMPUserInventory -OutputPath $out U</w:t>
            </w:r>
          </w:p>
        </w:tc>
        <w:tc>
          <w:tcPr/>
          <w:p>
            <w:pPr>
              <w:pStyle w:val="Compact"/>
              <w:jc w:val="left"/>
            </w:pPr>
            <w:r>
              <w:t xml:space="preserve">sers\UserInventory.json</w:t>
            </w:r>
          </w:p>
        </w:tc>
      </w:tr>
      <w:tr>
        <w:tc>
          <w:tcPr/>
          <w:p>
            <w:pPr>
              <w:pStyle w:val="Compact"/>
              <w:jc w:val="left"/>
            </w:pPr>
            <w:r>
              <w:t xml:space="preserve">Groups</w:t>
            </w:r>
          </w:p>
        </w:tc>
        <w:tc>
          <w:tcPr/>
          <w:p>
            <w:pPr>
              <w:pStyle w:val="Compact"/>
              <w:jc w:val="left"/>
            </w:pPr>
            <w:r>
              <w:t xml:space="preserve">Export-FMPGroupInventory -OutputPath $out G</w:t>
            </w:r>
          </w:p>
        </w:tc>
        <w:tc>
          <w:tcPr/>
          <w:p>
            <w:pPr>
              <w:pStyle w:val="Compact"/>
              <w:jc w:val="left"/>
            </w:pPr>
            <w:r>
              <w:t xml:space="preserve">roups\GroupInventory.json</w:t>
            </w:r>
          </w:p>
        </w:tc>
      </w:tr>
      <w:tr>
        <w:tc>
          <w:tcPr/>
          <w:p>
            <w:pPr>
              <w:pStyle w:val="Compact"/>
              <w:jc w:val="left"/>
            </w:pPr>
            <w:r>
              <w:t xml:space="preserve">Trusts</w:t>
            </w:r>
          </w:p>
        </w:tc>
        <w:tc>
          <w:tcPr/>
          <w:p>
            <w:pPr>
              <w:pStyle w:val="Compact"/>
              <w:jc w:val="left"/>
            </w:pPr>
            <w:r>
              <w:t xml:space="preserve">Export-FMPTrustMap -OutputPath $out T</w:t>
            </w:r>
          </w:p>
        </w:tc>
        <w:tc>
          <w:tcPr/>
          <w:p>
            <w:pPr>
              <w:pStyle w:val="Compact"/>
              <w:jc w:val="left"/>
            </w:pPr>
            <w:r>
              <w:t xml:space="preserve">rusts\TrustMap.json</w:t>
            </w:r>
          </w:p>
        </w:tc>
      </w:tr>
      <w:tr>
        <w:tc>
          <w:tcPr/>
          <w:p>
            <w:pPr>
              <w:pStyle w:val="Compact"/>
              <w:jc w:val="left"/>
            </w:pPr>
            <w:r>
              <w:t xml:space="preserve">PKI/ADCS</w:t>
            </w:r>
          </w:p>
        </w:tc>
        <w:tc>
          <w:tcPr/>
          <w:p>
            <w:pPr>
              <w:pStyle w:val="Compact"/>
              <w:jc w:val="left"/>
            </w:pPr>
            <w:r>
              <w:t xml:space="preserve">Export-FMPPKIInventory -OutputPath $out P</w:t>
            </w:r>
          </w:p>
        </w:tc>
        <w:tc>
          <w:tcPr/>
          <w:p>
            <w:pPr>
              <w:pStyle w:val="Compact"/>
              <w:jc w:val="left"/>
            </w:pPr>
            <w:r>
              <w:t xml:space="preserve">KI\PKIInventory.json, PKI\ESCVulnerabilities.csv</w:t>
            </w:r>
          </w:p>
        </w:tc>
      </w:tr>
      <w:tr>
        <w:tc>
          <w:tcPr/>
          <w:p>
            <w:pPr>
              <w:pStyle w:val="Compact"/>
              <w:jc w:val="left"/>
            </w:pPr>
            <w:r>
              <w:t xml:space="preserve">DNS</w:t>
            </w:r>
          </w:p>
        </w:tc>
        <w:tc>
          <w:tcPr/>
          <w:p>
            <w:pPr>
              <w:pStyle w:val="Compact"/>
              <w:jc w:val="left"/>
            </w:pPr>
            <w:r>
              <w:t xml:space="preserve">Export-FMPDNSBaseline -OutputPath $out D</w:t>
            </w:r>
          </w:p>
        </w:tc>
        <w:tc>
          <w:tcPr/>
          <w:p>
            <w:pPr>
              <w:pStyle w:val="Compact"/>
              <w:jc w:val="left"/>
            </w:pPr>
            <w:r>
              <w:t xml:space="preserve">NS\DNSBaseline.json</w:t>
            </w:r>
          </w:p>
        </w:tc>
      </w:tr>
      <w:tr>
        <w:tc>
          <w:tcPr/>
          <w:p>
            <w:pPr>
              <w:pStyle w:val="Compact"/>
              <w:jc w:val="left"/>
            </w:pPr>
            <w:r>
              <w:t xml:space="preserve">ACLs</w:t>
            </w:r>
          </w:p>
        </w:tc>
        <w:tc>
          <w:tcPr/>
          <w:p>
            <w:pPr>
              <w:pStyle w:val="Compact"/>
              <w:jc w:val="left"/>
            </w:pPr>
            <w:r>
              <w:t xml:space="preserve">Export-FMPACLReport -OutputPath $out A</w:t>
            </w:r>
          </w:p>
        </w:tc>
        <w:tc>
          <w:tcPr/>
          <w:p>
            <w:pPr>
              <w:pStyle w:val="Compact"/>
              <w:jc w:val="left"/>
            </w:pPr>
            <w:r>
              <w:t xml:space="preserve">CLs\OUDelegation.json, ACLs\AdminSDHolder.json</w:t>
            </w:r>
          </w:p>
        </w:tc>
      </w:tr>
      <w:tr>
        <w:tc>
          <w:tcPr/>
          <w:p>
            <w:pPr>
              <w:pStyle w:val="Compact"/>
              <w:jc w:val="left"/>
            </w:pPr>
            <w:r>
              <w:t xml:space="preserve">Schema</w:t>
            </w:r>
          </w:p>
        </w:tc>
        <w:tc>
          <w:tcPr/>
          <w:p>
            <w:pPr>
              <w:pStyle w:val="Compact"/>
              <w:jc w:val="left"/>
            </w:pPr>
            <w:r>
              <w:t xml:space="preserve">Export-FMPSchemaExtensions -OutputPath $out S</w:t>
            </w:r>
          </w:p>
        </w:tc>
        <w:tc>
          <w:tcPr/>
          <w:p>
            <w:pPr>
              <w:pStyle w:val="Compact"/>
              <w:jc w:val="left"/>
            </w:pPr>
            <w:r>
              <w:t xml:space="preserve">chema\SchemaExtensions.json</w:t>
            </w:r>
          </w:p>
        </w:tc>
      </w:tr>
      <w:tr>
        <w:tc>
          <w:tcPr/>
          <w:p>
            <w:pPr>
              <w:pStyle w:val="Compact"/>
              <w:jc w:val="left"/>
            </w:pPr>
            <w:r>
              <w:t xml:space="preserve">Full Assessment</w:t>
            </w:r>
          </w:p>
        </w:tc>
        <w:tc>
          <w:tcPr/>
          <w:p>
            <w:pPr>
              <w:pStyle w:val="Compact"/>
              <w:jc w:val="left"/>
            </w:pPr>
            <w:r>
              <w:t xml:space="preserve">Invoke-FMPReadOnlyAssessment A</w:t>
            </w:r>
          </w:p>
        </w:tc>
        <w:tc>
          <w:tcPr/>
          <w:p>
            <w:pPr>
              <w:pStyle w:val="Compact"/>
              <w:jc w:val="left"/>
            </w:pPr>
            <w:r>
              <w:t xml:space="preserve">ll of the above + AssessmentManifest.json</w:t>
            </w:r>
          </w:p>
        </w:tc>
      </w:tr>
    </w:tbl>
    <w:p/>
    <w:tbl>
      <w:tblPr>
        <w:tblStyle w:val="Table"/>
        <w:tblW w:type="pct" w:w="3889"/>
        <w:tblLayout w:type="fixed"/>
        <w:tblLook w:firstRow="0" w:lastRow="0" w:firstColumn="0" w:lastColumn="0" w:noHBand="0" w:noVBand="0" w:val="0000"/>
      </w:tblPr>
      <w:tblGrid>
        <w:gridCol w:w="6160"/>
      </w:tblGrid>
      <w:tr>
        <w:tc>
          <w:tcPr/>
          <w:p>
            <w:pPr>
              <w:pStyle w:val="FirstParagraph"/>
            </w:pPr>
            <w:r>
              <w:rPr>
                <w:b/>
                <w:bCs/>
              </w:rPr>
              <w:t xml:space="preserve">Quick Start</w:t>
            </w:r>
          </w:p>
          <w:p>
            <w:pPr>
              <w:pStyle w:val="BodyText"/>
            </w:pPr>
            <w:r>
              <w:t xml:space="preserve">To run the complete assessment with a single command:</w:t>
            </w:r>
          </w:p>
        </w:tc>
      </w:tr>
    </w:tbl>
    <w:p>
      <w:pPr>
        <w:pStyle w:val="BodyText"/>
      </w:pPr>
      <w:r>
        <w:t xml:space="preserve">Import-Module .\FMPReadOnlyAssessment.psm1 Invoke-FMPReadOnlyAssessment -Verbose</w:t>
      </w:r>
    </w:p>
    <w:p>
      <w:pPr>
        <w:pStyle w:val="BodyText"/>
      </w:pPr>
      <w:r>
        <w:t xml:space="preserve">Appendix C — Read-Only Assessment Checklist</w:t>
      </w:r>
    </w:p>
    <w:p>
      <w:pPr>
        <w:pStyle w:val="BodyText"/>
      </w:pPr>
      <w:r>
        <w:t xml:space="preserve">Complete all items before beginning the assessment.</w:t>
      </w:r>
    </w:p>
    <w:p>
      <w:pPr>
        <w:pStyle w:val="BodyText"/>
      </w:pPr>
      <w:r>
        <w:t xml:space="preserve">Pre-Engagement</w:t>
      </w:r>
    </w:p>
    <w:tbl>
      <w:tblPr>
        <w:tblStyle w:val="Table"/>
        <w:tblW w:type="pct" w:w="4907"/>
        <w:tblLayout w:type="fixed"/>
        <w:tblLook w:firstRow="1" w:lastRow="0" w:firstColumn="0" w:lastColumn="0" w:noHBand="0" w:noVBand="0" w:val="0020"/>
      </w:tblPr>
      <w:tblGrid>
        <w:gridCol w:w="586"/>
        <w:gridCol w:w="7186"/>
      </w:tblGrid>
      <w:tr>
        <w:trPr>
          <w:tblHeader w:val="on"/>
        </w:trPr>
        <w:tc>
          <w:tcPr/>
          <w:p>
            <w:pPr>
              <w:pStyle w:val="Compact"/>
              <w:jc w:val="left"/>
            </w:pPr>
            <w:r>
              <w:rPr>
                <w:b/>
                <w:bCs/>
              </w:rPr>
              <w:t xml:space="preserve">☐</w:t>
            </w:r>
          </w:p>
        </w:tc>
        <w:tc>
          <w:tcPr/>
          <w:p>
            <w:pPr>
              <w:pStyle w:val="Compact"/>
              <w:jc w:val="left"/>
            </w:pPr>
            <w:r>
              <w:rPr>
                <w:b/>
                <w:bCs/>
              </w:rPr>
              <w:t xml:space="preserve">Checklist Item</w:t>
            </w:r>
          </w:p>
        </w:tc>
      </w:tr>
      <w:tr>
        <w:tc>
          <w:tcPr/>
          <w:p>
            <w:pPr>
              <w:pStyle w:val="Compact"/>
              <w:jc w:val="left"/>
            </w:pPr>
            <w:r>
              <w:t xml:space="preserve">☐</w:t>
            </w:r>
          </w:p>
        </w:tc>
        <w:tc>
          <w:tcPr/>
          <w:p>
            <w:pPr>
              <w:pStyle w:val="Compact"/>
              <w:jc w:val="left"/>
            </w:pPr>
            <w:r>
              <w:t xml:space="preserve">Domain-joined workstation or VPN access to domain network confirmed</w:t>
            </w:r>
          </w:p>
        </w:tc>
      </w:tr>
      <w:tr>
        <w:tc>
          <w:tcPr/>
          <w:p>
            <w:pPr>
              <w:pStyle w:val="Compact"/>
              <w:jc w:val="left"/>
            </w:pPr>
            <w:r>
              <w:t xml:space="preserve">☐</w:t>
            </w:r>
          </w:p>
        </w:tc>
        <w:tc>
          <w:tcPr/>
          <w:p>
            <w:pPr>
              <w:pStyle w:val="Compact"/>
              <w:jc w:val="left"/>
            </w:pPr>
            <w:r>
              <w:t xml:space="preserve">ActiveDirectory PowerShell module installed (Get-Module -ListAvailable ActiveDirectory)</w:t>
            </w:r>
          </w:p>
        </w:tc>
      </w:tr>
      <w:tr>
        <w:tc>
          <w:tcPr/>
          <w:p>
            <w:pPr>
              <w:pStyle w:val="Compact"/>
              <w:jc w:val="left"/>
            </w:pPr>
            <w:r>
              <w:t xml:space="preserve">☐</w:t>
            </w:r>
          </w:p>
        </w:tc>
        <w:tc>
          <w:tcPr/>
          <w:p>
            <w:pPr>
              <w:pStyle w:val="Compact"/>
              <w:jc w:val="left"/>
            </w:pPr>
            <w:r>
              <w:t xml:space="preserve">GroupPolicy PowerShell module installed (Get-Module -ListAvailable GroupPolicy)</w:t>
            </w:r>
          </w:p>
        </w:tc>
      </w:tr>
      <w:tr>
        <w:tc>
          <w:tcPr/>
          <w:p>
            <w:pPr>
              <w:pStyle w:val="Compact"/>
              <w:jc w:val="left"/>
            </w:pPr>
            <w:r>
              <w:t xml:space="preserve">☐</w:t>
            </w:r>
          </w:p>
        </w:tc>
        <w:tc>
          <w:tcPr/>
          <w:p>
            <w:pPr>
              <w:pStyle w:val="Compact"/>
              <w:jc w:val="left"/>
            </w:pPr>
            <w:r>
              <w:t xml:space="preserve">Assessment output directory created: D:\FMP\Assessment\ReadOnly\</w:t>
            </w:r>
          </w:p>
        </w:tc>
      </w:tr>
      <w:tr>
        <w:tc>
          <w:tcPr/>
          <w:p>
            <w:pPr>
              <w:pStyle w:val="Compact"/>
              <w:jc w:val="left"/>
            </w:pPr>
            <w:r>
              <w:t xml:space="preserve">☐</w:t>
            </w:r>
          </w:p>
        </w:tc>
        <w:tc>
          <w:tcPr/>
          <w:p>
            <w:pPr>
              <w:pStyle w:val="Compact"/>
              <w:jc w:val="left"/>
            </w:pPr>
            <w:r>
              <w:t xml:space="preserve">Output directory resides on encrypted volume (BitLocker or equivalent)</w:t>
            </w:r>
          </w:p>
        </w:tc>
      </w:tr>
      <w:tr>
        <w:tc>
          <w:tcPr/>
          <w:p>
            <w:pPr>
              <w:pStyle w:val="Compact"/>
              <w:jc w:val="left"/>
            </w:pPr>
            <w:r>
              <w:t xml:space="preserve">☐</w:t>
            </w:r>
          </w:p>
        </w:tc>
        <w:tc>
          <w:tcPr/>
          <w:p>
            <w:pPr>
              <w:pStyle w:val="Compact"/>
              <w:jc w:val="left"/>
            </w:pPr>
            <w:r>
              <w:t xml:space="preserve">Service account provisioned (svc-fmp-assess) — standard user, no elevated group memberships</w:t>
            </w:r>
          </w:p>
        </w:tc>
      </w:tr>
      <w:tr>
        <w:tc>
          <w:tcPr/>
          <w:p>
            <w:pPr>
              <w:pStyle w:val="Compact"/>
              <w:jc w:val="left"/>
            </w:pPr>
            <w:r>
              <w:t xml:space="preserve">☐</w:t>
            </w:r>
          </w:p>
        </w:tc>
        <w:tc>
          <w:tcPr/>
          <w:p>
            <w:pPr>
              <w:pStyle w:val="Compact"/>
              <w:jc w:val="left"/>
            </w:pPr>
            <w:r>
              <w:t xml:space="preserve">Service account expiration date set to end of assessment window</w:t>
            </w:r>
          </w:p>
        </w:tc>
      </w:tr>
      <w:tr>
        <w:tc>
          <w:tcPr/>
          <w:p>
            <w:pPr>
              <w:pStyle w:val="Compact"/>
              <w:jc w:val="left"/>
            </w:pPr>
            <w:r>
              <w:t xml:space="preserve">☐</w:t>
            </w:r>
          </w:p>
        </w:tc>
        <w:tc>
          <w:tcPr/>
          <w:p>
            <w:pPr>
              <w:pStyle w:val="Compact"/>
              <w:jc w:val="left"/>
            </w:pPr>
            <w:r>
              <w:t xml:space="preserve">SOC / security team notified of assessment window and expected query patterns</w:t>
            </w:r>
          </w:p>
        </w:tc>
      </w:tr>
      <w:tr>
        <w:tc>
          <w:tcPr/>
          <w:p>
            <w:pPr>
              <w:pStyle w:val="Compact"/>
              <w:jc w:val="left"/>
            </w:pPr>
            <w:r>
              <w:t xml:space="preserve">☐</w:t>
            </w:r>
          </w:p>
        </w:tc>
        <w:tc>
          <w:tcPr/>
          <w:p>
            <w:pPr>
              <w:pStyle w:val="Compact"/>
              <w:jc w:val="left"/>
            </w:pPr>
            <w:r>
              <w:t xml:space="preserve">SYSVOL share accessibility verified (Test-Path \\domain\SYSVOL)</w:t>
            </w:r>
          </w:p>
        </w:tc>
      </w:tr>
      <w:tr>
        <w:tc>
          <w:tcPr/>
          <w:p>
            <w:pPr>
              <w:pStyle w:val="Compact"/>
              <w:jc w:val="left"/>
            </w:pPr>
            <w:r>
              <w:t xml:space="preserve">☐</w:t>
            </w:r>
          </w:p>
        </w:tc>
        <w:tc>
          <w:tcPr/>
          <w:p>
            <w:pPr>
              <w:pStyle w:val="Compact"/>
              <w:jc w:val="left"/>
            </w:pPr>
            <w:r>
              <w:t xml:space="preserve">DNS resolution to domain controllers confirmed (Resolve-DnsName _ldap._tcp.dc._msdcs.domain)</w:t>
            </w:r>
          </w:p>
        </w:tc>
      </w:tr>
      <w:tr>
        <w:tc>
          <w:tcPr/>
          <w:p>
            <w:pPr>
              <w:pStyle w:val="Compact"/>
              <w:jc w:val="left"/>
            </w:pPr>
            <w:r>
              <w:t xml:space="preserve">☐</w:t>
            </w:r>
          </w:p>
        </w:tc>
        <w:tc>
          <w:tcPr/>
          <w:p>
            <w:pPr>
              <w:pStyle w:val="Compact"/>
              <w:jc w:val="left"/>
            </w:pPr>
            <w:r>
              <w:t xml:space="preserve">Assessment scope documented and approved by engagement authority</w:t>
            </w:r>
          </w:p>
        </w:tc>
      </w:tr>
      <w:tr>
        <w:tc>
          <w:tcPr/>
          <w:p>
            <w:pPr>
              <w:pStyle w:val="Compact"/>
              <w:jc w:val="left"/>
            </w:pPr>
            <w:r>
              <w:t xml:space="preserve">☐</w:t>
            </w:r>
          </w:p>
        </w:tc>
        <w:tc>
          <w:tcPr/>
          <w:p>
            <w:pPr>
              <w:pStyle w:val="Compact"/>
              <w:jc w:val="left"/>
            </w:pPr>
            <w:r>
              <w:t xml:space="preserve">FMPReadOnlyAssessment.psm1 module copied to assessment workstation</w:t>
            </w:r>
          </w:p>
        </w:tc>
      </w:tr>
    </w:tbl>
    <w:p>
      <w:pPr>
        <w:pStyle w:val="BodyText"/>
      </w:pPr>
      <w:r>
        <w:t xml:space="preserve">Post-Assessment</w:t>
      </w:r>
    </w:p>
    <w:tbl>
      <w:tblPr>
        <w:tblStyle w:val="Table"/>
        <w:tblW w:type="pct" w:w="4861"/>
        <w:tblLayout w:type="fixed"/>
        <w:tblLook w:firstRow="1" w:lastRow="0" w:firstColumn="0" w:lastColumn="0" w:noHBand="0" w:noVBand="0" w:val="0020"/>
      </w:tblPr>
      <w:tblGrid>
        <w:gridCol w:w="880"/>
        <w:gridCol w:w="6820"/>
      </w:tblGrid>
      <w:tr>
        <w:trPr>
          <w:tblHeader w:val="on"/>
        </w:trPr>
        <w:tc>
          <w:tcPr/>
          <w:p>
            <w:pPr>
              <w:pStyle w:val="Compact"/>
              <w:jc w:val="left"/>
            </w:pPr>
            <w:r>
              <w:rPr>
                <w:b/>
                <w:bCs/>
              </w:rPr>
              <w:t xml:space="preserve">☐</w:t>
            </w:r>
          </w:p>
        </w:tc>
        <w:tc>
          <w:tcPr/>
          <w:p>
            <w:pPr>
              <w:pStyle w:val="Compact"/>
              <w:jc w:val="left"/>
            </w:pPr>
            <w:r>
              <w:rPr>
                <w:b/>
                <w:bCs/>
              </w:rPr>
              <w:t xml:space="preserve">Checklist Item</w:t>
            </w:r>
          </w:p>
        </w:tc>
      </w:tr>
      <w:tr>
        <w:tc>
          <w:tcPr/>
          <w:p>
            <w:pPr>
              <w:pStyle w:val="Compact"/>
              <w:jc w:val="left"/>
            </w:pPr>
            <w:r>
              <w:t xml:space="preserve">☐</w:t>
            </w:r>
          </w:p>
        </w:tc>
        <w:tc>
          <w:tcPr/>
          <w:p>
            <w:pPr>
              <w:pStyle w:val="Compact"/>
              <w:jc w:val="left"/>
            </w:pPr>
            <w:r>
              <w:t xml:space="preserve">AssessmentManifest.json generated with file hashes</w:t>
            </w:r>
          </w:p>
        </w:tc>
      </w:tr>
      <w:tr>
        <w:tc>
          <w:tcPr/>
          <w:p>
            <w:pPr>
              <w:pStyle w:val="Compact"/>
              <w:jc w:val="left"/>
            </w:pPr>
            <w:r>
              <w:t xml:space="preserve">☐</w:t>
            </w:r>
          </w:p>
        </w:tc>
        <w:tc>
          <w:tcPr/>
          <w:p>
            <w:pPr>
              <w:pStyle w:val="Compact"/>
              <w:jc w:val="left"/>
            </w:pPr>
            <w:r>
              <w:t xml:space="preserve">All output files verified against manifest hashes</w:t>
            </w:r>
          </w:p>
        </w:tc>
      </w:tr>
      <w:tr>
        <w:tc>
          <w:tcPr/>
          <w:p>
            <w:pPr>
              <w:pStyle w:val="Compact"/>
              <w:jc w:val="left"/>
            </w:pPr>
            <w:r>
              <w:t xml:space="preserve">☐</w:t>
            </w:r>
          </w:p>
        </w:tc>
        <w:tc>
          <w:tcPr/>
          <w:p>
            <w:pPr>
              <w:pStyle w:val="Compact"/>
              <w:jc w:val="left"/>
            </w:pPr>
            <w:r>
              <w:t xml:space="preserve">Assessment output committed to Gitea repository</w:t>
            </w:r>
          </w:p>
        </w:tc>
      </w:tr>
      <w:tr>
        <w:tc>
          <w:tcPr/>
          <w:p>
            <w:pPr>
              <w:pStyle w:val="Compact"/>
              <w:jc w:val="left"/>
            </w:pPr>
            <w:r>
              <w:t xml:space="preserve">☐</w:t>
            </w:r>
          </w:p>
        </w:tc>
        <w:tc>
          <w:tcPr/>
          <w:p>
            <w:pPr>
              <w:pStyle w:val="Compact"/>
              <w:jc w:val="left"/>
            </w:pPr>
            <w:r>
              <w:t xml:space="preserve">Service account disabled</w:t>
            </w:r>
          </w:p>
        </w:tc>
      </w:tr>
      <w:tr>
        <w:tc>
          <w:tcPr/>
          <w:p>
            <w:pPr>
              <w:pStyle w:val="Compact"/>
              <w:jc w:val="left"/>
            </w:pPr>
            <w:r>
              <w:t xml:space="preserve">☐</w:t>
            </w:r>
          </w:p>
        </w:tc>
        <w:tc>
          <w:tcPr/>
          <w:p>
            <w:pPr>
              <w:pStyle w:val="Compact"/>
              <w:jc w:val="left"/>
            </w:pPr>
            <w:r>
              <w:t xml:space="preserve">Delegation request prepared for identified gaps (Section 8)</w:t>
            </w:r>
          </w:p>
        </w:tc>
      </w:tr>
      <w:tr>
        <w:tc>
          <w:tcPr/>
          <w:p>
            <w:pPr>
              <w:pStyle w:val="Compact"/>
              <w:jc w:val="left"/>
            </w:pPr>
            <w:r>
              <w:t xml:space="preserve">☐</w:t>
            </w:r>
          </w:p>
        </w:tc>
        <w:tc>
          <w:tcPr/>
          <w:p>
            <w:pPr>
              <w:pStyle w:val="Compact"/>
              <w:jc w:val="left"/>
            </w:pPr>
            <w:r>
              <w:t xml:space="preserve">Assessment summary briefed to engagement authority</w:t>
            </w:r>
          </w:p>
        </w:tc>
      </w:tr>
    </w:tbl>
    <w:p>
      <w:pPr>
        <w:pStyle w:val="BodyText"/>
      </w:pPr>
      <w:r>
        <w:t xml:space="preserve">Appendix D — Sample Assessment Manifest</w:t>
      </w:r>
    </w:p>
    <w:p>
      <w:pPr>
        <w:pStyle w:val="BodyText"/>
      </w:pPr>
      <w:r>
        <w:t xml:space="preserve">The following is a representative AssessmentManifest.json generated by the Invoke-FMPReadOnlyAssessment orchestrator.</w:t>
      </w:r>
    </w:p>
    <w:p>
      <w:pPr>
        <w:pStyle w:val="BodyText"/>
      </w:pPr>
      <w:r>
        <w:t xml:space="preserve">{ "AssessmentType": "ReadOnly", "Framework": "FMP", "ForestName": "contoso.com", "AssessedBy": "CONTOSO\\svc-fmp-assess", "Timestamp": "2026-04-20T20:32:00Z", "Classification": "Controlled", "Boundary": "GCC-Moderate", "CoverageScore": 87, "ModuleVersion": "1.0.0", "Domains": [ { "Name": "contoso.com", "DomainMode": "Windows2016Domain", "DomainControllers": 4, "Sites": 3, "OUs": 142, "Users": 3847, "Computers": 2156, "Groups": 891 } ], "Outputs": [ { "Name": "ReadAccessReport", "File": "ReadAccessReport.json", "Status": "Complete", "Passed": 8, "Failed": 0, "Partial": 0 }, { "Name": "ForestTopology", "File": "ForestTopology.json", "Status": "Success", "DCCount": 4, "SiteCount": 3, "TrustCount": 1 }, { "Name": "OUHierarchy", "File": "OUHierarchy.json", "Status": "Success", "OUCount": 142 }, { "Name": "GPOInventory", "File": "GPO/GPOInventory.json", "Status": "Success", "TotalGPOs": 87, "UnlinkedGPOs": 12, "EmptyGPOs": 5 }, { "Name": "ComputerInventory", "File": "Computers/ComputerInventory.json", "Status": "Success", "TotalComputers": 2156, "StaleComputers": 341, "LAPSEnabled": 1892 }, { "Name": "UserInventory", "File": "Users/UserInventory.json", "Status": "Success", "TotalUsers": 3847, "PrivilegedUsers": 23, "ServiceAccounts": 47, "StaleUsers": 612 }, { "Name": "GroupInventory", "File": "Groups/GroupInventory.json", "Status": "Success", "TotalGroups": 891, "EmptyGroups": 134, "NestingIssues": 7 }, { "Name": "TrustMap", "File": "Trusts/TrustMap.json", "Status": "Success", "TrustCount": 1 }, { "Name": "PKIInventory", "File": "PKI/PKIInventory.json", "Status": "Success", "CACount": 2, "TemplateCount": 34, "ESCVulnerabilities": 3 }, { "Name": "DNSBaseline", "File": "DNS/DNSBaseline.json", "Status": "Success", "ZoneCount": 4, "SRVFailures": 0 }, { "Name": "ACLReport", "File": "ACLs/OUDelegation.json", "Status": "Success", "DelegationEntries": 89 }, { "Name": "SchemaExtensions", "File": "Schema/SchemaExtensions.json", "Status": "Success", "ExtensionAttributes": 14, "ConfidentialAttributes": 6 } ], "Gaps": [ "DNS Scavenging Configuration (requires DNS Admin)", "Deleted Objects / Tombstones (requires delegation to CN=Deleted Objects)", "Issued Certificate Database (requires CA Admin)", "LAPS Passwords (requires ms-Mcs-AdmPwd read delegation)", "BitLocker Recovery Keys (requires ms-FVE-RecoveryPassword read delegation)", "Event Logs on Domain Controllers (requires local admin)", "Replication Health Details (requires Replicating Directory Changes)" ], "Hashes": [ { "File": "./ReadAccessReport.json", "SHA256": "a1b2c3d4e5f6..." }, { "File": "./ForestTopology.json", "SHA256": "b2c3d4e5f6a1..." }, { "File": "./OUHierarchy.json", "SHA256": "c3d4e5f6a1b2..." }, { "File": "./GPO/GPOInventory.json", "SHA256": "d4e5f6a1b2c3..." } ] }</w:t>
      </w:r>
    </w:p>
    <w:p>
      <w:pPr>
        <w:pStyle w:val="BodyText"/>
      </w:pPr>
      <w:r>
        <w:t xml:space="preserve">The Federal Modernization Program Read-Only AD Assessment Guide — Version 1.0 DRAFT</w:t>
      </w:r>
      <w:r>
        <w:br/>
      </w:r>
      <w:r>
        <w:t xml:space="preserve">Classification: Controlled | Boundary: GCC-Moderate</w:t>
      </w:r>
      <w:r>
        <w:br/>
      </w:r>
      <w:r>
        <w:t xml:space="preserve">The Federal Modernization Program Canon Companion Document — FMP_009</w:t>
      </w:r>
      <w:r>
        <w:br/>
      </w:r>
      <w:r>
        <w:t xml:space="preserve">© 2026 the Federal Modernization Program Governance Framework. All rights reserved.</w:t>
      </w:r>
    </w:p>
    <w:bookmarkEnd w:id="147"/>
    <w:bookmarkStart w:id="152" w:name="zero-trust-assessment"/>
    <w:p>
      <w:pPr>
        <w:pStyle w:val="Heading1"/>
      </w:pPr>
      <w:r>
        <w:t xml:space="preserve">Zero Trust Assessment</w:t>
      </w:r>
    </w:p>
    <w:p>
      <w:pPr>
        <w:pStyle w:val="FirstParagraph"/>
      </w:pPr>
      <w:r>
        <w:t xml:space="preserve">Dimensions and evidence sources for assessing Zero Trust maturity.</w:t>
      </w:r>
    </w:p>
    <w:bookmarkStart w:id="148" w:name="purpose-5"/>
    <w:p>
      <w:pPr>
        <w:pStyle w:val="Heading2"/>
      </w:pPr>
      <w:r>
        <w:t xml:space="preserve">Purpose</w:t>
      </w:r>
    </w:p>
    <w:p>
      <w:pPr>
        <w:pStyle w:val="FirstParagraph"/>
      </w:pPr>
      <w:r>
        <w:t xml:space="preserve">Provide a structured view of Zero Trust posture across identity, device, network, application, and data. The assessment is evidence-based: each dimension is scored from observable signals rather than self-attestation alone.</w:t>
      </w:r>
    </w:p>
    <w:bookmarkEnd w:id="148"/>
    <w:bookmarkStart w:id="149" w:name="dimensions"/>
    <w:p>
      <w:pPr>
        <w:pStyle w:val="Heading2"/>
      </w:pPr>
      <w:r>
        <w:t xml:space="preserve">Dimensions</w:t>
      </w:r>
    </w:p>
    <w:tbl>
      <w:tblPr>
        <w:tblStyle w:val="Table"/>
        <w:tblW w:type="pct" w:w="5000"/>
        <w:tblLayout w:type="fixed"/>
        <w:tblLook w:firstRow="1" w:lastRow="0" w:firstColumn="0" w:lastColumn="0" w:noHBand="0" w:noVBand="0" w:val="0020"/>
      </w:tblPr>
      <w:tblGrid>
        <w:gridCol w:w="2354"/>
        <w:gridCol w:w="5565"/>
      </w:tblGrid>
      <w:tr>
        <w:trPr>
          <w:tblHeader w:val="on"/>
        </w:trPr>
        <w:tc>
          <w:tcPr/>
          <w:p>
            <w:pPr>
              <w:pStyle w:val="Compact"/>
            </w:pPr>
            <w:r>
              <w:t xml:space="preserve">Dimension</w:t>
            </w:r>
          </w:p>
        </w:tc>
        <w:tc>
          <w:tcPr/>
          <w:p>
            <w:pPr>
              <w:pStyle w:val="Compact"/>
            </w:pPr>
            <w:r>
              <w:t xml:space="preserve">Primary evidence sources</w:t>
            </w:r>
          </w:p>
        </w:tc>
      </w:tr>
      <w:tr>
        <w:tc>
          <w:tcPr/>
          <w:p>
            <w:pPr>
              <w:pStyle w:val="Compact"/>
            </w:pPr>
            <w:r>
              <w:t xml:space="preserve">Identity</w:t>
            </w:r>
          </w:p>
        </w:tc>
        <w:tc>
          <w:tcPr/>
          <w:p>
            <w:pPr>
              <w:pStyle w:val="Compact"/>
            </w:pPr>
            <w:r>
              <w:t xml:space="preserve">MFA coverage, Conditional Access hit rates, privileged access reviews, stale accounts</w:t>
            </w:r>
          </w:p>
        </w:tc>
      </w:tr>
      <w:tr>
        <w:tc>
          <w:tcPr/>
          <w:p>
            <w:pPr>
              <w:pStyle w:val="Compact"/>
            </w:pPr>
            <w:r>
              <w:t xml:space="preserve">Device</w:t>
            </w:r>
          </w:p>
        </w:tc>
        <w:tc>
          <w:tcPr/>
          <w:p>
            <w:pPr>
              <w:pStyle w:val="Compact"/>
            </w:pPr>
            <w:r>
              <w:t xml:space="preserve">Intune enrollment rate, compliance policy results, unmanaged device access attempts</w:t>
            </w:r>
          </w:p>
        </w:tc>
      </w:tr>
      <w:tr>
        <w:tc>
          <w:tcPr/>
          <w:p>
            <w:pPr>
              <w:pStyle w:val="Compact"/>
            </w:pPr>
            <w:r>
              <w:t xml:space="preserve">Network</w:t>
            </w:r>
          </w:p>
        </w:tc>
        <w:tc>
          <w:tcPr/>
          <w:p>
            <w:pPr>
              <w:pStyle w:val="Compact"/>
            </w:pPr>
            <w:r>
              <w:t xml:space="preserve">Named location accuracy, split-tunnel or private access adoption, DNS resolution consistency</w:t>
            </w:r>
          </w:p>
        </w:tc>
      </w:tr>
      <w:tr>
        <w:tc>
          <w:tcPr/>
          <w:p>
            <w:pPr>
              <w:pStyle w:val="Compact"/>
            </w:pPr>
            <w:r>
              <w:t xml:space="preserve">Application</w:t>
            </w:r>
          </w:p>
        </w:tc>
        <w:tc>
          <w:tcPr/>
          <w:p>
            <w:pPr>
              <w:pStyle w:val="Compact"/>
            </w:pPr>
            <w:r>
              <w:t xml:space="preserve">Application registration hygiene, Conditional Access coverage per app, legacy auth blocks</w:t>
            </w:r>
          </w:p>
        </w:tc>
      </w:tr>
      <w:tr>
        <w:tc>
          <w:tcPr/>
          <w:p>
            <w:pPr>
              <w:pStyle w:val="Compact"/>
            </w:pPr>
            <w:r>
              <w:t xml:space="preserve">Data</w:t>
            </w:r>
          </w:p>
        </w:tc>
        <w:tc>
          <w:tcPr/>
          <w:p>
            <w:pPr>
              <w:pStyle w:val="Compact"/>
            </w:pPr>
            <w:r>
              <w:t xml:space="preserve">Sensitivity labeling adoption, access reviews, external sharing controls</w:t>
            </w:r>
          </w:p>
        </w:tc>
      </w:tr>
    </w:tbl>
    <w:bookmarkEnd w:id="149"/>
    <w:bookmarkStart w:id="150" w:name="assessment-method"/>
    <w:p>
      <w:pPr>
        <w:pStyle w:val="Heading2"/>
      </w:pPr>
      <w:r>
        <w:t xml:space="preserve">Assessment method</w:t>
      </w:r>
    </w:p>
    <w:p>
      <w:pPr>
        <w:pStyle w:val="Compact"/>
        <w:numPr>
          <w:ilvl w:val="0"/>
          <w:numId w:val="1094"/>
        </w:numPr>
      </w:pPr>
      <w:r>
        <w:t xml:space="preserve">Collect signals from directory, endpoint, network, and application telemetry.</w:t>
      </w:r>
    </w:p>
    <w:p>
      <w:pPr>
        <w:pStyle w:val="Compact"/>
        <w:numPr>
          <w:ilvl w:val="0"/>
          <w:numId w:val="1094"/>
        </w:numPr>
      </w:pPr>
      <w:r>
        <w:t xml:space="preserve">Map each signal to a dimension and a maturity level.</w:t>
      </w:r>
    </w:p>
    <w:p>
      <w:pPr>
        <w:pStyle w:val="Compact"/>
        <w:numPr>
          <w:ilvl w:val="0"/>
          <w:numId w:val="1094"/>
        </w:numPr>
      </w:pPr>
      <w:r>
        <w:t xml:space="preserve">Identify gaps where evidence is missing or contradictory.</w:t>
      </w:r>
    </w:p>
    <w:p>
      <w:pPr>
        <w:pStyle w:val="Compact"/>
        <w:numPr>
          <w:ilvl w:val="0"/>
          <w:numId w:val="1094"/>
        </w:numPr>
      </w:pPr>
      <w:r>
        <w:t xml:space="preserve">Prioritize remediation by residual risk and dependency.</w:t>
      </w:r>
    </w:p>
    <w:p>
      <w:pPr>
        <w:pStyle w:val="Compact"/>
        <w:numPr>
          <w:ilvl w:val="0"/>
          <w:numId w:val="1094"/>
        </w:numPr>
      </w:pPr>
      <w:r>
        <w:t xml:space="preserve">Re-assess on a defined cadence.</w:t>
      </w:r>
    </w:p>
    <w:bookmarkEnd w:id="150"/>
    <w:bookmarkStart w:id="151" w:name="output-1"/>
    <w:p>
      <w:pPr>
        <w:pStyle w:val="Heading2"/>
      </w:pPr>
      <w:r>
        <w:t xml:space="preserve">Output</w:t>
      </w:r>
    </w:p>
    <w:p>
      <w:pPr>
        <w:pStyle w:val="FirstParagraph"/>
      </w:pPr>
      <w:r>
        <w:t xml:space="preserve">A dashboard or report that shows current maturity per dimension, evidence gaps, and recommended next actions. The value is in the evidence trail, not the score alone.</w:t>
      </w:r>
    </w:p>
    <w:p>
      <w:r>
        <w:pict>
          <v:rect style="width:0;height:1.5pt" o:hralign="center" o:hrstd="t" o:hr="t"/>
        </w:pict>
      </w:r>
    </w:p>
    <w:p>
      <w:pPr>
        <w:pStyle w:val="FirstParagraph"/>
      </w:pPr>
      <w:r>
        <w:rPr>
          <w:i/>
          <w:iCs/>
        </w:rPr>
        <w:t xml:space="preserve">Cleaned extraction for project use.</w:t>
      </w:r>
    </w:p>
    <w:bookmarkEnd w:id="151"/>
    <w:bookmarkEnd w:id="152"/>
    <w:bookmarkStart w:id="154" w:name="f.-access-plane"/>
    <w:p>
      <w:pPr>
        <w:pStyle w:val="Heading1"/>
      </w:pPr>
      <w:r>
        <w:t xml:space="preserve">F. Access Plane</w:t>
      </w:r>
    </w:p>
    <w:p>
      <w:pPr>
        <w:pStyle w:val="FirstParagraph"/>
      </w:pPr>
      <w:r>
        <w:t xml:space="preserve">Identity-bound network + application access controls. The access plane is</w:t>
      </w:r>
      <w:r>
        <w:t xml:space="preserve"> </w:t>
      </w:r>
      <w:r>
        <w:t xml:space="preserve">the enforcement surface for every Conditional Access policy, every Zero</w:t>
      </w:r>
      <w:r>
        <w:t xml:space="preserve"> </w:t>
      </w:r>
      <w:r>
        <w:t xml:space="preserve">Trust segment, and every privileged-access workflow. It replaces the</w:t>
      </w:r>
      <w:r>
        <w:t xml:space="preserve"> </w:t>
      </w:r>
      <w:r>
        <w:t xml:space="preserve">AD-centric network-perimeter model with identity + device posture.</w:t>
      </w:r>
    </w:p>
    <w:bookmarkStart w:id="153" w:name="leaves"/>
    <w:p>
      <w:pPr>
        <w:pStyle w:val="Heading2"/>
      </w:pPr>
      <w:r>
        <w:t xml:space="preserve">Leaves</w:t>
      </w:r>
    </w:p>
    <w:p>
      <w:pPr>
        <w:pStyle w:val="Compact"/>
        <w:numPr>
          <w:ilvl w:val="0"/>
          <w:numId w:val="1095"/>
        </w:numPr>
      </w:pPr>
      <w:r>
        <w:rPr>
          <w:b/>
          <w:bCs/>
        </w:rPr>
        <w:t xml:space="preserve">F.1</w:t>
      </w:r>
      <w:r>
        <w:t xml:space="preserve"> </w:t>
      </w:r>
      <w:r>
        <w:t xml:space="preserve">MFA (methods, phishing resistance, FIDO2)</w:t>
      </w:r>
    </w:p>
    <w:p>
      <w:pPr>
        <w:pStyle w:val="Compact"/>
        <w:numPr>
          <w:ilvl w:val="0"/>
          <w:numId w:val="1095"/>
        </w:numPr>
      </w:pPr>
      <w:r>
        <w:rPr>
          <w:b/>
          <w:bCs/>
        </w:rPr>
        <w:t xml:space="preserve">F.2</w:t>
      </w:r>
      <w:r>
        <w:t xml:space="preserve"> </w:t>
      </w:r>
      <w:r>
        <w:t xml:space="preserve">Zero Trust model — modernization-specs/zero-trust</w:t>
      </w:r>
    </w:p>
    <w:p>
      <w:pPr>
        <w:pStyle w:val="Compact"/>
        <w:numPr>
          <w:ilvl w:val="0"/>
          <w:numId w:val="1095"/>
        </w:numPr>
      </w:pPr>
      <w:r>
        <w:rPr>
          <w:b/>
          <w:bCs/>
        </w:rPr>
        <w:t xml:space="preserve">F.3</w:t>
      </w:r>
      <w:r>
        <w:t xml:space="preserve"> </w:t>
      </w:r>
      <w:r>
        <w:t xml:space="preserve">SASE — modernization-specs/sase</w:t>
      </w:r>
    </w:p>
    <w:p>
      <w:pPr>
        <w:pStyle w:val="Compact"/>
        <w:numPr>
          <w:ilvl w:val="0"/>
          <w:numId w:val="1095"/>
        </w:numPr>
      </w:pPr>
      <w:r>
        <w:rPr>
          <w:b/>
          <w:bCs/>
        </w:rPr>
        <w:t xml:space="preserve">F.4</w:t>
      </w:r>
      <w:r>
        <w:t xml:space="preserve"> </w:t>
      </w:r>
      <w:r>
        <w:t xml:space="preserve">Certificate-Based Authentication (Entra CBA)</w:t>
      </w:r>
    </w:p>
    <w:p>
      <w:pPr>
        <w:pStyle w:val="Compact"/>
        <w:numPr>
          <w:ilvl w:val="0"/>
          <w:numId w:val="1095"/>
        </w:numPr>
      </w:pPr>
      <w:r>
        <w:rPr>
          <w:b/>
          <w:bCs/>
        </w:rPr>
        <w:t xml:space="preserve">F.5</w:t>
      </w:r>
      <w:r>
        <w:t xml:space="preserve"> </w:t>
      </w:r>
      <w:r>
        <w:t xml:space="preserve">Privileged Access Management — PIM self-request with approval</w:t>
      </w:r>
      <w:r>
        <w:t xml:space="preserve"> </w:t>
      </w:r>
      <w:r>
        <w:t xml:space="preserve">· CyberArk adapter</w:t>
      </w:r>
    </w:p>
    <w:p>
      <w:pPr>
        <w:pStyle w:val="Compact"/>
        <w:numPr>
          <w:ilvl w:val="0"/>
          <w:numId w:val="1095"/>
        </w:numPr>
      </w:pPr>
      <w:r>
        <w:rPr>
          <w:b/>
          <w:bCs/>
        </w:rPr>
        <w:t xml:space="preserve">F.6</w:t>
      </w:r>
      <w:r>
        <w:t xml:space="preserve"> </w:t>
      </w:r>
      <w:r>
        <w:t xml:space="preserve">Break-glass accounts</w:t>
      </w:r>
    </w:p>
    <w:bookmarkEnd w:id="153"/>
    <w:bookmarkEnd w:id="154"/>
    <w:bookmarkStart w:id="158" w:name="Xe2ba73118d11c3e2629ce542a5a0399e349182e"/>
    <w:p>
      <w:pPr>
        <w:pStyle w:val="Heading1"/>
      </w:pPr>
      <w:r>
        <w:t xml:space="preserve">The Federal Modernization Program Conditional Access Policy Library</w:t>
      </w:r>
    </w:p>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p>
      <w:pPr>
        <w:pStyle w:val="BodyText"/>
      </w:pPr>
      <w:r>
        <w:t xml:space="preserve">The Federal Modernization Program Conditional Access Policy Library</w:t>
      </w:r>
    </w:p>
    <w:p>
      <w:pPr>
        <w:pStyle w:val="BodyText"/>
      </w:pPr>
      <w:r>
        <w:rPr>
          <w:b/>
          <w:bCs/>
        </w:rPr>
        <w:t xml:space="preserve">Microsoft Entra ID — Governance Reference for Identity Modernization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r>
        <w:br/>
      </w:r>
      <w:r>
        <w:rPr>
          <w:b/>
          <w:bCs/>
        </w:rPr>
        <w:t xml:space="preserve">Version:</w:t>
      </w:r>
      <w:r>
        <w:t xml:space="preserve"> </w:t>
      </w:r>
      <w:r>
        <w:t xml:space="preserve">2.0 |</w:t>
      </w:r>
      <w:r>
        <w:t xml:space="preserve"> </w:t>
      </w:r>
      <w:r>
        <w:rPr>
          <w:b/>
          <w:bCs/>
        </w:rPr>
        <w:t xml:space="preserve">Effective Date:</w:t>
      </w:r>
      <w:r>
        <w:t xml:space="preserve"> </w:t>
      </w:r>
      <w:r>
        <w:t xml:space="preserve">April 21, 2026</w:t>
      </w:r>
      <w:r>
        <w:br/>
      </w:r>
      <w:r>
        <w:rPr>
          <w:b/>
          <w:bCs/>
        </w:rPr>
        <w:t xml:space="preserve">Owner:</w:t>
      </w:r>
      <w:r>
        <w:t xml:space="preserve"> </w:t>
      </w:r>
      <w:r>
        <w:t xml:space="preserve">the Federal Modernization Program Identity Modernization Program Office</w:t>
      </w:r>
      <w:r>
        <w:br/>
      </w:r>
      <w:r>
        <w:rPr>
          <w:b/>
          <w:bCs/>
        </w:rPr>
        <w:t xml:space="preserve">Audience:</w:t>
      </w:r>
      <w:r>
        <w:t xml:space="preserve"> </w:t>
      </w:r>
      <w:r>
        <w:t xml:space="preserve">Identity Architects, Security Engineers, IT Governance, Cloud Operations</w:t>
      </w:r>
      <w:r>
        <w:br/>
      </w:r>
      <w:r>
        <w:rPr>
          <w:b/>
          <w:bCs/>
        </w:rPr>
        <w:t xml:space="preserve">Review Cycle:</w:t>
      </w:r>
      <w:r>
        <w:t xml:space="preserve"> </w:t>
      </w:r>
      <w:r>
        <w:t xml:space="preserve">Quarterly |</w:t>
      </w:r>
      <w:r>
        <w:t xml:space="preserve"> </w:t>
      </w:r>
      <w:r>
        <w:rPr>
          <w:b/>
          <w:bCs/>
        </w:rPr>
        <w:t xml:space="preserve">Next Review:</w:t>
      </w:r>
      <w:r>
        <w:t xml:space="preserve"> </w:t>
      </w:r>
      <w:r>
        <w:t xml:space="preserve">July 2026</w:t>
      </w:r>
    </w:p>
    <w:p>
      <w:pPr>
        <w:pStyle w:val="BodyText"/>
      </w:pPr>
      <w:r>
        <w:t xml:space="preserve">Table of Contents</w:t>
      </w:r>
    </w:p>
    <w:p>
      <w:pPr>
        <w:pStyle w:val="BodyText"/>
      </w:pPr>
      <w:r>
        <w:rPr>
          <w:b/>
          <w:bCs/>
        </w:rPr>
        <w:t xml:space="preserve">Section 1</w:t>
      </w:r>
      <w:r>
        <w:t xml:space="preserve"> </w:t>
      </w:r>
      <w:r>
        <w:t xml:space="preserve">— Executive Summary</w:t>
      </w:r>
    </w:p>
    <w:p>
      <w:pPr>
        <w:pStyle w:val="BodyText"/>
      </w:pPr>
      <w:r>
        <w:rPr>
          <w:b/>
          <w:bCs/>
        </w:rPr>
        <w:t xml:space="preserve">Section 2</w:t>
      </w:r>
      <w:r>
        <w:t xml:space="preserve"> </w:t>
      </w:r>
      <w:r>
        <w:t xml:space="preserve">— Policy Architecture</w:t>
      </w:r>
    </w:p>
    <w:p>
      <w:pPr>
        <w:pStyle w:val="BodyText"/>
      </w:pPr>
      <w:r>
        <w:rPr>
          <w:b/>
          <w:bCs/>
        </w:rPr>
        <w:t xml:space="preserve">Section 3</w:t>
      </w:r>
      <w:r>
        <w:t xml:space="preserve"> </w:t>
      </w:r>
      <w:r>
        <w:t xml:space="preserve">— Baseline Policies (CA-001 through CA-005)</w:t>
      </w:r>
    </w:p>
    <w:p>
      <w:pPr>
        <w:pStyle w:val="BodyText"/>
      </w:pPr>
      <w:r>
        <w:rPr>
          <w:b/>
          <w:bCs/>
        </w:rPr>
        <w:t xml:space="preserve">Section 4</w:t>
      </w:r>
      <w:r>
        <w:t xml:space="preserve"> </w:t>
      </w:r>
      <w:r>
        <w:t xml:space="preserve">— Device Tier Policies (CA-010 through CA-015)</w:t>
      </w:r>
    </w:p>
    <w:p>
      <w:pPr>
        <w:pStyle w:val="BodyText"/>
      </w:pPr>
      <w:r>
        <w:rPr>
          <w:b/>
          <w:bCs/>
        </w:rPr>
        <w:t xml:space="preserve">Section 5</w:t>
      </w:r>
      <w:r>
        <w:t xml:space="preserve"> </w:t>
      </w:r>
      <w:r>
        <w:t xml:space="preserve">— Environment Policies (CA-020 through CA-025)</w:t>
      </w:r>
    </w:p>
    <w:p>
      <w:pPr>
        <w:pStyle w:val="BodyText"/>
      </w:pPr>
      <w:r>
        <w:rPr>
          <w:b/>
          <w:bCs/>
        </w:rPr>
        <w:t xml:space="preserve">Section 6</w:t>
      </w:r>
      <w:r>
        <w:t xml:space="preserve"> </w:t>
      </w:r>
      <w:r>
        <w:t xml:space="preserve">— Region and Site Policies (CA-030 through CA-035)</w:t>
      </w:r>
    </w:p>
    <w:p>
      <w:pPr>
        <w:pStyle w:val="BodyText"/>
      </w:pPr>
      <w:r>
        <w:rPr>
          <w:b/>
          <w:bCs/>
        </w:rPr>
        <w:t xml:space="preserve">Section 7</w:t>
      </w:r>
      <w:r>
        <w:t xml:space="preserve"> </w:t>
      </w:r>
      <w:r>
        <w:t xml:space="preserve">— Application-Specific Policies (CA-040 through CA-050)</w:t>
      </w:r>
    </w:p>
    <w:p>
      <w:pPr>
        <w:pStyle w:val="BodyText"/>
      </w:pPr>
      <w:r>
        <w:rPr>
          <w:b/>
          <w:bCs/>
        </w:rPr>
        <w:t xml:space="preserve">Section 8</w:t>
      </w:r>
      <w:r>
        <w:t xml:space="preserve"> </w:t>
      </w:r>
      <w:r>
        <w:t xml:space="preserve">— Governance Policies (CA-060 through CA-065)</w:t>
      </w:r>
    </w:p>
    <w:p>
      <w:pPr>
        <w:pStyle w:val="BodyText"/>
      </w:pPr>
      <w:r>
        <w:rPr>
          <w:b/>
          <w:bCs/>
        </w:rPr>
        <w:t xml:space="preserve">Section 9</w:t>
      </w:r>
      <w:r>
        <w:t xml:space="preserve"> </w:t>
      </w:r>
      <w:r>
        <w:t xml:space="preserve">— Policy Deployment Methodology</w:t>
      </w:r>
    </w:p>
    <w:p>
      <w:pPr>
        <w:pStyle w:val="BodyText"/>
      </w:pPr>
      <w:r>
        <w:rPr>
          <w:b/>
          <w:bCs/>
        </w:rPr>
        <w:t xml:space="preserve">Section 10</w:t>
      </w:r>
      <w:r>
        <w:t xml:space="preserve"> </w:t>
      </w:r>
      <w:r>
        <w:t xml:space="preserve">— GPO-to-CA Migration Matrix</w:t>
      </w:r>
    </w:p>
    <w:p>
      <w:pPr>
        <w:pStyle w:val="BodyText"/>
      </w:pPr>
      <w:r>
        <w:rPr>
          <w:b/>
          <w:bCs/>
        </w:rPr>
        <w:t xml:space="preserve">Section 11</w:t>
      </w:r>
      <w:r>
        <w:t xml:space="preserve"> </w:t>
      </w:r>
      <w:r>
        <w:t xml:space="preserve">— Break-Glass Account Procedures</w:t>
      </w:r>
    </w:p>
    <w:p>
      <w:pPr>
        <w:pStyle w:val="BodyText"/>
      </w:pPr>
      <w:r>
        <w:rPr>
          <w:b/>
          <w:bCs/>
        </w:rPr>
        <w:t xml:space="preserve">Section 12</w:t>
      </w:r>
      <w:r>
        <w:t xml:space="preserve"> </w:t>
      </w:r>
      <w:r>
        <w:t xml:space="preserve">— Monitoring and Compliance</w:t>
      </w:r>
    </w:p>
    <w:p>
      <w:pPr>
        <w:pStyle w:val="BodyText"/>
      </w:pPr>
      <w:r>
        <w:rPr>
          <w:b/>
          <w:bCs/>
        </w:rPr>
        <w:t xml:space="preserve">Appendix A</w:t>
      </w:r>
      <w:r>
        <w:t xml:space="preserve"> </w:t>
      </w:r>
      <w:r>
        <w:t xml:space="preserve">— JSON Export Templates</w:t>
      </w:r>
    </w:p>
    <w:p>
      <w:pPr>
        <w:pStyle w:val="BodyText"/>
      </w:pPr>
      <w:r>
        <w:rPr>
          <w:b/>
          <w:bCs/>
        </w:rPr>
        <w:t xml:space="preserve">Appendix B</w:t>
      </w:r>
      <w:r>
        <w:t xml:space="preserve"> </w:t>
      </w:r>
      <w:r>
        <w:t xml:space="preserve">— Named Location Definitions</w:t>
      </w:r>
    </w:p>
    <w:p>
      <w:pPr>
        <w:pStyle w:val="BodyText"/>
      </w:pPr>
      <w:r>
        <w:rPr>
          <w:b/>
          <w:bCs/>
        </w:rPr>
        <w:t xml:space="preserve">Appendix C</w:t>
      </w:r>
      <w:r>
        <w:t xml:space="preserve"> </w:t>
      </w:r>
      <w:r>
        <w:t xml:space="preserve">— Authentication Strength Definitions</w:t>
      </w:r>
    </w:p>
    <w:p>
      <w:pPr>
        <w:pStyle w:val="BodyText"/>
      </w:pPr>
      <w:r>
        <w:rPr>
          <w:b/>
          <w:bCs/>
        </w:rPr>
        <w:t xml:space="preserve">Appendix D</w:t>
      </w:r>
      <w:r>
        <w:t xml:space="preserve"> </w:t>
      </w:r>
      <w:r>
        <w:t xml:space="preserve">— Compliance Mapping</w:t>
      </w:r>
    </w:p>
    <w:p>
      <w:pPr>
        <w:pStyle w:val="BodyText"/>
      </w:pPr>
      <w:r>
        <w:t xml:space="preserve">Section 1: Executive Summary</w:t>
      </w:r>
    </w:p>
    <w:p>
      <w:pPr>
        <w:pStyle w:val="BodyText"/>
      </w:pPr>
      <w:r>
        <w:t xml:space="preserve">1.1 Purpose</w:t>
      </w:r>
    </w:p>
    <w:p>
      <w:pPr>
        <w:pStyle w:val="BodyText"/>
      </w:pPr>
      <w:r>
        <w:t xml:space="preserve">The Federal Modernization Program Conditional Access Policy Library serves as the authoritative governance reference for organizations transitioning from legacy Active Directory Group Policy Object (GPO)-based access control to Microsoft Entra ID Conditional Access (CA). This document defines a comprehensive, tiered policy framework that enforces Zero Trust principles across identity, device, application, and network signals.</w:t>
      </w:r>
    </w:p>
    <w:p>
      <w:pPr>
        <w:pStyle w:val="BodyText"/>
      </w:pPr>
      <w:r>
        <w:t xml:space="preserve">This library provides:</w:t>
      </w:r>
    </w:p>
    <w:p>
      <w:pPr>
        <w:numPr>
          <w:ilvl w:val="0"/>
          <w:numId w:val="1096"/>
        </w:numPr>
      </w:pPr>
      <w:r>
        <w:t xml:space="preserve">A standardized catalog of 40+ Conditional Access policies organized by function and tier</w:t>
      </w:r>
    </w:p>
    <w:p>
      <w:pPr>
        <w:numPr>
          <w:ilvl w:val="0"/>
          <w:numId w:val="1096"/>
        </w:numPr>
      </w:pPr>
      <w:r>
        <w:t xml:space="preserve">Direct mapping from legacy GPO constructs to modern cloud-native equivalents</w:t>
      </w:r>
    </w:p>
    <w:p>
      <w:pPr>
        <w:numPr>
          <w:ilvl w:val="0"/>
          <w:numId w:val="1096"/>
        </w:numPr>
      </w:pPr>
      <w:r>
        <w:t xml:space="preserve">Phased deployment methodology with report-only validation at each stage</w:t>
      </w:r>
    </w:p>
    <w:p>
      <w:pPr>
        <w:numPr>
          <w:ilvl w:val="0"/>
          <w:numId w:val="1096"/>
        </w:numPr>
      </w:pPr>
      <w:r>
        <w:t xml:space="preserve">Integration with an extension attribute schema for dynamic policy targeting</w:t>
      </w:r>
    </w:p>
    <w:p>
      <w:pPr>
        <w:numPr>
          <w:ilvl w:val="0"/>
          <w:numId w:val="1096"/>
        </w:numPr>
      </w:pPr>
      <w:r>
        <w:t xml:space="preserve">Compliance alignment to NIST 800-53 and the FedRAMP 20x / CR26 Key Security Indicators anchored on those controls (Appendix D.2)</w:t>
      </w:r>
    </w:p>
    <w:p>
      <w:pPr>
        <w:pStyle w:val="FirstParagraph"/>
      </w:pPr>
      <w:r>
        <w:t xml:space="preserve">1.2 GPO-to-Conditional Access Transformation</w:t>
      </w:r>
    </w:p>
    <w:p>
      <w:pPr>
        <w:pStyle w:val="BodyText"/>
      </w:pPr>
      <w:r>
        <w:t xml:space="preserve">Traditional Active Directory environments enforce access control through GPOs linked to Organizational Units (OUs). These GPOs govern logon restrictions, security filtering, drive mappings, password policies, software restrictions, and audit configurations. In cloud-first and hybrid architectures, Conditional Access policies replace these controls with signal-based, real-time policy evaluation.</w:t>
      </w:r>
    </w:p>
    <w:tbl>
      <w:tblPr>
        <w:tblStyle w:val="Table"/>
        <w:tblW w:type="pct" w:w="4933"/>
        <w:tblLayout w:type="fixed"/>
        <w:tblLook w:firstRow="1" w:lastRow="0" w:firstColumn="0" w:lastColumn="0" w:noHBand="0" w:noVBand="0" w:val="0020"/>
      </w:tblPr>
      <w:tblGrid>
        <w:gridCol w:w="2534"/>
        <w:gridCol w:w="2640"/>
        <w:gridCol w:w="2640"/>
      </w:tblGrid>
      <w:tr>
        <w:trPr>
          <w:tblHeader w:val="on"/>
        </w:trPr>
        <w:tc>
          <w:tcPr/>
          <w:p>
            <w:pPr>
              <w:pStyle w:val="Compact"/>
              <w:jc w:val="left"/>
            </w:pPr>
            <w:r>
              <w:rPr>
                <w:b/>
                <w:bCs/>
              </w:rPr>
              <w:t xml:space="preserve">Legacy GPO Mechanism</w:t>
            </w:r>
          </w:p>
        </w:tc>
        <w:tc>
          <w:tcPr/>
          <w:p>
            <w:pPr>
              <w:pStyle w:val="Compact"/>
              <w:jc w:val="left"/>
            </w:pPr>
            <w:r>
              <w:rPr>
                <w:b/>
                <w:bCs/>
              </w:rPr>
              <w:t xml:space="preserve">Conditional Access Equivalent</w:t>
            </w:r>
          </w:p>
        </w:tc>
        <w:tc>
          <w:tcPr/>
          <w:p>
            <w:pPr>
              <w:pStyle w:val="Compact"/>
              <w:jc w:val="left"/>
            </w:pPr>
            <w:r>
              <w:rPr>
                <w:b/>
                <w:bCs/>
              </w:rPr>
              <w:t xml:space="preserve">Advantage</w:t>
            </w:r>
          </w:p>
        </w:tc>
      </w:tr>
      <w:tr>
        <w:tc>
          <w:tcPr/>
          <w:p>
            <w:pPr>
              <w:pStyle w:val="Compact"/>
              <w:jc w:val="left"/>
            </w:pPr>
            <w:r>
              <w:t xml:space="preserve">Logon restrictions (Allow log on locally)</w:t>
            </w:r>
          </w:p>
        </w:tc>
        <w:tc>
          <w:tcPr/>
          <w:p>
            <w:pPr>
              <w:pStyle w:val="Compact"/>
              <w:jc w:val="left"/>
            </w:pPr>
            <w:r>
              <w:t xml:space="preserve">CA device-based grant controls + device filters</w:t>
            </w:r>
          </w:p>
        </w:tc>
        <w:tc>
          <w:tcPr/>
          <w:p>
            <w:pPr>
              <w:pStyle w:val="Compact"/>
              <w:jc w:val="left"/>
            </w:pPr>
            <w:r>
              <w:t xml:space="preserve">Enforced at authentication, not session</w:t>
            </w:r>
          </w:p>
        </w:tc>
      </w:tr>
      <w:tr>
        <w:tc>
          <w:tcPr/>
          <w:p>
            <w:pPr>
              <w:pStyle w:val="Compact"/>
              <w:jc w:val="left"/>
            </w:pPr>
            <w:r>
              <w:t xml:space="preserve">Security filtering by group membership</w:t>
            </w:r>
          </w:p>
        </w:tc>
        <w:tc>
          <w:tcPr/>
          <w:p>
            <w:pPr>
              <w:pStyle w:val="Compact"/>
              <w:jc w:val="left"/>
            </w:pPr>
            <w:r>
              <w:t xml:space="preserve">CA user/group assignments + dynamic groups</w:t>
            </w:r>
          </w:p>
        </w:tc>
        <w:tc>
          <w:tcPr/>
          <w:p>
            <w:pPr>
              <w:pStyle w:val="Compact"/>
              <w:jc w:val="left"/>
            </w:pPr>
            <w:r>
              <w:t xml:space="preserve">Real-time group evaluation, no replication lag</w:t>
            </w:r>
          </w:p>
        </w:tc>
      </w:tr>
      <w:tr>
        <w:tc>
          <w:tcPr/>
          <w:p>
            <w:pPr>
              <w:pStyle w:val="Compact"/>
              <w:jc w:val="left"/>
            </w:pPr>
            <w:r>
              <w:t xml:space="preserve">Account lockout policy</w:t>
            </w:r>
          </w:p>
        </w:tc>
        <w:tc>
          <w:tcPr/>
          <w:p>
            <w:pPr>
              <w:pStyle w:val="Compact"/>
              <w:jc w:val="left"/>
            </w:pPr>
            <w:r>
              <w:t xml:space="preserve">CA risk-based policies + Entra ID Protection</w:t>
            </w:r>
          </w:p>
        </w:tc>
        <w:tc>
          <w:tcPr/>
          <w:p>
            <w:pPr>
              <w:pStyle w:val="Compact"/>
              <w:jc w:val="left"/>
            </w:pPr>
            <w:r>
              <w:t xml:space="preserve">Risk intelligence, not static thresholds</w:t>
            </w:r>
          </w:p>
        </w:tc>
      </w:tr>
      <w:tr>
        <w:tc>
          <w:tcPr/>
          <w:p>
            <w:pPr>
              <w:pStyle w:val="Compact"/>
              <w:jc w:val="left"/>
            </w:pPr>
            <w:r>
              <w:t xml:space="preserve">Drive mapping / printer deployment</w:t>
            </w:r>
          </w:p>
        </w:tc>
        <w:tc>
          <w:tcPr/>
          <w:p>
            <w:pPr>
              <w:pStyle w:val="Compact"/>
              <w:jc w:val="left"/>
            </w:pPr>
            <w:r>
              <w:t xml:space="preserve">Intune configuration profiles + SharePoint</w:t>
            </w:r>
          </w:p>
        </w:tc>
        <w:tc>
          <w:tcPr/>
          <w:p>
            <w:pPr>
              <w:pStyle w:val="Compact"/>
              <w:jc w:val="left"/>
            </w:pPr>
            <w:r>
              <w:t xml:space="preserve">Cloud-native, location-independent</w:t>
            </w:r>
          </w:p>
        </w:tc>
      </w:tr>
      <w:tr>
        <w:tc>
          <w:tcPr/>
          <w:p>
            <w:pPr>
              <w:pStyle w:val="Compact"/>
              <w:jc w:val="left"/>
            </w:pPr>
            <w:r>
              <w:t xml:space="preserve">Software restriction policies (SRP/AppLocker)</w:t>
            </w:r>
          </w:p>
        </w:tc>
        <w:tc>
          <w:tcPr/>
          <w:p>
            <w:pPr>
              <w:pStyle w:val="Compact"/>
              <w:jc w:val="left"/>
            </w:pPr>
            <w:r>
              <w:t xml:space="preserve">Intune app protection + CA app controls</w:t>
            </w:r>
          </w:p>
        </w:tc>
        <w:tc>
          <w:tcPr/>
          <w:p>
            <w:pPr>
              <w:pStyle w:val="Compact"/>
              <w:jc w:val="left"/>
            </w:pPr>
            <w:r>
              <w:t xml:space="preserve">Per-app conditional enforcement</w:t>
            </w:r>
          </w:p>
        </w:tc>
      </w:tr>
      <w:tr>
        <w:tc>
          <w:tcPr/>
          <w:p>
            <w:pPr>
              <w:pStyle w:val="Compact"/>
              <w:jc w:val="left"/>
            </w:pPr>
            <w:r>
              <w:t xml:space="preserve">Password policy (fine-grained)</w:t>
            </w:r>
          </w:p>
        </w:tc>
        <w:tc>
          <w:tcPr/>
          <w:p>
            <w:pPr>
              <w:pStyle w:val="Compact"/>
              <w:jc w:val="left"/>
            </w:pPr>
            <w:r>
              <w:t xml:space="preserve">Authentication methods policy + CA MFA</w:t>
            </w:r>
          </w:p>
        </w:tc>
        <w:tc>
          <w:tcPr/>
          <w:p>
            <w:pPr>
              <w:pStyle w:val="Compact"/>
              <w:jc w:val="left"/>
            </w:pPr>
            <w:r>
              <w:t xml:space="preserve">Passwordless capable, phishing-resistant</w:t>
            </w:r>
          </w:p>
        </w:tc>
      </w:tr>
    </w:tbl>
    <w:p>
      <w:pPr>
        <w:pStyle w:val="BodyText"/>
      </w:pPr>
      <w:r>
        <w:t xml:space="preserve">1.3 Relationship to the Federal Modernization Program Modules</w:t>
      </w:r>
    </w:p>
    <w:p>
      <w:pPr>
        <w:pStyle w:val="BodyText"/>
      </w:pPr>
      <w:r>
        <w:t xml:space="preserve">This Policy Library is a component of the broader the Federal Modernization Program Identity Modernization framework and interfaces with:</w:t>
      </w:r>
    </w:p>
    <w:p>
      <w:pPr>
        <w:numPr>
          <w:ilvl w:val="0"/>
          <w:numId w:val="1097"/>
        </w:numPr>
      </w:pPr>
      <w:r>
        <w:rPr>
          <w:b/>
          <w:bCs/>
        </w:rPr>
        <w:t xml:space="preserve">AD Assessment Module:</w:t>
      </w:r>
      <w:r>
        <w:t xml:space="preserve"> </w:t>
      </w:r>
      <w:r>
        <w:t xml:space="preserve">Discovers existing GPOs, maps them to CA equivalents, and identifies gaps requiring new cloud-native policies</w:t>
      </w:r>
    </w:p>
    <w:p>
      <w:pPr>
        <w:numPr>
          <w:ilvl w:val="0"/>
          <w:numId w:val="1097"/>
        </w:numPr>
      </w:pPr>
      <w:r>
        <w:rPr>
          <w:b/>
          <w:bCs/>
        </w:rPr>
        <w:t xml:space="preserve">Drift Detection Module:</w:t>
      </w:r>
      <w:r>
        <w:t xml:space="preserve"> </w:t>
      </w:r>
      <w:r>
        <w:t xml:space="preserve">Continuously monitors CA policy state against this library baseline and alerts on unauthorized changes</w:t>
      </w:r>
    </w:p>
    <w:p>
      <w:pPr>
        <w:numPr>
          <w:ilvl w:val="0"/>
          <w:numId w:val="1097"/>
        </w:numPr>
      </w:pPr>
      <w:r>
        <w:rPr>
          <w:b/>
          <w:bCs/>
        </w:rPr>
        <w:t xml:space="preserve">Lifecycle Management Module:</w:t>
      </w:r>
      <w:r>
        <w:t xml:space="preserve"> </w:t>
      </w:r>
      <w:r>
        <w:t xml:space="preserve">Automates user provisioning into the correct dynamic groups that CA policies target</w:t>
      </w:r>
    </w:p>
    <w:p>
      <w:pPr>
        <w:pStyle w:val="FirstParagraph"/>
      </w:pPr>
      <w:r>
        <w:t xml:space="preserve">1.4 Extension Attribute Schema</w:t>
      </w:r>
    </w:p>
    <w:p>
      <w:pPr>
        <w:pStyle w:val="BodyText"/>
      </w:pPr>
      <w:r>
        <w:t xml:space="preserve">All Conditional Access policies in this library leverage an extension attribute schema to enable dynamic, attribute-driven policy targeting. These attributes are synchronized to both user and device objects in Microsoft Entra ID.</w:t>
      </w:r>
    </w:p>
    <w:tbl>
      <w:tblPr>
        <w:tblStyle w:val="Table"/>
        <w:tblW w:type="pct" w:w="4928"/>
        <w:tblLayout w:type="fixed"/>
        <w:tblLook w:firstRow="1" w:lastRow="0" w:firstColumn="0" w:lastColumn="0" w:noHBand="0" w:noVBand="0" w:val="0020"/>
      </w:tblPr>
      <w:tblGrid>
        <w:gridCol w:w="1481"/>
        <w:gridCol w:w="1139"/>
        <w:gridCol w:w="1937"/>
        <w:gridCol w:w="3247"/>
      </w:tblGrid>
      <w:tr>
        <w:trPr>
          <w:tblHeader w:val="on"/>
        </w:trPr>
        <w:tc>
          <w:tcPr/>
          <w:p>
            <w:pPr>
              <w:pStyle w:val="Compact"/>
              <w:jc w:val="left"/>
            </w:pPr>
            <w:r>
              <w:rPr>
                <w:b/>
                <w:bCs/>
              </w:rPr>
              <w:t xml:space="preserve">Attribute</w:t>
            </w:r>
          </w:p>
        </w:tc>
        <w:tc>
          <w:tcPr/>
          <w:p>
            <w:pPr>
              <w:pStyle w:val="Compact"/>
              <w:jc w:val="left"/>
            </w:pPr>
            <w:r>
              <w:rPr>
                <w:b/>
                <w:bCs/>
              </w:rPr>
              <w:t xml:space="preserve">Field</w:t>
            </w:r>
          </w:p>
        </w:tc>
        <w:tc>
          <w:tcPr/>
          <w:p>
            <w:pPr>
              <w:pStyle w:val="Compact"/>
              <w:jc w:val="left"/>
            </w:pPr>
            <w:r>
              <w:rPr>
                <w:b/>
                <w:bCs/>
              </w:rPr>
              <w:t xml:space="preserve">Example Values</w:t>
            </w:r>
          </w:p>
        </w:tc>
        <w:tc>
          <w:tcPr/>
          <w:p>
            <w:pPr>
              <w:pStyle w:val="Compact"/>
              <w:jc w:val="left"/>
            </w:pPr>
            <w:r>
              <w:rPr>
                <w:b/>
                <w:bCs/>
              </w:rPr>
              <w:t xml:space="preserve">CA Policy Usage</w:t>
            </w:r>
          </w:p>
        </w:tc>
      </w:tr>
      <w:tr>
        <w:tc>
          <w:tcPr/>
          <w:p>
            <w:pPr>
              <w:pStyle w:val="Compact"/>
              <w:jc w:val="left"/>
            </w:pPr>
            <w:r>
              <w:rPr>
                <w:b/>
                <w:bCs/>
              </w:rPr>
              <w:t xml:space="preserve">extensionAttribute1</w:t>
            </w:r>
          </w:p>
        </w:tc>
        <w:tc>
          <w:tcPr/>
          <w:p>
            <w:pPr>
              <w:pStyle w:val="Compact"/>
              <w:jc w:val="left"/>
            </w:pPr>
            <w:r>
              <w:t xml:space="preserve">Region</w:t>
            </w:r>
          </w:p>
        </w:tc>
        <w:tc>
          <w:tcPr/>
          <w:p>
            <w:pPr>
              <w:pStyle w:val="Compact"/>
              <w:jc w:val="left"/>
            </w:pPr>
            <w:r>
              <w:t xml:space="preserve">EAST, WEST, CENTRAL, EMEA</w:t>
            </w:r>
          </w:p>
        </w:tc>
        <w:tc>
          <w:tcPr/>
          <w:p>
            <w:pPr>
              <w:pStyle w:val="Compact"/>
              <w:jc w:val="left"/>
            </w:pPr>
            <w:r>
              <w:t xml:space="preserve">Geographic access restrictions, named location mapping</w:t>
            </w:r>
          </w:p>
        </w:tc>
      </w:tr>
      <w:tr>
        <w:tc>
          <w:tcPr/>
          <w:p>
            <w:pPr>
              <w:pStyle w:val="Compact"/>
              <w:jc w:val="left"/>
            </w:pPr>
            <w:r>
              <w:rPr>
                <w:b/>
                <w:bCs/>
              </w:rPr>
              <w:t xml:space="preserve">extensionAttribute2</w:t>
            </w:r>
          </w:p>
        </w:tc>
        <w:tc>
          <w:tcPr/>
          <w:p>
            <w:pPr>
              <w:pStyle w:val="Compact"/>
              <w:jc w:val="left"/>
            </w:pPr>
            <w:r>
              <w:t xml:space="preserve">Site</w:t>
            </w:r>
          </w:p>
        </w:tc>
        <w:tc>
          <w:tcPr/>
          <w:p>
            <w:pPr>
              <w:pStyle w:val="Compact"/>
              <w:jc w:val="left"/>
            </w:pPr>
            <w:r>
              <w:t xml:space="preserve">HQ-DC, BRANCH-NY, REMOTE</w:t>
            </w:r>
          </w:p>
        </w:tc>
        <w:tc>
          <w:tcPr/>
          <w:p>
            <w:pPr>
              <w:pStyle w:val="Compact"/>
              <w:jc w:val="left"/>
            </w:pPr>
            <w:r>
              <w:t xml:space="preserve">Site-based network trust, session controls</w:t>
            </w:r>
          </w:p>
        </w:tc>
      </w:tr>
      <w:tr>
        <w:tc>
          <w:tcPr/>
          <w:p>
            <w:pPr>
              <w:pStyle w:val="Compact"/>
              <w:jc w:val="left"/>
            </w:pPr>
            <w:r>
              <w:rPr>
                <w:b/>
                <w:bCs/>
              </w:rPr>
              <w:t xml:space="preserve">extensionAttribute3</w:t>
            </w:r>
          </w:p>
        </w:tc>
        <w:tc>
          <w:tcPr/>
          <w:p>
            <w:pPr>
              <w:pStyle w:val="Compact"/>
              <w:jc w:val="left"/>
            </w:pPr>
            <w:r>
              <w:t xml:space="preserve">Department</w:t>
            </w:r>
          </w:p>
        </w:tc>
        <w:tc>
          <w:tcPr/>
          <w:p>
            <w:pPr>
              <w:pStyle w:val="Compact"/>
              <w:jc w:val="left"/>
            </w:pPr>
            <w:r>
              <w:t xml:space="preserve">IT, HR, Finance, Engineering</w:t>
            </w:r>
          </w:p>
        </w:tc>
        <w:tc>
          <w:tcPr/>
          <w:p>
            <w:pPr>
              <w:pStyle w:val="Compact"/>
              <w:jc w:val="left"/>
            </w:pPr>
            <w:r>
              <w:t xml:space="preserve">Department-scoped app access, LOB app controls</w:t>
            </w:r>
          </w:p>
        </w:tc>
      </w:tr>
      <w:tr>
        <w:tc>
          <w:tcPr/>
          <w:p>
            <w:pPr>
              <w:pStyle w:val="Compact"/>
              <w:jc w:val="left"/>
            </w:pPr>
            <w:r>
              <w:rPr>
                <w:b/>
                <w:bCs/>
              </w:rPr>
              <w:t xml:space="preserve">extensionAttribute4</w:t>
            </w:r>
          </w:p>
        </w:tc>
        <w:tc>
          <w:tcPr/>
          <w:p>
            <w:pPr>
              <w:pStyle w:val="Compact"/>
              <w:jc w:val="left"/>
            </w:pPr>
            <w:r>
              <w:t xml:space="preserve">DeviceTier</w:t>
            </w:r>
          </w:p>
        </w:tc>
        <w:tc>
          <w:tcPr/>
          <w:p>
            <w:pPr>
              <w:pStyle w:val="Compact"/>
              <w:jc w:val="left"/>
            </w:pPr>
            <w:r>
              <w:t xml:space="preserve">Tier0, Tier1, Tier2, Kiosk</w:t>
            </w:r>
          </w:p>
        </w:tc>
        <w:tc>
          <w:tcPr/>
          <w:p>
            <w:pPr>
              <w:pStyle w:val="Compact"/>
              <w:jc w:val="left"/>
            </w:pPr>
            <w:r>
              <w:t xml:space="preserve">Device tier policies (CA-010 through CA-015)</w:t>
            </w:r>
          </w:p>
        </w:tc>
      </w:tr>
      <w:tr>
        <w:tc>
          <w:tcPr/>
          <w:p>
            <w:pPr>
              <w:pStyle w:val="Compact"/>
              <w:jc w:val="left"/>
            </w:pPr>
            <w:r>
              <w:rPr>
                <w:b/>
                <w:bCs/>
              </w:rPr>
              <w:t xml:space="preserve">extensionAttribute5</w:t>
            </w:r>
          </w:p>
        </w:tc>
        <w:tc>
          <w:tcPr/>
          <w:p>
            <w:pPr>
              <w:pStyle w:val="Compact"/>
              <w:jc w:val="left"/>
            </w:pPr>
            <w:r>
              <w:t xml:space="preserve">Environment</w:t>
            </w:r>
          </w:p>
        </w:tc>
        <w:tc>
          <w:tcPr/>
          <w:p>
            <w:pPr>
              <w:pStyle w:val="Compact"/>
              <w:jc w:val="left"/>
            </w:pPr>
            <w:r>
              <w:t xml:space="preserve">Production, Staging, Dev</w:t>
            </w:r>
          </w:p>
        </w:tc>
        <w:tc>
          <w:tcPr/>
          <w:p>
            <w:pPr>
              <w:pStyle w:val="Compact"/>
              <w:jc w:val="left"/>
            </w:pPr>
            <w:r>
              <w:t xml:space="preserve">Environment isolation policies (CA-020 through CA-023)</w:t>
            </w:r>
          </w:p>
        </w:tc>
      </w:tr>
      <w:tr>
        <w:tc>
          <w:tcPr/>
          <w:p>
            <w:pPr>
              <w:pStyle w:val="Compact"/>
              <w:jc w:val="left"/>
            </w:pPr>
            <w:r>
              <w:rPr>
                <w:b/>
                <w:bCs/>
              </w:rPr>
              <w:t xml:space="preserve">extensionAttribute6</w:t>
            </w:r>
          </w:p>
        </w:tc>
        <w:tc>
          <w:tcPr/>
          <w:p>
            <w:pPr>
              <w:pStyle w:val="Compact"/>
              <w:jc w:val="left"/>
            </w:pPr>
            <w:r>
              <w:t xml:space="preserve">DeviceRole</w:t>
            </w:r>
          </w:p>
        </w:tc>
        <w:tc>
          <w:tcPr/>
          <w:p>
            <w:pPr>
              <w:pStyle w:val="Compact"/>
              <w:jc w:val="left"/>
            </w:pPr>
            <w:r>
              <w:t xml:space="preserve">Workstation, Server, Kiosk, PAW</w:t>
            </w:r>
          </w:p>
        </w:tc>
        <w:tc>
          <w:tcPr/>
          <w:p>
            <w:pPr>
              <w:pStyle w:val="Compact"/>
              <w:jc w:val="left"/>
            </w:pPr>
            <w:r>
              <w:t xml:space="preserve">Device role-specific session and grant controls</w:t>
            </w:r>
          </w:p>
        </w:tc>
      </w:tr>
    </w:tbl>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Important</w:t>
            </w:r>
          </w:p>
          <w:p>
            <w:pPr>
              <w:pStyle w:val="BodyText"/>
            </w:pPr>
            <w:r>
              <w:t xml:space="preserve">Extension attributes must be populated</w:t>
            </w:r>
          </w:p>
          <w:p>
            <w:pPr>
              <w:pStyle w:val="BodyText"/>
            </w:pPr>
            <w:r>
              <w:t xml:space="preserve">before</w:t>
            </w:r>
          </w:p>
          <w:p>
            <w:pPr>
              <w:pStyle w:val="BodyText"/>
            </w:pPr>
            <w:r>
              <w:t xml:space="preserve">deploying CA policies that reference them. Unpopulated attributes will cause devices and users to fall outside dynamic group membership, resulting in policy bypass. Validate attribute completeness before deployment.</w:t>
            </w:r>
          </w:p>
        </w:tc>
      </w:tr>
    </w:tbl>
    <w:p>
      <w:pPr>
        <w:pStyle w:val="BodyText"/>
      </w:pPr>
      <w:r>
        <w:t xml:space="preserve">Section 2: Policy Architecture</w:t>
      </w:r>
    </w:p>
    <w:p>
      <w:pPr>
        <w:pStyle w:val="BodyText"/>
      </w:pPr>
      <w:r>
        <w:t xml:space="preserve">2.1 Policy Evaluation Order and Conflict Resolution</w:t>
      </w:r>
    </w:p>
    <w:p>
      <w:pPr>
        <w:pStyle w:val="BodyText"/>
      </w:pPr>
      <w:r>
        <w:t xml:space="preserve">Microsoft Entra ID evaluates Conditional Access policies using an</w:t>
      </w:r>
      <w:r>
        <w:t xml:space="preserve"> </w:t>
      </w:r>
      <w:r>
        <w:rPr>
          <w:b/>
          <w:bCs/>
        </w:rPr>
        <w:t xml:space="preserve">additive model</w:t>
      </w:r>
      <w:r>
        <w:t xml:space="preserve">. All policies that match a given sign-in are evaluated simultaneously, and the most restrictive combination of grant controls applies. There is no policy priority number or ordering mechanism.</w:t>
      </w:r>
    </w:p>
    <w:p>
      <w:pPr>
        <w:pStyle w:val="BodyText"/>
      </w:pPr>
      <w:r>
        <w:rPr>
          <w:b/>
          <w:bCs/>
        </w:rPr>
        <w:t xml:space="preserve">Key evaluation principles:</w:t>
      </w:r>
    </w:p>
    <w:p>
      <w:pPr>
        <w:numPr>
          <w:ilvl w:val="0"/>
          <w:numId w:val="1098"/>
        </w:numPr>
      </w:pPr>
      <w:r>
        <w:rPr>
          <w:b/>
          <w:bCs/>
        </w:rPr>
        <w:t xml:space="preserve">All matching policies apply.</w:t>
      </w:r>
      <w:r>
        <w:t xml:space="preserve"> </w:t>
      </w:r>
      <w:r>
        <w:t xml:space="preserve">Unlike GPOs, which have precedence rules (LSDOU), every CA policy whose conditions match the sign-in contributes to the final access decision.</w:t>
      </w:r>
    </w:p>
    <w:p>
      <w:pPr>
        <w:numPr>
          <w:ilvl w:val="0"/>
          <w:numId w:val="1098"/>
        </w:numPr>
      </w:pPr>
      <w:r>
        <w:rPr>
          <w:b/>
          <w:bCs/>
        </w:rPr>
        <w:t xml:space="preserve">Block overrides grant.</w:t>
      </w:r>
      <w:r>
        <w:t xml:space="preserve"> </w:t>
      </w:r>
      <w:r>
        <w:t xml:space="preserve">If any matching policy issues a Block grant control, access is denied regardless of other policies.</w:t>
      </w:r>
    </w:p>
    <w:p>
      <w:pPr>
        <w:numPr>
          <w:ilvl w:val="0"/>
          <w:numId w:val="1098"/>
        </w:numPr>
      </w:pPr>
      <w:r>
        <w:rPr>
          <w:b/>
          <w:bCs/>
        </w:rPr>
        <w:t xml:space="preserve">Multiple grant controls combine as AND by default.</w:t>
      </w:r>
      <w:r>
        <w:t xml:space="preserve"> </w:t>
      </w:r>
      <w:r>
        <w:t xml:space="preserve">When multiple policies require different grant controls (e.g., one requires MFA, another requires compliant device), the user must satisfy all controls unless policies are explicitly configured with OR logic.</w:t>
      </w:r>
    </w:p>
    <w:p>
      <w:pPr>
        <w:numPr>
          <w:ilvl w:val="0"/>
          <w:numId w:val="1098"/>
        </w:numPr>
      </w:pPr>
      <w:r>
        <w:rPr>
          <w:b/>
          <w:bCs/>
        </w:rPr>
        <w:t xml:space="preserve">Session controls are additive.</w:t>
      </w:r>
      <w:r>
        <w:t xml:space="preserve"> </w:t>
      </w:r>
      <w:r>
        <w:t xml:space="preserve">The most restrictive session control from all matching policies is enforced (e.g., shortest sign-in frequency wins).</w:t>
      </w:r>
    </w:p>
    <w:p>
      <w:pPr>
        <w:numPr>
          <w:ilvl w:val="0"/>
          <w:numId w:val="1098"/>
        </w:numPr>
      </w:pPr>
      <w:r>
        <w:rPr>
          <w:b/>
          <w:bCs/>
        </w:rPr>
        <w:t xml:space="preserve">Exclusions are absolute.</w:t>
      </w:r>
      <w:r>
        <w:t xml:space="preserve"> </w:t>
      </w:r>
      <w:r>
        <w:t xml:space="preserve">If a user or group is in the exclusion list, that policy does not apply to them, regardless of inclusion conditions.</w:t>
      </w:r>
    </w:p>
    <w:tbl>
      <w:tblPr>
        <w:tblStyle w:val="Table"/>
        <w:tblW w:type="pct" w:w="5020"/>
        <w:tblLayout w:type="fixed"/>
        <w:tblLook w:firstRow="0" w:lastRow="0" w:firstColumn="0" w:lastColumn="0" w:noHBand="0" w:noVBand="0" w:val="0000"/>
      </w:tblPr>
      <w:tblGrid>
        <w:gridCol w:w="7951"/>
      </w:tblGrid>
      <w:tr>
        <w:tc>
          <w:tcPr/>
          <w:p>
            <w:pPr>
              <w:pStyle w:val="Compact"/>
            </w:pPr>
            <w:r>
              <w:rPr>
                <w:b/>
                <w:bCs/>
              </w:rPr>
              <w:t xml:space="preserve">Design Principle</w:t>
            </w:r>
            <w:r>
              <w:t xml:space="preserve"> </w:t>
            </w:r>
            <w:r>
              <w:t xml:space="preserve">|</w:t>
            </w:r>
            <w:r>
              <w:t xml:space="preserve"> </w:t>
            </w:r>
            <w:r>
              <w:t xml:space="preserve">|</w:t>
            </w:r>
            <w:r>
              <w:t xml:space="preserve"> </w:t>
            </w:r>
            <w:r>
              <w:t xml:space="preserve">The Federal Modernization Program policy numbering convention (CA-0XX) is organizational only and does not imply evaluation order. Policies are designed so that their combined effect produces the intended security posture without relying on precedence.</w:t>
            </w:r>
          </w:p>
        </w:tc>
      </w:tr>
    </w:tbl>
    <w:p>
      <w:pPr>
        <w:pStyle w:val="BodyText"/>
      </w:pPr>
      <w:r>
        <w:t xml:space="preserve">2.2 Named Locations Strategy</w:t>
      </w:r>
    </w:p>
    <w:p>
      <w:pPr>
        <w:pStyle w:val="BodyText"/>
      </w:pPr>
      <w:r>
        <w:t xml:space="preserve">Named locations define trusted and untrusted network boundaries that CA policies reference as conditions. The Federal Modernization Program framework defines three categories of named locations:</w:t>
      </w:r>
    </w:p>
    <w:tbl>
      <w:tblPr>
        <w:tblStyle w:val="Table"/>
        <w:tblW w:type="pct" w:w="4930"/>
        <w:tblLayout w:type="fixed"/>
        <w:tblLook w:firstRow="1" w:lastRow="0" w:firstColumn="0" w:lastColumn="0" w:noHBand="0" w:noVBand="0" w:val="0020"/>
      </w:tblPr>
      <w:tblGrid>
        <w:gridCol w:w="1550"/>
        <w:gridCol w:w="886"/>
        <w:gridCol w:w="3876"/>
        <w:gridCol w:w="1495"/>
      </w:tblGrid>
      <w:tr>
        <w:trPr>
          <w:tblHeader w:val="on"/>
        </w:trPr>
        <w:tc>
          <w:tcPr/>
          <w:p>
            <w:pPr>
              <w:pStyle w:val="Compact"/>
              <w:jc w:val="left"/>
            </w:pPr>
            <w:r>
              <w:rPr>
                <w:b/>
                <w:bCs/>
              </w:rPr>
              <w:t xml:space="preserve">Location Category</w:t>
            </w:r>
          </w:p>
        </w:tc>
        <w:tc>
          <w:tcPr/>
          <w:p>
            <w:pPr>
              <w:pStyle w:val="Compact"/>
              <w:jc w:val="left"/>
            </w:pPr>
            <w:r>
              <w:rPr>
                <w:b/>
                <w:bCs/>
              </w:rPr>
              <w:t xml:space="preserve">Type</w:t>
            </w:r>
          </w:p>
        </w:tc>
        <w:tc>
          <w:tcPr/>
          <w:p>
            <w:pPr>
              <w:pStyle w:val="Compact"/>
              <w:jc w:val="left"/>
            </w:pPr>
            <w:r>
              <w:rPr>
                <w:b/>
                <w:bCs/>
              </w:rPr>
              <w:t xml:space="preserve">Description</w:t>
            </w:r>
          </w:p>
        </w:tc>
        <w:tc>
          <w:tcPr/>
          <w:p>
            <w:pPr>
              <w:pStyle w:val="Compact"/>
              <w:jc w:val="left"/>
            </w:pPr>
            <w:r>
              <w:rPr>
                <w:b/>
                <w:bCs/>
              </w:rPr>
              <w:t xml:space="preserve">Policies Referencing</w:t>
            </w:r>
          </w:p>
        </w:tc>
      </w:tr>
      <w:tr>
        <w:tc>
          <w:tcPr/>
          <w:p>
            <w:pPr>
              <w:pStyle w:val="Compact"/>
              <w:jc w:val="left"/>
            </w:pPr>
            <w:r>
              <w:rPr>
                <w:b/>
                <w:bCs/>
              </w:rPr>
              <w:t xml:space="preserve">Corporate Networks</w:t>
            </w:r>
          </w:p>
        </w:tc>
        <w:tc>
          <w:tcPr/>
          <w:p>
            <w:pPr>
              <w:pStyle w:val="Compact"/>
              <w:jc w:val="left"/>
            </w:pPr>
            <w:r>
              <w:t xml:space="preserve">IP-based</w:t>
            </w:r>
          </w:p>
        </w:tc>
        <w:tc>
          <w:tcPr/>
          <w:p>
            <w:pPr>
              <w:pStyle w:val="Compact"/>
              <w:jc w:val="left"/>
            </w:pPr>
            <w:r>
              <w:t xml:space="preserve">Headquarters, branch office, and VPN egress IP ranges</w:t>
            </w:r>
          </w:p>
        </w:tc>
        <w:tc>
          <w:tcPr/>
          <w:p>
            <w:pPr>
              <w:pStyle w:val="Compact"/>
              <w:jc w:val="left"/>
            </w:pPr>
            <w:r>
              <w:t xml:space="preserve">CA-015, CA-031, CA-032</w:t>
            </w:r>
          </w:p>
        </w:tc>
      </w:tr>
      <w:tr>
        <w:tc>
          <w:tcPr/>
          <w:p>
            <w:pPr>
              <w:pStyle w:val="Compact"/>
              <w:jc w:val="left"/>
            </w:pPr>
            <w:r>
              <w:rPr>
                <w:b/>
                <w:bCs/>
              </w:rPr>
              <w:t xml:space="preserve">Allowed Countries</w:t>
            </w:r>
          </w:p>
        </w:tc>
        <w:tc>
          <w:tcPr/>
          <w:p>
            <w:pPr>
              <w:pStyle w:val="Compact"/>
              <w:jc w:val="left"/>
            </w:pPr>
            <w:r>
              <w:t xml:space="preserve">Country-based</w:t>
            </w:r>
          </w:p>
        </w:tc>
        <w:tc>
          <w:tcPr/>
          <w:p>
            <w:pPr>
              <w:pStyle w:val="Compact"/>
              <w:jc w:val="left"/>
            </w:pPr>
            <w:r>
              <w:t xml:space="preserve">Countries where the organization operates or allows access</w:t>
            </w:r>
          </w:p>
        </w:tc>
        <w:tc>
          <w:tcPr/>
          <w:p>
            <w:pPr>
              <w:pStyle w:val="Compact"/>
              <w:jc w:val="left"/>
            </w:pPr>
            <w:r>
              <w:t xml:space="preserve">CA-030</w:t>
            </w:r>
          </w:p>
        </w:tc>
      </w:tr>
      <w:tr>
        <w:tc>
          <w:tcPr/>
          <w:p>
            <w:pPr>
              <w:pStyle w:val="Compact"/>
              <w:jc w:val="left"/>
            </w:pPr>
            <w:r>
              <w:rPr>
                <w:b/>
                <w:bCs/>
              </w:rPr>
              <w:t xml:space="preserve">Compliance Boundaries</w:t>
            </w:r>
          </w:p>
        </w:tc>
        <w:tc>
          <w:tcPr/>
          <w:p>
            <w:pPr>
              <w:pStyle w:val="Compact"/>
              <w:jc w:val="left"/>
            </w:pPr>
            <w:r>
              <w:t xml:space="preserve">IP-based</w:t>
            </w:r>
          </w:p>
        </w:tc>
        <w:tc>
          <w:tcPr/>
          <w:p>
            <w:pPr>
              <w:pStyle w:val="Compact"/>
              <w:jc w:val="left"/>
            </w:pPr>
            <w:r>
              <w:t xml:space="preserve">GCC-Moderate compliant network segments, Azure Government endpoints</w:t>
            </w:r>
          </w:p>
        </w:tc>
        <w:tc>
          <w:tcPr/>
          <w:p>
            <w:pPr>
              <w:pStyle w:val="Compact"/>
              <w:jc w:val="left"/>
            </w:pPr>
            <w:r>
              <w:t xml:space="preserve">CA-020, CA-043</w:t>
            </w:r>
          </w:p>
        </w:tc>
      </w:tr>
    </w:tbl>
    <w:p>
      <w:pPr>
        <w:pStyle w:val="BodyText"/>
      </w:pPr>
      <w:r>
        <w:t xml:space="preserve">2.3 Authentication Strength Definitions</w:t>
      </w:r>
    </w:p>
    <w:p>
      <w:pPr>
        <w:pStyle w:val="BodyText"/>
      </w:pPr>
      <w:r>
        <w:t xml:space="preserve">Authentication strengths define which MFA methods satisfy a policy's grant control. The Federal Modernization Program framework uses both built-in and custom authentication strengths:</w:t>
      </w:r>
    </w:p>
    <w:tbl>
      <w:tblPr>
        <w:tblStyle w:val="Table"/>
        <w:tblW w:type="pct" w:w="4942"/>
        <w:tblLayout w:type="fixed"/>
        <w:tblLook w:firstRow="1" w:lastRow="0" w:firstColumn="0" w:lastColumn="0" w:noHBand="0" w:noVBand="0" w:val="0020"/>
      </w:tblPr>
      <w:tblGrid>
        <w:gridCol w:w="1343"/>
        <w:gridCol w:w="509"/>
        <w:gridCol w:w="4770"/>
        <w:gridCol w:w="1204"/>
      </w:tblGrid>
      <w:tr>
        <w:trPr>
          <w:tblHeader w:val="on"/>
        </w:trPr>
        <w:tc>
          <w:tcPr/>
          <w:p>
            <w:pPr>
              <w:pStyle w:val="Compact"/>
              <w:jc w:val="left"/>
            </w:pPr>
            <w:r>
              <w:rPr>
                <w:b/>
                <w:bCs/>
              </w:rPr>
              <w:t xml:space="preserve">Strength Name</w:t>
            </w:r>
          </w:p>
        </w:tc>
        <w:tc>
          <w:tcPr/>
          <w:p>
            <w:pPr>
              <w:pStyle w:val="Compact"/>
              <w:jc w:val="left"/>
            </w:pPr>
            <w:r>
              <w:rPr>
                <w:b/>
                <w:bCs/>
              </w:rPr>
              <w:t xml:space="preserve">Type</w:t>
            </w:r>
          </w:p>
        </w:tc>
        <w:tc>
          <w:tcPr/>
          <w:p>
            <w:pPr>
              <w:pStyle w:val="Compact"/>
              <w:jc w:val="left"/>
            </w:pPr>
            <w:r>
              <w:rPr>
                <w:b/>
                <w:bCs/>
              </w:rPr>
              <w:t xml:space="preserve">Allowed Methods</w:t>
            </w:r>
          </w:p>
        </w:tc>
        <w:tc>
          <w:tcPr/>
          <w:p>
            <w:pPr>
              <w:pStyle w:val="Compact"/>
              <w:jc w:val="left"/>
            </w:pPr>
            <w:r>
              <w:rPr>
                <w:b/>
                <w:bCs/>
              </w:rPr>
              <w:t xml:space="preserve">Used In</w:t>
            </w:r>
          </w:p>
        </w:tc>
      </w:tr>
      <w:tr>
        <w:tc>
          <w:tcPr/>
          <w:p>
            <w:pPr>
              <w:pStyle w:val="Compact"/>
              <w:jc w:val="left"/>
            </w:pPr>
            <w:r>
              <w:rPr>
                <w:b/>
                <w:bCs/>
              </w:rPr>
              <w:t xml:space="preserve">MFA</w:t>
            </w:r>
          </w:p>
        </w:tc>
        <w:tc>
          <w:tcPr/>
          <w:p>
            <w:pPr>
              <w:pStyle w:val="Compact"/>
              <w:jc w:val="left"/>
            </w:pPr>
            <w:r>
              <w:t xml:space="preserve">Built-in</w:t>
            </w:r>
          </w:p>
        </w:tc>
        <w:tc>
          <w:tcPr/>
          <w:p>
            <w:pPr>
              <w:pStyle w:val="Compact"/>
              <w:jc w:val="left"/>
            </w:pPr>
            <w:r>
              <w:t xml:space="preserve">Any two-factor combination (phone, authenticator app, OATH token, FIDO2, Windows Hello, certificate)</w:t>
            </w:r>
          </w:p>
        </w:tc>
        <w:tc>
          <w:tcPr/>
          <w:p>
            <w:pPr>
              <w:pStyle w:val="Compact"/>
              <w:jc w:val="left"/>
            </w:pPr>
            <w:r>
              <w:t xml:space="preserve">CA-001, CA-015, CA-022</w:t>
            </w:r>
          </w:p>
        </w:tc>
      </w:tr>
      <w:tr>
        <w:tc>
          <w:tcPr/>
          <w:p>
            <w:pPr>
              <w:pStyle w:val="Compact"/>
              <w:jc w:val="left"/>
            </w:pPr>
            <w:r>
              <w:rPr>
                <w:b/>
                <w:bCs/>
              </w:rPr>
              <w:t xml:space="preserve">Passwordless MFA</w:t>
            </w:r>
          </w:p>
        </w:tc>
        <w:tc>
          <w:tcPr/>
          <w:p>
            <w:pPr>
              <w:pStyle w:val="Compact"/>
              <w:jc w:val="left"/>
            </w:pPr>
            <w:r>
              <w:t xml:space="preserve">Built-in</w:t>
            </w:r>
          </w:p>
        </w:tc>
        <w:tc>
          <w:tcPr/>
          <w:p>
            <w:pPr>
              <w:pStyle w:val="Compact"/>
              <w:jc w:val="left"/>
            </w:pPr>
            <w:r>
              <w:t xml:space="preserve">FIDO2, Windows Hello for Business, certificate-based auth</w:t>
            </w:r>
          </w:p>
        </w:tc>
        <w:tc>
          <w:tcPr/>
          <w:p>
            <w:pPr>
              <w:pStyle w:val="Compact"/>
              <w:jc w:val="left"/>
            </w:pPr>
            <w:r>
              <w:t xml:space="preserve">CA-004, CA-011</w:t>
            </w:r>
          </w:p>
        </w:tc>
      </w:tr>
      <w:tr>
        <w:tc>
          <w:tcPr/>
          <w:p>
            <w:pPr>
              <w:pStyle w:val="Compact"/>
              <w:jc w:val="left"/>
            </w:pPr>
            <w:r>
              <w:rPr>
                <w:b/>
                <w:bCs/>
              </w:rPr>
              <w:t xml:space="preserve">Phishing-resistant MFA</w:t>
            </w:r>
          </w:p>
        </w:tc>
        <w:tc>
          <w:tcPr/>
          <w:p>
            <w:pPr>
              <w:pStyle w:val="Compact"/>
              <w:jc w:val="left"/>
            </w:pPr>
            <w:r>
              <w:t xml:space="preserve">Built-in</w:t>
            </w:r>
          </w:p>
        </w:tc>
        <w:tc>
          <w:tcPr/>
          <w:p>
            <w:pPr>
              <w:pStyle w:val="Compact"/>
              <w:jc w:val="left"/>
            </w:pPr>
            <w:r>
              <w:t xml:space="preserve">FIDO2, Windows Hello for Business, certificate-based auth (no phone/SMS)</w:t>
            </w:r>
          </w:p>
        </w:tc>
        <w:tc>
          <w:tcPr/>
          <w:p>
            <w:pPr>
              <w:pStyle w:val="Compact"/>
              <w:jc w:val="left"/>
            </w:pPr>
            <w:r>
              <w:t xml:space="preserve">CA-010</w:t>
            </w:r>
          </w:p>
        </w:tc>
      </w:tr>
      <w:tr>
        <w:tc>
          <w:tcPr/>
          <w:p>
            <w:pPr>
              <w:pStyle w:val="Compact"/>
              <w:jc w:val="left"/>
            </w:pPr>
            <w:r>
              <w:t xml:space="preserve">**The Federal Modernization P</w:t>
            </w:r>
          </w:p>
        </w:tc>
        <w:tc>
          <w:tcPr/>
          <w:p>
            <w:pPr>
              <w:pStyle w:val="Compact"/>
              <w:jc w:val="left"/>
            </w:pPr>
            <w:r>
              <w:t xml:space="preserve">rogram Priv</w:t>
            </w:r>
          </w:p>
        </w:tc>
        <w:tc>
          <w:tcPr/>
          <w:p>
            <w:pPr>
              <w:pStyle w:val="Compact"/>
              <w:jc w:val="left"/>
            </w:pPr>
            <w:r>
              <w:t xml:space="preserve">ileged Access** Custom FIDO2 security key only</w:t>
            </w:r>
          </w:p>
        </w:tc>
        <w:tc>
          <w:tcPr/>
          <w:p>
            <w:pPr>
              <w:pStyle w:val="Compact"/>
              <w:jc w:val="left"/>
            </w:pPr>
            <w:r>
              <w:t xml:space="preserve">CA-010, CA-043 (Tier 0)</w:t>
            </w:r>
          </w:p>
        </w:tc>
      </w:tr>
    </w:tbl>
    <w:p>
      <w:pPr>
        <w:pStyle w:val="BodyText"/>
      </w:pPr>
      <w:r>
        <w:t xml:space="preserve">2.4 Grant Controls vs. Session Controls</w:t>
      </w:r>
    </w:p>
    <w:tbl>
      <w:tblPr>
        <w:tblStyle w:val="Table"/>
        <w:tblW w:type="pct" w:w="4969"/>
        <w:tblLayout w:type="fixed"/>
        <w:tblLook w:firstRow="1" w:lastRow="0" w:firstColumn="0" w:lastColumn="0" w:noHBand="0" w:noVBand="0" w:val="0020"/>
      </w:tblPr>
      <w:tblGrid>
        <w:gridCol w:w="471"/>
        <w:gridCol w:w="1613"/>
        <w:gridCol w:w="5784"/>
      </w:tblGrid>
      <w:tr>
        <w:trPr>
          <w:tblHeader w:val="on"/>
        </w:trPr>
        <w:tc>
          <w:tcPr/>
          <w:p>
            <w:pPr>
              <w:pStyle w:val="Compact"/>
              <w:jc w:val="left"/>
            </w:pPr>
            <w:r>
              <w:rPr>
                <w:b/>
                <w:bCs/>
              </w:rPr>
              <w:t xml:space="preserve">Control Type</w:t>
            </w:r>
          </w:p>
        </w:tc>
        <w:tc>
          <w:tcPr/>
          <w:p>
            <w:pPr>
              <w:pStyle w:val="Compact"/>
              <w:jc w:val="left"/>
            </w:pPr>
            <w:r>
              <w:rPr>
                <w:b/>
                <w:bCs/>
              </w:rPr>
              <w:t xml:space="preserve">Function</w:t>
            </w:r>
          </w:p>
        </w:tc>
        <w:tc>
          <w:tcPr/>
          <w:p>
            <w:pPr>
              <w:pStyle w:val="Compact"/>
              <w:jc w:val="left"/>
            </w:pPr>
            <w:r>
              <w:rPr>
                <w:b/>
                <w:bCs/>
              </w:rPr>
              <w:t xml:space="preserve">Available Controls</w:t>
            </w:r>
          </w:p>
        </w:tc>
      </w:tr>
      <w:tr>
        <w:tc>
          <w:tcPr/>
          <w:p>
            <w:pPr>
              <w:pStyle w:val="Compact"/>
              <w:jc w:val="left"/>
            </w:pPr>
            <w:r>
              <w:rPr>
                <w:b/>
                <w:bCs/>
              </w:rPr>
              <w:t xml:space="preserve">Grant</w:t>
            </w:r>
          </w:p>
        </w:tc>
        <w:tc>
          <w:tcPr/>
          <w:p>
            <w:pPr>
              <w:pStyle w:val="Compact"/>
              <w:jc w:val="left"/>
            </w:pPr>
            <w:r>
              <w:t xml:space="preserve">Determine whether access is allowed or blocked at sign-in time</w:t>
            </w:r>
          </w:p>
        </w:tc>
        <w:tc>
          <w:tcPr/>
          <w:p>
            <w:pPr>
              <w:pStyle w:val="Compact"/>
              <w:jc w:val="left"/>
            </w:pPr>
            <w:r>
              <w:t xml:space="preserve">Block access, Require MFA, Require compliant device, Require Hybrid Azure AD joined device, Require approved client app, Require app protection policy, Require password change, Require terms of use, Require authentication strength</w:t>
            </w:r>
          </w:p>
        </w:tc>
      </w:tr>
      <w:tr>
        <w:tc>
          <w:tcPr/>
          <w:p>
            <w:pPr>
              <w:pStyle w:val="Compact"/>
              <w:jc w:val="left"/>
            </w:pPr>
            <w:r>
              <w:rPr>
                <w:b/>
                <w:bCs/>
              </w:rPr>
              <w:t xml:space="preserve">Session</w:t>
            </w:r>
          </w:p>
        </w:tc>
        <w:tc>
          <w:tcPr/>
          <w:p>
            <w:pPr>
              <w:pStyle w:val="Compact"/>
              <w:jc w:val="left"/>
            </w:pPr>
            <w:r>
              <w:t xml:space="preserve">Restrict behavior within an authenticated session</w:t>
            </w:r>
          </w:p>
        </w:tc>
        <w:tc>
          <w:tcPr/>
          <w:p>
            <w:pPr>
              <w:pStyle w:val="Compact"/>
              <w:jc w:val="left"/>
            </w:pPr>
            <w:r>
              <w:t xml:space="preserve">Sign-in frequency, Persistent browser session, App-enforced restrictions, Conditional Access App Control (Defender for Cloud Apps), Customize continuous access evaluation, Disable resilience defaults</w:t>
            </w:r>
          </w:p>
        </w:tc>
      </w:tr>
    </w:tbl>
    <w:p>
      <w:pPr>
        <w:pStyle w:val="BodyText"/>
      </w:pPr>
      <w:r>
        <w:t xml:space="preserve">2.5 Report-Only Mode Testing Methodology</w:t>
      </w:r>
    </w:p>
    <w:p>
      <w:pPr>
        <w:pStyle w:val="BodyText"/>
      </w:pPr>
      <w:r>
        <w:t xml:space="preserve">Every policy in this library must be deployed in</w:t>
      </w:r>
      <w:r>
        <w:t xml:space="preserve"> </w:t>
      </w:r>
      <w:r>
        <w:rPr>
          <w:b/>
          <w:bCs/>
        </w:rPr>
        <w:t xml:space="preserve">report-only mode</w:t>
      </w:r>
      <w:r>
        <w:t xml:space="preserve"> </w:t>
      </w:r>
      <w:r>
        <w:t xml:space="preserve">before enforcement. The testing methodology follows a structured validation cycle:</w:t>
      </w:r>
    </w:p>
    <w:p>
      <w:pPr>
        <w:numPr>
          <w:ilvl w:val="0"/>
          <w:numId w:val="1099"/>
        </w:numPr>
      </w:pPr>
      <w:r>
        <w:rPr>
          <w:b/>
          <w:bCs/>
        </w:rPr>
        <w:t xml:space="preserve">Deploy in report-only mode</w:t>
      </w:r>
      <w:r>
        <w:t xml:space="preserve"> </w:t>
      </w:r>
      <w:r>
        <w:t xml:space="preserve">— Policy evaluates against all sign-ins but does not enforce controls</w:t>
      </w:r>
    </w:p>
    <w:p>
      <w:pPr>
        <w:numPr>
          <w:ilvl w:val="0"/>
          <w:numId w:val="1099"/>
        </w:numPr>
      </w:pPr>
      <w:r>
        <w:rPr>
          <w:b/>
          <w:bCs/>
        </w:rPr>
        <w:t xml:space="preserve">Monitor for 7 calendar days minimum</w:t>
      </w:r>
      <w:r>
        <w:t xml:space="preserve"> </w:t>
      </w:r>
      <w:r>
        <w:t xml:space="preserve">— Collect sign-in log data showing which users/devices would be affected</w:t>
      </w:r>
    </w:p>
    <w:p>
      <w:pPr>
        <w:numPr>
          <w:ilvl w:val="0"/>
          <w:numId w:val="1099"/>
        </w:numPr>
      </w:pPr>
      <w:r>
        <w:rPr>
          <w:b/>
          <w:bCs/>
        </w:rPr>
        <w:t xml:space="preserve">Analyze impact report</w:t>
      </w:r>
      <w:r>
        <w:t xml:space="preserve"> </w:t>
      </w:r>
      <w:r>
        <w:t xml:space="preserve">— Identify users who would be blocked, prompted for MFA, or require device compliance</w:t>
      </w:r>
    </w:p>
    <w:p>
      <w:pPr>
        <w:numPr>
          <w:ilvl w:val="0"/>
          <w:numId w:val="1099"/>
        </w:numPr>
      </w:pPr>
      <w:r>
        <w:rPr>
          <w:b/>
          <w:bCs/>
        </w:rPr>
        <w:t xml:space="preserve">Remediate gaps</w:t>
      </w:r>
      <w:r>
        <w:t xml:space="preserve"> </w:t>
      </w:r>
      <w:r>
        <w:t xml:space="preserve">— Enroll devices, register MFA methods, update group membership, or adjust policy scope</w:t>
      </w:r>
    </w:p>
    <w:p>
      <w:pPr>
        <w:numPr>
          <w:ilvl w:val="0"/>
          <w:numId w:val="1099"/>
        </w:numPr>
      </w:pPr>
      <w:r>
        <w:rPr>
          <w:b/>
          <w:bCs/>
        </w:rPr>
        <w:t xml:space="preserve">Stakeholder review</w:t>
      </w:r>
      <w:r>
        <w:t xml:space="preserve"> </w:t>
      </w:r>
      <w:r>
        <w:t xml:space="preserve">— Present impact analysis to security and business stakeholders for approval</w:t>
      </w:r>
    </w:p>
    <w:p>
      <w:pPr>
        <w:numPr>
          <w:ilvl w:val="0"/>
          <w:numId w:val="1099"/>
        </w:numPr>
      </w:pPr>
      <w:r>
        <w:rPr>
          <w:b/>
          <w:bCs/>
        </w:rPr>
        <w:t xml:space="preserve">Enable enforcement</w:t>
      </w:r>
      <w:r>
        <w:t xml:space="preserve"> </w:t>
      </w:r>
      <w:r>
        <w:t xml:space="preserve">— Switch policy from report-only to on</w:t>
      </w:r>
    </w:p>
    <w:p>
      <w:pPr>
        <w:numPr>
          <w:ilvl w:val="0"/>
          <w:numId w:val="1099"/>
        </w:numPr>
      </w:pPr>
      <w:r>
        <w:rPr>
          <w:b/>
          <w:bCs/>
        </w:rPr>
        <w:t xml:space="preserve">Monitor post-enforcement for 48 hours</w:t>
      </w:r>
      <w:r>
        <w:t xml:space="preserve"> </w:t>
      </w:r>
      <w:r>
        <w:t xml:space="preserve">— Watch for unexpected blocks or service degradation</w:t>
      </w:r>
    </w:p>
    <w:p>
      <w:pPr>
        <w:pStyle w:val="FirstParagraph"/>
      </w:pPr>
      <w:r>
        <w:t xml:space="preserve">2.6 Emergency Break-Glass Account Exclusions</w:t>
      </w:r>
    </w:p>
    <w:p>
      <w:pPr>
        <w:pStyle w:val="BodyText"/>
      </w:pPr>
      <w:r>
        <w:t xml:space="preserve">Every CA policy in this library</w:t>
      </w:r>
      <w:r>
        <w:t xml:space="preserve"> </w:t>
      </w:r>
      <w:r>
        <w:rPr>
          <w:b/>
          <w:bCs/>
        </w:rPr>
        <w:t xml:space="preserve">must</w:t>
      </w:r>
      <w:r>
        <w:t xml:space="preserve"> </w:t>
      </w:r>
      <w:r>
        <w:t xml:space="preserve">exclude the break-glass accounts defined in Section 11. The exclusion is implemented via a dedicated security group:</w:t>
      </w:r>
    </w:p>
    <w:p>
      <w:pPr>
        <w:numPr>
          <w:ilvl w:val="0"/>
          <w:numId w:val="1100"/>
        </w:numPr>
      </w:pPr>
      <w:r>
        <w:rPr>
          <w:b/>
          <w:bCs/>
        </w:rPr>
        <w:t xml:space="preserve">Group Name:</w:t>
      </w:r>
      <w:r>
        <w:t xml:space="preserve"> </w:t>
      </w:r>
      <w:r>
        <w:t xml:space="preserve">SG-BreakGlass-Exclusion</w:t>
      </w:r>
    </w:p>
    <w:p>
      <w:pPr>
        <w:numPr>
          <w:ilvl w:val="0"/>
          <w:numId w:val="1100"/>
        </w:numPr>
      </w:pPr>
      <w:r>
        <w:rPr>
          <w:b/>
          <w:bCs/>
        </w:rPr>
        <w:t xml:space="preserve">Group Type:</w:t>
      </w:r>
      <w:r>
        <w:t xml:space="preserve"> </w:t>
      </w:r>
      <w:r>
        <w:t xml:space="preserve">Assigned (not dynamic)</w:t>
      </w:r>
    </w:p>
    <w:p>
      <w:pPr>
        <w:numPr>
          <w:ilvl w:val="0"/>
          <w:numId w:val="1100"/>
        </w:numPr>
      </w:pPr>
      <w:r>
        <w:rPr>
          <w:b/>
          <w:bCs/>
        </w:rPr>
        <w:t xml:space="preserve">Members:</w:t>
      </w:r>
      <w:r>
        <w:t xml:space="preserve"> </w:t>
      </w:r>
      <w:r>
        <w:t xml:space="preserve">BreakGlass-Admin01@tenant.onmicrosoft.com, BreakGlass-Admin02@tenant.onmicrosoft.com</w:t>
      </w:r>
    </w:p>
    <w:p>
      <w:pPr>
        <w:numPr>
          <w:ilvl w:val="0"/>
          <w:numId w:val="1100"/>
        </w:numPr>
      </w:pPr>
      <w:r>
        <w:rPr>
          <w:b/>
          <w:bCs/>
        </w:rPr>
        <w:t xml:space="preserve">Placement:</w:t>
      </w:r>
      <w:r>
        <w:t xml:space="preserve"> </w:t>
      </w:r>
      <w:r>
        <w:t xml:space="preserve">Added to the "Exclude users and groups" section of every CA policy</w:t>
      </w:r>
    </w:p>
    <w:tbl>
      <w:tblPr>
        <w:tblStyle w:val="Table"/>
        <w:tblW w:type="pct" w:w="5025"/>
        <w:tblLayout w:type="fixed"/>
        <w:tblLook w:firstRow="0" w:lastRow="0" w:firstColumn="0" w:lastColumn="0" w:noHBand="0" w:noVBand="0" w:val="0000"/>
      </w:tblPr>
      <w:tblGrid>
        <w:gridCol w:w="7959"/>
      </w:tblGrid>
      <w:tr>
        <w:tc>
          <w:tcPr/>
          <w:p>
            <w:pPr>
              <w:pStyle w:val="FirstParagraph"/>
            </w:pPr>
            <w:r>
              <w:rPr>
                <w:b/>
                <w:bCs/>
              </w:rPr>
              <w:t xml:space="preserve">Warning</w:t>
            </w:r>
          </w:p>
          <w:p>
            <w:pPr>
              <w:pStyle w:val="BodyText"/>
            </w:pPr>
            <w:r>
              <w:t xml:space="preserve">Failure to exclude break-glass accounts from all CA policies may result in a complete administrative lockout of the tenant. This exclusion must be verified as part of every policy deployment checklist.</w:t>
            </w:r>
          </w:p>
        </w:tc>
      </w:tr>
    </w:tbl>
    <w:p>
      <w:pPr>
        <w:pStyle w:val="BodyText"/>
      </w:pPr>
      <w:r>
        <w:t xml:space="preserve">Section 3: Baseline Policies (CA-001 through CA-005)</w:t>
      </w:r>
    </w:p>
    <w:p>
      <w:pPr>
        <w:pStyle w:val="BodyText"/>
      </w:pPr>
      <w:r>
        <w:t xml:space="preserve">Baseline policies establish the minimum security posture for all users and all cloud applications. These policies are deployed first and form the foundation upon which tiered and application-specific policies build.</w:t>
      </w:r>
    </w:p>
    <w:p>
      <w:pPr>
        <w:pStyle w:val="BodyText"/>
      </w:pPr>
      <w:r>
        <w:t xml:space="preserve">CA-001: Require MFA for All Users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CA-001</w:t>
            </w:r>
          </w:p>
          <w:p>
            <w:pPr>
              <w:pStyle w:val="BodyText"/>
            </w:pPr>
            <w:r>
              <w:t xml:space="preserve">|</w:t>
            </w:r>
          </w:p>
          <w:p>
            <w:pPr>
              <w:pStyle w:val="BodyText"/>
            </w:pPr>
            <w:r>
              <w:t xml:space="preserve">Require MFA for All Users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multi-factor authentication for all user sign-ins across all cloud applications. This is the foundational identity verification policy that ensures no single-factor authentication is permitted in the tenant.</w:t>
      </w:r>
    </w:p>
    <w:tbl>
      <w:tblPr>
        <w:tblStyle w:val="Table"/>
        <w:tblW w:type="pct" w:w="4882"/>
        <w:tblLayout w:type="fixed"/>
        <w:tblLook w:firstRow="1" w:lastRow="0" w:firstColumn="0" w:lastColumn="0" w:noHBand="0" w:noVBand="0" w:val="0020"/>
      </w:tblPr>
      <w:tblGrid>
        <w:gridCol w:w="2236"/>
        <w:gridCol w:w="549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 (handled by CA-005)</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 (applies to all conditions)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"Interactive logon: Require smart card" combined with Account Policies → Account Lockout Policy.</w:t>
      </w:r>
    </w:p>
    <w:p>
      <w:pPr>
        <w:pStyle w:val="BodyText"/>
      </w:pPr>
      <w:r>
        <w:rPr>
          <w:b/>
          <w:bCs/>
        </w:rPr>
        <w:t xml:space="preserve">Dependencies:</w:t>
      </w:r>
      <w:r>
        <w:t xml:space="preserve"> </w:t>
      </w:r>
      <w:r>
        <w:t xml:space="preserve">All users must have at least one MFA method registered. Run MFA Registration Campaign via Authentication Methods policy prior to enforcement.</w:t>
      </w:r>
    </w:p>
    <w:p>
      <w:pPr>
        <w:pStyle w:val="BodyText"/>
      </w:pPr>
      <w:r>
        <w:rPr>
          <w:b/>
          <w:bCs/>
        </w:rPr>
        <w:t xml:space="preserve">Deployment Phase:</w:t>
      </w:r>
      <w:r>
        <w:t xml:space="preserve"> </w:t>
      </w:r>
      <w:r>
        <w:t xml:space="preserve">Phase 2 — Baseline (report-only for 1 week, then enforce).</w:t>
      </w:r>
    </w:p>
    <w:p>
      <w:pPr>
        <w:pStyle w:val="BodyText"/>
      </w:pPr>
      <w:r>
        <w:t xml:space="preserve">CA-002: Block Legacy Authentication</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CA-002</w:t>
            </w:r>
          </w:p>
          <w:p>
            <w:pPr>
              <w:pStyle w:val="BodyText"/>
            </w:pPr>
            <w:r>
              <w:t xml:space="preserve">|</w:t>
            </w:r>
          </w:p>
          <w:p>
            <w:pPr>
              <w:pStyle w:val="BodyText"/>
            </w:pPr>
            <w:r>
              <w:t xml:space="preserve">Block Legacy Authentication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Blocks all legacy authentication protocols that cannot perform modern authentication or MFA. This eliminates attack vectors such as password spray against IMAP, POP3, SMTP AUTH, and legacy Exchange ActiveSync clients.</w:t>
      </w:r>
    </w:p>
    <w:tbl>
      <w:tblPr>
        <w:tblStyle w:val="Table"/>
        <w:tblW w:type="pct" w:w="4875"/>
        <w:tblLayout w:type="fixed"/>
        <w:tblLook w:firstRow="1" w:lastRow="0" w:firstColumn="0" w:lastColumn="0" w:noHBand="0" w:noVBand="0" w:val="0020"/>
      </w:tblPr>
      <w:tblGrid>
        <w:gridCol w:w="3267"/>
        <w:gridCol w:w="445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Client Apps</w:t>
            </w:r>
          </w:p>
        </w:tc>
        <w:tc>
          <w:tcPr/>
          <w:p>
            <w:pPr>
              <w:pStyle w:val="Compact"/>
              <w:jc w:val="left"/>
            </w:pPr>
            <w:r>
              <w:t xml:space="preserve">Exchange ActiveSync clients, Other clients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Computer Configuration → Windows Settings → Security Settings → Local Policies → Security Options → "Network security: LAN Manager authentication level" set to "Send NTLMv2 response only. Refuse LM &amp; NTLM."</w:t>
      </w:r>
    </w:p>
    <w:p>
      <w:pPr>
        <w:pStyle w:val="BodyText"/>
      </w:pPr>
      <w:r>
        <w:rPr>
          <w:b/>
          <w:bCs/>
        </w:rPr>
        <w:t xml:space="preserve">Dependencies:</w:t>
      </w:r>
      <w:r>
        <w:t xml:space="preserve"> </w:t>
      </w:r>
      <w:r>
        <w:t xml:space="preserve">Audit legacy auth sign-in logs for 2 weeks prior to enforcement. Migrate any service accounts or applications using legacy protocols to modern authentication.</w:t>
      </w:r>
    </w:p>
    <w:p>
      <w:pPr>
        <w:pStyle w:val="BodyText"/>
      </w:pPr>
      <w:r>
        <w:rPr>
          <w:b/>
          <w:bCs/>
        </w:rPr>
        <w:t xml:space="preserve">Deployment Phase:</w:t>
      </w:r>
      <w:r>
        <w:t xml:space="preserve"> </w:t>
      </w:r>
      <w:r>
        <w:t xml:space="preserve">Phase 2 — Baseline.</w:t>
      </w:r>
    </w:p>
    <w:p>
      <w:pPr>
        <w:pStyle w:val="BodyText"/>
      </w:pPr>
      <w:r>
        <w:t xml:space="preserve">CA-003: Require Compliant Device for Corporate Apps</w:t>
      </w:r>
    </w:p>
    <w:tbl>
      <w:tblPr>
        <w:tblStyle w:val="Table"/>
        <w:tblW w:type="pct" w:w="3194"/>
        <w:tblLayout w:type="fixed"/>
        <w:tblLook w:firstRow="0" w:lastRow="0" w:firstColumn="0" w:lastColumn="0" w:noHBand="0" w:noVBand="0" w:val="0000"/>
      </w:tblPr>
      <w:tblGrid>
        <w:gridCol w:w="5060"/>
      </w:tblGrid>
      <w:tr>
        <w:tc>
          <w:tcPr/>
          <w:p>
            <w:pPr>
              <w:pStyle w:val="FirstParagraph"/>
            </w:pPr>
            <w:r>
              <w:t xml:space="preserve">CA-003</w:t>
            </w:r>
          </w:p>
          <w:p>
            <w:pPr>
              <w:pStyle w:val="BodyText"/>
            </w:pPr>
            <w:r>
              <w:t xml:space="preserve">|</w:t>
            </w:r>
          </w:p>
          <w:p>
            <w:pPr>
              <w:pStyle w:val="BodyText"/>
            </w:pPr>
            <w:r>
              <w:t xml:space="preserve">Require Compliant Device for Corporate Apps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devices accessing Microsoft 365 productivity applications to be enrolled in Intune and marked as compliant. This ensures that only managed devices with up-to-date security configurations can access corporate data.</w:t>
      </w:r>
    </w:p>
    <w:tbl>
      <w:tblPr>
        <w:tblStyle w:val="Table"/>
        <w:tblW w:type="pct" w:w="4921"/>
        <w:tblLayout w:type="fixed"/>
        <w:tblLook w:firstRow="1" w:lastRow="0" w:firstColumn="0" w:lastColumn="0" w:noHBand="0" w:noVBand="0" w:val="0020"/>
      </w:tblPr>
      <w:tblGrid>
        <w:gridCol w:w="1808"/>
        <w:gridCol w:w="59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Guest users</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 (includes OneDrive), Microsoft Teams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membership requirement + security filtering by computer group + GPO-applied security baselines. In legacy AD, devices had to be domain-joined and receive GPO security settings to access network resources.</w:t>
      </w:r>
    </w:p>
    <w:p>
      <w:pPr>
        <w:pStyle w:val="BodyText"/>
      </w:pPr>
      <w:r>
        <w:rPr>
          <w:b/>
          <w:bCs/>
        </w:rPr>
        <w:t xml:space="preserve">Dependencies:</w:t>
      </w:r>
      <w:r>
        <w:t xml:space="preserve"> </w:t>
      </w:r>
      <w:r>
        <w:t xml:space="preserve">Intune device compliance policies must be configured and devices enrolled. Compliance policies should include OS version, encryption, antivirus, and firewall requirements.</w:t>
      </w:r>
    </w:p>
    <w:p>
      <w:pPr>
        <w:pStyle w:val="BodyText"/>
      </w:pPr>
      <w:r>
        <w:rPr>
          <w:b/>
          <w:bCs/>
        </w:rPr>
        <w:t xml:space="preserve">Deployment Phase:</w:t>
      </w:r>
      <w:r>
        <w:t xml:space="preserve"> </w:t>
      </w:r>
      <w:r>
        <w:t xml:space="preserve">Phase 2 — Baseline.</w:t>
      </w:r>
    </w:p>
    <w:p>
      <w:pPr>
        <w:pStyle w:val="BodyText"/>
      </w:pPr>
      <w:r>
        <w:t xml:space="preserve">CA-004: Require Managed Device for Admin Portals</w:t>
      </w:r>
    </w:p>
    <w:tbl>
      <w:tblPr>
        <w:tblStyle w:val="Table"/>
        <w:tblW w:type="pct" w:w="2986"/>
        <w:tblLayout w:type="fixed"/>
        <w:tblLook w:firstRow="0" w:lastRow="0" w:firstColumn="0" w:lastColumn="0" w:noHBand="0" w:noVBand="0" w:val="0000"/>
      </w:tblPr>
      <w:tblGrid>
        <w:gridCol w:w="4730"/>
      </w:tblGrid>
      <w:tr>
        <w:tc>
          <w:tcPr/>
          <w:p>
            <w:pPr>
              <w:pStyle w:val="FirstParagraph"/>
            </w:pPr>
            <w:r>
              <w:t xml:space="preserve">CA-004</w:t>
            </w:r>
          </w:p>
          <w:p>
            <w:pPr>
              <w:pStyle w:val="BodyText"/>
            </w:pPr>
            <w:r>
              <w:t xml:space="preserve">|</w:t>
            </w:r>
          </w:p>
          <w:p>
            <w:pPr>
              <w:pStyle w:val="BodyText"/>
            </w:pPr>
            <w:r>
              <w:t xml:space="preserve">Require Managed Device for Admin Portals</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Enforces both device compliance and multi-factor authentication for users with administrative directory roles when accessing management portals. Includes a 4-hour sign-in frequency to limit session persistence for privileged operations.</w:t>
      </w:r>
    </w:p>
    <w:tbl>
      <w:tblPr>
        <w:tblStyle w:val="Table"/>
        <w:tblW w:type="pct" w:w="4935"/>
        <w:tblLayout w:type="fixed"/>
        <w:tblLook w:firstRow="1" w:lastRow="0" w:firstColumn="0" w:lastColumn="0" w:noHBand="0" w:noVBand="0" w:val="0020"/>
      </w:tblPr>
      <w:tblGrid>
        <w:gridCol w:w="1656"/>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 (Roles)</w:t>
            </w:r>
          </w:p>
        </w:tc>
        <w:tc>
          <w:tcPr/>
          <w:p>
            <w:pPr>
              <w:pStyle w:val="Compact"/>
              <w:jc w:val="left"/>
            </w:pPr>
            <w:r>
              <w:t xml:space="preserve">Global Administrator, Security Administrator, Exchange Administrator, SharePoint Administrator, Intune Administrator</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Microsoft 365 admin center, Exchange admin center, Microsoft Entra admin center</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administrative workstation restrictions via "Allow log on locally" and "Deny log on through Remote Desktop Services" GPOs linked to Admin Tier OUs. Admin logon restrictions prevented Tier 0 credentials from being used on lower-tier workstations.</w:t>
      </w:r>
    </w:p>
    <w:p>
      <w:pPr>
        <w:pStyle w:val="BodyText"/>
      </w:pPr>
      <w:r>
        <w:rPr>
          <w:b/>
          <w:bCs/>
        </w:rPr>
        <w:t xml:space="preserve">Dependencies:</w:t>
      </w:r>
      <w:r>
        <w:t xml:space="preserve"> </w:t>
      </w:r>
      <w:r>
        <w:t xml:space="preserve">Admin users must have passwordless MFA methods registered (FIDO2 or Windows Hello for Business). Admin workstations must be enrolled and compliant in Intune.</w:t>
      </w:r>
    </w:p>
    <w:p>
      <w:pPr>
        <w:pStyle w:val="BodyText"/>
      </w:pPr>
      <w:r>
        <w:rPr>
          <w:b/>
          <w:bCs/>
        </w:rPr>
        <w:t xml:space="preserve">Deployment Phase:</w:t>
      </w:r>
      <w:r>
        <w:t xml:space="preserve"> </w:t>
      </w:r>
      <w:r>
        <w:t xml:space="preserve">Phase 2 — Baseline.</w:t>
      </w:r>
    </w:p>
    <w:p>
      <w:pPr>
        <w:pStyle w:val="BodyText"/>
      </w:pPr>
      <w:r>
        <w:t xml:space="preserve">CA-005: Terms of Use for External Collaboration</w:t>
      </w:r>
    </w:p>
    <w:tbl>
      <w:tblPr>
        <w:tblStyle w:val="Table"/>
        <w:tblW w:type="pct" w:w="2917"/>
        <w:tblLayout w:type="fixed"/>
        <w:tblLook w:firstRow="0" w:lastRow="0" w:firstColumn="0" w:lastColumn="0" w:noHBand="0" w:noVBand="0" w:val="0000"/>
      </w:tblPr>
      <w:tblGrid>
        <w:gridCol w:w="4620"/>
      </w:tblGrid>
      <w:tr>
        <w:tc>
          <w:tcPr/>
          <w:p>
            <w:pPr>
              <w:pStyle w:val="FirstParagraph"/>
            </w:pPr>
            <w:r>
              <w:t xml:space="preserve">CA-005</w:t>
            </w:r>
          </w:p>
          <w:p>
            <w:pPr>
              <w:pStyle w:val="BodyText"/>
            </w:pPr>
            <w:r>
              <w:t xml:space="preserve">|</w:t>
            </w:r>
          </w:p>
          <w:p>
            <w:pPr>
              <w:pStyle w:val="BodyText"/>
            </w:pPr>
            <w:r>
              <w:t xml:space="preserve">Terms of Use for External Collaboration</w:t>
            </w:r>
          </w:p>
          <w:p>
            <w:pPr>
              <w:pStyle w:val="BodyText"/>
            </w:pPr>
            <w:r>
              <w:t xml:space="preserve">|</w:t>
            </w:r>
          </w:p>
          <w:p>
            <w:pPr>
              <w:pStyle w:val="BodyText"/>
            </w:pPr>
            <w:r>
              <w:rPr>
                <w:b/>
                <w:bCs/>
              </w:rPr>
              <w:t xml:space="preserve">Phase 2</w:t>
            </w:r>
          </w:p>
        </w:tc>
      </w:tr>
    </w:tbl>
    <w:p>
      <w:pPr>
        <w:pStyle w:val="BodyText"/>
      </w:pPr>
      <w:r>
        <w:rPr>
          <w:b/>
          <w:bCs/>
        </w:rPr>
        <w:t xml:space="preserve">Description:</w:t>
      </w:r>
      <w:r>
        <w:t xml:space="preserve"> </w:t>
      </w:r>
      <w:r>
        <w:t xml:space="preserve">Requires external guest users to accept organizational terms of use and complete MFA before accessing Microsoft 365 applications. Ensures legal acknowledgment and identity verification for B2B collaboration scenarios.</w:t>
      </w:r>
    </w:p>
    <w:tbl>
      <w:tblPr>
        <w:tblStyle w:val="Table"/>
        <w:tblW w:type="pct" w:w="4912"/>
        <w:tblLayout w:type="fixed"/>
        <w:tblLook w:firstRow="1" w:lastRow="0" w:firstColumn="0" w:lastColumn="0" w:noHBand="0" w:noVBand="0" w:val="0020"/>
      </w:tblPr>
      <w:tblGrid>
        <w:gridCol w:w="2032"/>
        <w:gridCol w:w="574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Guest or external users — B2B collaboration guest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terms of use acceptance</w:t>
            </w:r>
            <w:r>
              <w:t xml:space="preserve"> </w:t>
            </w:r>
            <w:r>
              <w:rPr>
                <w:b/>
                <w:bCs/>
              </w:rPr>
              <w:t xml:space="preserve">AND</w:t>
            </w:r>
            <w:r>
              <w:t xml:space="preserve"> </w:t>
            </w: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Legacy AD had no native mechanism for guest terms of use at logon. This represents a new capability enabled by cloud identity.</w:t>
      </w:r>
    </w:p>
    <w:p>
      <w:pPr>
        <w:pStyle w:val="BodyText"/>
      </w:pPr>
      <w:r>
        <w:rPr>
          <w:b/>
          <w:bCs/>
        </w:rPr>
        <w:t xml:space="preserve">Dependencies:</w:t>
      </w:r>
      <w:r>
        <w:t xml:space="preserve"> </w:t>
      </w:r>
      <w:r>
        <w:t xml:space="preserve">Terms of Use document must be configured in Microsoft Entra ID → Identity Governance → Terms of Use. Document must be reviewed by Legal.</w:t>
      </w:r>
    </w:p>
    <w:p>
      <w:pPr>
        <w:pStyle w:val="BodyText"/>
      </w:pPr>
      <w:r>
        <w:rPr>
          <w:b/>
          <w:bCs/>
        </w:rPr>
        <w:t xml:space="preserve">Deployment Phase:</w:t>
      </w:r>
      <w:r>
        <w:t xml:space="preserve"> </w:t>
      </w:r>
      <w:r>
        <w:t xml:space="preserve">Phase 2 — Baseline.</w:t>
      </w:r>
    </w:p>
    <w:p>
      <w:pPr>
        <w:pStyle w:val="BodyText"/>
      </w:pPr>
      <w:r>
        <w:t xml:space="preserve">Section 4: Device Tier Policies (CA-010 through CA-015)</w:t>
      </w:r>
    </w:p>
    <w:p>
      <w:pPr>
        <w:pStyle w:val="BodyText"/>
      </w:pPr>
      <w:r>
        <w:t xml:space="preserve">Device tier policies enforce the principle of tiered administration by applying progressively stricter controls based on the device's tier classification stored in</w:t>
      </w:r>
      <w:r>
        <w:t xml:space="preserve"> </w:t>
      </w:r>
      <w:r>
        <w:rPr>
          <w:b/>
          <w:bCs/>
        </w:rPr>
        <w:t xml:space="preserve">extensionAttribute4 (DeviceTier)</w:t>
      </w:r>
      <w:r>
        <w:t xml:space="preserve">. These policies align with the traditional AD tiered administration model (Tier 0/1/2) adapted for cloud-native enforcement.</w:t>
      </w:r>
    </w:p>
    <w:p>
      <w:pPr>
        <w:pStyle w:val="BodyText"/>
      </w:pPr>
      <w:r>
        <w:t xml:space="preserve">CA-010: Tier 0 — Privileged Access Workstation Enforcement</w:t>
      </w:r>
    </w:p>
    <w:tbl>
      <w:tblPr>
        <w:tblStyle w:val="Table"/>
        <w:tblW w:type="pct" w:w="3056"/>
        <w:tblLayout w:type="fixed"/>
        <w:tblLook w:firstRow="0" w:lastRow="0" w:firstColumn="0" w:lastColumn="0" w:noHBand="0" w:noVBand="0" w:val="0000"/>
      </w:tblPr>
      <w:tblGrid>
        <w:gridCol w:w="4840"/>
      </w:tblGrid>
      <w:tr>
        <w:tc>
          <w:tcPr/>
          <w:p>
            <w:pPr>
              <w:pStyle w:val="FirstParagraph"/>
            </w:pPr>
            <w:r>
              <w:t xml:space="preserve">CA-010</w:t>
            </w:r>
          </w:p>
          <w:p>
            <w:pPr>
              <w:pStyle w:val="BodyText"/>
            </w:pPr>
            <w:r>
              <w:t xml:space="preserve">|</w:t>
            </w:r>
          </w:p>
          <w:p>
            <w:pPr>
              <w:pStyle w:val="BodyText"/>
            </w:pPr>
            <w:r>
              <w:t xml:space="preserve">Tier 0</w:t>
            </w:r>
          </w:p>
          <w:p>
            <w:r>
              <w:pict>
                <v:rect style="width:0;height:1.5pt" o:hralign="center" o:hrstd="t" o:hr="t"/>
              </w:pict>
            </w:r>
          </w:p>
          <w:p>
            <w:pPr>
              <w:pStyle w:val="FirstParagraph"/>
            </w:pPr>
            <w:r>
              <w:t xml:space="preserve">Privileged Access Workstation Enforcement</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maximum security controls to Tier 0 Privileged Access Workstations (PAWs). Requires phishing-resistant MFA, enforces 1-hour sign-in frequency, and disables persistent browser sessions to minimize credential exposure on the highest-value assets.</w:t>
      </w:r>
    </w:p>
    <w:tbl>
      <w:tblPr>
        <w:tblStyle w:val="Table"/>
        <w:tblW w:type="pct" w:w="4932"/>
        <w:tblLayout w:type="fixed"/>
        <w:tblLook w:firstRow="1" w:lastRow="0" w:firstColumn="0" w:lastColumn="0" w:noHBand="0" w:noVBand="0" w:val="0020"/>
      </w:tblPr>
      <w:tblGrid>
        <w:gridCol w:w="1885"/>
        <w:gridCol w:w="592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DG-Devices-Tier0 (device.extensionAttribute11 -eq "Tier0")</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"Tier0"</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Phishing-resistant MFA</w:t>
            </w:r>
          </w:p>
        </w:tc>
      </w:tr>
      <w:tr>
        <w:tc>
          <w:tcPr/>
          <w:p>
            <w:pPr>
              <w:pStyle w:val="Compact"/>
              <w:jc w:val="left"/>
            </w:pPr>
            <w:r>
              <w:rPr>
                <w:b/>
                <w:bCs/>
              </w:rPr>
              <w:t xml:space="preserve">Session Controls</w:t>
            </w:r>
          </w:p>
        </w:tc>
        <w:tc>
          <w:tcPr/>
          <w:p>
            <w:pPr>
              <w:pStyle w:val="Compact"/>
              <w:jc w:val="left"/>
            </w:pPr>
            <w:r>
              <w:t xml:space="preserve">Sign-in frequency: 1 hour;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0 OU GPOs including "Allow log on locally" restricted to Domain Admins, "Deny log on through network" for non-admin users, AppLocker whitelisting, credential guard enforcement, and restricted admin RDP settings.</w:t>
      </w:r>
    </w:p>
    <w:p>
      <w:pPr>
        <w:pStyle w:val="BodyText"/>
      </w:pPr>
      <w:r>
        <w:rPr>
          <w:b/>
          <w:bCs/>
        </w:rPr>
        <w:t xml:space="preserve">Dependencies:</w:t>
      </w:r>
      <w:r>
        <w:t xml:space="preserve"> </w:t>
      </w:r>
      <w:r>
        <w:t xml:space="preserve">Tier 0 devices must have extensionAttribute4 set to "Tier0". FIDO2 keys must be provisioned for all Tier 0 operators.</w:t>
      </w:r>
    </w:p>
    <w:p>
      <w:pPr>
        <w:pStyle w:val="BodyText"/>
      </w:pPr>
      <w:r>
        <w:rPr>
          <w:b/>
          <w:bCs/>
        </w:rPr>
        <w:t xml:space="preserve">Deployment Phase:</w:t>
      </w:r>
      <w:r>
        <w:t xml:space="preserve"> </w:t>
      </w:r>
      <w:r>
        <w:t xml:space="preserve">Phase 3 — Device Tier.</w:t>
      </w:r>
    </w:p>
    <w:p>
      <w:pPr>
        <w:pStyle w:val="BodyText"/>
      </w:pPr>
      <w:r>
        <w:t xml:space="preserve">CA-011: Tier 1 — Server Access Controls</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CA-011</w:t>
            </w:r>
          </w:p>
          <w:p>
            <w:pPr>
              <w:pStyle w:val="BodyText"/>
            </w:pPr>
            <w:r>
              <w:t xml:space="preserve">|</w:t>
            </w:r>
          </w:p>
          <w:p>
            <w:pPr>
              <w:pStyle w:val="BodyText"/>
            </w:pPr>
            <w:r>
              <w:t xml:space="preserve">Tier 1</w:t>
            </w:r>
          </w:p>
          <w:p>
            <w:r>
              <w:pict>
                <v:rect style="width:0;height:1.5pt" o:hralign="center" o:hrstd="t" o:hr="t"/>
              </w:pict>
            </w:r>
          </w:p>
          <w:p>
            <w:pPr>
              <w:pStyle w:val="FirstParagraph"/>
            </w:pPr>
            <w:r>
              <w:t xml:space="preserve">Server Access Controls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Controls access from Tier 1 server administrator identities to Azure management and server administration tools. Requires compliant devices and MFA to prevent lateral movement between tiers.</w:t>
      </w:r>
    </w:p>
    <w:tbl>
      <w:tblPr>
        <w:tblStyle w:val="Table"/>
        <w:tblW w:type="pct" w:w="4929"/>
        <w:tblLayout w:type="fixed"/>
        <w:tblLook w:firstRow="1" w:lastRow="0" w:firstColumn="0" w:lastColumn="0" w:noHBand="0" w:noVBand="0" w:val="0020"/>
      </w:tblPr>
      <w:tblGrid>
        <w:gridCol w:w="1965"/>
        <w:gridCol w:w="584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DG-Devices-Tier1 (device.extensionAttribute11 -eq "Tier1")</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Microsoft Azure Management, Windows Virtual Desktop, Azure Arc-enabled servers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"Tier1"</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Passwordless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Tier 1 OU GPOs restricting server logon to Server Admins group, denying interactive logon for Tier 0 and Tier 2 accounts on servers.</w:t>
      </w:r>
    </w:p>
    <w:p>
      <w:pPr>
        <w:pStyle w:val="BodyText"/>
      </w:pPr>
      <w:r>
        <w:rPr>
          <w:b/>
          <w:bCs/>
        </w:rPr>
        <w:t xml:space="preserve">Dependencies:</w:t>
      </w:r>
      <w:r>
        <w:t xml:space="preserve"> </w:t>
      </w:r>
      <w:r>
        <w:t xml:space="preserve">Server identities must have extensionAttribute4 set to "Tier1". Server admin accounts must be registered with passwordless MFA.</w:t>
      </w:r>
    </w:p>
    <w:p>
      <w:pPr>
        <w:pStyle w:val="BodyText"/>
      </w:pPr>
      <w:r>
        <w:rPr>
          <w:b/>
          <w:bCs/>
        </w:rPr>
        <w:t xml:space="preserve">Deployment Phase:</w:t>
      </w:r>
      <w:r>
        <w:t xml:space="preserve"> </w:t>
      </w:r>
      <w:r>
        <w:t xml:space="preserve">Phase 3 — Device Tier.</w:t>
      </w:r>
    </w:p>
    <w:p>
      <w:pPr>
        <w:pStyle w:val="BodyText"/>
      </w:pPr>
      <w:r>
        <w:t xml:space="preserve">CA-012: Tier 2 — Standard Workstation Policy</w:t>
      </w:r>
    </w:p>
    <w:tbl>
      <w:tblPr>
        <w:tblStyle w:val="Table"/>
        <w:tblW w:type="pct" w:w="2083"/>
        <w:tblLayout w:type="fixed"/>
        <w:tblLook w:firstRow="0" w:lastRow="0" w:firstColumn="0" w:lastColumn="0" w:noHBand="0" w:noVBand="0" w:val="0000"/>
      </w:tblPr>
      <w:tblGrid>
        <w:gridCol w:w="3300"/>
      </w:tblGrid>
      <w:tr>
        <w:tc>
          <w:tcPr/>
          <w:p>
            <w:pPr>
              <w:pStyle w:val="FirstParagraph"/>
            </w:pPr>
            <w:r>
              <w:t xml:space="preserve">CA-012</w:t>
            </w:r>
          </w:p>
          <w:p>
            <w:pPr>
              <w:pStyle w:val="BodyText"/>
            </w:pPr>
            <w:r>
              <w:t xml:space="preserve">|</w:t>
            </w:r>
          </w:p>
          <w:p>
            <w:pPr>
              <w:pStyle w:val="BodyText"/>
            </w:pPr>
            <w:r>
              <w:t xml:space="preserve">Tier 2</w:t>
            </w:r>
          </w:p>
          <w:p>
            <w:r>
              <w:pict>
                <v:rect style="width:0;height:1.5pt" o:hralign="center" o:hrstd="t" o:hr="t"/>
              </w:pict>
            </w:r>
          </w:p>
          <w:p>
            <w:pPr>
              <w:pStyle w:val="FirstParagraph"/>
            </w:pPr>
            <w:r>
              <w:t xml:space="preserve">Standard Workstation Policy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standard security controls to Tier 2 end-user workstations. Allows access from either Intune-compliant or Hybrid Azure AD joined devices, providing flexibility during the hybrid transition period.</w:t>
      </w:r>
    </w:p>
    <w:tbl>
      <w:tblPr>
        <w:tblStyle w:val="Table"/>
        <w:tblW w:type="pct" w:w="4920"/>
        <w:tblLayout w:type="fixed"/>
        <w:tblLook w:firstRow="1" w:lastRow="0" w:firstColumn="0" w:lastColumn="0" w:noHBand="0" w:noVBand="0" w:val="0020"/>
      </w:tblPr>
      <w:tblGrid>
        <w:gridCol w:w="2217"/>
        <w:gridCol w:w="557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DG-Devices-Tier2 (device.extensionAttribute11 -eq "Tier2")</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(all apps)</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device.extensionAttribute11 -eq "Tier2"</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Hybrid Azure AD joined device</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Domain join requirement + security baseline GPOs applied to Workstation OU. Standard users received baseline security settings via GPO inheritance.</w:t>
      </w:r>
    </w:p>
    <w:p>
      <w:pPr>
        <w:pStyle w:val="BodyText"/>
      </w:pPr>
      <w:r>
        <w:rPr>
          <w:b/>
          <w:bCs/>
        </w:rPr>
        <w:t xml:space="preserve">Dependencies:</w:t>
      </w:r>
      <w:r>
        <w:t xml:space="preserve"> </w:t>
      </w:r>
      <w:r>
        <w:t xml:space="preserve">Devices must be either Intune-enrolled or Hybrid Azure AD joined. extensionAttribute4 must be set to "Tier2".</w:t>
      </w:r>
    </w:p>
    <w:p>
      <w:pPr>
        <w:pStyle w:val="BodyText"/>
      </w:pPr>
      <w:r>
        <w:rPr>
          <w:b/>
          <w:bCs/>
        </w:rPr>
        <w:t xml:space="preserve">Deployment Phase:</w:t>
      </w:r>
      <w:r>
        <w:t xml:space="preserve"> </w:t>
      </w:r>
      <w:r>
        <w:t xml:space="preserve">Phase 3 — Device Tier.</w:t>
      </w:r>
    </w:p>
    <w:p>
      <w:pPr>
        <w:pStyle w:val="BodyText"/>
      </w:pPr>
      <w:r>
        <w:t xml:space="preserve">CA-013: Kiosk Device Restrictions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CA-013</w:t>
            </w:r>
          </w:p>
          <w:p>
            <w:pPr>
              <w:pStyle w:val="BodyText"/>
            </w:pPr>
            <w:r>
              <w:t xml:space="preserve">|</w:t>
            </w:r>
          </w:p>
          <w:p>
            <w:pPr>
              <w:pStyle w:val="BodyText"/>
            </w:pPr>
            <w:r>
              <w:t xml:space="preserve">Kiosk Device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Restricts kiosk devices to a limited set of applications with extended sign-in frequency and app-enforced restrictions. Kiosk devices are identified by extensionAttribute12 = "Kiosk" and are intended for shared-use scenarios.</w:t>
      </w:r>
    </w:p>
    <w:tbl>
      <w:tblPr>
        <w:tblStyle w:val="Table"/>
        <w:tblW w:type="pct" w:w="4912"/>
        <w:tblLayout w:type="fixed"/>
        <w:tblLook w:firstRow="1" w:lastRow="0" w:firstColumn="0" w:lastColumn="0" w:noHBand="0" w:noVBand="0" w:val="0020"/>
      </w:tblPr>
      <w:tblGrid>
        <w:gridCol w:w="2431"/>
        <w:gridCol w:w="534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DG-Devices-Kiosk (device.extensionAttribute12 -eq "Kiosk")</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Select apps (limited kiosk app set defined per site)</w:t>
            </w:r>
          </w:p>
        </w:tc>
      </w:tr>
      <w:tr>
        <w:tc>
          <w:tcPr/>
          <w:p>
            <w:pPr>
              <w:pStyle w:val="Compact"/>
              <w:jc w:val="left"/>
            </w:pPr>
            <w:r>
              <w:rPr>
                <w:b/>
                <w:bCs/>
              </w:rPr>
              <w:t xml:space="preserve">Conditions — Device Filter</w:t>
            </w:r>
          </w:p>
        </w:tc>
        <w:tc>
          <w:tcPr/>
          <w:p>
            <w:pPr>
              <w:pStyle w:val="Compact"/>
              <w:jc w:val="left"/>
            </w:pPr>
            <w:r>
              <w:t xml:space="preserve">Include filtered devices: device.extensionAttribute12 -eq "Kiosk"</w:t>
            </w:r>
          </w:p>
        </w:tc>
      </w:tr>
      <w:tr>
        <w:tc>
          <w:tcPr/>
          <w:p>
            <w:pPr>
              <w:pStyle w:val="Compact"/>
              <w:jc w:val="left"/>
            </w:pPr>
            <w:r>
              <w:rPr>
                <w:b/>
                <w:bCs/>
              </w:rPr>
              <w:t xml:space="preserve">Grant Controls</w:t>
            </w:r>
          </w:p>
        </w:tc>
        <w:tc>
          <w:tcPr/>
          <w:p>
            <w:pPr>
              <w:pStyle w:val="Compact"/>
              <w:jc w:val="left"/>
            </w:pP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 App enforced restrictions: Enabled</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Kiosk OU GPOs with assigned access (shell launcher), software restriction policies, and restricted desktop configurations.</w:t>
      </w:r>
    </w:p>
    <w:p>
      <w:pPr>
        <w:pStyle w:val="BodyText"/>
      </w:pPr>
      <w:r>
        <w:rPr>
          <w:b/>
          <w:bCs/>
        </w:rPr>
        <w:t xml:space="preserve">Deployment Phase:</w:t>
      </w:r>
      <w:r>
        <w:t xml:space="preserve"> </w:t>
      </w:r>
      <w:r>
        <w:t xml:space="preserve">Phase 3 — Device Tier.</w:t>
      </w:r>
    </w:p>
    <w:p>
      <w:pPr>
        <w:pStyle w:val="BodyText"/>
      </w:pPr>
      <w:r>
        <w:t xml:space="preserve">CA-014: Unmanaged Device — Browser Only</w:t>
      </w:r>
    </w:p>
    <w:tbl>
      <w:tblPr>
        <w:tblStyle w:val="Table"/>
        <w:tblW w:type="pct" w:w="1319"/>
        <w:tblLayout w:type="fixed"/>
        <w:tblLook w:firstRow="0" w:lastRow="0" w:firstColumn="0" w:lastColumn="0" w:noHBand="0" w:noVBand="0" w:val="0000"/>
      </w:tblPr>
      <w:tblGrid>
        <w:gridCol w:w="2090"/>
      </w:tblGrid>
      <w:tr>
        <w:tc>
          <w:tcPr/>
          <w:p>
            <w:pPr>
              <w:pStyle w:val="FirstParagraph"/>
            </w:pPr>
            <w:r>
              <w:t xml:space="preserve">CA-014</w:t>
            </w:r>
          </w:p>
          <w:p>
            <w:pPr>
              <w:pStyle w:val="BodyText"/>
            </w:pPr>
            <w:r>
              <w:t xml:space="preserve">|</w:t>
            </w:r>
          </w:p>
          <w:p>
            <w:pPr>
              <w:pStyle w:val="BodyText"/>
            </w:pPr>
            <w:r>
              <w:t xml:space="preserve">Unmanaged Device</w:t>
            </w:r>
          </w:p>
          <w:p>
            <w:r>
              <w:pict>
                <v:rect style="width:0;height:1.5pt" o:hralign="center" o:hrstd="t" o:hr="t"/>
              </w:pict>
            </w:r>
          </w:p>
          <w:p>
            <w:pPr>
              <w:pStyle w:val="FirstParagraph"/>
            </w:pPr>
            <w:r>
              <w:t xml:space="preserve">Browser Only</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Allows limited browser-only access from unmanaged (personal) devices with session restrictions that prevent data download and disable persistent sessions. Integrates with Defender for Cloud Apps for download blocking.</w:t>
      </w:r>
    </w:p>
    <w:tbl>
      <w:tblPr>
        <w:tblStyle w:val="Table"/>
        <w:tblW w:type="pct" w:w="4947"/>
        <w:tblLayout w:type="fixed"/>
        <w:tblLook w:firstRow="1" w:lastRow="0" w:firstColumn="0" w:lastColumn="0" w:noHBand="0" w:noVBand="0" w:val="0020"/>
      </w:tblPr>
      <w:tblGrid>
        <w:gridCol w:w="1466"/>
        <w:gridCol w:w="63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Office 365 Exchange Online, Office 365 SharePoint Online</w:t>
            </w:r>
          </w:p>
        </w:tc>
      </w:tr>
      <w:tr>
        <w:tc>
          <w:tcPr/>
          <w:p>
            <w:pPr>
              <w:pStyle w:val="Compact"/>
              <w:jc w:val="left"/>
            </w:pPr>
            <w:r>
              <w:rPr>
                <w:b/>
                <w:bCs/>
              </w:rPr>
              <w:t xml:space="preserve">Conditions — Device Filter</w:t>
            </w:r>
          </w:p>
        </w:tc>
        <w:tc>
          <w:tcPr/>
          <w:p>
            <w:pPr>
              <w:pStyle w:val="Compact"/>
              <w:jc w:val="left"/>
            </w:pPr>
            <w:r>
              <w:t xml:space="preserve">Exclude filtered devices where device.isCompliant -eq True OR device.trustType -eq "ServerAD"</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App enforced restrictions: Enabled; Persistent browser session: Never persistent; Conditional Access App Control: Use custom policy (block downloads)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No direct equivalent. In legacy AD, unmanaged devices simply could not join the domain and were denied network access via 802.1X/NAP. CA provides a more nuanced approach allowing limited access.</w:t>
      </w:r>
    </w:p>
    <w:p>
      <w:pPr>
        <w:pStyle w:val="BodyText"/>
      </w:pPr>
      <w:r>
        <w:rPr>
          <w:b/>
          <w:bCs/>
        </w:rPr>
        <w:t xml:space="preserve">Dependencies:</w:t>
      </w:r>
      <w:r>
        <w:t xml:space="preserve"> </w:t>
      </w:r>
      <w:r>
        <w:t xml:space="preserve">Microsoft Defender for Cloud Apps must be configured and Conditional Access App Control must be enabled for the target apps.</w:t>
      </w:r>
    </w:p>
    <w:p>
      <w:pPr>
        <w:pStyle w:val="BodyText"/>
      </w:pPr>
      <w:r>
        <w:rPr>
          <w:b/>
          <w:bCs/>
        </w:rPr>
        <w:t xml:space="preserve">Deployment Phase:</w:t>
      </w:r>
      <w:r>
        <w:t xml:space="preserve"> </w:t>
      </w:r>
      <w:r>
        <w:t xml:space="preserve">Phase 3 — Device Tier.</w:t>
      </w:r>
    </w:p>
    <w:p>
      <w:pPr>
        <w:pStyle w:val="BodyText"/>
      </w:pPr>
      <w:r>
        <w:t xml:space="preserve">CA-015: Non-Corporate Network Restrictions</w:t>
      </w:r>
    </w:p>
    <w:tbl>
      <w:tblPr>
        <w:tblStyle w:val="Table"/>
        <w:tblW w:type="pct" w:w="2569"/>
        <w:tblLayout w:type="fixed"/>
        <w:tblLook w:firstRow="0" w:lastRow="0" w:firstColumn="0" w:lastColumn="0" w:noHBand="0" w:noVBand="0" w:val="0000"/>
      </w:tblPr>
      <w:tblGrid>
        <w:gridCol w:w="4069"/>
      </w:tblGrid>
      <w:tr>
        <w:tc>
          <w:tcPr/>
          <w:p>
            <w:pPr>
              <w:pStyle w:val="FirstParagraph"/>
            </w:pPr>
            <w:r>
              <w:t xml:space="preserve">CA-015</w:t>
            </w:r>
          </w:p>
          <w:p>
            <w:pPr>
              <w:pStyle w:val="BodyText"/>
            </w:pPr>
            <w:r>
              <w:t xml:space="preserve">|</w:t>
            </w:r>
          </w:p>
          <w:p>
            <w:pPr>
              <w:pStyle w:val="BodyText"/>
            </w:pPr>
            <w:r>
              <w:t xml:space="preserve">Non-Corporate Network Restrictions</w:t>
            </w:r>
          </w:p>
          <w:p>
            <w:pPr>
              <w:pStyle w:val="BodyText"/>
            </w:pPr>
            <w:r>
              <w:t xml:space="preserve">|</w:t>
            </w:r>
          </w:p>
          <w:p>
            <w:pPr>
              <w:pStyle w:val="BodyText"/>
            </w:pPr>
            <w:r>
              <w:rPr>
                <w:b/>
                <w:bCs/>
              </w:rPr>
              <w:t xml:space="preserve">Phase 3</w:t>
            </w:r>
          </w:p>
        </w:tc>
      </w:tr>
    </w:tbl>
    <w:p>
      <w:pPr>
        <w:pStyle w:val="BodyText"/>
      </w:pPr>
      <w:r>
        <w:rPr>
          <w:b/>
          <w:bCs/>
        </w:rPr>
        <w:t xml:space="preserve">Description:</w:t>
      </w:r>
      <w:r>
        <w:t xml:space="preserve"> </w:t>
      </w:r>
      <w:r>
        <w:t xml:space="preserve">Applies additional MFA requirements and reduced sign-in frequency for access attempts originating from outside defined corporate network locations.</w:t>
      </w:r>
    </w:p>
    <w:tbl>
      <w:tblPr>
        <w:tblStyle w:val="Table"/>
        <w:tblW w:type="pct" w:w="4905"/>
        <w:tblLayout w:type="fixed"/>
        <w:tblLook w:firstRow="1" w:lastRow="0" w:firstColumn="0" w:lastColumn="0" w:noHBand="0" w:noVBand="0" w:val="0020"/>
      </w:tblPr>
      <w:tblGrid>
        <w:gridCol w:w="2338"/>
        <w:gridCol w:w="54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4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GPO Equivalent:</w:t>
      </w:r>
      <w:r>
        <w:t xml:space="preserve"> </w:t>
      </w:r>
      <w:r>
        <w:t xml:space="preserve">Network-based access control via 802.1X, VPN-only access requirements, and IPsec connection security rules configured through GPO.</w:t>
      </w:r>
    </w:p>
    <w:p>
      <w:pPr>
        <w:pStyle w:val="BodyText"/>
      </w:pPr>
      <w:r>
        <w:rPr>
          <w:b/>
          <w:bCs/>
        </w:rPr>
        <w:t xml:space="preserve">Dependencies:</w:t>
      </w:r>
      <w:r>
        <w:t xml:space="preserve"> </w:t>
      </w:r>
      <w:r>
        <w:t xml:space="preserve">Named location "Corporate Networks" must be created with all corporate IP ranges (see Appendix B).</w:t>
      </w:r>
    </w:p>
    <w:p>
      <w:pPr>
        <w:pStyle w:val="BodyText"/>
      </w:pPr>
      <w:r>
        <w:rPr>
          <w:b/>
          <w:bCs/>
        </w:rPr>
        <w:t xml:space="preserve">Deployment Phase:</w:t>
      </w:r>
      <w:r>
        <w:t xml:space="preserve"> </w:t>
      </w:r>
      <w:r>
        <w:t xml:space="preserve">Phase 3 — Device Tier.</w:t>
      </w:r>
    </w:p>
    <w:p>
      <w:pPr>
        <w:pStyle w:val="BodyText"/>
      </w:pPr>
      <w:r>
        <w:t xml:space="preserve">Section 5: Environment Policies (CA-020 through CA-025)</w:t>
      </w:r>
    </w:p>
    <w:p>
      <w:pPr>
        <w:pStyle w:val="BodyText"/>
      </w:pPr>
      <w:r>
        <w:t xml:space="preserve">Environment policies enforce isolation between production, staging, and development environments. These policies reference</w:t>
      </w:r>
      <w:r>
        <w:t xml:space="preserve"> </w:t>
      </w:r>
      <w:r>
        <w:rPr>
          <w:b/>
          <w:bCs/>
        </w:rPr>
        <w:t xml:space="preserve">extensionAttribute5 (Environment)</w:t>
      </w:r>
      <w:r>
        <w:t xml:space="preserve"> </w:t>
      </w:r>
      <w:r>
        <w:t xml:space="preserve">and prevent credential and resource crossover between environments — a critical control for change management and data protection.</w:t>
      </w:r>
    </w:p>
    <w:p>
      <w:pPr>
        <w:pStyle w:val="BodyText"/>
      </w:pPr>
      <w:r>
        <w:t xml:space="preserve">CA-020: Production Environment — Maximum Protection</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CA-020</w:t>
            </w:r>
          </w:p>
          <w:p>
            <w:pPr>
              <w:pStyle w:val="BodyText"/>
            </w:pPr>
            <w:r>
              <w:t xml:space="preserve">|</w:t>
            </w:r>
          </w:p>
          <w:p>
            <w:pPr>
              <w:pStyle w:val="BodyText"/>
            </w:pPr>
            <w:r>
              <w:t xml:space="preserve">Production Environment</w:t>
            </w:r>
          </w:p>
          <w:p>
            <w:r>
              <w:pict>
                <v:rect style="width:0;height:1.5pt" o:hralign="center" o:hrstd="t" o:hr="t"/>
              </w:pict>
            </w:r>
          </w:p>
          <w:p>
            <w:pPr>
              <w:pStyle w:val="FirstParagraph"/>
            </w:pPr>
            <w:r>
              <w:t xml:space="preserve">Maximum Protection</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the highest level of protection to production environment access. Requires compliant devices, MFA, and approved client applications. Blocks access from unapproved client apps to prevent data leakage through unauthorized tools.</w:t>
      </w:r>
    </w:p>
    <w:tbl>
      <w:tblPr>
        <w:tblStyle w:val="Table"/>
        <w:tblW w:type="pct" w:w="4935"/>
        <w:tblLayout w:type="fixed"/>
        <w:tblLook w:firstRow="1" w:lastRow="0" w:firstColumn="0" w:lastColumn="0" w:noHBand="0" w:noVBand="0" w:val="0020"/>
      </w:tblPr>
      <w:tblGrid>
        <w:gridCol w:w="1242"/>
        <w:gridCol w:w="657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DG-Env-Production (user.extensionAttribute13 -eq "Production")</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authentication strength — MFA</w:t>
            </w:r>
            <w:r>
              <w:t xml:space="preserve"> </w:t>
            </w:r>
            <w:r>
              <w:rPr>
                <w:b/>
                <w:bCs/>
              </w:rPr>
              <w:t xml:space="preserve">AND</w:t>
            </w:r>
            <w:r>
              <w:t xml:space="preserve"> </w:t>
            </w:r>
            <w:r>
              <w:t xml:space="preserve">Require approved client app</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Users in production groups must have extensionAttribute5 set to "Production". Approved client app list must be defined in Intune app protection policies.</w:t>
      </w:r>
    </w:p>
    <w:p>
      <w:pPr>
        <w:pStyle w:val="BodyText"/>
      </w:pPr>
      <w:r>
        <w:rPr>
          <w:b/>
          <w:bCs/>
        </w:rPr>
        <w:t xml:space="preserve">Deployment Phase:</w:t>
      </w:r>
      <w:r>
        <w:t xml:space="preserve"> </w:t>
      </w:r>
      <w:r>
        <w:t xml:space="preserve">Phase 4 — Environment.</w:t>
      </w:r>
    </w:p>
    <w:p>
      <w:pPr>
        <w:pStyle w:val="BodyText"/>
      </w:pPr>
      <w:r>
        <w:t xml:space="preserve">CA-021: Staging Environment — Controlled Access</w:t>
      </w:r>
    </w:p>
    <w:tbl>
      <w:tblPr>
        <w:tblStyle w:val="Table"/>
        <w:tblW w:type="pct" w:w="1528"/>
        <w:tblLayout w:type="fixed"/>
        <w:tblLook w:firstRow="0" w:lastRow="0" w:firstColumn="0" w:lastColumn="0" w:noHBand="0" w:noVBand="0" w:val="0000"/>
      </w:tblPr>
      <w:tblGrid>
        <w:gridCol w:w="2420"/>
      </w:tblGrid>
      <w:tr>
        <w:tc>
          <w:tcPr/>
          <w:p>
            <w:pPr>
              <w:pStyle w:val="FirstParagraph"/>
            </w:pPr>
            <w:r>
              <w:t xml:space="preserve">CA-021</w:t>
            </w:r>
          </w:p>
          <w:p>
            <w:pPr>
              <w:pStyle w:val="BodyText"/>
            </w:pPr>
            <w:r>
              <w:t xml:space="preserve">|</w:t>
            </w:r>
          </w:p>
          <w:p>
            <w:pPr>
              <w:pStyle w:val="BodyText"/>
            </w:pPr>
            <w:r>
              <w:t xml:space="preserve">Staging Environment</w:t>
            </w:r>
          </w:p>
          <w:p>
            <w:r>
              <w:pict>
                <v:rect style="width:0;height:1.5pt" o:hralign="center" o:hrstd="t" o:hr="t"/>
              </w:pict>
            </w:r>
          </w:p>
          <w:p>
            <w:pPr>
              <w:pStyle w:val="FirstParagraph"/>
            </w:pPr>
            <w:r>
              <w:t xml:space="preserve">Controlled Access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Restricts staging environment access to internal networks only and requires MFA. Staging environments contain near-production configurations and must be protected from external access.</w:t>
      </w:r>
    </w:p>
    <w:tbl>
      <w:tblPr>
        <w:tblStyle w:val="Table"/>
        <w:tblW w:type="pct" w:w="4915"/>
        <w:tblLayout w:type="fixed"/>
        <w:tblLook w:firstRow="1" w:lastRow="0" w:firstColumn="0" w:lastColumn="0" w:noHBand="0" w:noVBand="0" w:val="0020"/>
      </w:tblPr>
      <w:tblGrid>
        <w:gridCol w:w="2098"/>
        <w:gridCol w:w="568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DG-Env-Staging (user.extensionAttribute13 -eq "Staging")</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Staging app registrations (tagged with Environment:Staging)</w:t>
            </w:r>
          </w:p>
        </w:tc>
      </w:tr>
      <w:tr>
        <w:tc>
          <w:tcPr/>
          <w:p>
            <w:pPr>
              <w:pStyle w:val="Compact"/>
              <w:jc w:val="left"/>
            </w:pPr>
            <w:r>
              <w:rPr>
                <w:b/>
                <w:bCs/>
              </w:rPr>
              <w:t xml:space="preserve">Conditions — Locations</w:t>
            </w:r>
          </w:p>
        </w:tc>
        <w:tc>
          <w:tcPr/>
          <w:p>
            <w:pPr>
              <w:pStyle w:val="Compact"/>
              <w:jc w:val="left"/>
            </w:pPr>
            <w:r>
              <w:t xml:space="preserve">Include: Any location; Exclude: Named location "Corporate Networks"</w:t>
            </w:r>
          </w:p>
        </w:tc>
      </w:tr>
      <w:tr>
        <w:tc>
          <w:tcPr/>
          <w:p>
            <w:pPr>
              <w:pStyle w:val="Compact"/>
              <w:jc w:val="left"/>
            </w:pPr>
            <w:r>
              <w:rPr>
                <w:b/>
                <w:bCs/>
              </w:rPr>
              <w:t xml:space="preserve">Grant Controls</w:t>
            </w:r>
          </w:p>
        </w:tc>
        <w:tc>
          <w:tcPr/>
          <w:p>
            <w:pPr>
              <w:pStyle w:val="Compact"/>
              <w:jc w:val="left"/>
            </w:pPr>
            <w:r>
              <w:t xml:space="preserve">Block access (from non-corporate networks); Require MFA (from corporate networks)</w:t>
            </w:r>
          </w:p>
        </w:tc>
      </w:tr>
      <w:tr>
        <w:tc>
          <w:tcPr/>
          <w:p>
            <w:pPr>
              <w:pStyle w:val="Compact"/>
              <w:jc w:val="left"/>
            </w:pPr>
            <w:r>
              <w:rPr>
                <w:b/>
                <w:bCs/>
              </w:rPr>
              <w:t xml:space="preserve">Session Controls</w:t>
            </w:r>
          </w:p>
        </w:tc>
        <w:tc>
          <w:tcPr/>
          <w:p>
            <w:pPr>
              <w:pStyle w:val="Compact"/>
              <w:jc w:val="left"/>
            </w:pPr>
            <w:r>
              <w:t xml:space="preserve">Sign-in frequency: 8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Staging app registrations must be tagged. Named location "Corporate Networks" must be configured.</w:t>
      </w:r>
    </w:p>
    <w:p>
      <w:pPr>
        <w:pStyle w:val="BodyText"/>
      </w:pPr>
      <w:r>
        <w:rPr>
          <w:b/>
          <w:bCs/>
        </w:rPr>
        <w:t xml:space="preserve">Deployment Phase:</w:t>
      </w:r>
      <w:r>
        <w:t xml:space="preserve"> </w:t>
      </w:r>
      <w:r>
        <w:t xml:space="preserve">Phase 4 — Environment.</w:t>
      </w:r>
    </w:p>
    <w:p>
      <w:pPr>
        <w:pStyle w:val="BodyText"/>
      </w:pPr>
      <w:r>
        <w:t xml:space="preserve">CA-022: Development Environment — Flexible with Guardrails</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CA-022</w:t>
            </w:r>
          </w:p>
          <w:p>
            <w:pPr>
              <w:pStyle w:val="BodyText"/>
            </w:pPr>
            <w:r>
              <w:t xml:space="preserve">|</w:t>
            </w:r>
          </w:p>
          <w:p>
            <w:pPr>
              <w:pStyle w:val="BodyText"/>
            </w:pPr>
            <w:r>
              <w:t xml:space="preserve">Development Environment</w:t>
            </w:r>
          </w:p>
          <w:p>
            <w:r>
              <w:pict>
                <v:rect style="width:0;height:1.5pt" o:hralign="center" o:hrstd="t" o:hr="t"/>
              </w:pict>
            </w:r>
          </w:p>
          <w:p>
            <w:pPr>
              <w:pStyle w:val="FirstParagraph"/>
            </w:pPr>
            <w:r>
              <w:t xml:space="preserve">Flexible with Guardrails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Provides developers with more flexible access while maintaining baseline MFA requirements. Extended sign-in frequency reduces friction during development workflows while preserving identity assurance.</w:t>
      </w:r>
    </w:p>
    <w:tbl>
      <w:tblPr>
        <w:tblStyle w:val="Table"/>
        <w:tblW w:type="pct" w:w="4898"/>
        <w:tblLayout w:type="fixed"/>
        <w:tblLook w:firstRow="1" w:lastRow="0" w:firstColumn="0" w:lastColumn="0" w:noHBand="0" w:noVBand="0" w:val="0020"/>
      </w:tblPr>
      <w:tblGrid>
        <w:gridCol w:w="2343"/>
        <w:gridCol w:w="5414"/>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DG-Env-Dev (user.extensionAttribute13 -eq "Dev")</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 — Include</w:t>
            </w:r>
          </w:p>
        </w:tc>
        <w:tc>
          <w:tcPr/>
          <w:p>
            <w:pPr>
              <w:pStyle w:val="Compact"/>
              <w:jc w:val="left"/>
            </w:pPr>
            <w:r>
              <w:t xml:space="preserve">Dev/test app registrations (tagged with Environment:Dev)</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authentication strength — MFA (any method)</w:t>
            </w:r>
          </w:p>
        </w:tc>
      </w:tr>
      <w:tr>
        <w:tc>
          <w:tcPr/>
          <w:p>
            <w:pPr>
              <w:pStyle w:val="Compact"/>
              <w:jc w:val="left"/>
            </w:pPr>
            <w:r>
              <w:rPr>
                <w:b/>
                <w:bCs/>
              </w:rPr>
              <w:t xml:space="preserve">Session Controls</w:t>
            </w:r>
          </w:p>
        </w:tc>
        <w:tc>
          <w:tcPr/>
          <w:p>
            <w:pPr>
              <w:pStyle w:val="Compact"/>
              <w:jc w:val="left"/>
            </w:pPr>
            <w:r>
              <w:t xml:space="preserve">Sign-in frequency: 12 hours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Dev app registrations must be tagged. Developer accounts must have extensionAttribute5 set to "Dev".</w:t>
      </w:r>
    </w:p>
    <w:p>
      <w:pPr>
        <w:pStyle w:val="BodyText"/>
      </w:pPr>
      <w:r>
        <w:rPr>
          <w:b/>
          <w:bCs/>
        </w:rPr>
        <w:t xml:space="preserve">Deployment Phase:</w:t>
      </w:r>
      <w:r>
        <w:t xml:space="preserve"> </w:t>
      </w:r>
      <w:r>
        <w:t xml:space="preserve">Phase 4 — Environment.</w:t>
      </w:r>
    </w:p>
    <w:p>
      <w:pPr>
        <w:pStyle w:val="BodyText"/>
      </w:pPr>
      <w:r>
        <w:t xml:space="preserve">CA-023: Cross-Environment Access Block</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CA-023</w:t>
            </w:r>
          </w:p>
          <w:p>
            <w:pPr>
              <w:pStyle w:val="BodyText"/>
            </w:pPr>
            <w:r>
              <w:t xml:space="preserve">|</w:t>
            </w:r>
          </w:p>
          <w:p>
            <w:pPr>
              <w:pStyle w:val="BodyText"/>
            </w:pPr>
            <w:r>
              <w:t xml:space="preserve">Cross-Environment Access Block</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Prevents environment crossover by blocking production-designated users from accessing development/staging resources and vice versa. This enforces the principle of environment isolation to prevent accidental or intentional cross-contamination.</w:t>
      </w:r>
    </w:p>
    <w:p>
      <w:pPr>
        <w:pStyle w:val="BodyText"/>
      </w:pPr>
      <w:r>
        <w:t xml:space="preserve">This policy is implemented as</w:t>
      </w:r>
      <w:r>
        <w:t xml:space="preserve"> </w:t>
      </w:r>
      <w:r>
        <w:rPr>
          <w:b/>
          <w:bCs/>
        </w:rPr>
        <w:t xml:space="preserve">two separate CA policies</w:t>
      </w:r>
      <w:r>
        <w:t xml:space="preserve"> </w:t>
      </w:r>
      <w:r>
        <w:t xml:space="preserve">in Entra ID:</w:t>
      </w:r>
    </w:p>
    <w:p>
      <w:pPr>
        <w:pStyle w:val="BodyText"/>
      </w:pPr>
      <w:r>
        <w:rPr>
          <w:b/>
          <w:bCs/>
        </w:rPr>
        <w:t xml:space="preserve">CA-023a — Block Production Users from Dev/Staging:</w:t>
      </w:r>
    </w:p>
    <w:tbl>
      <w:tblPr>
        <w:tblStyle w:val="Table"/>
        <w:tblW w:type="pct" w:w="4870"/>
        <w:tblLayout w:type="fixed"/>
        <w:tblLook w:firstRow="1" w:lastRow="0" w:firstColumn="0" w:lastColumn="0" w:noHBand="0" w:noVBand="0" w:val="0020"/>
      </w:tblPr>
      <w:tblGrid>
        <w:gridCol w:w="2468"/>
        <w:gridCol w:w="5245"/>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DG-Env-Production</w:t>
            </w:r>
          </w:p>
        </w:tc>
      </w:tr>
      <w:tr>
        <w:tc>
          <w:tcPr/>
          <w:p>
            <w:pPr>
              <w:pStyle w:val="Compact"/>
              <w:jc w:val="left"/>
            </w:pPr>
            <w:r>
              <w:rPr>
                <w:b/>
                <w:bCs/>
              </w:rPr>
              <w:t xml:space="preserve">Cloud Apps</w:t>
            </w:r>
          </w:p>
        </w:tc>
        <w:tc>
          <w:tcPr/>
          <w:p>
            <w:pPr>
              <w:pStyle w:val="Compact"/>
              <w:jc w:val="left"/>
            </w:pPr>
            <w:r>
              <w:t xml:space="preserve">Apps tagged Environment:Dev, Environment:Staging</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CA-023b — Block Dev Users from Production:</w:t>
      </w:r>
    </w:p>
    <w:tbl>
      <w:tblPr>
        <w:tblStyle w:val="Table"/>
        <w:tblW w:type="pct" w:w="4236"/>
        <w:tblLayout w:type="fixed"/>
        <w:tblLook w:firstRow="1" w:lastRow="0" w:firstColumn="0" w:lastColumn="0" w:noHBand="0" w:noVBand="0" w:val="0020"/>
      </w:tblPr>
      <w:tblGrid>
        <w:gridCol w:w="2640"/>
        <w:gridCol w:w="40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DG-Env-Dev</w:t>
            </w:r>
          </w:p>
        </w:tc>
      </w:tr>
      <w:tr>
        <w:tc>
          <w:tcPr/>
          <w:p>
            <w:pPr>
              <w:pStyle w:val="Compact"/>
              <w:jc w:val="left"/>
            </w:pPr>
            <w:r>
              <w:rPr>
                <w:b/>
                <w:bCs/>
              </w:rPr>
              <w:t xml:space="preserve">Cloud Apps</w:t>
            </w:r>
          </w:p>
        </w:tc>
        <w:tc>
          <w:tcPr/>
          <w:p>
            <w:pPr>
              <w:pStyle w:val="Compact"/>
              <w:jc w:val="left"/>
            </w:pPr>
            <w:r>
              <w:t xml:space="preserve">Apps tagged Environment:Production</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All app registrations must be correctly tagged with their environment designation. Users needing cross-environment access (e.g., release engineers) must be managed through Privileged Identity Management (PIM) with time-limited role activation.</w:t>
      </w:r>
    </w:p>
    <w:p>
      <w:pPr>
        <w:pStyle w:val="BodyText"/>
      </w:pPr>
      <w:r>
        <w:rPr>
          <w:b/>
          <w:bCs/>
        </w:rPr>
        <w:t xml:space="preserve">Deployment Phase:</w:t>
      </w:r>
      <w:r>
        <w:t xml:space="preserve"> </w:t>
      </w:r>
      <w:r>
        <w:t xml:space="preserve">Phase 4 — Environment.</w:t>
      </w:r>
    </w:p>
    <w:p>
      <w:pPr>
        <w:pStyle w:val="BodyText"/>
      </w:pPr>
      <w:r>
        <w:t xml:space="preserve">Section 6: Region and Site Policies (CA-030 through CA-035)</w:t>
      </w:r>
    </w:p>
    <w:p>
      <w:pPr>
        <w:pStyle w:val="BodyText"/>
      </w:pPr>
      <w:r>
        <w:t xml:space="preserve">Region and site policies enforce geographic access controls and network trust boundaries. These policies reference</w:t>
      </w:r>
      <w:r>
        <w:t xml:space="preserve"> </w:t>
      </w:r>
      <w:r>
        <w:rPr>
          <w:b/>
          <w:bCs/>
        </w:rPr>
        <w:t xml:space="preserve">extensionAttribute1 (Region)</w:t>
      </w:r>
      <w:r>
        <w:t xml:space="preserve"> </w:t>
      </w:r>
      <w:r>
        <w:t xml:space="preserve">and</w:t>
      </w:r>
      <w:r>
        <w:t xml:space="preserve"> </w:t>
      </w:r>
      <w:r>
        <w:rPr>
          <w:b/>
          <w:bCs/>
        </w:rPr>
        <w:t xml:space="preserve">extensionAttribute2 (Site)</w:t>
      </w:r>
      <w:r>
        <w:t xml:space="preserve"> </w:t>
      </w:r>
      <w:r>
        <w:t xml:space="preserve">to apply location-appropriate security controls.</w:t>
      </w:r>
    </w:p>
    <w:p>
      <w:pPr>
        <w:pStyle w:val="BodyText"/>
      </w:pPr>
      <w:r>
        <w:t xml:space="preserve">CA-030: Geographic Access Restrictions</w:t>
      </w:r>
    </w:p>
    <w:tbl>
      <w:tblPr>
        <w:tblStyle w:val="Table"/>
        <w:tblW w:type="pct" w:w="2292"/>
        <w:tblLayout w:type="fixed"/>
        <w:tblLook w:firstRow="0" w:lastRow="0" w:firstColumn="0" w:lastColumn="0" w:noHBand="0" w:noVBand="0" w:val="0000"/>
      </w:tblPr>
      <w:tblGrid>
        <w:gridCol w:w="3630"/>
      </w:tblGrid>
      <w:tr>
        <w:tc>
          <w:tcPr/>
          <w:p>
            <w:pPr>
              <w:pStyle w:val="FirstParagraph"/>
            </w:pPr>
            <w:r>
              <w:t xml:space="preserve">CA-030</w:t>
            </w:r>
          </w:p>
          <w:p>
            <w:pPr>
              <w:pStyle w:val="BodyText"/>
            </w:pPr>
            <w:r>
              <w:t xml:space="preserve">|</w:t>
            </w:r>
          </w:p>
          <w:p>
            <w:pPr>
              <w:pStyle w:val="BodyText"/>
            </w:pPr>
            <w:r>
              <w:t xml:space="preserve">Geographic Access Restrictions</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Blocks access from countries where the organization does not operate. Provides an exception mechanism for approved business travel through a temporary exclusion group managed via PIM.</w:t>
      </w:r>
    </w:p>
    <w:tbl>
      <w:tblPr>
        <w:tblStyle w:val="Table"/>
        <w:tblW w:type="pct" w:w="4904"/>
        <w:tblLayout w:type="fixed"/>
        <w:tblLook w:firstRow="1" w:lastRow="0" w:firstColumn="0" w:lastColumn="0" w:noHBand="0" w:noVBand="0" w:val="0020"/>
      </w:tblPr>
      <w:tblGrid>
        <w:gridCol w:w="2360"/>
        <w:gridCol w:w="5406"/>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SG-ApprovedTravel</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Named location "Allowed Countries"</w:t>
            </w:r>
          </w:p>
        </w:tc>
      </w:tr>
      <w:tr>
        <w:tc>
          <w:tcPr/>
          <w:p>
            <w:pPr>
              <w:pStyle w:val="Compact"/>
              <w:jc w:val="left"/>
            </w:pPr>
            <w:r>
              <w:rPr>
                <w:b/>
                <w:bCs/>
              </w:rPr>
              <w:t xml:space="preserve">Grant Controls</w:t>
            </w:r>
          </w:p>
        </w:tc>
        <w:tc>
          <w:tcPr/>
          <w:p>
            <w:pPr>
              <w:pStyle w:val="Compact"/>
              <w:jc w:val="left"/>
            </w:pPr>
            <w:r>
              <w:t xml:space="preserve">Block access</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Travel Exception Process:</w:t>
      </w:r>
      <w:r>
        <w:t xml:space="preserve"> </w:t>
      </w:r>
      <w:r>
        <w:t xml:space="preserve">Users traveling to non-approved countries submit a travel request through the IT service portal. Upon approval, they are added to SG-ApprovedTravel with a time-limited PIM activation (maximum 14 days). They must still satisfy CA-001 MFA requirements.</w:t>
      </w:r>
    </w:p>
    <w:p>
      <w:pPr>
        <w:pStyle w:val="BodyText"/>
      </w:pPr>
      <w:r>
        <w:rPr>
          <w:b/>
          <w:bCs/>
        </w:rPr>
        <w:t xml:space="preserve">Deployment Phase:</w:t>
      </w:r>
      <w:r>
        <w:t xml:space="preserve"> </w:t>
      </w:r>
      <w:r>
        <w:t xml:space="preserve">Phase 4 — Region/Site.</w:t>
      </w:r>
    </w:p>
    <w:p>
      <w:pPr>
        <w:pStyle w:val="BodyText"/>
      </w:pPr>
      <w:r>
        <w:t xml:space="preserve">CA-031: Site-Based Network Trust</w:t>
      </w:r>
    </w:p>
    <w:tbl>
      <w:tblPr>
        <w:tblStyle w:val="Table"/>
        <w:tblW w:type="pct" w:w="1875"/>
        <w:tblLayout w:type="fixed"/>
        <w:tblLook w:firstRow="0" w:lastRow="0" w:firstColumn="0" w:lastColumn="0" w:noHBand="0" w:noVBand="0" w:val="0000"/>
      </w:tblPr>
      <w:tblGrid>
        <w:gridCol w:w="2970"/>
      </w:tblGrid>
      <w:tr>
        <w:tc>
          <w:tcPr/>
          <w:p>
            <w:pPr>
              <w:pStyle w:val="FirstParagraph"/>
            </w:pPr>
            <w:r>
              <w:t xml:space="preserve">CA-031</w:t>
            </w:r>
          </w:p>
          <w:p>
            <w:pPr>
              <w:pStyle w:val="BodyText"/>
            </w:pPr>
            <w:r>
              <w:t xml:space="preserve">|</w:t>
            </w:r>
          </w:p>
          <w:p>
            <w:pPr>
              <w:pStyle w:val="BodyText"/>
            </w:pPr>
            <w:r>
              <w:t xml:space="preserve">Site-Based Network Trust</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Reduces MFA prompting frequency when users are on trusted site networks. Each physical site's IP range is mapped to a named location, and users connecting from those ranges receive extended session durations as a usability benefit.</w:t>
      </w:r>
    </w:p>
    <w:tbl>
      <w:tblPr>
        <w:tblStyle w:val="Table"/>
        <w:tblW w:type="pct" w:w="4908"/>
        <w:tblLayout w:type="fixed"/>
        <w:tblLook w:firstRow="1" w:lastRow="0" w:firstColumn="0" w:lastColumn="0" w:noHBand="0" w:noVBand="0" w:val="0020"/>
      </w:tblPr>
      <w:tblGrid>
        <w:gridCol w:w="2252"/>
        <w:gridCol w:w="552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Named locations for each site (Site-HQ-DC, Site-BRANCH-NY, etc.)</w:t>
            </w:r>
          </w:p>
        </w:tc>
      </w:tr>
      <w:tr>
        <w:tc>
          <w:tcPr/>
          <w:p>
            <w:pPr>
              <w:pStyle w:val="Compact"/>
              <w:jc w:val="left"/>
            </w:pPr>
            <w:r>
              <w:rPr>
                <w:b/>
                <w:bCs/>
              </w:rPr>
              <w:t xml:space="preserve">Grant Controls</w:t>
            </w:r>
          </w:p>
        </w:tc>
        <w:tc>
          <w:tcPr/>
          <w:p>
            <w:pPr>
              <w:pStyle w:val="Compact"/>
              <w:jc w:val="left"/>
            </w:pPr>
            <w:r>
              <w:t xml:space="preserve">Require authentication strength — MFA</w:t>
            </w:r>
          </w:p>
        </w:tc>
      </w:tr>
      <w:tr>
        <w:tc>
          <w:tcPr/>
          <w:p>
            <w:pPr>
              <w:pStyle w:val="Compact"/>
              <w:jc w:val="left"/>
            </w:pPr>
            <w:r>
              <w:rPr>
                <w:b/>
                <w:bCs/>
              </w:rPr>
              <w:t xml:space="preserve">Session Controls</w:t>
            </w:r>
          </w:p>
        </w:tc>
        <w:tc>
          <w:tcPr/>
          <w:p>
            <w:pPr>
              <w:pStyle w:val="Compact"/>
              <w:jc w:val="left"/>
            </w:pPr>
            <w:r>
              <w:t xml:space="preserve">Sign-in frequency: 12 hours (extended for trusted sites)</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Dependencies:</w:t>
      </w:r>
      <w:r>
        <w:t xml:space="preserve"> </w:t>
      </w:r>
      <w:r>
        <w:t xml:space="preserve">Named locations must be created for each physical site. IP ranges must be validated and kept current. See Appendix B for named location templates.</w:t>
      </w:r>
    </w:p>
    <w:p>
      <w:pPr>
        <w:pStyle w:val="BodyText"/>
      </w:pPr>
      <w:r>
        <w:rPr>
          <w:b/>
          <w:bCs/>
        </w:rPr>
        <w:t xml:space="preserve">Deployment Phase:</w:t>
      </w:r>
      <w:r>
        <w:t xml:space="preserve"> </w:t>
      </w:r>
      <w:r>
        <w:t xml:space="preserve">Phase 4 — Region/Site.</w:t>
      </w:r>
    </w:p>
    <w:p>
      <w:pPr>
        <w:pStyle w:val="BodyText"/>
      </w:pPr>
      <w:r>
        <w:t xml:space="preserve">CA-032: Remote Work Policy</w:t>
      </w:r>
    </w:p>
    <w:tbl>
      <w:tblPr>
        <w:tblStyle w:val="Table"/>
        <w:tblW w:type="pct" w:w="1458"/>
        <w:tblLayout w:type="fixed"/>
        <w:tblLook w:firstRow="0" w:lastRow="0" w:firstColumn="0" w:lastColumn="0" w:noHBand="0" w:noVBand="0" w:val="0000"/>
      </w:tblPr>
      <w:tblGrid>
        <w:gridCol w:w="2310"/>
      </w:tblGrid>
      <w:tr>
        <w:tc>
          <w:tcPr/>
          <w:p>
            <w:pPr>
              <w:pStyle w:val="FirstParagraph"/>
            </w:pPr>
            <w:r>
              <w:t xml:space="preserve">CA-032</w:t>
            </w:r>
          </w:p>
          <w:p>
            <w:pPr>
              <w:pStyle w:val="BodyText"/>
            </w:pPr>
            <w:r>
              <w:t xml:space="preserve">|</w:t>
            </w:r>
          </w:p>
          <w:p>
            <w:pPr>
              <w:pStyle w:val="BodyText"/>
            </w:pPr>
            <w:r>
              <w:t xml:space="preserve">Remote Work Policy</w:t>
            </w:r>
          </w:p>
          <w:p>
            <w:pPr>
              <w:pStyle w:val="BodyText"/>
            </w:pPr>
            <w:r>
              <w:t xml:space="preserve">|</w:t>
            </w:r>
          </w:p>
          <w:p>
            <w:pPr>
              <w:pStyle w:val="BodyText"/>
            </w:pPr>
            <w:r>
              <w:rPr>
                <w:b/>
                <w:bCs/>
              </w:rPr>
              <w:t xml:space="preserve">Phase 4</w:t>
            </w:r>
          </w:p>
        </w:tc>
      </w:tr>
    </w:tbl>
    <w:p>
      <w:pPr>
        <w:pStyle w:val="BodyText"/>
      </w:pPr>
      <w:r>
        <w:rPr>
          <w:b/>
          <w:bCs/>
        </w:rPr>
        <w:t xml:space="preserve">Description:</w:t>
      </w:r>
      <w:r>
        <w:t xml:space="preserve"> </w:t>
      </w:r>
      <w:r>
        <w:t xml:space="preserve">Applies stricter controls for users accessing resources from locations not defined in any named location (home networks, public Wi-Fi, mobile data). Requires both MFA and device compliance with shortened session duration.</w:t>
      </w:r>
    </w:p>
    <w:tbl>
      <w:tblPr>
        <w:tblStyle w:val="Table"/>
        <w:tblW w:type="pct" w:w="4922"/>
        <w:tblLayout w:type="fixed"/>
        <w:tblLook w:firstRow="1" w:lastRow="0" w:firstColumn="0" w:lastColumn="0" w:noHBand="0" w:noVBand="0" w:val="0020"/>
      </w:tblPr>
      <w:tblGrid>
        <w:gridCol w:w="1918"/>
        <w:gridCol w:w="587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Locations</w:t>
            </w:r>
          </w:p>
        </w:tc>
        <w:tc>
          <w:tcPr/>
          <w:p>
            <w:pPr>
              <w:pStyle w:val="Compact"/>
              <w:jc w:val="left"/>
            </w:pPr>
            <w:r>
              <w:t xml:space="preserve">Include: Any location; Exclude: All named locations (Corporate Networks, all site locations)</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4 hours; Persistent browser session: Never persistent</w:t>
            </w:r>
          </w:p>
        </w:tc>
      </w:tr>
      <w:tr>
        <w:tc>
          <w:tcPr/>
          <w:p>
            <w:pPr>
              <w:pStyle w:val="Compact"/>
              <w:jc w:val="left"/>
            </w:pPr>
            <w:r>
              <w:rPr>
                <w:b/>
                <w:bCs/>
              </w:rPr>
              <w:t xml:space="preserve">State</w:t>
            </w:r>
          </w:p>
        </w:tc>
        <w:tc>
          <w:tcPr/>
          <w:p>
            <w:pPr>
              <w:pStyle w:val="Compact"/>
              <w:jc w:val="left"/>
            </w:pPr>
            <w:r>
              <w:t xml:space="preserve">Report-only → On</w:t>
            </w:r>
          </w:p>
        </w:tc>
      </w:tr>
    </w:tbl>
    <w:p>
      <w:pPr>
        <w:pStyle w:val="BodyText"/>
      </w:pPr>
      <w:r>
        <w:rPr>
          <w:b/>
          <w:bCs/>
        </w:rPr>
        <w:t xml:space="preserve">Deployment Phase:</w:t>
      </w:r>
      <w:r>
        <w:t xml:space="preserve"> </w:t>
      </w:r>
      <w:r>
        <w:t xml:space="preserve">Phase 4 — Region/Site.</w:t>
      </w:r>
    </w:p>
    <w:p>
      <w:pPr>
        <w:pStyle w:val="BodyText"/>
      </w:pPr>
      <w:r>
        <w:t xml:space="preserve">Section 7: Application-Specific Policies (CA-040 through CA-050)</w:t>
      </w:r>
    </w:p>
    <w:p>
      <w:pPr>
        <w:pStyle w:val="BodyText"/>
      </w:pPr>
      <w:r>
        <w:t xml:space="preserve">Application-specific policies apply tailored controls to individual cloud applications based on their data sensitivity, user population, and access patterns. These policies layer on top of baseline and tier policies to provide granular application-level governance.</w:t>
      </w:r>
    </w:p>
    <w:p>
      <w:pPr>
        <w:pStyle w:val="BodyText"/>
      </w:pPr>
      <w:r>
        <w:t xml:space="preserve">CA-040: Exchange Online — Full Protection</w:t>
      </w:r>
    </w:p>
    <w:tbl>
      <w:tblPr>
        <w:tblStyle w:val="Table"/>
        <w:tblW w:type="pct" w:w="1250"/>
        <w:tblLayout w:type="fixed"/>
        <w:tblLook w:firstRow="0" w:lastRow="0" w:firstColumn="0" w:lastColumn="0" w:noHBand="0" w:noVBand="0" w:val="0000"/>
      </w:tblPr>
      <w:tblGrid>
        <w:gridCol w:w="1980"/>
      </w:tblGrid>
      <w:tr>
        <w:tc>
          <w:tcPr/>
          <w:p>
            <w:pPr>
              <w:pStyle w:val="FirstParagraph"/>
            </w:pPr>
            <w:r>
              <w:t xml:space="preserve">CA-040</w:t>
            </w:r>
          </w:p>
          <w:p>
            <w:pPr>
              <w:pStyle w:val="BodyText"/>
            </w:pPr>
            <w:r>
              <w:t xml:space="preserve">|</w:t>
            </w:r>
          </w:p>
          <w:p>
            <w:pPr>
              <w:pStyle w:val="BodyText"/>
            </w:pPr>
            <w:r>
              <w:t xml:space="preserve">Exchange Online</w:t>
            </w:r>
          </w:p>
          <w:p>
            <w:r>
              <w:pict>
                <v:rect style="width:0;height:1.5pt" o:hralign="center" o:hrstd="t" o:hr="t"/>
              </w:pict>
            </w:r>
          </w:p>
          <w:p>
            <w:pPr>
              <w:pStyle w:val="FirstParagraph"/>
            </w:pPr>
            <w:r>
              <w:t xml:space="preserve">Full Protection</w:t>
            </w:r>
          </w:p>
          <w:p>
            <w:pPr>
              <w:pStyle w:val="BodyText"/>
            </w:pPr>
            <w:r>
              <w:t xml:space="preserve">|</w:t>
            </w:r>
          </w:p>
          <w:p>
            <w:pPr>
              <w:pStyle w:val="BodyText"/>
            </w:pPr>
            <w:r>
              <w:rPr>
                <w:b/>
                <w:bCs/>
              </w:rPr>
              <w:t xml:space="preserve">Phase 5</w:t>
            </w:r>
          </w:p>
        </w:tc>
      </w:tr>
    </w:tbl>
    <w:p/>
    <w:tbl>
      <w:tblPr>
        <w:tblStyle w:val="Table"/>
        <w:tblW w:type="pct" w:w="4930"/>
        <w:tblLayout w:type="fixed"/>
        <w:tblLook w:firstRow="1" w:lastRow="0" w:firstColumn="0" w:lastColumn="0" w:noHBand="0" w:noVBand="0" w:val="0020"/>
      </w:tblPr>
      <w:tblGrid>
        <w:gridCol w:w="1338"/>
        <w:gridCol w:w="646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Exchange Online</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AND</w:t>
            </w:r>
            <w:r>
              <w:t xml:space="preserve"> </w:t>
            </w:r>
            <w:r>
              <w:t xml:space="preserve">Require approved client app</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Exchange server CAS policies restricting OWA/ActiveSync by device type, combined with AD security group-based mailbox access.</w:t>
      </w:r>
    </w:p>
    <w:p>
      <w:pPr>
        <w:pStyle w:val="BodyText"/>
      </w:pPr>
      <w:r>
        <w:t xml:space="preserve">CA-041: SharePoint Online — Download Restrictions</w:t>
      </w:r>
    </w:p>
    <w:tbl>
      <w:tblPr>
        <w:tblStyle w:val="Table"/>
        <w:tblW w:type="pct" w:w="3264"/>
        <w:tblLayout w:type="fixed"/>
        <w:tblLook w:firstRow="0" w:lastRow="0" w:firstColumn="0" w:lastColumn="0" w:noHBand="0" w:noVBand="0" w:val="0000"/>
      </w:tblPr>
      <w:tblGrid>
        <w:gridCol w:w="5170"/>
      </w:tblGrid>
      <w:tr>
        <w:tc>
          <w:tcPr/>
          <w:p>
            <w:pPr>
              <w:pStyle w:val="FirstParagraph"/>
            </w:pPr>
            <w:r>
              <w:t xml:space="preserve">CA-041</w:t>
            </w:r>
          </w:p>
          <w:p>
            <w:pPr>
              <w:pStyle w:val="BodyText"/>
            </w:pPr>
            <w:r>
              <w:t xml:space="preserve">|</w:t>
            </w:r>
          </w:p>
          <w:p>
            <w:pPr>
              <w:pStyle w:val="BodyText"/>
            </w:pPr>
            <w:r>
              <w:t xml:space="preserve">SharePoint Online</w:t>
            </w:r>
          </w:p>
          <w:p>
            <w:r>
              <w:pict>
                <v:rect style="width:0;height:1.5pt" o:hralign="center" o:hrstd="t" o:hr="t"/>
              </w:pict>
            </w:r>
          </w:p>
          <w:p>
            <w:pPr>
              <w:pStyle w:val="FirstParagraph"/>
            </w:pPr>
            <w:r>
              <w:t xml:space="preserve">Download Restrictions from Unmanaged Devices</w:t>
            </w:r>
          </w:p>
          <w:p>
            <w:pPr>
              <w:pStyle w:val="BodyText"/>
            </w:pPr>
            <w:r>
              <w:t xml:space="preserve">|</w:t>
            </w:r>
          </w:p>
          <w:p>
            <w:pPr>
              <w:pStyle w:val="BodyText"/>
            </w:pPr>
            <w:r>
              <w:rPr>
                <w:b/>
                <w:bCs/>
              </w:rPr>
              <w:t xml:space="preserve">Phase 5</w:t>
            </w:r>
          </w:p>
        </w:tc>
      </w:tr>
    </w:tbl>
    <w:p/>
    <w:tbl>
      <w:tblPr>
        <w:tblStyle w:val="Table"/>
        <w:tblW w:type="pct" w:w="4916"/>
        <w:tblLayout w:type="fixed"/>
        <w:tblLook w:firstRow="1" w:lastRow="0" w:firstColumn="0" w:lastColumn="0" w:noHBand="0" w:noVBand="0" w:val="0020"/>
      </w:tblPr>
      <w:tblGrid>
        <w:gridCol w:w="1597"/>
        <w:gridCol w:w="618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Office 365 SharePoint Online</w:t>
            </w:r>
          </w:p>
        </w:tc>
      </w:tr>
      <w:tr>
        <w:tc>
          <w:tcPr/>
          <w:p>
            <w:pPr>
              <w:pStyle w:val="Compact"/>
              <w:jc w:val="left"/>
            </w:pPr>
            <w:r>
              <w:rPr>
                <w:b/>
                <w:bCs/>
              </w:rPr>
              <w:t xml:space="preserve">Conditions</w:t>
            </w:r>
          </w:p>
        </w:tc>
        <w:tc>
          <w:tcPr/>
          <w:p>
            <w:pPr>
              <w:pStyle w:val="Compact"/>
              <w:jc w:val="left"/>
            </w:pPr>
            <w:r>
              <w:t xml:space="preserve">Device filter: Exclude compliant and Hybrid AADJ devices</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App enforced restrictions (enables SharePoint</w:t>
            </w:r>
            <w:r>
              <w:t xml:space="preserve"> </w:t>
            </w:r>
            <w:r>
              <w:t xml:space="preserve">“limited access”</w:t>
            </w:r>
            <w:r>
              <w:t xml:space="preserve"> </w:t>
            </w:r>
            <w:r>
              <w:t xml:space="preserve">— view only, no download)</w:t>
            </w:r>
          </w:p>
        </w:tc>
      </w:tr>
    </w:tbl>
    <w:p>
      <w:pPr>
        <w:pStyle w:val="BodyText"/>
      </w:pPr>
      <w:r>
        <w:rPr>
          <w:b/>
          <w:bCs/>
        </w:rPr>
        <w:t xml:space="preserve">GPO Equivalent:</w:t>
      </w:r>
      <w:r>
        <w:t xml:space="preserve"> </w:t>
      </w:r>
      <w:r>
        <w:t xml:space="preserve">File server NTFS permissions + DFS namespace restrictions preventing copy to non-domain devices.</w:t>
      </w:r>
    </w:p>
    <w:p>
      <w:pPr>
        <w:pStyle w:val="BodyText"/>
      </w:pPr>
      <w:r>
        <w:t xml:space="preserve">CA-042: Teams — Require Managed Device for Desktop</w:t>
      </w:r>
    </w:p>
    <w:tbl>
      <w:tblPr>
        <w:tblStyle w:val="Table"/>
        <w:tblW w:type="pct" w:w="2847"/>
        <w:tblLayout w:type="fixed"/>
        <w:tblLook w:firstRow="0" w:lastRow="0" w:firstColumn="0" w:lastColumn="0" w:noHBand="0" w:noVBand="0" w:val="0000"/>
      </w:tblPr>
      <w:tblGrid>
        <w:gridCol w:w="4510"/>
      </w:tblGrid>
      <w:tr>
        <w:tc>
          <w:tcPr/>
          <w:p>
            <w:pPr>
              <w:pStyle w:val="FirstParagraph"/>
            </w:pPr>
            <w:r>
              <w:t xml:space="preserve">CA-042</w:t>
            </w:r>
          </w:p>
          <w:p>
            <w:pPr>
              <w:pStyle w:val="BodyText"/>
            </w:pPr>
            <w:r>
              <w:t xml:space="preserve">|</w:t>
            </w:r>
          </w:p>
          <w:p>
            <w:pPr>
              <w:pStyle w:val="BodyText"/>
            </w:pPr>
            <w:r>
              <w:t xml:space="preserve">Teams</w:t>
            </w:r>
          </w:p>
          <w:p>
            <w:r>
              <w:pict>
                <v:rect style="width:0;height:1.5pt" o:hralign="center" o:hrstd="t" o:hr="t"/>
              </w:pict>
            </w:r>
          </w:p>
          <w:p>
            <w:pPr>
              <w:pStyle w:val="FirstParagraph"/>
            </w:pPr>
            <w:r>
              <w:t xml:space="preserve">Require Managed Device for Desktop App</w:t>
            </w:r>
          </w:p>
          <w:p>
            <w:pPr>
              <w:pStyle w:val="BodyText"/>
            </w:pPr>
            <w:r>
              <w:t xml:space="preserve">|</w:t>
            </w:r>
          </w:p>
          <w:p>
            <w:pPr>
              <w:pStyle w:val="BodyText"/>
            </w:pPr>
            <w:r>
              <w:rPr>
                <w:b/>
                <w:bCs/>
              </w:rPr>
              <w:t xml:space="preserve">Phase 5</w:t>
            </w:r>
          </w:p>
        </w:tc>
      </w:tr>
    </w:tbl>
    <w:p/>
    <w:tbl>
      <w:tblPr>
        <w:tblStyle w:val="Table"/>
        <w:tblW w:type="pct" w:w="4913"/>
        <w:tblLayout w:type="fixed"/>
        <w:tblLook w:firstRow="1" w:lastRow="0" w:firstColumn="0" w:lastColumn="0" w:noHBand="0" w:noVBand="0" w:val="0020"/>
      </w:tblPr>
      <w:tblGrid>
        <w:gridCol w:w="2272"/>
        <w:gridCol w:w="5509"/>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Microsoft Teams</w:t>
            </w:r>
          </w:p>
        </w:tc>
      </w:tr>
      <w:tr>
        <w:tc>
          <w:tcPr/>
          <w:p>
            <w:pPr>
              <w:pStyle w:val="Compact"/>
              <w:jc w:val="left"/>
            </w:pPr>
            <w:r>
              <w:rPr>
                <w:b/>
                <w:bCs/>
              </w:rPr>
              <w:t xml:space="preserve">Conditions — Client Apps</w:t>
            </w:r>
          </w:p>
        </w:tc>
        <w:tc>
          <w:tcPr/>
          <w:p>
            <w:pPr>
              <w:pStyle w:val="Compact"/>
              <w:jc w:val="left"/>
            </w:pPr>
            <w:r>
              <w:t xml:space="preserve">Mobile apps and desktop clients</w:t>
            </w:r>
          </w:p>
        </w:tc>
      </w:tr>
      <w:tr>
        <w:tc>
          <w:tcPr/>
          <w:p>
            <w:pPr>
              <w:pStyle w:val="Compact"/>
              <w:jc w:val="left"/>
            </w:pPr>
            <w:r>
              <w:rPr>
                <w:b/>
                <w:bCs/>
              </w:rPr>
              <w:t xml:space="preserve">Grant Controls</w:t>
            </w:r>
          </w:p>
        </w:tc>
        <w:tc>
          <w:tcPr/>
          <w:p>
            <w:pPr>
              <w:pStyle w:val="Compact"/>
              <w:jc w:val="left"/>
            </w:pPr>
            <w:r>
              <w:t xml:space="preserve">Require device to be marked as compliant</w:t>
            </w:r>
            <w:r>
              <w:t xml:space="preserve"> </w:t>
            </w:r>
            <w:r>
              <w:rPr>
                <w:b/>
                <w:bCs/>
              </w:rPr>
              <w:t xml:space="preserve">OR</w:t>
            </w:r>
            <w:r>
              <w:t xml:space="preserve"> </w:t>
            </w:r>
            <w:r>
              <w:t xml:space="preserve">Require app protection policy</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rPr>
          <w:b/>
          <w:bCs/>
        </w:rPr>
        <w:t xml:space="preserve">GPO Equivalent:</w:t>
      </w:r>
      <w:r>
        <w:t xml:space="preserve"> </w:t>
      </w:r>
      <w:r>
        <w:t xml:space="preserve">Software restriction policy / AppLocker controlling Teams desktop client installation to domain-joined machines only.</w:t>
      </w:r>
    </w:p>
    <w:p>
      <w:pPr>
        <w:pStyle w:val="BodyText"/>
      </w:pPr>
      <w:r>
        <w:t xml:space="preserve">CA-043: Azure Portal — Privileged Access Only</w:t>
      </w:r>
    </w:p>
    <w:tbl>
      <w:tblPr>
        <w:tblStyle w:val="Table"/>
        <w:tblW w:type="pct" w:w="1736"/>
        <w:tblLayout w:type="fixed"/>
        <w:tblLook w:firstRow="0" w:lastRow="0" w:firstColumn="0" w:lastColumn="0" w:noHBand="0" w:noVBand="0" w:val="0000"/>
      </w:tblPr>
      <w:tblGrid>
        <w:gridCol w:w="2750"/>
      </w:tblGrid>
      <w:tr>
        <w:tc>
          <w:tcPr/>
          <w:p>
            <w:pPr>
              <w:pStyle w:val="FirstParagraph"/>
            </w:pPr>
            <w:r>
              <w:t xml:space="preserve">CA-043</w:t>
            </w:r>
          </w:p>
          <w:p>
            <w:pPr>
              <w:pStyle w:val="BodyText"/>
            </w:pPr>
            <w:r>
              <w:t xml:space="preserve">|</w:t>
            </w:r>
          </w:p>
          <w:p>
            <w:pPr>
              <w:pStyle w:val="BodyText"/>
            </w:pPr>
            <w:r>
              <w:t xml:space="preserve">Azure Portal</w:t>
            </w:r>
          </w:p>
          <w:p>
            <w:r>
              <w:pict>
                <v:rect style="width:0;height:1.5pt" o:hralign="center" o:hrstd="t" o:hr="t"/>
              </w:pict>
            </w:r>
          </w:p>
          <w:p>
            <w:pPr>
              <w:pStyle w:val="FirstParagraph"/>
            </w:pPr>
            <w:r>
              <w:t xml:space="preserve">Privileged Access Only</w:t>
            </w:r>
          </w:p>
          <w:p>
            <w:pPr>
              <w:pStyle w:val="BodyText"/>
            </w:pPr>
            <w:r>
              <w:t xml:space="preserve">|</w:t>
            </w:r>
          </w:p>
          <w:p>
            <w:pPr>
              <w:pStyle w:val="BodyText"/>
            </w:pPr>
            <w:r>
              <w:rPr>
                <w:b/>
                <w:bCs/>
              </w:rPr>
              <w:t xml:space="preserve">Phase 5</w:t>
            </w:r>
          </w:p>
        </w:tc>
      </w:tr>
    </w:tbl>
    <w:p/>
    <w:tbl>
      <w:tblPr>
        <w:tblStyle w:val="Table"/>
        <w:tblW w:type="pct" w:w="4653"/>
        <w:tblLayout w:type="fixed"/>
        <w:tblLook w:firstRow="1" w:lastRow="0" w:firstColumn="0" w:lastColumn="0" w:noHBand="0" w:noVBand="0" w:val="0020"/>
      </w:tblPr>
      <w:tblGrid>
        <w:gridCol w:w="2640"/>
        <w:gridCol w:w="473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SG-Azure-Admins</w:t>
            </w:r>
          </w:p>
        </w:tc>
      </w:tr>
      <w:tr>
        <w:tc>
          <w:tcPr/>
          <w:p>
            <w:pPr>
              <w:pStyle w:val="Compact"/>
              <w:jc w:val="left"/>
            </w:pPr>
            <w:r>
              <w:rPr>
                <w:b/>
                <w:bCs/>
              </w:rPr>
              <w:t xml:space="preserve">Cloud Apps</w:t>
            </w:r>
          </w:p>
        </w:tc>
        <w:tc>
          <w:tcPr/>
          <w:p>
            <w:pPr>
              <w:pStyle w:val="Compact"/>
              <w:jc w:val="left"/>
            </w:pPr>
            <w:r>
              <w:t xml:space="preserve">Microsoft Azure Management</w:t>
            </w:r>
          </w:p>
        </w:tc>
      </w:tr>
      <w:tr>
        <w:tc>
          <w:tcPr/>
          <w:p>
            <w:pPr>
              <w:pStyle w:val="Compact"/>
              <w:jc w:val="left"/>
            </w:pPr>
            <w:r>
              <w:rPr>
                <w:b/>
                <w:bCs/>
              </w:rPr>
              <w:t xml:space="preserve">Grant Controls</w:t>
            </w:r>
          </w:p>
        </w:tc>
        <w:tc>
          <w:tcPr/>
          <w:p>
            <w:pPr>
              <w:pStyle w:val="Compact"/>
              <w:jc w:val="left"/>
            </w:pPr>
            <w:r>
              <w:t xml:space="preserve">Block access (for non-admin users)</w:t>
            </w:r>
          </w:p>
        </w:tc>
      </w:tr>
      <w:tr>
        <w:tc>
          <w:tcPr/>
          <w:p>
            <w:pPr>
              <w:pStyle w:val="Compact"/>
              <w:jc w:val="left"/>
            </w:pPr>
            <w:r>
              <w:rPr>
                <w:b/>
                <w:bCs/>
              </w:rPr>
              <w:t xml:space="preserve">Session Controls</w:t>
            </w:r>
          </w:p>
        </w:tc>
        <w:tc>
          <w:tcPr/>
          <w:p>
            <w:pPr>
              <w:pStyle w:val="Compact"/>
              <w:jc w:val="left"/>
            </w:pPr>
            <w:r>
              <w:t xml:space="preserve">None</w:t>
            </w:r>
          </w:p>
        </w:tc>
      </w:tr>
    </w:tbl>
    <w:p>
      <w:pPr>
        <w:pStyle w:val="BodyText"/>
      </w:pPr>
      <w:r>
        <w:t xml:space="preserve">A companion policy grants SG-Azure-Admins access with Require compliant device + Phishing-resistant MFA and 1-hour sign-in frequency.</w:t>
      </w:r>
    </w:p>
    <w:p>
      <w:pPr>
        <w:pStyle w:val="BodyText"/>
      </w:pPr>
      <w:r>
        <w:rPr>
          <w:b/>
          <w:bCs/>
        </w:rPr>
        <w:t xml:space="preserve">GPO Equivalent:</w:t>
      </w:r>
      <w:r>
        <w:t xml:space="preserve"> </w:t>
      </w:r>
      <w:r>
        <w:t xml:space="preserve">Server Manager access restrictions via</w:t>
      </w:r>
      <w:r>
        <w:t xml:space="preserve"> </w:t>
      </w:r>
      <w:r>
        <w:t xml:space="preserve">“Deny log on through Remote Desktop Services”</w:t>
      </w:r>
      <w:r>
        <w:t xml:space="preserve"> </w:t>
      </w:r>
      <w:r>
        <w:t xml:space="preserve">for non-admin users on management servers.</w:t>
      </w:r>
    </w:p>
    <w:p>
      <w:pPr>
        <w:pStyle w:val="BodyText"/>
      </w:pPr>
      <w:r>
        <w:t xml:space="preserve">CA-044: Power Platform — Restrict to Approved Users</w:t>
      </w:r>
    </w:p>
    <w:tbl>
      <w:tblPr>
        <w:tblStyle w:val="Table"/>
        <w:tblW w:type="pct" w:w="2014"/>
        <w:tblLayout w:type="fixed"/>
        <w:tblLook w:firstRow="0" w:lastRow="0" w:firstColumn="0" w:lastColumn="0" w:noHBand="0" w:noVBand="0" w:val="0000"/>
      </w:tblPr>
      <w:tblGrid>
        <w:gridCol w:w="3190"/>
      </w:tblGrid>
      <w:tr>
        <w:tc>
          <w:tcPr/>
          <w:p>
            <w:pPr>
              <w:pStyle w:val="FirstParagraph"/>
            </w:pPr>
            <w:r>
              <w:t xml:space="preserve">CA-044</w:t>
            </w:r>
          </w:p>
          <w:p>
            <w:pPr>
              <w:pStyle w:val="BodyText"/>
            </w:pPr>
            <w:r>
              <w:t xml:space="preserve">|</w:t>
            </w:r>
          </w:p>
          <w:p>
            <w:pPr>
              <w:pStyle w:val="BodyText"/>
            </w:pPr>
            <w:r>
              <w:t xml:space="preserve">Power Platform</w:t>
            </w:r>
          </w:p>
          <w:p>
            <w:r>
              <w:pict>
                <v:rect style="width:0;height:1.5pt" o:hralign="center" o:hrstd="t" o:hr="t"/>
              </w:pict>
            </w:r>
          </w:p>
          <w:p>
            <w:pPr>
              <w:pStyle w:val="FirstParagraph"/>
            </w:pPr>
            <w:r>
              <w:t xml:space="preserve">Restrict to Approved Users</w:t>
            </w:r>
          </w:p>
          <w:p>
            <w:pPr>
              <w:pStyle w:val="BodyText"/>
            </w:pPr>
            <w:r>
              <w:t xml:space="preserve">|</w:t>
            </w:r>
          </w:p>
          <w:p>
            <w:pPr>
              <w:pStyle w:val="BodyText"/>
            </w:pPr>
            <w:r>
              <w:rPr>
                <w:b/>
                <w:bCs/>
              </w:rPr>
              <w:t xml:space="preserve">Phase 5</w:t>
            </w:r>
          </w:p>
        </w:tc>
      </w:tr>
    </w:tbl>
    <w:p/>
    <w:tbl>
      <w:tblPr>
        <w:tblStyle w:val="Table"/>
        <w:tblW w:type="pct" w:w="4895"/>
        <w:tblLayout w:type="fixed"/>
        <w:tblLook w:firstRow="1" w:lastRow="0" w:firstColumn="0" w:lastColumn="0" w:noHBand="0" w:noVBand="0" w:val="0020"/>
      </w:tblPr>
      <w:tblGrid>
        <w:gridCol w:w="2000"/>
        <w:gridCol w:w="575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 SG-PowerPlatform-Approved</w:t>
            </w:r>
          </w:p>
        </w:tc>
      </w:tr>
      <w:tr>
        <w:tc>
          <w:tcPr/>
          <w:p>
            <w:pPr>
              <w:pStyle w:val="Compact"/>
              <w:jc w:val="left"/>
            </w:pPr>
            <w:r>
              <w:rPr>
                <w:b/>
                <w:bCs/>
              </w:rPr>
              <w:t xml:space="preserve">Cloud Apps</w:t>
            </w:r>
          </w:p>
        </w:tc>
        <w:tc>
          <w:tcPr/>
          <w:p>
            <w:pPr>
              <w:pStyle w:val="Compact"/>
              <w:jc w:val="left"/>
            </w:pPr>
            <w:r>
              <w:t xml:space="preserve">Microsoft Power Apps, Microsoft Power Automate, Microsoft Power BI</w:t>
            </w:r>
          </w:p>
        </w:tc>
      </w:tr>
      <w:tr>
        <w:tc>
          <w:tcPr/>
          <w:p>
            <w:pPr>
              <w:pStyle w:val="Compact"/>
              <w:jc w:val="left"/>
            </w:pPr>
            <w:r>
              <w:rPr>
                <w:b/>
                <w:bCs/>
              </w:rPr>
              <w:t xml:space="preserve">Grant Controls</w:t>
            </w:r>
          </w:p>
        </w:tc>
        <w:tc>
          <w:tcPr/>
          <w:p>
            <w:pPr>
              <w:pStyle w:val="Compact"/>
              <w:jc w:val="left"/>
            </w:pPr>
            <w:r>
              <w:t xml:space="preserve">Block access (non-approved users are blocked)</w:t>
            </w:r>
          </w:p>
        </w:tc>
      </w:tr>
    </w:tbl>
    <w:p>
      <w:pPr>
        <w:pStyle w:val="BodyText"/>
      </w:pPr>
      <w:r>
        <w:rPr>
          <w:b/>
          <w:bCs/>
        </w:rPr>
        <w:t xml:space="preserve">GPO Equivalent:</w:t>
      </w:r>
      <w:r>
        <w:t xml:space="preserve"> </w:t>
      </w:r>
      <w:r>
        <w:t xml:space="preserve">No direct equivalent. Software restriction policies could block Power Platform desktop apps, but not cloud access.</w:t>
      </w:r>
    </w:p>
    <w:p>
      <w:pPr>
        <w:pStyle w:val="BodyText"/>
      </w:pPr>
      <w:r>
        <w:t xml:space="preserve">CA-045: GitHub Enterprise — Developer Group + MFA</w:t>
      </w:r>
    </w:p>
    <w:tbl>
      <w:tblPr>
        <w:tblStyle w:val="Table"/>
        <w:tblW w:type="pct" w:w="1667"/>
        <w:tblLayout w:type="fixed"/>
        <w:tblLook w:firstRow="0" w:lastRow="0" w:firstColumn="0" w:lastColumn="0" w:noHBand="0" w:noVBand="0" w:val="0000"/>
      </w:tblPr>
      <w:tblGrid>
        <w:gridCol w:w="2640"/>
      </w:tblGrid>
      <w:tr>
        <w:tc>
          <w:tcPr/>
          <w:p>
            <w:pPr>
              <w:pStyle w:val="FirstParagraph"/>
            </w:pPr>
            <w:r>
              <w:t xml:space="preserve">CA-045</w:t>
            </w:r>
          </w:p>
          <w:p>
            <w:pPr>
              <w:pStyle w:val="BodyText"/>
            </w:pPr>
            <w:r>
              <w:t xml:space="preserve">|</w:t>
            </w:r>
          </w:p>
          <w:p>
            <w:pPr>
              <w:pStyle w:val="BodyText"/>
            </w:pPr>
            <w:r>
              <w:t xml:space="preserve">GitHub Enterprise</w:t>
            </w:r>
          </w:p>
          <w:p>
            <w:r>
              <w:pict>
                <v:rect style="width:0;height:1.5pt" o:hralign="center" o:hrstd="t" o:hr="t"/>
              </w:pict>
            </w:r>
          </w:p>
          <w:p>
            <w:pPr>
              <w:pStyle w:val="FirstParagraph"/>
            </w:pPr>
            <w:r>
              <w:t xml:space="preserve">Developer Group + MFA</w:t>
            </w:r>
          </w:p>
          <w:p>
            <w:pPr>
              <w:pStyle w:val="BodyText"/>
            </w:pPr>
            <w:r>
              <w:t xml:space="preserve">|</w:t>
            </w:r>
          </w:p>
          <w:p>
            <w:pPr>
              <w:pStyle w:val="BodyText"/>
            </w:pPr>
            <w:r>
              <w:rPr>
                <w:b/>
                <w:bCs/>
              </w:rPr>
              <w:t xml:space="preserve">Phase 5</w:t>
            </w:r>
          </w:p>
        </w:tc>
      </w:tr>
    </w:tbl>
    <w:p/>
    <w:tbl>
      <w:tblPr>
        <w:tblStyle w:val="Table"/>
        <w:tblW w:type="pct" w:w="4915"/>
        <w:tblLayout w:type="fixed"/>
        <w:tblLook w:firstRow="1" w:lastRow="0" w:firstColumn="0" w:lastColumn="0" w:noHBand="0" w:noVBand="0" w:val="0020"/>
      </w:tblPr>
      <w:tblGrid>
        <w:gridCol w:w="1624"/>
        <w:gridCol w:w="61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SG-GitHub-Developers (assigned group)</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GitHub Enterprise (SAML SSO app registration)</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t xml:space="preserve">A companion block policy denies all users not in SG-GitHub-Developers from accessing the GitHub Enterprise app registration.</w:t>
      </w:r>
    </w:p>
    <w:p>
      <w:pPr>
        <w:pStyle w:val="BodyText"/>
      </w:pPr>
      <w:r>
        <w:t xml:space="preserve">CA-046: Custom Line-of-Business Apps — Department-Based Access</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CA-046</w:t>
            </w:r>
          </w:p>
          <w:p>
            <w:pPr>
              <w:pStyle w:val="BodyText"/>
            </w:pPr>
            <w:r>
              <w:t xml:space="preserve">|</w:t>
            </w:r>
          </w:p>
          <w:p>
            <w:pPr>
              <w:pStyle w:val="BodyText"/>
            </w:pPr>
            <w:r>
              <w:t xml:space="preserve">Custom LOB Apps</w:t>
            </w:r>
          </w:p>
          <w:p>
            <w:r>
              <w:pict>
                <v:rect style="width:0;height:1.5pt" o:hralign="center" o:hrstd="t" o:hr="t"/>
              </w:pict>
            </w:r>
          </w:p>
          <w:p>
            <w:pPr>
              <w:pStyle w:val="FirstParagraph"/>
            </w:pPr>
            <w:r>
              <w:t xml:space="preserve">Department-Based Access</w:t>
            </w:r>
          </w:p>
          <w:p>
            <w:pPr>
              <w:pStyle w:val="BodyText"/>
            </w:pPr>
            <w:r>
              <w:t xml:space="preserve">|</w:t>
            </w:r>
          </w:p>
          <w:p>
            <w:pPr>
              <w:pStyle w:val="BodyText"/>
            </w:pPr>
            <w:r>
              <w:rPr>
                <w:b/>
                <w:bCs/>
              </w:rPr>
              <w:t xml:space="preserve">Phase 5</w:t>
            </w:r>
          </w:p>
        </w:tc>
      </w:tr>
    </w:tbl>
    <w:p>
      <w:pPr>
        <w:pStyle w:val="BodyText"/>
      </w:pPr>
      <w:r>
        <w:rPr>
          <w:b/>
          <w:bCs/>
        </w:rPr>
        <w:t xml:space="preserve">Description:</w:t>
      </w:r>
      <w:r>
        <w:t xml:space="preserve"> </w:t>
      </w:r>
      <w:r>
        <w:t xml:space="preserve">Template policy for department-restricted line-of-business applications. Uses extensionAttribute3 (Department) via dynamic groups to scope access to the appropriate department.</w:t>
      </w:r>
    </w:p>
    <w:tbl>
      <w:tblPr>
        <w:tblStyle w:val="Table"/>
        <w:tblW w:type="pct" w:w="4911"/>
        <w:tblLayout w:type="fixed"/>
        <w:tblLook w:firstRow="1" w:lastRow="0" w:firstColumn="0" w:lastColumn="0" w:noHBand="0" w:noVBand="0" w:val="0020"/>
      </w:tblPr>
      <w:tblGrid>
        <w:gridCol w:w="1697"/>
        <w:gridCol w:w="6081"/>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Dynamic group: DG-Dept-{Department} (user.extensionAttribute3 -eq "{Department}")</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Specific LOB app registration</w:t>
            </w:r>
          </w:p>
        </w:tc>
      </w:tr>
      <w:tr>
        <w:tc>
          <w:tcPr/>
          <w:p>
            <w:pPr>
              <w:pStyle w:val="Compact"/>
              <w:jc w:val="left"/>
            </w:pPr>
            <w:r>
              <w:rPr>
                <w:b/>
                <w:bCs/>
              </w:rPr>
              <w:t xml:space="preserve">Grant Controls</w:t>
            </w:r>
          </w:p>
        </w:tc>
        <w:tc>
          <w:tcPr/>
          <w:p>
            <w:pPr>
              <w:pStyle w:val="Compact"/>
              <w:jc w:val="left"/>
            </w:pPr>
            <w:r>
              <w:t xml:space="preserve">Require MFA</w:t>
            </w:r>
            <w:r>
              <w:t xml:space="preserve"> </w:t>
            </w:r>
            <w:r>
              <w:rPr>
                <w:b/>
                <w:bCs/>
              </w:rPr>
              <w:t xml:space="preserve">AND</w:t>
            </w:r>
            <w:r>
              <w:t xml:space="preserve"> </w:t>
            </w:r>
            <w:r>
              <w:t xml:space="preserve">Require device to be marked as compliant</w:t>
            </w:r>
          </w:p>
        </w:tc>
      </w:tr>
      <w:tr>
        <w:tc>
          <w:tcPr/>
          <w:p>
            <w:pPr>
              <w:pStyle w:val="Compact"/>
              <w:jc w:val="left"/>
            </w:pPr>
            <w:r>
              <w:rPr>
                <w:b/>
                <w:bCs/>
              </w:rPr>
              <w:t xml:space="preserve">Session Controls</w:t>
            </w:r>
          </w:p>
        </w:tc>
        <w:tc>
          <w:tcPr/>
          <w:p>
            <w:pPr>
              <w:pStyle w:val="Compact"/>
              <w:jc w:val="left"/>
            </w:pPr>
            <w:r>
              <w:t xml:space="preserve">Sign-in frequency: 8 hours</w:t>
            </w:r>
          </w:p>
        </w:tc>
      </w:tr>
    </w:tbl>
    <w:p>
      <w:pPr>
        <w:pStyle w:val="BodyText"/>
      </w:pPr>
      <w:r>
        <w:rPr>
          <w:b/>
          <w:bCs/>
        </w:rPr>
        <w:t xml:space="preserve">GPO Equivalent:</w:t>
      </w:r>
      <w:r>
        <w:t xml:space="preserve"> </w:t>
      </w:r>
      <w:r>
        <w:t xml:space="preserve">Security group-based access to file shares and application servers, combined with software restriction policies limiting LOB app installation to specific OUs.</w:t>
      </w:r>
    </w:p>
    <w:p>
      <w:pPr>
        <w:pStyle w:val="BodyText"/>
      </w:pPr>
      <w:r>
        <w:rPr>
          <w:b/>
          <w:bCs/>
        </w:rPr>
        <w:t xml:space="preserve">Example instantiations:</w:t>
      </w:r>
    </w:p>
    <w:p>
      <w:pPr>
        <w:numPr>
          <w:ilvl w:val="0"/>
          <w:numId w:val="1101"/>
        </w:numPr>
      </w:pPr>
      <w:r>
        <w:t xml:space="preserve">CA-046-FIN: Finance ERP — DG-Dept-Finance, Finance ERP app registration</w:t>
      </w:r>
    </w:p>
    <w:p>
      <w:pPr>
        <w:numPr>
          <w:ilvl w:val="0"/>
          <w:numId w:val="1101"/>
        </w:numPr>
      </w:pPr>
      <w:r>
        <w:t xml:space="preserve">CA-046-HR: HRIS System — DG-Dept-HR, HRIS app registration</w:t>
      </w:r>
    </w:p>
    <w:p>
      <w:pPr>
        <w:numPr>
          <w:ilvl w:val="0"/>
          <w:numId w:val="1101"/>
        </w:numPr>
      </w:pPr>
      <w:r>
        <w:t xml:space="preserve">CA-046-ENG: Engineering Portal — DG-Dept-Engineering, Engineering Portal app registration</w:t>
      </w:r>
    </w:p>
    <w:p>
      <w:pPr>
        <w:pStyle w:val="FirstParagraph"/>
      </w:pPr>
      <w:r>
        <w:t xml:space="preserve">Section 8: Governance Policies (CA-060 through CA-065)</w:t>
      </w:r>
    </w:p>
    <w:p>
      <w:pPr>
        <w:pStyle w:val="BodyText"/>
      </w:pPr>
      <w:r>
        <w:t xml:space="preserve">Governance policies provide risk-based controls, audit capabilities, and integration with Microsoft Entra ID Protection and Insider Risk Management. These policies adapt enforcement dynamically based on real-time risk signals rather than static conditions.</w:t>
      </w:r>
    </w:p>
    <w:p>
      <w:pPr>
        <w:pStyle w:val="BodyText"/>
      </w:pPr>
      <w:r>
        <w:t xml:space="preserve">CA-060: Audit Mode — Monitor All Sign-ins</w:t>
      </w:r>
    </w:p>
    <w:tbl>
      <w:tblPr>
        <w:tblStyle w:val="Table"/>
        <w:tblW w:type="pct" w:w="1597"/>
        <w:tblLayout w:type="fixed"/>
        <w:tblLook w:firstRow="0" w:lastRow="0" w:firstColumn="0" w:lastColumn="0" w:noHBand="0" w:noVBand="0" w:val="0000"/>
      </w:tblPr>
      <w:tblGrid>
        <w:gridCol w:w="2530"/>
      </w:tblGrid>
      <w:tr>
        <w:tc>
          <w:tcPr/>
          <w:p>
            <w:pPr>
              <w:pStyle w:val="FirstParagraph"/>
            </w:pPr>
            <w:r>
              <w:t xml:space="preserve">CA-060</w:t>
            </w:r>
          </w:p>
          <w:p>
            <w:pPr>
              <w:pStyle w:val="BodyText"/>
            </w:pPr>
            <w:r>
              <w:t xml:space="preserve">|</w:t>
            </w:r>
          </w:p>
          <w:p>
            <w:pPr>
              <w:pStyle w:val="BodyText"/>
            </w:pPr>
            <w:r>
              <w:t xml:space="preserve">Audit Mode</w:t>
            </w:r>
          </w:p>
          <w:p>
            <w:r>
              <w:pict>
                <v:rect style="width:0;height:1.5pt" o:hralign="center" o:hrstd="t" o:hr="t"/>
              </w:pict>
            </w:r>
          </w:p>
          <w:p>
            <w:pPr>
              <w:pStyle w:val="FirstParagraph"/>
            </w:pPr>
            <w:r>
              <w:t xml:space="preserve">Monitor All Sign-ins</w:t>
            </w:r>
          </w:p>
          <w:p>
            <w:pPr>
              <w:pStyle w:val="BodyText"/>
            </w:pPr>
            <w:r>
              <w:t xml:space="preserve">|</w:t>
            </w:r>
          </w:p>
          <w:p>
            <w:pPr>
              <w:pStyle w:val="BodyText"/>
            </w:pPr>
            <w:r>
              <w:rPr>
                <w:b/>
                <w:bCs/>
              </w:rPr>
              <w:t xml:space="preserve">Phase 1</w:t>
            </w:r>
          </w:p>
        </w:tc>
      </w:tr>
    </w:tbl>
    <w:p>
      <w:pPr>
        <w:pStyle w:val="BodyText"/>
      </w:pPr>
      <w:r>
        <w:rPr>
          <w:b/>
          <w:bCs/>
        </w:rPr>
        <w:t xml:space="preserve">Description:</w:t>
      </w:r>
      <w:r>
        <w:t xml:space="preserve"> </w:t>
      </w:r>
      <w:r>
        <w:t xml:space="preserve">Deployed as the first policy in the library in permanent report-only mode. Captures evaluation results for all sign-ins against all cloud apps to establish a behavioral baseline and identify access patterns before enforcement policies are enabled.</w:t>
      </w:r>
    </w:p>
    <w:tbl>
      <w:tblPr>
        <w:tblStyle w:val="Table"/>
        <w:tblW w:type="pct" w:w="4861"/>
        <w:tblLayout w:type="fixed"/>
        <w:tblLook w:firstRow="1" w:lastRow="0" w:firstColumn="0" w:lastColumn="0" w:noHBand="0" w:noVBand="0" w:val="0020"/>
      </w:tblPr>
      <w:tblGrid>
        <w:gridCol w:w="2640"/>
        <w:gridCol w:w="50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None (including break-glass for visibility)</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w:t>
            </w:r>
          </w:p>
        </w:tc>
        <w:tc>
          <w:tcPr/>
          <w:p>
            <w:pPr>
              <w:pStyle w:val="Compact"/>
              <w:jc w:val="left"/>
            </w:pPr>
            <w:r>
              <w:t xml:space="preserve">None</w:t>
            </w:r>
          </w:p>
        </w:tc>
      </w:tr>
      <w:tr>
        <w:tc>
          <w:tcPr/>
          <w:p>
            <w:pPr>
              <w:pStyle w:val="Compact"/>
              <w:jc w:val="left"/>
            </w:pPr>
            <w:r>
              <w:rPr>
                <w:b/>
                <w:bCs/>
              </w:rPr>
              <w:t xml:space="preserve">Grant Controls</w:t>
            </w:r>
          </w:p>
        </w:tc>
        <w:tc>
          <w:tcPr/>
          <w:p>
            <w:pPr>
              <w:pStyle w:val="Compact"/>
              <w:jc w:val="left"/>
            </w:pPr>
            <w:r>
              <w:t xml:space="preserve">Require MFA (report-only — not enforced)</w:t>
            </w:r>
          </w:p>
        </w:tc>
      </w:tr>
      <w:tr>
        <w:tc>
          <w:tcPr/>
          <w:p>
            <w:pPr>
              <w:pStyle w:val="Compact"/>
              <w:jc w:val="left"/>
            </w:pPr>
            <w:r>
              <w:rPr>
                <w:b/>
                <w:bCs/>
              </w:rPr>
              <w:t xml:space="preserve">Session Controls</w:t>
            </w:r>
          </w:p>
        </w:tc>
        <w:tc>
          <w:tcPr/>
          <w:p>
            <w:pPr>
              <w:pStyle w:val="Compact"/>
              <w:jc w:val="left"/>
            </w:pPr>
            <w:r>
              <w:t xml:space="preserve">None</w:t>
            </w:r>
          </w:p>
        </w:tc>
      </w:tr>
      <w:tr>
        <w:tc>
          <w:tcPr/>
          <w:p>
            <w:pPr>
              <w:pStyle w:val="Compact"/>
              <w:jc w:val="left"/>
            </w:pPr>
            <w:r>
              <w:rPr>
                <w:b/>
                <w:bCs/>
              </w:rPr>
              <w:t xml:space="preserve">State</w:t>
            </w:r>
          </w:p>
        </w:tc>
        <w:tc>
          <w:tcPr/>
          <w:p>
            <w:pPr>
              <w:pStyle w:val="Compact"/>
              <w:jc w:val="left"/>
            </w:pPr>
            <w:r>
              <w:t xml:space="preserve">Report-only (permanent)</w:t>
            </w:r>
          </w:p>
        </w:tc>
      </w:tr>
    </w:tbl>
    <w:p>
      <w:pPr>
        <w:pStyle w:val="BodyText"/>
      </w:pPr>
      <w:r>
        <w:rPr>
          <w:b/>
          <w:bCs/>
        </w:rPr>
        <w:t xml:space="preserve">Purpose:</w:t>
      </w:r>
      <w:r>
        <w:t xml:space="preserve"> </w:t>
      </w:r>
      <w:r>
        <w:t xml:space="preserve">This policy never moves to enforcement. It serves as a permanent audit instrument that shows what percentage of sign-ins would satisfy MFA requirements, identifying gaps in MFA registration and devices that would be blocked by compliance requirements.</w:t>
      </w:r>
    </w:p>
    <w:p>
      <w:pPr>
        <w:pStyle w:val="BodyText"/>
      </w:pPr>
      <w:r>
        <w:t xml:space="preserve">CA-061: Risk-Based — High Risk Sign-in Block</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CA-061</w:t>
            </w:r>
          </w:p>
          <w:p>
            <w:pPr>
              <w:pStyle w:val="BodyText"/>
            </w:pPr>
            <w:r>
              <w:t xml:space="preserve">|</w:t>
            </w:r>
          </w:p>
          <w:p>
            <w:pPr>
              <w:pStyle w:val="BodyText"/>
            </w:pPr>
            <w:r>
              <w:t xml:space="preserve">High Risk Sign-in Block</w:t>
            </w:r>
          </w:p>
          <w:p>
            <w:pPr>
              <w:pStyle w:val="BodyText"/>
            </w:pPr>
            <w:r>
              <w:t xml:space="preserve">|</w:t>
            </w:r>
          </w:p>
          <w:p>
            <w:pPr>
              <w:pStyle w:val="BodyText"/>
            </w:pPr>
            <w:r>
              <w:rPr>
                <w:b/>
                <w:bCs/>
              </w:rPr>
              <w:t xml:space="preserve">Phase 6</w:t>
            </w:r>
          </w:p>
        </w:tc>
      </w:tr>
    </w:tbl>
    <w:p/>
    <w:tbl>
      <w:tblPr>
        <w:tblStyle w:val="Table"/>
        <w:tblW w:type="pct" w:w="4167"/>
        <w:tblLayout w:type="fixed"/>
        <w:tblLook w:firstRow="1" w:lastRow="0" w:firstColumn="0" w:lastColumn="0" w:noHBand="0" w:noVBand="0" w:val="0020"/>
      </w:tblPr>
      <w:tblGrid>
        <w:gridCol w:w="3740"/>
        <w:gridCol w:w="2860"/>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Block access</w:t>
            </w:r>
          </w:p>
        </w:tc>
      </w:tr>
    </w:tbl>
    <w:p>
      <w:pPr>
        <w:pStyle w:val="BodyText"/>
      </w:pPr>
      <w:r>
        <w:rPr>
          <w:b/>
          <w:bCs/>
        </w:rPr>
        <w:t xml:space="preserve">Dependencies:</w:t>
      </w:r>
      <w:r>
        <w:t xml:space="preserve"> </w:t>
      </w:r>
      <w:r>
        <w:t xml:space="preserve">Microsoft Entra ID Protection P2 license. Sign-in risk detection must be enabled and calibrated for at least 14 days.</w:t>
      </w:r>
    </w:p>
    <w:p>
      <w:pPr>
        <w:pStyle w:val="BodyText"/>
      </w:pPr>
      <w:r>
        <w:t xml:space="preserve">CA-062: Risk-Based — Medium Risk Require MFA</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CA-062</w:t>
            </w:r>
          </w:p>
          <w:p>
            <w:pPr>
              <w:pStyle w:val="BodyText"/>
            </w:pPr>
            <w:r>
              <w:t xml:space="preserve">|</w:t>
            </w:r>
          </w:p>
          <w:p>
            <w:pPr>
              <w:pStyle w:val="BodyText"/>
            </w:pPr>
            <w:r>
              <w:t xml:space="preserve">Medium Risk Require MFA</w:t>
            </w:r>
          </w:p>
          <w:p>
            <w:pPr>
              <w:pStyle w:val="BodyText"/>
            </w:pPr>
            <w:r>
              <w:t xml:space="preserve">|</w:t>
            </w:r>
          </w:p>
          <w:p>
            <w:pPr>
              <w:pStyle w:val="BodyText"/>
            </w:pPr>
            <w:r>
              <w:rPr>
                <w:b/>
                <w:bCs/>
              </w:rPr>
              <w:t xml:space="preserve">Phase 6</w:t>
            </w:r>
          </w:p>
        </w:tc>
      </w:tr>
    </w:tbl>
    <w:p/>
    <w:tbl>
      <w:tblPr>
        <w:tblStyle w:val="Table"/>
        <w:tblW w:type="pct" w:w="4909"/>
        <w:tblLayout w:type="fixed"/>
        <w:tblLook w:firstRow="1" w:lastRow="0" w:firstColumn="0" w:lastColumn="0" w:noHBand="0" w:noVBand="0" w:val="0020"/>
      </w:tblPr>
      <w:tblGrid>
        <w:gridCol w:w="2448"/>
        <w:gridCol w:w="5328"/>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Sign-in Risk</w:t>
            </w:r>
          </w:p>
        </w:tc>
        <w:tc>
          <w:tcPr/>
          <w:p>
            <w:pPr>
              <w:pStyle w:val="Compact"/>
              <w:jc w:val="left"/>
            </w:pPr>
            <w:r>
              <w:t xml:space="preserve">Medium</w:t>
            </w:r>
          </w:p>
        </w:tc>
      </w:tr>
      <w:tr>
        <w:tc>
          <w:tcPr/>
          <w:p>
            <w:pPr>
              <w:pStyle w:val="Compact"/>
              <w:jc w:val="left"/>
            </w:pPr>
            <w:r>
              <w:rPr>
                <w:b/>
                <w:bCs/>
              </w:rPr>
              <w:t xml:space="preserve">Grant Controls</w:t>
            </w:r>
          </w:p>
        </w:tc>
        <w:tc>
          <w:tcPr/>
          <w:p>
            <w:pPr>
              <w:pStyle w:val="Compact"/>
              <w:jc w:val="left"/>
            </w:pPr>
            <w:r>
              <w:t xml:space="preserve">Require authentication strength — MFA</w:t>
            </w:r>
            <w:r>
              <w:t xml:space="preserve"> </w:t>
            </w:r>
            <w:r>
              <w:rPr>
                <w:b/>
                <w:bCs/>
              </w:rPr>
              <w:t xml:space="preserve">AND</w:t>
            </w:r>
            <w:r>
              <w:t xml:space="preserve"> </w:t>
            </w:r>
            <w:r>
              <w:t xml:space="preserve">Require password change</w:t>
            </w:r>
          </w:p>
        </w:tc>
      </w:tr>
    </w:tbl>
    <w:p>
      <w:pPr>
        <w:pStyle w:val="BodyText"/>
      </w:pPr>
      <w:r>
        <w:t xml:space="preserve">CA-063: User Risk — Require Password Change</w:t>
      </w:r>
    </w:p>
    <w:tbl>
      <w:tblPr>
        <w:tblStyle w:val="Table"/>
        <w:tblW w:type="pct" w:w="1806"/>
        <w:tblLayout w:type="fixed"/>
        <w:tblLook w:firstRow="0" w:lastRow="0" w:firstColumn="0" w:lastColumn="0" w:noHBand="0" w:noVBand="0" w:val="0000"/>
      </w:tblPr>
      <w:tblGrid>
        <w:gridCol w:w="2860"/>
      </w:tblGrid>
      <w:tr>
        <w:tc>
          <w:tcPr/>
          <w:p>
            <w:pPr>
              <w:pStyle w:val="FirstParagraph"/>
            </w:pPr>
            <w:r>
              <w:t xml:space="preserve">CA-063</w:t>
            </w:r>
          </w:p>
          <w:p>
            <w:pPr>
              <w:pStyle w:val="BodyText"/>
            </w:pPr>
            <w:r>
              <w:t xml:space="preserve">|</w:t>
            </w:r>
          </w:p>
          <w:p>
            <w:pPr>
              <w:pStyle w:val="BodyText"/>
            </w:pPr>
            <w:r>
              <w:t xml:space="preserve">User Risk</w:t>
            </w:r>
          </w:p>
          <w:p>
            <w:r>
              <w:pict>
                <v:rect style="width:0;height:1.5pt" o:hralign="center" o:hrstd="t" o:hr="t"/>
              </w:pict>
            </w:r>
          </w:p>
          <w:p>
            <w:pPr>
              <w:pStyle w:val="FirstParagraph"/>
            </w:pPr>
            <w:r>
              <w:t xml:space="preserve">Require Password Change</w:t>
            </w:r>
          </w:p>
          <w:p>
            <w:pPr>
              <w:pStyle w:val="BodyText"/>
            </w:pPr>
            <w:r>
              <w:t xml:space="preserve">|</w:t>
            </w:r>
          </w:p>
          <w:p>
            <w:pPr>
              <w:pStyle w:val="BodyText"/>
            </w:pPr>
            <w:r>
              <w:rPr>
                <w:b/>
                <w:bCs/>
              </w:rPr>
              <w:t xml:space="preserve">Phase 6</w:t>
            </w:r>
          </w:p>
        </w:tc>
      </w:tr>
    </w:tbl>
    <w:p/>
    <w:tbl>
      <w:tblPr>
        <w:tblStyle w:val="Table"/>
        <w:tblW w:type="pct" w:w="4907"/>
        <w:tblLayout w:type="fixed"/>
        <w:tblLook w:firstRow="1" w:lastRow="0" w:firstColumn="0" w:lastColumn="0" w:noHBand="0" w:noVBand="0" w:val="0020"/>
      </w:tblPr>
      <w:tblGrid>
        <w:gridCol w:w="2294"/>
        <w:gridCol w:w="5477"/>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User Risk</w:t>
            </w:r>
          </w:p>
        </w:tc>
        <w:tc>
          <w:tcPr/>
          <w:p>
            <w:pPr>
              <w:pStyle w:val="Compact"/>
              <w:jc w:val="left"/>
            </w:pPr>
            <w:r>
              <w:t xml:space="preserve">High</w:t>
            </w:r>
          </w:p>
        </w:tc>
      </w:tr>
      <w:tr>
        <w:tc>
          <w:tcPr/>
          <w:p>
            <w:pPr>
              <w:pStyle w:val="Compact"/>
              <w:jc w:val="left"/>
            </w:pPr>
            <w:r>
              <w:rPr>
                <w:b/>
                <w:bCs/>
              </w:rPr>
              <w:t xml:space="preserve">Grant Controls</w:t>
            </w:r>
          </w:p>
        </w:tc>
        <w:tc>
          <w:tcPr/>
          <w:p>
            <w:pPr>
              <w:pStyle w:val="Compact"/>
              <w:jc w:val="left"/>
            </w:pPr>
            <w:r>
              <w:t xml:space="preserve">Require password change</w:t>
            </w:r>
            <w:r>
              <w:t xml:space="preserve"> </w:t>
            </w:r>
            <w:r>
              <w:rPr>
                <w:b/>
                <w:bCs/>
              </w:rPr>
              <w:t xml:space="preserve">AND</w:t>
            </w:r>
            <w:r>
              <w:t xml:space="preserve"> </w:t>
            </w:r>
            <w:r>
              <w:t xml:space="preserve">Require authentication strength — MFA</w:t>
            </w:r>
          </w:p>
        </w:tc>
      </w:tr>
    </w:tbl>
    <w:p>
      <w:pPr>
        <w:pStyle w:val="BodyText"/>
      </w:pPr>
      <w:r>
        <w:rPr>
          <w:b/>
          <w:bCs/>
        </w:rPr>
        <w:t xml:space="preserve">Dependencies:</w:t>
      </w:r>
      <w:r>
        <w:t xml:space="preserve"> </w:t>
      </w:r>
      <w:r>
        <w:t xml:space="preserve">Self-service password reset (SSPR) must be enabled and configured for all users. Password writeback must be configured for hybrid users.</w:t>
      </w:r>
    </w:p>
    <w:p>
      <w:pPr>
        <w:pStyle w:val="BodyText"/>
      </w:pPr>
      <w:r>
        <w:t xml:space="preserve">CA-064: Insider Risk — Elevated Session Controls</w:t>
      </w:r>
    </w:p>
    <w:tbl>
      <w:tblPr>
        <w:tblStyle w:val="Table"/>
        <w:tblW w:type="pct" w:w="1944"/>
        <w:tblLayout w:type="fixed"/>
        <w:tblLook w:firstRow="0" w:lastRow="0" w:firstColumn="0" w:lastColumn="0" w:noHBand="0" w:noVBand="0" w:val="0000"/>
      </w:tblPr>
      <w:tblGrid>
        <w:gridCol w:w="3080"/>
      </w:tblGrid>
      <w:tr>
        <w:tc>
          <w:tcPr/>
          <w:p>
            <w:pPr>
              <w:pStyle w:val="FirstParagraph"/>
            </w:pPr>
            <w:r>
              <w:t xml:space="preserve">CA-064</w:t>
            </w:r>
          </w:p>
          <w:p>
            <w:pPr>
              <w:pStyle w:val="BodyText"/>
            </w:pPr>
            <w:r>
              <w:t xml:space="preserve">|</w:t>
            </w:r>
          </w:p>
          <w:p>
            <w:pPr>
              <w:pStyle w:val="BodyText"/>
            </w:pPr>
            <w:r>
              <w:t xml:space="preserve">Insider Risk</w:t>
            </w:r>
          </w:p>
          <w:p>
            <w:r>
              <w:pict>
                <v:rect style="width:0;height:1.5pt" o:hralign="center" o:hrstd="t" o:hr="t"/>
              </w:pict>
            </w:r>
          </w:p>
          <w:p>
            <w:pPr>
              <w:pStyle w:val="FirstParagraph"/>
            </w:pPr>
            <w:r>
              <w:t xml:space="preserve">Elevated Session Controls</w:t>
            </w:r>
          </w:p>
          <w:p>
            <w:pPr>
              <w:pStyle w:val="BodyText"/>
            </w:pPr>
            <w:r>
              <w:t xml:space="preserve">|</w:t>
            </w:r>
          </w:p>
          <w:p>
            <w:pPr>
              <w:pStyle w:val="BodyText"/>
            </w:pPr>
            <w:r>
              <w:rPr>
                <w:b/>
                <w:bCs/>
              </w:rPr>
              <w:t xml:space="preserve">Phase 6</w:t>
            </w:r>
          </w:p>
        </w:tc>
      </w:tr>
    </w:tbl>
    <w:p>
      <w:pPr>
        <w:pStyle w:val="BodyText"/>
      </w:pPr>
      <w:r>
        <w:rPr>
          <w:b/>
          <w:bCs/>
        </w:rPr>
        <w:t xml:space="preserve">Description:</w:t>
      </w:r>
      <w:r>
        <w:t xml:space="preserve"> </w:t>
      </w:r>
      <w:r>
        <w:t xml:space="preserve">Integrates with Microsoft Purview Insider Risk Management Adaptive Protection to apply dynamic session controls based on insider risk levels. Users flagged with elevated insider risk receive stricter session controls automatically.</w:t>
      </w:r>
    </w:p>
    <w:tbl>
      <w:tblPr>
        <w:tblStyle w:val="Table"/>
        <w:tblW w:type="pct" w:w="4918"/>
        <w:tblLayout w:type="fixed"/>
        <w:tblLook w:firstRow="1" w:lastRow="0" w:firstColumn="0" w:lastColumn="0" w:noHBand="0" w:noVBand="0" w:val="0020"/>
      </w:tblPr>
      <w:tblGrid>
        <w:gridCol w:w="2207"/>
        <w:gridCol w:w="5582"/>
      </w:tblGrid>
      <w:tr>
        <w:trPr>
          <w:tblHeader w:val="on"/>
        </w:trPr>
        <w:tc>
          <w:tcPr/>
          <w:p>
            <w:pPr>
              <w:pStyle w:val="Compact"/>
              <w:jc w:val="left"/>
            </w:pPr>
            <w:r>
              <w:rPr>
                <w:b/>
                <w:bCs/>
              </w:rPr>
              <w:t xml:space="preserve">Configuration</w:t>
            </w:r>
          </w:p>
        </w:tc>
        <w:tc>
          <w:tcPr/>
          <w:p>
            <w:pPr>
              <w:pStyle w:val="Compact"/>
              <w:jc w:val="left"/>
            </w:pPr>
            <w:r>
              <w:rPr>
                <w:b/>
                <w:bCs/>
              </w:rPr>
              <w:t xml:space="preserve">Value</w:t>
            </w:r>
          </w:p>
        </w:tc>
      </w:tr>
      <w:tr>
        <w:tc>
          <w:tcPr/>
          <w:p>
            <w:pPr>
              <w:pStyle w:val="Compact"/>
              <w:jc w:val="left"/>
            </w:pPr>
            <w:r>
              <w:rPr>
                <w:b/>
                <w:bCs/>
              </w:rPr>
              <w:t xml:space="preserve">Users — Include</w:t>
            </w:r>
          </w:p>
        </w:tc>
        <w:tc>
          <w:tcPr/>
          <w:p>
            <w:pPr>
              <w:pStyle w:val="Compact"/>
              <w:jc w:val="left"/>
            </w:pPr>
            <w:r>
              <w:t xml:space="preserve">All users</w:t>
            </w:r>
          </w:p>
        </w:tc>
      </w:tr>
      <w:tr>
        <w:tc>
          <w:tcPr/>
          <w:p>
            <w:pPr>
              <w:pStyle w:val="Compact"/>
              <w:jc w:val="left"/>
            </w:pPr>
            <w:r>
              <w:rPr>
                <w:b/>
                <w:bCs/>
              </w:rPr>
              <w:t xml:space="preserve">Users — Exclude</w:t>
            </w:r>
          </w:p>
        </w:tc>
        <w:tc>
          <w:tcPr/>
          <w:p>
            <w:pPr>
              <w:pStyle w:val="Compact"/>
              <w:jc w:val="left"/>
            </w:pPr>
            <w:r>
              <w:t xml:space="preserve">SG-BreakGlass-Exclusion</w:t>
            </w:r>
          </w:p>
        </w:tc>
      </w:tr>
      <w:tr>
        <w:tc>
          <w:tcPr/>
          <w:p>
            <w:pPr>
              <w:pStyle w:val="Compact"/>
              <w:jc w:val="left"/>
            </w:pPr>
            <w:r>
              <w:rPr>
                <w:b/>
                <w:bCs/>
              </w:rPr>
              <w:t xml:space="preserve">Cloud Apps</w:t>
            </w:r>
          </w:p>
        </w:tc>
        <w:tc>
          <w:tcPr/>
          <w:p>
            <w:pPr>
              <w:pStyle w:val="Compact"/>
              <w:jc w:val="left"/>
            </w:pPr>
            <w:r>
              <w:t xml:space="preserve">All cloud apps</w:t>
            </w:r>
          </w:p>
        </w:tc>
      </w:tr>
      <w:tr>
        <w:tc>
          <w:tcPr/>
          <w:p>
            <w:pPr>
              <w:pStyle w:val="Compact"/>
              <w:jc w:val="left"/>
            </w:pPr>
            <w:r>
              <w:rPr>
                <w:b/>
                <w:bCs/>
              </w:rPr>
              <w:t xml:space="preserve">Conditions — Insider Risk</w:t>
            </w:r>
          </w:p>
        </w:tc>
        <w:tc>
          <w:tcPr/>
          <w:p>
            <w:pPr>
              <w:pStyle w:val="Compact"/>
              <w:jc w:val="left"/>
            </w:pPr>
            <w:r>
              <w:t xml:space="preserve">Elevated level (via Adaptive Protection integration)</w:t>
            </w:r>
          </w:p>
        </w:tc>
      </w:tr>
      <w:tr>
        <w:tc>
          <w:tcPr/>
          <w:p>
            <w:pPr>
              <w:pStyle w:val="Compact"/>
              <w:jc w:val="left"/>
            </w:pPr>
            <w:r>
              <w:rPr>
                <w:b/>
                <w:bCs/>
              </w:rPr>
              <w:t xml:space="preserve">Grant Controls</w:t>
            </w:r>
          </w:p>
        </w:tc>
        <w:tc>
          <w:tcPr/>
          <w:p>
            <w:pPr>
              <w:pStyle w:val="Compact"/>
              <w:jc w:val="left"/>
            </w:pPr>
            <w:r>
              <w:t xml:space="preserve">Require MFA</w:t>
            </w:r>
          </w:p>
        </w:tc>
      </w:tr>
      <w:tr>
        <w:tc>
          <w:tcPr/>
          <w:p>
            <w:pPr>
              <w:pStyle w:val="Compact"/>
              <w:jc w:val="left"/>
            </w:pPr>
            <w:r>
              <w:rPr>
                <w:b/>
                <w:bCs/>
              </w:rPr>
              <w:t xml:space="preserve">Session Controls</w:t>
            </w:r>
          </w:p>
        </w:tc>
        <w:tc>
          <w:tcPr/>
          <w:p>
            <w:pPr>
              <w:pStyle w:val="Compact"/>
              <w:jc w:val="left"/>
            </w:pPr>
            <w:r>
              <w:t xml:space="preserve">Conditional Access App Control: Monitor + Block download; Sign-in frequency: 1 hour</w:t>
            </w:r>
          </w:p>
        </w:tc>
      </w:tr>
    </w:tbl>
    <w:p>
      <w:pPr>
        <w:pStyle w:val="BodyText"/>
      </w:pPr>
      <w:r>
        <w:rPr>
          <w:b/>
          <w:bCs/>
        </w:rPr>
        <w:t xml:space="preserve">Dependencies:</w:t>
      </w:r>
      <w:r>
        <w:t xml:space="preserve"> </w:t>
      </w:r>
      <w:r>
        <w:t xml:space="preserve">Microsoft Purview Insider Risk Management must be configured with Adaptive Protection enabled. E5 or E5 Compliance license required.</w:t>
      </w:r>
    </w:p>
    <w:p>
      <w:pPr>
        <w:pStyle w:val="BodyText"/>
      </w:pPr>
      <w:r>
        <w:t xml:space="preserve">Section 9: Policy Deployment Methodology</w:t>
      </w:r>
    </w:p>
    <w:p>
      <w:pPr>
        <w:pStyle w:val="BodyText"/>
      </w:pPr>
      <w:r>
        <w:t xml:space="preserve">The Federal Modernization Program CA Policy Library is deployed in six sequential phases. Each phase follows a consistent validation cycle: deploy in report-only mode, analyze impact, remediate gaps, obtain stakeholder approval, enforce, and monitor. No phase should begin until the previous phase has been in enforcement for at least one week without incidents.</w:t>
      </w:r>
    </w:p>
    <w:tbl>
      <w:tblPr>
        <w:tblStyle w:val="Table"/>
        <w:tblW w:type="pct" w:w="4942"/>
        <w:tblLayout w:type="fixed"/>
        <w:tblLook w:firstRow="1" w:lastRow="0" w:firstColumn="0" w:lastColumn="0" w:noHBand="0" w:noVBand="0" w:val="0020"/>
      </w:tblPr>
      <w:tblGrid>
        <w:gridCol w:w="644"/>
        <w:gridCol w:w="1059"/>
        <w:gridCol w:w="1105"/>
        <w:gridCol w:w="1980"/>
        <w:gridCol w:w="3039"/>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Policies</w:t>
            </w:r>
          </w:p>
        </w:tc>
        <w:tc>
          <w:tcPr/>
          <w:p>
            <w:pPr>
              <w:pStyle w:val="Compact"/>
              <w:jc w:val="left"/>
            </w:pPr>
            <w:r>
              <w:rPr>
                <w:b/>
                <w:bCs/>
              </w:rPr>
              <w:t xml:space="preserve">Duration</w:t>
            </w:r>
          </w:p>
        </w:tc>
        <w:tc>
          <w:tcPr/>
          <w:p>
            <w:pPr>
              <w:pStyle w:val="Compact"/>
              <w:jc w:val="left"/>
            </w:pPr>
            <w:r>
              <w:rPr>
                <w:b/>
                <w:bCs/>
              </w:rPr>
              <w:t xml:space="preserve">Prerequisites</w:t>
            </w:r>
          </w:p>
        </w:tc>
      </w:tr>
      <w:tr>
        <w:tc>
          <w:tcPr/>
          <w:p>
            <w:pPr>
              <w:pStyle w:val="Compact"/>
              <w:jc w:val="left"/>
            </w:pPr>
            <w:r>
              <w:rPr>
                <w:b/>
                <w:bCs/>
              </w:rPr>
              <w:t xml:space="preserve">Phase 1</w:t>
            </w:r>
          </w:p>
        </w:tc>
        <w:tc>
          <w:tcPr/>
          <w:p>
            <w:pPr>
              <w:pStyle w:val="Compact"/>
              <w:jc w:val="left"/>
            </w:pPr>
            <w:r>
              <w:t xml:space="preserve">Assessment</w:t>
            </w:r>
          </w:p>
        </w:tc>
        <w:tc>
          <w:tcPr/>
          <w:p>
            <w:pPr>
              <w:pStyle w:val="Compact"/>
              <w:jc w:val="left"/>
            </w:pPr>
            <w:r>
              <w:t xml:space="preserve">CA-060</w:t>
            </w:r>
          </w:p>
        </w:tc>
        <w:tc>
          <w:tcPr/>
          <w:p>
            <w:pPr>
              <w:pStyle w:val="Compact"/>
              <w:jc w:val="left"/>
            </w:pPr>
            <w:r>
              <w:t xml:space="preserve">2 weeks (report-only only)</w:t>
            </w:r>
          </w:p>
        </w:tc>
        <w:tc>
          <w:tcPr/>
          <w:p>
            <w:pPr>
              <w:pStyle w:val="Compact"/>
              <w:jc w:val="left"/>
            </w:pPr>
            <w:r>
              <w:t xml:space="preserve">Entra ID P2 license, sign-in log retention configured</w:t>
            </w:r>
          </w:p>
        </w:tc>
      </w:tr>
      <w:tr>
        <w:tc>
          <w:tcPr/>
          <w:p>
            <w:pPr>
              <w:pStyle w:val="Compact"/>
              <w:jc w:val="left"/>
            </w:pPr>
            <w:r>
              <w:rPr>
                <w:b/>
                <w:bCs/>
              </w:rPr>
              <w:t xml:space="preserve">Phase 2</w:t>
            </w:r>
          </w:p>
        </w:tc>
        <w:tc>
          <w:tcPr/>
          <w:p>
            <w:pPr>
              <w:pStyle w:val="Compact"/>
              <w:jc w:val="left"/>
            </w:pPr>
            <w:r>
              <w:t xml:space="preserve">Baseline</w:t>
            </w:r>
          </w:p>
        </w:tc>
        <w:tc>
          <w:tcPr/>
          <w:p>
            <w:pPr>
              <w:pStyle w:val="Compact"/>
              <w:jc w:val="left"/>
            </w:pPr>
            <w:r>
              <w:t xml:space="preserve">CA-001 through CA-005</w:t>
            </w:r>
          </w:p>
        </w:tc>
        <w:tc>
          <w:tcPr/>
          <w:p>
            <w:pPr>
              <w:pStyle w:val="Compact"/>
              <w:jc w:val="left"/>
            </w:pPr>
            <w:r>
              <w:t xml:space="preserve">1 week report-only + 1 week enforcement</w:t>
            </w:r>
          </w:p>
        </w:tc>
        <w:tc>
          <w:tcPr/>
          <w:p>
            <w:pPr>
              <w:pStyle w:val="Compact"/>
              <w:jc w:val="left"/>
            </w:pPr>
            <w:r>
              <w:t xml:space="preserve">MFA registration &gt;95%, legacy auth audit complete</w:t>
            </w:r>
          </w:p>
        </w:tc>
      </w:tr>
      <w:tr>
        <w:tc>
          <w:tcPr/>
          <w:p>
            <w:pPr>
              <w:pStyle w:val="Compact"/>
              <w:jc w:val="left"/>
            </w:pPr>
            <w:r>
              <w:rPr>
                <w:b/>
                <w:bCs/>
              </w:rPr>
              <w:t xml:space="preserve">Phase 3</w:t>
            </w:r>
          </w:p>
        </w:tc>
        <w:tc>
          <w:tcPr/>
          <w:p>
            <w:pPr>
              <w:pStyle w:val="Compact"/>
              <w:jc w:val="left"/>
            </w:pPr>
            <w:r>
              <w:t xml:space="preserve">Device Tier</w:t>
            </w:r>
          </w:p>
        </w:tc>
        <w:tc>
          <w:tcPr/>
          <w:p>
            <w:pPr>
              <w:pStyle w:val="Compact"/>
              <w:jc w:val="left"/>
            </w:pPr>
            <w:r>
              <w:t xml:space="preserve">CA-010 through CA-015</w:t>
            </w:r>
          </w:p>
        </w:tc>
        <w:tc>
          <w:tcPr/>
          <w:p>
            <w:pPr>
              <w:pStyle w:val="Compact"/>
              <w:jc w:val="left"/>
            </w:pPr>
            <w:r>
              <w:t xml:space="preserve">1 week report-only + 1 week enforcement</w:t>
            </w:r>
          </w:p>
        </w:tc>
        <w:tc>
          <w:tcPr/>
          <w:p>
            <w:pPr>
              <w:pStyle w:val="Compact"/>
              <w:jc w:val="left"/>
            </w:pPr>
            <w:r>
              <w:t xml:space="preserve">Intune enrollment &gt;90%, extensionAttribute4 populated</w:t>
            </w:r>
          </w:p>
        </w:tc>
      </w:tr>
      <w:tr>
        <w:tc>
          <w:tcPr/>
          <w:p>
            <w:pPr>
              <w:pStyle w:val="Compact"/>
              <w:jc w:val="left"/>
            </w:pPr>
            <w:r>
              <w:rPr>
                <w:b/>
                <w:bCs/>
              </w:rPr>
              <w:t xml:space="preserve">Phase 4</w:t>
            </w:r>
          </w:p>
        </w:tc>
        <w:tc>
          <w:tcPr/>
          <w:p>
            <w:pPr>
              <w:pStyle w:val="Compact"/>
              <w:jc w:val="left"/>
            </w:pPr>
            <w:r>
              <w:t xml:space="preserve">Environment &amp; Region</w:t>
            </w:r>
          </w:p>
        </w:tc>
        <w:tc>
          <w:tcPr/>
          <w:p>
            <w:pPr>
              <w:pStyle w:val="Compact"/>
              <w:jc w:val="left"/>
            </w:pPr>
            <w:r>
              <w:t xml:space="preserve">CA-020 through CA-032</w:t>
            </w:r>
          </w:p>
        </w:tc>
        <w:tc>
          <w:tcPr/>
          <w:p>
            <w:pPr>
              <w:pStyle w:val="Compact"/>
              <w:jc w:val="left"/>
            </w:pPr>
            <w:r>
              <w:t xml:space="preserve">1 week report-only + 1 week enforcement</w:t>
            </w:r>
          </w:p>
        </w:tc>
        <w:tc>
          <w:tcPr/>
          <w:p>
            <w:pPr>
              <w:pStyle w:val="Compact"/>
              <w:jc w:val="left"/>
            </w:pPr>
            <w:r>
              <w:t xml:space="preserve">extensionAttribute1,2,5 populated, named locations created</w:t>
            </w:r>
          </w:p>
        </w:tc>
      </w:tr>
      <w:tr>
        <w:tc>
          <w:tcPr/>
          <w:p>
            <w:pPr>
              <w:pStyle w:val="Compact"/>
              <w:jc w:val="left"/>
            </w:pPr>
            <w:r>
              <w:rPr>
                <w:b/>
                <w:bCs/>
              </w:rPr>
              <w:t xml:space="preserve">Phase 5</w:t>
            </w:r>
          </w:p>
        </w:tc>
        <w:tc>
          <w:tcPr/>
          <w:p>
            <w:pPr>
              <w:pStyle w:val="Compact"/>
              <w:jc w:val="left"/>
            </w:pPr>
            <w:r>
              <w:t xml:space="preserve">Application</w:t>
            </w:r>
          </w:p>
        </w:tc>
        <w:tc>
          <w:tcPr/>
          <w:p>
            <w:pPr>
              <w:pStyle w:val="Compact"/>
              <w:jc w:val="left"/>
            </w:pPr>
            <w:r>
              <w:t xml:space="preserve">CA-040 through CA-046</w:t>
            </w:r>
          </w:p>
        </w:tc>
        <w:tc>
          <w:tcPr/>
          <w:p>
            <w:pPr>
              <w:pStyle w:val="Compact"/>
              <w:jc w:val="left"/>
            </w:pPr>
            <w:r>
              <w:t xml:space="preserve">1 week report-only + enforcement per app</w:t>
            </w:r>
          </w:p>
        </w:tc>
        <w:tc>
          <w:tcPr/>
          <w:p>
            <w:pPr>
              <w:pStyle w:val="Compact"/>
              <w:jc w:val="left"/>
            </w:pPr>
            <w:r>
              <w:t xml:space="preserve">App registrations tagged, department groups created</w:t>
            </w:r>
          </w:p>
        </w:tc>
      </w:tr>
      <w:tr>
        <w:tc>
          <w:tcPr/>
          <w:p>
            <w:pPr>
              <w:pStyle w:val="Compact"/>
              <w:jc w:val="left"/>
            </w:pPr>
            <w:r>
              <w:rPr>
                <w:b/>
                <w:bCs/>
              </w:rPr>
              <w:t xml:space="preserve">Phase 6</w:t>
            </w:r>
          </w:p>
        </w:tc>
        <w:tc>
          <w:tcPr/>
          <w:p>
            <w:pPr>
              <w:pStyle w:val="Compact"/>
              <w:jc w:val="left"/>
            </w:pPr>
            <w:r>
              <w:t xml:space="preserve">Risk-Based</w:t>
            </w:r>
          </w:p>
        </w:tc>
        <w:tc>
          <w:tcPr/>
          <w:p>
            <w:pPr>
              <w:pStyle w:val="Compact"/>
              <w:jc w:val="left"/>
            </w:pPr>
            <w:r>
              <w:t xml:space="preserve">CA-061 through CA-064</w:t>
            </w:r>
          </w:p>
        </w:tc>
        <w:tc>
          <w:tcPr/>
          <w:p>
            <w:pPr>
              <w:pStyle w:val="Compact"/>
              <w:jc w:val="left"/>
            </w:pPr>
            <w:r>
              <w:t xml:space="preserve">2 weeks report-only + enforcement</w:t>
            </w:r>
          </w:p>
        </w:tc>
        <w:tc>
          <w:tcPr/>
          <w:p>
            <w:pPr>
              <w:pStyle w:val="Compact"/>
              <w:jc w:val="left"/>
            </w:pPr>
            <w:r>
              <w:t xml:space="preserve">ID Protection calibrated, SSPR enabled, Insider Risk configured</w:t>
            </w:r>
          </w:p>
        </w:tc>
      </w:tr>
    </w:tbl>
    <w:p>
      <w:pPr>
        <w:pStyle w:val="BodyText"/>
      </w:pPr>
      <w:r>
        <w:t xml:space="preserve">9.1 Phase Validation Cycle</w:t>
      </w:r>
    </w:p>
    <w:p>
      <w:pPr>
        <w:pStyle w:val="BodyText"/>
      </w:pPr>
      <w:r>
        <w:t xml:space="preserve">Each phase follows this standardized cycle:</w:t>
      </w:r>
    </w:p>
    <w:p>
      <w:pPr>
        <w:numPr>
          <w:ilvl w:val="0"/>
          <w:numId w:val="1102"/>
        </w:numPr>
      </w:pPr>
      <w:r>
        <w:rPr>
          <w:b/>
          <w:bCs/>
        </w:rPr>
        <w:t xml:space="preserve">Pre-deployment checklist:</w:t>
      </w:r>
      <w:r>
        <w:t xml:space="preserve"> </w:t>
      </w:r>
      <w:r>
        <w:t xml:space="preserve">Verify all dependencies are met (MFA registration rates, device enrollment, attribute population, named locations)</w:t>
      </w:r>
    </w:p>
    <w:p>
      <w:pPr>
        <w:numPr>
          <w:ilvl w:val="0"/>
          <w:numId w:val="1102"/>
        </w:numPr>
      </w:pPr>
      <w:r>
        <w:rPr>
          <w:b/>
          <w:bCs/>
        </w:rPr>
        <w:t xml:space="preserve">Deploy report-only:</w:t>
      </w:r>
      <w:r>
        <w:t xml:space="preserve"> </w:t>
      </w:r>
      <w:r>
        <w:t xml:space="preserve">Create policies in report-only state and assign to target scope</w:t>
      </w:r>
    </w:p>
    <w:p>
      <w:pPr>
        <w:numPr>
          <w:ilvl w:val="0"/>
          <w:numId w:val="1102"/>
        </w:numPr>
      </w:pPr>
      <w:r>
        <w:rPr>
          <w:b/>
          <w:bCs/>
        </w:rPr>
        <w:t xml:space="preserve">Monitor (7 days minimum):</w:t>
      </w:r>
      <w:r>
        <w:t xml:space="preserve"> </w:t>
      </w:r>
      <w:r>
        <w:t xml:space="preserve">Collect report-only results from sign-in logs and Conditional Access insights workbook</w:t>
      </w:r>
    </w:p>
    <w:p>
      <w:pPr>
        <w:numPr>
          <w:ilvl w:val="0"/>
          <w:numId w:val="1102"/>
        </w:numPr>
      </w:pPr>
      <w:r>
        <w:rPr>
          <w:b/>
          <w:bCs/>
        </w:rPr>
        <w:t xml:space="preserve">Impact analysis:</w:t>
      </w:r>
      <w:r>
        <w:t xml:space="preserve"> </w:t>
      </w:r>
      <w:r>
        <w:t xml:space="preserve">Generate report showing affected users, blocked sign-ins, and required remediations</w:t>
      </w:r>
    </w:p>
    <w:p>
      <w:pPr>
        <w:numPr>
          <w:ilvl w:val="0"/>
          <w:numId w:val="1102"/>
        </w:numPr>
      </w:pPr>
      <w:r>
        <w:rPr>
          <w:b/>
          <w:bCs/>
        </w:rPr>
        <w:t xml:space="preserve">Remediation:</w:t>
      </w:r>
      <w:r>
        <w:t xml:space="preserve"> </w:t>
      </w:r>
      <w:r>
        <w:t xml:space="preserve">Enroll devices, register MFA, update attributes, adjust policy scope for legitimate exceptions</w:t>
      </w:r>
    </w:p>
    <w:p>
      <w:pPr>
        <w:numPr>
          <w:ilvl w:val="0"/>
          <w:numId w:val="1102"/>
        </w:numPr>
      </w:pPr>
      <w:r>
        <w:rPr>
          <w:b/>
          <w:bCs/>
        </w:rPr>
        <w:t xml:space="preserve">Stakeholder review:</w:t>
      </w:r>
      <w:r>
        <w:t xml:space="preserve"> </w:t>
      </w:r>
      <w:r>
        <w:t xml:space="preserve">Present impact analysis to security team and business unit leads for formal approval</w:t>
      </w:r>
    </w:p>
    <w:p>
      <w:pPr>
        <w:numPr>
          <w:ilvl w:val="0"/>
          <w:numId w:val="1102"/>
        </w:numPr>
      </w:pPr>
      <w:r>
        <w:rPr>
          <w:b/>
          <w:bCs/>
        </w:rPr>
        <w:t xml:space="preserve">Enforcement:</w:t>
      </w:r>
      <w:r>
        <w:t xml:space="preserve"> </w:t>
      </w:r>
      <w:r>
        <w:t xml:space="preserve">Switch policy state from report-only to On</w:t>
      </w:r>
    </w:p>
    <w:p>
      <w:pPr>
        <w:numPr>
          <w:ilvl w:val="0"/>
          <w:numId w:val="1102"/>
        </w:numPr>
      </w:pPr>
      <w:r>
        <w:rPr>
          <w:b/>
          <w:bCs/>
        </w:rPr>
        <w:t xml:space="preserve">Post-enforcement monitoring (48 hours):</w:t>
      </w:r>
      <w:r>
        <w:t xml:space="preserve"> </w:t>
      </w:r>
      <w:r>
        <w:t xml:space="preserve">Active monitoring for unexpected blocks, service desk ticket surge, or application failures</w:t>
      </w:r>
    </w:p>
    <w:p>
      <w:pPr>
        <w:pStyle w:val="FirstParagraph"/>
      </w:pPr>
      <w:r>
        <w:t xml:space="preserve">9.2 Rollback Procedures</w:t>
      </w:r>
    </w:p>
    <w:p>
      <w:pPr>
        <w:pStyle w:val="BodyText"/>
      </w:pPr>
      <w:r>
        <w:t xml:space="preserve">Each phase includes a defined rollback procedure in case of critical issues during enforcement:</w:t>
      </w:r>
    </w:p>
    <w:tbl>
      <w:tblPr>
        <w:tblStyle w:val="Table"/>
        <w:tblW w:type="pct" w:w="4944"/>
        <w:tblLayout w:type="fixed"/>
        <w:tblLook w:firstRow="1" w:lastRow="0" w:firstColumn="0" w:lastColumn="0" w:noHBand="0" w:noVBand="0" w:val="0020"/>
      </w:tblPr>
      <w:tblGrid>
        <w:gridCol w:w="1252"/>
        <w:gridCol w:w="2595"/>
        <w:gridCol w:w="3982"/>
      </w:tblGrid>
      <w:tr>
        <w:trPr>
          <w:tblHeader w:val="on"/>
        </w:trPr>
        <w:tc>
          <w:tcPr/>
          <w:p>
            <w:pPr>
              <w:pStyle w:val="Compact"/>
              <w:jc w:val="left"/>
            </w:pPr>
            <w:r>
              <w:rPr>
                <w:b/>
                <w:bCs/>
              </w:rPr>
              <w:t xml:space="preserve">Rollback Action</w:t>
            </w:r>
          </w:p>
        </w:tc>
        <w:tc>
          <w:tcPr/>
          <w:p>
            <w:pPr>
              <w:pStyle w:val="Compact"/>
              <w:jc w:val="left"/>
            </w:pPr>
            <w:r>
              <w:rPr>
                <w:b/>
                <w:bCs/>
              </w:rPr>
              <w:t xml:space="preserve">When to Use</w:t>
            </w:r>
          </w:p>
        </w:tc>
        <w:tc>
          <w:tcPr/>
          <w:p>
            <w:pPr>
              <w:pStyle w:val="Compact"/>
              <w:jc w:val="left"/>
            </w:pPr>
            <w:r>
              <w:rPr>
                <w:b/>
                <w:bCs/>
              </w:rPr>
              <w:t xml:space="preserve">Procedure</w:t>
            </w:r>
          </w:p>
        </w:tc>
      </w:tr>
      <w:tr>
        <w:tc>
          <w:tcPr/>
          <w:p>
            <w:pPr>
              <w:pStyle w:val="Compact"/>
              <w:jc w:val="left"/>
            </w:pPr>
            <w:r>
              <w:rPr>
                <w:b/>
                <w:bCs/>
              </w:rPr>
              <w:t xml:space="preserve">Policy Disable</w:t>
            </w:r>
          </w:p>
        </w:tc>
        <w:tc>
          <w:tcPr/>
          <w:p>
            <w:pPr>
              <w:pStyle w:val="Compact"/>
              <w:jc w:val="left"/>
            </w:pPr>
            <w:r>
              <w:t xml:space="preserve">Single policy causing widespread blocks</w:t>
            </w:r>
          </w:p>
        </w:tc>
        <w:tc>
          <w:tcPr/>
          <w:p>
            <w:pPr>
              <w:pStyle w:val="Compact"/>
              <w:jc w:val="left"/>
            </w:pPr>
            <w:r>
              <w:t xml:space="preserve">Set policy state to Off; monitor sign-in logs for resolution; investigate root cause</w:t>
            </w:r>
          </w:p>
        </w:tc>
      </w:tr>
      <w:tr>
        <w:tc>
          <w:tcPr/>
          <w:p>
            <w:pPr>
              <w:pStyle w:val="Compact"/>
              <w:jc w:val="left"/>
            </w:pPr>
            <w:r>
              <w:rPr>
                <w:b/>
                <w:bCs/>
              </w:rPr>
              <w:t xml:space="preserve">Scope Reduction</w:t>
            </w:r>
          </w:p>
        </w:tc>
        <w:tc>
          <w:tcPr/>
          <w:p>
            <w:pPr>
              <w:pStyle w:val="Compact"/>
              <w:jc w:val="left"/>
            </w:pPr>
            <w:r>
              <w:t xml:space="preserve">Policy blocks specific user population</w:t>
            </w:r>
          </w:p>
        </w:tc>
        <w:tc>
          <w:tcPr/>
          <w:p>
            <w:pPr>
              <w:pStyle w:val="Compact"/>
              <w:jc w:val="left"/>
            </w:pPr>
            <w:r>
              <w:t xml:space="preserve">Add affected group to policy exclusion; remediate root cause; re-include group</w:t>
            </w:r>
          </w:p>
        </w:tc>
      </w:tr>
      <w:tr>
        <w:tc>
          <w:tcPr/>
          <w:p>
            <w:pPr>
              <w:pStyle w:val="Compact"/>
              <w:jc w:val="left"/>
            </w:pPr>
            <w:r>
              <w:rPr>
                <w:b/>
                <w:bCs/>
              </w:rPr>
              <w:t xml:space="preserve">Revert to Report-Only</w:t>
            </w:r>
          </w:p>
        </w:tc>
        <w:tc>
          <w:tcPr/>
          <w:p>
            <w:pPr>
              <w:pStyle w:val="Compact"/>
              <w:jc w:val="left"/>
            </w:pPr>
            <w:r>
              <w:t xml:space="preserve">Need continued data while investigating</w:t>
            </w:r>
          </w:p>
        </w:tc>
        <w:tc>
          <w:tcPr/>
          <w:p>
            <w:pPr>
              <w:pStyle w:val="Compact"/>
              <w:jc w:val="left"/>
            </w:pPr>
            <w:r>
              <w:t xml:space="preserve">Set policy state to Report-only; continue monitoring without enforcement</w:t>
            </w:r>
          </w:p>
        </w:tc>
      </w:tr>
      <w:tr>
        <w:tc>
          <w:tcPr/>
          <w:p>
            <w:pPr>
              <w:pStyle w:val="Compact"/>
              <w:jc w:val="left"/>
            </w:pPr>
            <w:r>
              <w:rPr>
                <w:b/>
                <w:bCs/>
              </w:rPr>
              <w:t xml:space="preserve">Full Phase Rollback</w:t>
            </w:r>
          </w:p>
        </w:tc>
        <w:tc>
          <w:tcPr/>
          <w:p>
            <w:pPr>
              <w:pStyle w:val="Compact"/>
              <w:jc w:val="left"/>
            </w:pPr>
            <w:r>
              <w:t xml:space="preserve">Multiple policies in a phase causing cascading failures</w:t>
            </w:r>
          </w:p>
        </w:tc>
        <w:tc>
          <w:tcPr/>
          <w:p>
            <w:pPr>
              <w:pStyle w:val="Compact"/>
              <w:jc w:val="left"/>
            </w:pPr>
            <w:r>
              <w:t xml:space="preserve">Set all phase policies to Off; activate incident response; schedule remediation sprint</w:t>
            </w:r>
          </w:p>
        </w:tc>
      </w:tr>
    </w:tbl>
    <w:p/>
    <w:tbl>
      <w:tblPr>
        <w:tblStyle w:val="Table"/>
        <w:tblW w:type="pct" w:w="5026"/>
        <w:tblLayout w:type="fixed"/>
        <w:tblLook w:firstRow="0" w:lastRow="0" w:firstColumn="0" w:lastColumn="0" w:noHBand="0" w:noVBand="0" w:val="0000"/>
      </w:tblPr>
      <w:tblGrid>
        <w:gridCol w:w="7960"/>
      </w:tblGrid>
      <w:tr>
        <w:tc>
          <w:tcPr/>
          <w:p>
            <w:pPr>
              <w:pStyle w:val="FirstParagraph"/>
            </w:pPr>
            <w:r>
              <w:rPr>
                <w:b/>
                <w:bCs/>
              </w:rPr>
              <w:t xml:space="preserve">Warning</w:t>
            </w:r>
          </w:p>
          <w:p>
            <w:pPr>
              <w:pStyle w:val="BodyText"/>
            </w:pPr>
            <w:r>
              <w:t xml:space="preserve">Never delete a CA policy during a rollback. Set the policy to Off or Report-only. Deletion removes audit history and makes it impossible to restore the policy configuration without redeployment.</w:t>
            </w:r>
          </w:p>
        </w:tc>
      </w:tr>
    </w:tbl>
    <w:p>
      <w:pPr>
        <w:pStyle w:val="BodyText"/>
      </w:pPr>
      <w:r>
        <w:t xml:space="preserve">Section 10: GPO-to-CA Migration Matrix</w:t>
      </w:r>
    </w:p>
    <w:p>
      <w:pPr>
        <w:pStyle w:val="BodyText"/>
      </w:pPr>
      <w:r>
        <w:t xml:space="preserve">The following matrix maps common Active Directory Group Policy settings to their Conditional Access and Intune equivalents. This serves as a reference during the AD Assessment phase to identify which GPOs can be retired after CA policy deployment.</w:t>
      </w:r>
    </w:p>
    <w:tbl>
      <w:tblPr>
        <w:tblStyle w:val="Table"/>
        <w:tblW w:type="pct" w:w="4969"/>
        <w:tblLayout w:type="fixed"/>
        <w:tblLook w:firstRow="1" w:lastRow="0" w:firstColumn="0" w:lastColumn="0" w:noHBand="0" w:noVBand="0" w:val="0020"/>
      </w:tblPr>
      <w:tblGrid>
        <w:gridCol w:w="2189"/>
        <w:gridCol w:w="614"/>
        <w:gridCol w:w="1746"/>
        <w:gridCol w:w="3320"/>
      </w:tblGrid>
      <w:tr>
        <w:trPr>
          <w:tblHeader w:val="on"/>
        </w:trPr>
        <w:tc>
          <w:tcPr/>
          <w:p>
            <w:pPr>
              <w:pStyle w:val="Compact"/>
              <w:jc w:val="left"/>
            </w:pPr>
            <w:r>
              <w:rPr>
                <w:b/>
                <w:bCs/>
              </w:rPr>
              <w:t xml:space="preserve">GPO Setting / Path</w:t>
            </w:r>
          </w:p>
        </w:tc>
        <w:tc>
          <w:tcPr/>
          <w:p>
            <w:pPr>
              <w:pStyle w:val="Compact"/>
              <w:jc w:val="left"/>
            </w:pPr>
            <w:r>
              <w:rPr>
                <w:b/>
                <w:bCs/>
              </w:rPr>
              <w:t xml:space="preserve">CA Policy ID</w:t>
            </w:r>
          </w:p>
        </w:tc>
        <w:tc>
          <w:tcPr/>
          <w:p>
            <w:pPr>
              <w:pStyle w:val="Compact"/>
              <w:jc w:val="left"/>
            </w:pPr>
            <w:r>
              <w:rPr>
                <w:b/>
                <w:bCs/>
              </w:rPr>
              <w:t xml:space="preserve">Intune Policy (if applicable)</w:t>
            </w:r>
          </w:p>
        </w:tc>
        <w:tc>
          <w:tcPr/>
          <w:p>
            <w:pPr>
              <w:pStyle w:val="Compact"/>
              <w:jc w:val="left"/>
            </w:pPr>
            <w:r>
              <w:rPr>
                <w:b/>
                <w:bCs/>
              </w:rPr>
              <w:t xml:space="preserve">Notes</w:t>
            </w:r>
          </w:p>
        </w:tc>
      </w:tr>
      <w:tr>
        <w:tc>
          <w:tcPr/>
          <w:p>
            <w:pPr>
              <w:pStyle w:val="Compact"/>
              <w:jc w:val="left"/>
            </w:pPr>
            <w:r>
              <w:t xml:space="preserve">Account Policies → Account Lockout Policy</w:t>
            </w:r>
          </w:p>
        </w:tc>
        <w:tc>
          <w:tcPr/>
          <w:p>
            <w:pPr>
              <w:pStyle w:val="Compact"/>
              <w:jc w:val="left"/>
            </w:pPr>
            <w:r>
              <w:t xml:space="preserve">CA-061, CA-062</w:t>
            </w:r>
          </w:p>
        </w:tc>
        <w:tc>
          <w:tcPr/>
          <w:p>
            <w:pPr>
              <w:pStyle w:val="Compact"/>
              <w:jc w:val="left"/>
            </w:pPr>
            <w:r>
              <w:t xml:space="preserve">Entra ID Smart Lockout</w:t>
            </w:r>
          </w:p>
        </w:tc>
        <w:tc>
          <w:tcPr/>
          <w:p>
            <w:pPr>
              <w:pStyle w:val="Compact"/>
              <w:jc w:val="left"/>
            </w:pPr>
            <w:r>
              <w:t xml:space="preserve">Cloud-based smart lockout replaces static lockout thresholds. Risk-based policies provide dynamic response.</w:t>
            </w:r>
          </w:p>
        </w:tc>
      </w:tr>
      <w:tr>
        <w:tc>
          <w:tcPr/>
          <w:p>
            <w:pPr>
              <w:pStyle w:val="Compact"/>
              <w:jc w:val="left"/>
            </w:pPr>
            <w:r>
              <w:t xml:space="preserve">Account Policies → Password Policy (complexity, length, age)</w:t>
            </w:r>
          </w:p>
        </w:tc>
        <w:tc>
          <w:tcPr/>
          <w:p>
            <w:pPr>
              <w:pStyle w:val="Compact"/>
              <w:jc w:val="left"/>
            </w:pPr>
            <w:r>
              <w:t xml:space="preserve">CA-001</w:t>
            </w:r>
          </w:p>
        </w:tc>
        <w:tc>
          <w:tcPr/>
          <w:p>
            <w:pPr>
              <w:pStyle w:val="Compact"/>
              <w:jc w:val="left"/>
            </w:pPr>
            <w:r>
              <w:t xml:space="preserve">Authentication Methods Policy + Entra ID Password Protection</w:t>
            </w:r>
          </w:p>
        </w:tc>
        <w:tc>
          <w:tcPr/>
          <w:p>
            <w:pPr>
              <w:pStyle w:val="Compact"/>
              <w:jc w:val="left"/>
            </w:pPr>
            <w:r>
              <w:t xml:space="preserve">MFA reduces reliance on password complexity. Entra ID Password Protection adds banned password lists. Target: passwordless.</w:t>
            </w:r>
          </w:p>
        </w:tc>
      </w:tr>
      <w:tr>
        <w:tc>
          <w:tcPr/>
          <w:p>
            <w:pPr>
              <w:pStyle w:val="Compact"/>
              <w:jc w:val="left"/>
            </w:pPr>
            <w:r>
              <w:t xml:space="preserve">Local Policies → Security Options → Interactive logon: Require smart card</w:t>
            </w:r>
          </w:p>
        </w:tc>
        <w:tc>
          <w:tcPr/>
          <w:p>
            <w:pPr>
              <w:pStyle w:val="Compact"/>
              <w:jc w:val="left"/>
            </w:pPr>
            <w:r>
              <w:t xml:space="preserve">CA-001, CA-010</w:t>
            </w:r>
          </w:p>
        </w:tc>
        <w:tc>
          <w:tcPr/>
          <w:p>
            <w:pPr>
              <w:pStyle w:val="Compact"/>
              <w:jc w:val="left"/>
            </w:pPr>
            <w:r>
              <w:t xml:space="preserve">Authentication Methods Policy</w:t>
            </w:r>
          </w:p>
        </w:tc>
        <w:tc>
          <w:tcPr/>
          <w:p>
            <w:pPr>
              <w:pStyle w:val="Compact"/>
              <w:jc w:val="left"/>
            </w:pPr>
            <w:r>
              <w:t xml:space="preserve">CA authentication strength replaces smart card requirement with phishing-resistant MFA (FIDO2, WHfB).</w:t>
            </w:r>
          </w:p>
        </w:tc>
      </w:tr>
      <w:tr>
        <w:tc>
          <w:tcPr/>
          <w:p>
            <w:pPr>
              <w:pStyle w:val="Compact"/>
              <w:jc w:val="left"/>
            </w:pPr>
            <w:r>
              <w:t xml:space="preserve">Local Policies → Security Options → Network security: LAN Manager authentication level</w:t>
            </w:r>
          </w:p>
        </w:tc>
        <w:tc>
          <w:tcPr/>
          <w:p>
            <w:pPr>
              <w:pStyle w:val="Compact"/>
              <w:jc w:val="left"/>
            </w:pPr>
            <w:r>
              <w:t xml:space="preserve">CA-002</w:t>
            </w:r>
          </w:p>
        </w:tc>
        <w:tc>
          <w:tcPr/>
          <w:p>
            <w:pPr>
              <w:pStyle w:val="Compact"/>
              <w:jc w:val="left"/>
            </w:pPr>
            <w:r>
              <w:t xml:space="preserve">N/A</w:t>
            </w:r>
          </w:p>
        </w:tc>
        <w:tc>
          <w:tcPr/>
          <w:p>
            <w:pPr>
              <w:pStyle w:val="Compact"/>
              <w:jc w:val="left"/>
            </w:pPr>
            <w:r>
              <w:t xml:space="preserve">Blocking legacy auth in CA eliminates NTLM/LM negotiation for cloud resources entirely.</w:t>
            </w:r>
          </w:p>
        </w:tc>
      </w:tr>
      <w:tr>
        <w:tc>
          <w:tcPr/>
          <w:p>
            <w:pPr>
              <w:pStyle w:val="Compact"/>
              <w:jc w:val="left"/>
            </w:pPr>
            <w:r>
              <w:t xml:space="preserve">Local Policies → User Rights Assignment → Allow log on locally</w:t>
            </w:r>
          </w:p>
        </w:tc>
        <w:tc>
          <w:tcPr/>
          <w:p>
            <w:pPr>
              <w:pStyle w:val="Compact"/>
              <w:jc w:val="left"/>
            </w:pPr>
            <w:r>
              <w:t xml:space="preserve">CA-010, CA-011, CA-012</w:t>
            </w:r>
          </w:p>
        </w:tc>
        <w:tc>
          <w:tcPr/>
          <w:p>
            <w:pPr>
              <w:pStyle w:val="Compact"/>
              <w:jc w:val="left"/>
            </w:pPr>
            <w:r>
              <w:t xml:space="preserve">Intune Endpoint Security → Account Protection</w:t>
            </w:r>
          </w:p>
        </w:tc>
        <w:tc>
          <w:tcPr/>
          <w:p>
            <w:pPr>
              <w:pStyle w:val="Compact"/>
              <w:jc w:val="left"/>
            </w:pPr>
            <w:r>
              <w:t xml:space="preserve">Device tier policies replace OU-based logon restrictions with dynamic device-filter-based controls.</w:t>
            </w:r>
          </w:p>
        </w:tc>
      </w:tr>
      <w:tr>
        <w:tc>
          <w:tcPr/>
          <w:p>
            <w:pPr>
              <w:pStyle w:val="Compact"/>
              <w:jc w:val="left"/>
            </w:pPr>
            <w:r>
              <w:t xml:space="preserve">Local Policies → User Rights Assignment → Deny log on through RDP</w:t>
            </w:r>
          </w:p>
        </w:tc>
        <w:tc>
          <w:tcPr/>
          <w:p>
            <w:pPr>
              <w:pStyle w:val="Compact"/>
              <w:jc w:val="left"/>
            </w:pPr>
            <w:r>
              <w:t xml:space="preserve">CA-004, CA-043</w:t>
            </w:r>
          </w:p>
        </w:tc>
        <w:tc>
          <w:tcPr/>
          <w:p>
            <w:pPr>
              <w:pStyle w:val="Compact"/>
              <w:jc w:val="left"/>
            </w:pPr>
            <w:r>
              <w:t xml:space="preserve">Intune Configuration Profile → Device Restrictions</w:t>
            </w:r>
          </w:p>
        </w:tc>
        <w:tc>
          <w:tcPr/>
          <w:p>
            <w:pPr>
              <w:pStyle w:val="Compact"/>
              <w:jc w:val="left"/>
            </w:pPr>
            <w:r>
              <w:t xml:space="preserve">CA blocks admin portal access from non-admin users; Intune restricts RDP on managed endpoints.</w:t>
            </w:r>
          </w:p>
        </w:tc>
      </w:tr>
      <w:tr>
        <w:tc>
          <w:tcPr/>
          <w:p>
            <w:pPr>
              <w:pStyle w:val="Compact"/>
              <w:jc w:val="left"/>
            </w:pPr>
            <w:r>
              <w:t xml:space="preserve">Software Restriction Policies / AppLocker</w:t>
            </w:r>
          </w:p>
        </w:tc>
        <w:tc>
          <w:tcPr/>
          <w:p>
            <w:pPr>
              <w:pStyle w:val="Compact"/>
              <w:jc w:val="left"/>
            </w:pPr>
            <w:r>
              <w:t xml:space="preserve">CA-040 through CA-046</w:t>
            </w:r>
          </w:p>
        </w:tc>
        <w:tc>
          <w:tcPr/>
          <w:p>
            <w:pPr>
              <w:pStyle w:val="Compact"/>
              <w:jc w:val="left"/>
            </w:pPr>
            <w:r>
              <w:t xml:space="preserve">Intune App Protection Policies + WDAC</w:t>
            </w:r>
          </w:p>
        </w:tc>
        <w:tc>
          <w:tcPr/>
          <w:p>
            <w:pPr>
              <w:pStyle w:val="Compact"/>
              <w:jc w:val="left"/>
            </w:pPr>
            <w:r>
              <w:t xml:space="preserve">CA controls which apps users can authenticate to; Intune/WDAC controls what runs on the device.</w:t>
            </w:r>
          </w:p>
        </w:tc>
      </w:tr>
      <w:tr>
        <w:tc>
          <w:tcPr/>
          <w:p>
            <w:pPr>
              <w:pStyle w:val="Compact"/>
              <w:jc w:val="left"/>
            </w:pPr>
            <w:r>
              <w:t xml:space="preserve">Drive Mapping (User Configuration → Preferences → Drive Maps)</w:t>
            </w:r>
          </w:p>
        </w:tc>
        <w:tc>
          <w:tcPr/>
          <w:p>
            <w:pPr>
              <w:pStyle w:val="Compact"/>
              <w:jc w:val="left"/>
            </w:pPr>
            <w:r>
              <w:t xml:space="preserve">N/A</w:t>
            </w:r>
          </w:p>
        </w:tc>
        <w:tc>
          <w:tcPr/>
          <w:p>
            <w:pPr>
              <w:pStyle w:val="Compact"/>
              <w:jc w:val="left"/>
            </w:pPr>
            <w:r>
              <w:t xml:space="preserve">Intune Configuration Profile + SharePoint/OneDrive Known Folder Move</w:t>
            </w:r>
          </w:p>
        </w:tc>
        <w:tc>
          <w:tcPr/>
          <w:p>
            <w:pPr>
              <w:pStyle w:val="Compact"/>
              <w:jc w:val="left"/>
            </w:pPr>
            <w:r>
              <w:t xml:space="preserve">No CA equivalent. Migrate mapped drives to SharePoint document libraries with OneDrive sync.</w:t>
            </w:r>
          </w:p>
        </w:tc>
      </w:tr>
      <w:tr>
        <w:tc>
          <w:tcPr/>
          <w:p>
            <w:pPr>
              <w:pStyle w:val="Compact"/>
              <w:jc w:val="left"/>
            </w:pPr>
            <w:r>
              <w:t xml:space="preserve">Printer Deployment (User/Computer Configuration → Preferences → Printers)</w:t>
            </w:r>
          </w:p>
        </w:tc>
        <w:tc>
          <w:tcPr/>
          <w:p>
            <w:pPr>
              <w:pStyle w:val="Compact"/>
              <w:jc w:val="left"/>
            </w:pPr>
            <w:r>
              <w:t xml:space="preserve">N/A</w:t>
            </w:r>
          </w:p>
        </w:tc>
        <w:tc>
          <w:tcPr/>
          <w:p>
            <w:pPr>
              <w:pStyle w:val="Compact"/>
              <w:jc w:val="left"/>
            </w:pPr>
            <w:r>
              <w:t xml:space="preserve">Universal Print + Intune Printer Provisioning</w:t>
            </w:r>
          </w:p>
        </w:tc>
        <w:tc>
          <w:tcPr/>
          <w:p>
            <w:pPr>
              <w:pStyle w:val="Compact"/>
              <w:jc w:val="left"/>
            </w:pPr>
            <w:r>
              <w:t xml:space="preserve">No CA equivalent. Migrate to Universal Print for cloud-managed printing.</w:t>
            </w:r>
          </w:p>
        </w:tc>
      </w:tr>
      <w:tr>
        <w:tc>
          <w:tcPr/>
          <w:p>
            <w:pPr>
              <w:pStyle w:val="Compact"/>
              <w:jc w:val="left"/>
            </w:pPr>
            <w:r>
              <w:t xml:space="preserve">Security Options → Audit Policy (Success/Failure)</w:t>
            </w:r>
          </w:p>
        </w:tc>
        <w:tc>
          <w:tcPr/>
          <w:p>
            <w:pPr>
              <w:pStyle w:val="Compact"/>
              <w:jc w:val="left"/>
            </w:pPr>
            <w:r>
              <w:t xml:space="preserve">CA-060</w:t>
            </w:r>
          </w:p>
        </w:tc>
        <w:tc>
          <w:tcPr/>
          <w:p>
            <w:pPr>
              <w:pStyle w:val="Compact"/>
              <w:jc w:val="left"/>
            </w:pPr>
            <w:r>
              <w:t xml:space="preserve">Intune Endpoint Security → Audit Configuration</w:t>
            </w:r>
          </w:p>
        </w:tc>
        <w:tc>
          <w:tcPr/>
          <w:p>
            <w:pPr>
              <w:pStyle w:val="Compact"/>
              <w:jc w:val="left"/>
            </w:pPr>
            <w:r>
              <w:t xml:space="preserve">CA report-only mode + sign-in logs replace GPO audit policies for identity events. Local audit remains for device events via Intune.</w:t>
            </w:r>
          </w:p>
        </w:tc>
      </w:tr>
      <w:tr>
        <w:tc>
          <w:tcPr/>
          <w:p>
            <w:pPr>
              <w:pStyle w:val="Compact"/>
              <w:jc w:val="left"/>
            </w:pPr>
            <w:r>
              <w:t xml:space="preserve">Security Filtering (GPO applied by security group)</w:t>
            </w:r>
          </w:p>
        </w:tc>
        <w:tc>
          <w:tcPr/>
          <w:p>
            <w:pPr>
              <w:pStyle w:val="Compact"/>
              <w:jc w:val="left"/>
            </w:pPr>
            <w:r>
              <w:t xml:space="preserve">All CA policies</w:t>
            </w:r>
          </w:p>
        </w:tc>
        <w:tc>
          <w:tcPr/>
          <w:p>
            <w:pPr>
              <w:pStyle w:val="Compact"/>
              <w:jc w:val="left"/>
            </w:pPr>
            <w:r>
              <w:t xml:space="preserve">Intune Assignment Filters</w:t>
            </w:r>
          </w:p>
        </w:tc>
        <w:tc>
          <w:tcPr/>
          <w:p>
            <w:pPr>
              <w:pStyle w:val="Compact"/>
              <w:jc w:val="left"/>
            </w:pPr>
            <w:r>
              <w:t xml:space="preserve">CA user/group assignments + dynamic groups replace GPO security filtering. More granular and real-time.</w:t>
            </w:r>
          </w:p>
        </w:tc>
      </w:tr>
      <w:tr>
        <w:tc>
          <w:tcPr/>
          <w:p>
            <w:pPr>
              <w:pStyle w:val="Compact"/>
              <w:jc w:val="left"/>
            </w:pPr>
            <w:r>
              <w:t xml:space="preserve">WMI Filtering (GPO applied by WMI query)</w:t>
            </w:r>
          </w:p>
        </w:tc>
        <w:tc>
          <w:tcPr/>
          <w:p>
            <w:pPr>
              <w:pStyle w:val="Compact"/>
              <w:jc w:val="left"/>
            </w:pPr>
            <w:r>
              <w:t xml:space="preserve">Device-tier policies</w:t>
            </w:r>
          </w:p>
        </w:tc>
        <w:tc>
          <w:tcPr/>
          <w:p>
            <w:pPr>
              <w:pStyle w:val="Compact"/>
              <w:jc w:val="left"/>
            </w:pPr>
            <w:r>
              <w:t xml:space="preserve">Intune Assignment Filters</w:t>
            </w:r>
          </w:p>
        </w:tc>
        <w:tc>
          <w:tcPr/>
          <w:p>
            <w:pPr>
              <w:pStyle w:val="Compact"/>
              <w:jc w:val="left"/>
            </w:pPr>
            <w:r>
              <w:t xml:space="preserve">CA device filters (extensionAttribute-based) replace WMI queries for targeting policies by device property.</w:t>
            </w:r>
          </w:p>
        </w:tc>
      </w:tr>
    </w:tbl>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GPOs governing local device security settings (firewall, BitLocker, Windows Update, antivirus) do not have Conditional Access equivalents. These settings are migrated to</w:t>
            </w:r>
          </w:p>
          <w:p>
            <w:pPr>
              <w:pStyle w:val="BodyText"/>
            </w:pPr>
            <w:r>
              <w:t xml:space="preserve">Intune device configuration profiles</w:t>
            </w:r>
          </w:p>
          <w:p>
            <w:pPr>
              <w:pStyle w:val="BodyText"/>
            </w:pPr>
            <w:r>
              <w:t xml:space="preserve">and</w:t>
            </w:r>
          </w:p>
          <w:p>
            <w:pPr>
              <w:pStyle w:val="BodyText"/>
            </w:pPr>
            <w:r>
              <w:t xml:space="preserve">endpoint security policies</w:t>
            </w:r>
          </w:p>
          <w:p>
            <w:pPr>
              <w:pStyle w:val="BodyText"/>
            </w:pPr>
            <w:r>
              <w:t xml:space="preserve">, which are validated by Intune compliance policies that CA policies then reference via "Require compliant device."</w:t>
            </w:r>
          </w:p>
        </w:tc>
      </w:tr>
    </w:tbl>
    <w:p>
      <w:pPr>
        <w:pStyle w:val="BodyText"/>
      </w:pPr>
      <w:r>
        <w:t xml:space="preserve">Section 11: Break-Glass Account Procedures</w:t>
      </w:r>
    </w:p>
    <w:p>
      <w:pPr>
        <w:pStyle w:val="BodyText"/>
      </w:pPr>
      <w:r>
        <w:t xml:space="preserve">Break-glass accounts provide emergency administrative access to the tenant when normal administrative accounts are locked out by Conditional Access policies, MFA service outages, or federation failures. These accounts are excluded from all CA policies and must be rigorously protected.</w:t>
      </w:r>
    </w:p>
    <w:p>
      <w:pPr>
        <w:pStyle w:val="BodyText"/>
      </w:pPr>
      <w:r>
        <w:t xml:space="preserve">11.1 Account Configuration</w:t>
      </w:r>
    </w:p>
    <w:tbl>
      <w:tblPr>
        <w:tblStyle w:val="Table"/>
        <w:tblW w:type="pct" w:w="4934"/>
        <w:tblLayout w:type="fixed"/>
        <w:tblLook w:firstRow="1" w:lastRow="0" w:firstColumn="0" w:lastColumn="0" w:noHBand="0" w:noVBand="0" w:val="0020"/>
      </w:tblPr>
      <w:tblGrid>
        <w:gridCol w:w="1354"/>
        <w:gridCol w:w="3230"/>
        <w:gridCol w:w="3230"/>
      </w:tblGrid>
      <w:tr>
        <w:trPr>
          <w:tblHeader w:val="on"/>
        </w:trPr>
        <w:tc>
          <w:tcPr/>
          <w:p>
            <w:pPr>
              <w:pStyle w:val="Compact"/>
              <w:jc w:val="left"/>
            </w:pPr>
            <w:r>
              <w:rPr>
                <w:b/>
                <w:bCs/>
              </w:rPr>
              <w:t xml:space="preserve">Property</w:t>
            </w:r>
          </w:p>
        </w:tc>
        <w:tc>
          <w:tcPr/>
          <w:p>
            <w:pPr>
              <w:pStyle w:val="Compact"/>
              <w:jc w:val="left"/>
            </w:pPr>
            <w:r>
              <w:rPr>
                <w:b/>
                <w:bCs/>
              </w:rPr>
              <w:t xml:space="preserve">Account 1</w:t>
            </w:r>
          </w:p>
        </w:tc>
        <w:tc>
          <w:tcPr/>
          <w:p>
            <w:pPr>
              <w:pStyle w:val="Compact"/>
              <w:jc w:val="left"/>
            </w:pPr>
            <w:r>
              <w:rPr>
                <w:b/>
                <w:bCs/>
              </w:rPr>
              <w:t xml:space="preserve">Account 2</w:t>
            </w:r>
          </w:p>
        </w:tc>
      </w:tr>
      <w:tr>
        <w:tc>
          <w:tcPr/>
          <w:p>
            <w:pPr>
              <w:pStyle w:val="Compact"/>
              <w:jc w:val="left"/>
            </w:pPr>
            <w:r>
              <w:rPr>
                <w:b/>
                <w:bCs/>
              </w:rPr>
              <w:t xml:space="preserve">UPN</w:t>
            </w:r>
          </w:p>
        </w:tc>
        <w:tc>
          <w:tcPr/>
          <w:p>
            <w:pPr>
              <w:pStyle w:val="Compact"/>
              <w:jc w:val="left"/>
            </w:pPr>
            <w:r>
              <w:t xml:space="preserve">BreakGlass-Admin01@tenant.onmicrosoft.com</w:t>
            </w:r>
          </w:p>
        </w:tc>
        <w:tc>
          <w:tcPr/>
          <w:p>
            <w:pPr>
              <w:pStyle w:val="Compact"/>
              <w:jc w:val="left"/>
            </w:pPr>
            <w:r>
              <w:t xml:space="preserve">BreakGlass-Admin02@tenant.onmicrosoft.com</w:t>
            </w:r>
          </w:p>
        </w:tc>
      </w:tr>
      <w:tr>
        <w:tc>
          <w:tcPr/>
          <w:p>
            <w:pPr>
              <w:pStyle w:val="Compact"/>
              <w:jc w:val="left"/>
            </w:pPr>
            <w:r>
              <w:rPr>
                <w:b/>
                <w:bCs/>
              </w:rPr>
              <w:t xml:space="preserve">Account Type</w:t>
            </w:r>
          </w:p>
        </w:tc>
        <w:tc>
          <w:tcPr/>
          <w:p>
            <w:pPr>
              <w:pStyle w:val="Compact"/>
              <w:jc w:val="left"/>
            </w:pPr>
            <w:r>
              <w:t xml:space="preserve">Cloud-only (no federation, no sync)</w:t>
            </w:r>
          </w:p>
        </w:tc>
        <w:tc>
          <w:tcPr/>
          <w:p>
            <w:pPr>
              <w:pStyle w:val="Compact"/>
              <w:jc w:val="left"/>
            </w:pPr>
            <w:r>
              <w:t xml:space="preserve">Cloud-only (no federation, no sync)</w:t>
            </w:r>
          </w:p>
        </w:tc>
      </w:tr>
      <w:tr>
        <w:tc>
          <w:tcPr/>
          <w:p>
            <w:pPr>
              <w:pStyle w:val="Compact"/>
              <w:jc w:val="left"/>
            </w:pPr>
            <w:r>
              <w:rPr>
                <w:b/>
                <w:bCs/>
              </w:rPr>
              <w:t xml:space="preserve">Directory Role</w:t>
            </w:r>
          </w:p>
        </w:tc>
        <w:tc>
          <w:tcPr/>
          <w:p>
            <w:pPr>
              <w:pStyle w:val="Compact"/>
              <w:jc w:val="left"/>
            </w:pPr>
            <w:r>
              <w:t xml:space="preserve">Global Administrator (permanent)</w:t>
            </w:r>
          </w:p>
        </w:tc>
        <w:tc>
          <w:tcPr/>
          <w:p>
            <w:pPr>
              <w:pStyle w:val="Compact"/>
              <w:jc w:val="left"/>
            </w:pPr>
            <w:r>
              <w:t xml:space="preserve">Global Administrator (permanent)</w:t>
            </w:r>
          </w:p>
        </w:tc>
      </w:tr>
      <w:tr>
        <w:tc>
          <w:tcPr/>
          <w:p>
            <w:pPr>
              <w:pStyle w:val="Compact"/>
              <w:jc w:val="left"/>
            </w:pPr>
            <w:r>
              <w:rPr>
                <w:b/>
                <w:bCs/>
              </w:rPr>
              <w:t xml:space="preserve">MFA Method</w:t>
            </w:r>
          </w:p>
        </w:tc>
        <w:tc>
          <w:tcPr/>
          <w:p>
            <w:pPr>
              <w:pStyle w:val="Compact"/>
              <w:jc w:val="left"/>
            </w:pPr>
            <w:r>
              <w:t xml:space="preserve">FIDO2 security key (YubiKey 5 NFC)</w:t>
            </w:r>
          </w:p>
        </w:tc>
        <w:tc>
          <w:tcPr/>
          <w:p>
            <w:pPr>
              <w:pStyle w:val="Compact"/>
              <w:jc w:val="left"/>
            </w:pPr>
            <w:r>
              <w:t xml:space="preserve">FIDO2 security key (YubiKey 5 NFC)</w:t>
            </w:r>
          </w:p>
        </w:tc>
      </w:tr>
      <w:tr>
        <w:tc>
          <w:tcPr/>
          <w:p>
            <w:pPr>
              <w:pStyle w:val="Compact"/>
              <w:jc w:val="left"/>
            </w:pPr>
            <w:r>
              <w:rPr>
                <w:b/>
                <w:bCs/>
              </w:rPr>
              <w:t xml:space="preserve">Password</w:t>
            </w:r>
          </w:p>
        </w:tc>
        <w:tc>
          <w:tcPr/>
          <w:p>
            <w:pPr>
              <w:pStyle w:val="Compact"/>
              <w:jc w:val="left"/>
            </w:pPr>
            <w:r>
              <w:t xml:space="preserve">64+ character randomly generated, stored in sealed envelope</w:t>
            </w:r>
          </w:p>
        </w:tc>
        <w:tc>
          <w:tcPr/>
          <w:p>
            <w:pPr>
              <w:pStyle w:val="Compact"/>
              <w:jc w:val="left"/>
            </w:pPr>
            <w:r>
              <w:t xml:space="preserve">64+ character randomly generated, stored in sealed envelope</w:t>
            </w:r>
          </w:p>
        </w:tc>
      </w:tr>
      <w:tr>
        <w:tc>
          <w:tcPr/>
          <w:p>
            <w:pPr>
              <w:pStyle w:val="Compact"/>
              <w:jc w:val="left"/>
            </w:pPr>
            <w:r>
              <w:rPr>
                <w:b/>
                <w:bCs/>
              </w:rPr>
              <w:t xml:space="preserve">CA Policy Exclusion</w:t>
            </w:r>
          </w:p>
        </w:tc>
        <w:tc>
          <w:tcPr/>
          <w:p>
            <w:pPr>
              <w:pStyle w:val="Compact"/>
              <w:jc w:val="left"/>
            </w:pPr>
            <w:r>
              <w:t xml:space="preserve">Member of SG-BreakGlass-Exclusion</w:t>
            </w:r>
          </w:p>
        </w:tc>
        <w:tc>
          <w:tcPr/>
          <w:p>
            <w:pPr>
              <w:pStyle w:val="Compact"/>
              <w:jc w:val="left"/>
            </w:pPr>
            <w:r>
              <w:t xml:space="preserve">Member of SG-BreakGlass-Exclusion</w:t>
            </w:r>
          </w:p>
        </w:tc>
      </w:tr>
      <w:tr>
        <w:tc>
          <w:tcPr/>
          <w:p>
            <w:pPr>
              <w:pStyle w:val="Compact"/>
              <w:jc w:val="left"/>
            </w:pPr>
            <w:r>
              <w:rPr>
                <w:b/>
                <w:bCs/>
              </w:rPr>
              <w:t xml:space="preserve">Password Expiry</w:t>
            </w:r>
          </w:p>
        </w:tc>
        <w:tc>
          <w:tcPr/>
          <w:p>
            <w:pPr>
              <w:pStyle w:val="Compact"/>
              <w:jc w:val="left"/>
            </w:pPr>
            <w:r>
              <w:t xml:space="preserve">Never expires</w:t>
            </w:r>
          </w:p>
        </w:tc>
        <w:tc>
          <w:tcPr/>
          <w:p>
            <w:pPr>
              <w:pStyle w:val="Compact"/>
              <w:jc w:val="left"/>
            </w:pPr>
            <w:r>
              <w:t xml:space="preserve">Never expires</w:t>
            </w:r>
          </w:p>
        </w:tc>
      </w:tr>
    </w:tbl>
    <w:p>
      <w:pPr>
        <w:pStyle w:val="BodyText"/>
      </w:pPr>
      <w:r>
        <w:t xml:space="preserve">11.2 Physical Security</w:t>
      </w:r>
    </w:p>
    <w:p>
      <w:pPr>
        <w:numPr>
          <w:ilvl w:val="0"/>
          <w:numId w:val="1103"/>
        </w:numPr>
      </w:pPr>
      <w:r>
        <w:t xml:space="preserve">FIDO2 security keys are stored in a physical safe at the primary data center with tamper-evident seals</w:t>
      </w:r>
    </w:p>
    <w:p>
      <w:pPr>
        <w:numPr>
          <w:ilvl w:val="0"/>
          <w:numId w:val="1103"/>
        </w:numPr>
      </w:pPr>
      <w:r>
        <w:t xml:space="preserve">Password envelopes are stored in a separate physical safe at a secondary location</w:t>
      </w:r>
    </w:p>
    <w:p>
      <w:pPr>
        <w:numPr>
          <w:ilvl w:val="0"/>
          <w:numId w:val="1103"/>
        </w:numPr>
      </w:pPr>
      <w:r>
        <w:t xml:space="preserve">Safe access requires two-person authorization (dual control)</w:t>
      </w:r>
    </w:p>
    <w:p>
      <w:pPr>
        <w:numPr>
          <w:ilvl w:val="0"/>
          <w:numId w:val="1103"/>
        </w:numPr>
      </w:pPr>
      <w:r>
        <w:t xml:space="preserve">Access to safes is logged in a physical access register</w:t>
      </w:r>
    </w:p>
    <w:p>
      <w:pPr>
        <w:pStyle w:val="FirstParagraph"/>
      </w:pPr>
      <w:r>
        <w:t xml:space="preserve">11.3 Monthly Validation Procedure</w:t>
      </w:r>
    </w:p>
    <w:p>
      <w:pPr>
        <w:numPr>
          <w:ilvl w:val="0"/>
          <w:numId w:val="1104"/>
        </w:numPr>
      </w:pPr>
      <w:r>
        <w:t xml:space="preserve">Verify both accounts exist and are enabled in Microsoft Entra ID</w:t>
      </w:r>
    </w:p>
    <w:p>
      <w:pPr>
        <w:numPr>
          <w:ilvl w:val="0"/>
          <w:numId w:val="1104"/>
        </w:numPr>
      </w:pPr>
      <w:r>
        <w:t xml:space="preserve">Confirm Global Administrator role is permanently assigned (not PIM-eligible)</w:t>
      </w:r>
    </w:p>
    <w:p>
      <w:pPr>
        <w:numPr>
          <w:ilvl w:val="0"/>
          <w:numId w:val="1104"/>
        </w:numPr>
      </w:pPr>
      <w:r>
        <w:t xml:space="preserve">Verify membership in SG-BreakGlass-Exclusion group</w:t>
      </w:r>
    </w:p>
    <w:p>
      <w:pPr>
        <w:numPr>
          <w:ilvl w:val="0"/>
          <w:numId w:val="1104"/>
        </w:numPr>
      </w:pPr>
      <w:r>
        <w:t xml:space="preserve">Review CA policies to confirm exclusion group is present in all policy exclusion lists</w:t>
      </w:r>
    </w:p>
    <w:p>
      <w:pPr>
        <w:numPr>
          <w:ilvl w:val="0"/>
          <w:numId w:val="1104"/>
        </w:numPr>
      </w:pPr>
      <w:r>
        <w:t xml:space="preserve">Test sign-in with Account 1 from a clean browser session (do not complete — cancel after verifying sign-in page loads and accepts credentials)</w:t>
      </w:r>
    </w:p>
    <w:p>
      <w:pPr>
        <w:numPr>
          <w:ilvl w:val="0"/>
          <w:numId w:val="1104"/>
        </w:numPr>
      </w:pPr>
      <w:r>
        <w:t xml:space="preserve">Verify tamper-evident seals on FIDO2 key safe and password envelope safe are intact</w:t>
      </w:r>
    </w:p>
    <w:p>
      <w:pPr>
        <w:numPr>
          <w:ilvl w:val="0"/>
          <w:numId w:val="1104"/>
        </w:numPr>
      </w:pPr>
      <w:r>
        <w:t xml:space="preserve">Record validation date, validator name, and results in the Break-Glass Validation Log</w:t>
      </w:r>
    </w:p>
    <w:p>
      <w:pPr>
        <w:pStyle w:val="FirstParagraph"/>
      </w:pPr>
      <w:r>
        <w:t xml:space="preserve">11.4 Monitoring Alerts</w:t>
      </w:r>
    </w:p>
    <w:p>
      <w:pPr>
        <w:pStyle w:val="BodyText"/>
      </w:pPr>
      <w:r>
        <w:t xml:space="preserve">The following alerts must be configured to detect any usage of break-glass accounts:</w:t>
      </w:r>
    </w:p>
    <w:p>
      <w:pPr>
        <w:numPr>
          <w:ilvl w:val="0"/>
          <w:numId w:val="1105"/>
        </w:numPr>
      </w:pPr>
      <w:r>
        <w:rPr>
          <w:b/>
          <w:bCs/>
        </w:rPr>
        <w:t xml:space="preserve">Azure Monitor Alert:</w:t>
      </w:r>
      <w:r>
        <w:t xml:space="preserve"> </w:t>
      </w:r>
      <w:r>
        <w:t xml:space="preserve">Trigger on any sign-in event where UserPrincipalName contains "BreakGlass"</w:t>
      </w:r>
    </w:p>
    <w:p>
      <w:pPr>
        <w:numPr>
          <w:ilvl w:val="0"/>
          <w:numId w:val="1105"/>
        </w:numPr>
      </w:pPr>
      <w:r>
        <w:rPr>
          <w:b/>
          <w:bCs/>
        </w:rPr>
        <w:t xml:space="preserve">Severity:</w:t>
      </w:r>
      <w:r>
        <w:t xml:space="preserve"> </w:t>
      </w:r>
      <w:r>
        <w:t xml:space="preserve">Critical (P1 incident)</w:t>
      </w:r>
    </w:p>
    <w:p>
      <w:pPr>
        <w:numPr>
          <w:ilvl w:val="0"/>
          <w:numId w:val="1105"/>
        </w:numPr>
      </w:pPr>
      <w:r>
        <w:rPr>
          <w:b/>
          <w:bCs/>
        </w:rPr>
        <w:t xml:space="preserve">Notification:</w:t>
      </w:r>
      <w:r>
        <w:t xml:space="preserve"> </w:t>
      </w:r>
      <w:r>
        <w:t xml:space="preserve">Email and SMS to Security Operations team lead, CISO, and Identity team lead</w:t>
      </w:r>
    </w:p>
    <w:p>
      <w:pPr>
        <w:numPr>
          <w:ilvl w:val="0"/>
          <w:numId w:val="1105"/>
        </w:numPr>
      </w:pPr>
      <w:r>
        <w:rPr>
          <w:b/>
          <w:bCs/>
        </w:rPr>
        <w:t xml:space="preserve">Response:</w:t>
      </w:r>
      <w:r>
        <w:t xml:space="preserve"> </w:t>
      </w:r>
      <w:r>
        <w:t xml:space="preserve">Immediately investigate the sign-in, confirm it was authorized, and document the incident</w:t>
      </w:r>
    </w:p>
    <w:tbl>
      <w:tblPr>
        <w:tblStyle w:val="Table"/>
        <w:tblW w:type="pct" w:w="5039"/>
        <w:tblLayout w:type="fixed"/>
        <w:tblLook w:firstRow="0" w:lastRow="0" w:firstColumn="0" w:lastColumn="0" w:noHBand="0" w:noVBand="0" w:val="0000"/>
      </w:tblPr>
      <w:tblGrid>
        <w:gridCol w:w="7982"/>
      </w:tblGrid>
      <w:tr>
        <w:tc>
          <w:tcPr/>
          <w:p>
            <w:pPr>
              <w:pStyle w:val="FirstParagraph"/>
            </w:pPr>
            <w:r>
              <w:rPr>
                <w:b/>
                <w:bCs/>
              </w:rPr>
              <w:t xml:space="preserve">Important</w:t>
            </w:r>
          </w:p>
          <w:p>
            <w:pPr>
              <w:pStyle w:val="BodyText"/>
            </w:pPr>
            <w:r>
              <w:t xml:space="preserve">Any break-glass account usage outside of planned validation constitutes a security incident and must trigger the organization</w:t>
            </w:r>
          </w:p>
          <w:p>
            <w:pPr>
              <w:pStyle w:val="BodyText"/>
            </w:pPr>
            <w:r>
              <w:t xml:space="preserve">’</w:t>
            </w:r>
          </w:p>
          <w:p>
            <w:pPr>
              <w:pStyle w:val="BodyText"/>
            </w:pPr>
            <w:r>
              <w:t xml:space="preserve">s incident response process. All actions taken with break-glass credentials must be documented and reviewed within 24 hours.</w:t>
            </w:r>
          </w:p>
        </w:tc>
      </w:tr>
    </w:tbl>
    <w:p>
      <w:pPr>
        <w:pStyle w:val="BodyText"/>
      </w:pPr>
      <w:r>
        <w:t xml:space="preserve">Section 12: Monitoring and Compliance</w:t>
      </w:r>
    </w:p>
    <w:p>
      <w:pPr>
        <w:pStyle w:val="BodyText"/>
      </w:pPr>
      <w:r>
        <w:t xml:space="preserve">12.1 Sign-in Log Analysis Queries (KQL)</w:t>
      </w:r>
    </w:p>
    <w:p>
      <w:pPr>
        <w:pStyle w:val="BodyText"/>
      </w:pPr>
      <w:r>
        <w:t xml:space="preserve">The following KQL queries can be executed in Azure Monitor Log Analytics to analyze Conditional Access policy effectiveness.</w:t>
      </w:r>
    </w:p>
    <w:p>
      <w:pPr>
        <w:pStyle w:val="BodyText"/>
      </w:pPr>
      <w:r>
        <w:rPr>
          <w:b/>
          <w:bCs/>
        </w:rPr>
        <w:t xml:space="preserve">Query 1: CA Policy Hit Rate by Policy Name</w:t>
      </w:r>
    </w:p>
    <w:tbl>
      <w:tblPr>
        <w:tblStyle w:val="Table"/>
        <w:tblW w:type="pct" w:w="4982"/>
        <w:tblLayout w:type="fixed"/>
        <w:tblLook w:firstRow="0" w:lastRow="0" w:firstColumn="0" w:lastColumn="0" w:noHBand="0" w:noVBand="0" w:val="0000"/>
      </w:tblPr>
      <w:tblGrid>
        <w:gridCol w:w="7892"/>
      </w:tblGrid>
      <w:tr>
        <w:tc>
          <w:tcPr/>
          <w:p>
            <w:pPr>
              <w:pStyle w:val="Compact"/>
              <w:jc w:val="left"/>
            </w:pPr>
            <w:r>
              <w:t xml:space="preserve">SigninLogs | where TimeGenerated &gt; ago(7d) | mv-expand ConditionalAccessPolicies | extend PolicyName = tostring(ConditionalAccessPolicies.displayName) | extend PolicyResult = tostring(ConditionalAccessPolicies.result) | summarize TotalEvaluations = count, Success = countif(PolicyResult == "success"), Failure = countif(PolicyResult == "failure"), NotApplied = countif(PolicyResult == "notApplied"), ReportOnly = countif(PolicyResult == "reportOnlySuccess" or PolicyResult == "reportOnlyFailure") by PolicyName | sort by TotalEvaluations desc</w:t>
            </w:r>
          </w:p>
        </w:tc>
      </w:tr>
    </w:tbl>
    <w:p>
      <w:pPr>
        <w:pStyle w:val="BodyText"/>
      </w:pPr>
      <w:r>
        <w:rPr>
          <w:b/>
          <w:bCs/>
        </w:rPr>
        <w:t xml:space="preserve">Query 2: Failed Sign-ins Due to CA Block</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SigninLogs | where TimeGenerated &gt; ago(24h) | where ResultType == "53003" // Blocked by Conditional Access | project TimeGenerated, UserPrincipalName, AppDisplayName, IPAddress, Location = strcat(LocationDetails.city, ", ", LocationDetails.state, ", ", LocationDetails.countryOrRegion), DeviceDetail.operatingSystem, ConditionalAccessStatus | sort by TimeGenerated desc</w:t>
            </w:r>
          </w:p>
        </w:tc>
      </w:tr>
    </w:tbl>
    <w:p>
      <w:pPr>
        <w:pStyle w:val="BodyText"/>
      </w:pPr>
      <w:r>
        <w:rPr>
          <w:b/>
          <w:bCs/>
        </w:rPr>
        <w:t xml:space="preserve">Query 3: Users Without MFA Registration</w:t>
      </w:r>
    </w:p>
    <w:tbl>
      <w:tblPr>
        <w:tblStyle w:val="Table"/>
        <w:tblW w:type="pct" w:w="4972"/>
        <w:tblLayout w:type="fixed"/>
        <w:tblLook w:firstRow="0" w:lastRow="0" w:firstColumn="0" w:lastColumn="0" w:noHBand="0" w:noVBand="0" w:val="0000"/>
      </w:tblPr>
      <w:tblGrid>
        <w:gridCol w:w="7875"/>
      </w:tblGrid>
      <w:tr>
        <w:tc>
          <w:tcPr/>
          <w:p>
            <w:pPr>
              <w:pStyle w:val="Compact"/>
              <w:jc w:val="left"/>
            </w:pPr>
            <w:r>
              <w:t xml:space="preserve">SigninLogs | where TimeGenerated &gt; ago(7d) | mv-expand ConditionalAccessPolicies | where ConditionalAccessPolicies.displayName == "CA-001: Require MFA for All Users" | where ConditionalAccessPolicies.result == "reportOnlyFailure" or ConditionalAccessPolicies.result == "failure" | distinct UserPrincipalName | sort by UserPrincipalName asc</w:t>
            </w:r>
          </w:p>
        </w:tc>
      </w:tr>
    </w:tbl>
    <w:p>
      <w:pPr>
        <w:pStyle w:val="BodyText"/>
      </w:pPr>
      <w:r>
        <w:rPr>
          <w:b/>
          <w:bCs/>
        </w:rPr>
        <w:t xml:space="preserve">Query 4: Legacy Authentication Attempts</w:t>
      </w:r>
    </w:p>
    <w:tbl>
      <w:tblPr>
        <w:tblStyle w:val="Table"/>
        <w:tblW w:type="pct" w:w="4975"/>
        <w:tblLayout w:type="fixed"/>
        <w:tblLook w:firstRow="0" w:lastRow="0" w:firstColumn="0" w:lastColumn="0" w:noHBand="0" w:noVBand="0" w:val="0000"/>
      </w:tblPr>
      <w:tblGrid>
        <w:gridCol w:w="7880"/>
      </w:tblGrid>
      <w:tr>
        <w:tc>
          <w:tcPr/>
          <w:p>
            <w:pPr>
              <w:pStyle w:val="Compact"/>
              <w:jc w:val="left"/>
            </w:pPr>
            <w:r>
              <w:t xml:space="preserve">SigninLogs | where TimeGenerated &gt; ago(7d) | where ClientAppUsed in ("Exchange ActiveSync", "IMAP4", "MAPI Over HTTP", "Offline Address Book", "Other clients", "Outlook Anywhere (RPC over HTTP)", "POP3", "Reporting Web Services", "SMTP", "Authenticated SMTP") | summarize AttemptCount = count by UserPrincipalName, ClientAppUsed, AppDisplayName | sort by AttemptCount desc</w:t>
            </w:r>
          </w:p>
        </w:tc>
      </w:tr>
    </w:tbl>
    <w:p>
      <w:pPr>
        <w:pStyle w:val="BodyText"/>
      </w:pPr>
      <w:r>
        <w:t xml:space="preserve">12.2 Policy Coverage Gap Detection</w:t>
      </w:r>
    </w:p>
    <w:p>
      <w:pPr>
        <w:pStyle w:val="BodyText"/>
      </w:pPr>
      <w:r>
        <w:t xml:space="preserve">Use the following query to identify sign-ins where no Conditional Access policy was applied, indicating a potential coverage gap:</w:t>
      </w:r>
    </w:p>
    <w:tbl>
      <w:tblPr>
        <w:tblStyle w:val="Table"/>
        <w:tblW w:type="pct" w:w="4967"/>
        <w:tblLayout w:type="fixed"/>
        <w:tblLook w:firstRow="0" w:lastRow="0" w:firstColumn="0" w:lastColumn="0" w:noHBand="0" w:noVBand="0" w:val="0000"/>
      </w:tblPr>
      <w:tblGrid>
        <w:gridCol w:w="7867"/>
      </w:tblGrid>
      <w:tr>
        <w:tc>
          <w:tcPr/>
          <w:p>
            <w:pPr>
              <w:pStyle w:val="Compact"/>
              <w:jc w:val="left"/>
            </w:pPr>
            <w:r>
              <w:t xml:space="preserve">SigninLogs | where TimeGenerated &gt; ago(7d) | where ConditionalAccessStatus == "notApplied" | where ResultType == 0 // Successful sign-ins only | summarize SignInCount = count, UniqueUsers = dcount(UserPrincipalName) by AppDisplayName | where SignInCount &gt; 10 | sort by SignInCount desc</w:t>
            </w:r>
          </w:p>
        </w:tc>
      </w:tr>
    </w:tbl>
    <w:p>
      <w:pPr>
        <w:pStyle w:val="BodyText"/>
      </w:pPr>
      <w:r>
        <w:t xml:space="preserve">12.3 Workbook Templates</w:t>
      </w:r>
    </w:p>
    <w:p>
      <w:pPr>
        <w:pStyle w:val="BodyText"/>
      </w:pPr>
      <w:r>
        <w:t xml:space="preserve">Deploy the following Azure Monitor Workbooks for ongoing CA policy monitoring:</w:t>
      </w:r>
    </w:p>
    <w:tbl>
      <w:tblPr>
        <w:tblStyle w:val="Table"/>
        <w:tblW w:type="pct" w:w="4947"/>
        <w:tblLayout w:type="fixed"/>
        <w:tblLook w:firstRow="1" w:lastRow="0" w:firstColumn="0" w:lastColumn="0" w:noHBand="0" w:noVBand="0" w:val="0020"/>
      </w:tblPr>
      <w:tblGrid>
        <w:gridCol w:w="1312"/>
        <w:gridCol w:w="2710"/>
        <w:gridCol w:w="3811"/>
      </w:tblGrid>
      <w:tr>
        <w:trPr>
          <w:tblHeader w:val="on"/>
        </w:trPr>
        <w:tc>
          <w:tcPr/>
          <w:p>
            <w:pPr>
              <w:pStyle w:val="Compact"/>
              <w:jc w:val="left"/>
            </w:pPr>
            <w:r>
              <w:rPr>
                <w:b/>
                <w:bCs/>
              </w:rPr>
              <w:t xml:space="preserve">Workbook</w:t>
            </w:r>
          </w:p>
        </w:tc>
        <w:tc>
          <w:tcPr/>
          <w:p>
            <w:pPr>
              <w:pStyle w:val="Compact"/>
              <w:jc w:val="left"/>
            </w:pPr>
            <w:r>
              <w:rPr>
                <w:b/>
                <w:bCs/>
              </w:rPr>
              <w:t xml:space="preserve">Purpose</w:t>
            </w:r>
          </w:p>
        </w:tc>
        <w:tc>
          <w:tcPr/>
          <w:p>
            <w:pPr>
              <w:pStyle w:val="Compact"/>
              <w:jc w:val="left"/>
            </w:pPr>
            <w:r>
              <w:rPr>
                <w:b/>
                <w:bCs/>
              </w:rPr>
              <w:t xml:space="preserve">Key Metrics</w:t>
            </w:r>
          </w:p>
        </w:tc>
      </w:tr>
      <w:tr>
        <w:tc>
          <w:tcPr/>
          <w:p>
            <w:pPr>
              <w:pStyle w:val="Compact"/>
              <w:jc w:val="left"/>
            </w:pPr>
            <w:r>
              <w:rPr>
                <w:b/>
                <w:bCs/>
              </w:rPr>
              <w:t xml:space="preserve">CA Policy Overview</w:t>
            </w:r>
          </w:p>
        </w:tc>
        <w:tc>
          <w:tcPr/>
          <w:p>
            <w:pPr>
              <w:pStyle w:val="Compact"/>
              <w:jc w:val="left"/>
            </w:pPr>
            <w:r>
              <w:t xml:space="preserve">High-level dashboard of all policy states and hit rates</w:t>
            </w:r>
          </w:p>
        </w:tc>
        <w:tc>
          <w:tcPr/>
          <w:p>
            <w:pPr>
              <w:pStyle w:val="Compact"/>
              <w:jc w:val="left"/>
            </w:pPr>
            <w:r>
              <w:t xml:space="preserve">Policies in report-only vs. enforced, top triggered policies, policy failure rate</w:t>
            </w:r>
          </w:p>
        </w:tc>
      </w:tr>
      <w:tr>
        <w:tc>
          <w:tcPr/>
          <w:p>
            <w:pPr>
              <w:pStyle w:val="Compact"/>
              <w:jc w:val="left"/>
            </w:pPr>
            <w:r>
              <w:rPr>
                <w:b/>
                <w:bCs/>
              </w:rPr>
              <w:t xml:space="preserve">MFA Registration &amp; Usage</w:t>
            </w:r>
          </w:p>
        </w:tc>
        <w:tc>
          <w:tcPr/>
          <w:p>
            <w:pPr>
              <w:pStyle w:val="Compact"/>
              <w:jc w:val="left"/>
            </w:pPr>
            <w:r>
              <w:t xml:space="preserve">Track MFA registration completeness and method distribution</w:t>
            </w:r>
          </w:p>
        </w:tc>
        <w:tc>
          <w:tcPr/>
          <w:p>
            <w:pPr>
              <w:pStyle w:val="Compact"/>
              <w:jc w:val="left"/>
            </w:pPr>
            <w:r>
              <w:t xml:space="preserve">% registered, method breakdown (FIDO2, WHfB, Authenticator, Phone), registration trend</w:t>
            </w:r>
          </w:p>
        </w:tc>
      </w:tr>
      <w:tr>
        <w:tc>
          <w:tcPr/>
          <w:p>
            <w:pPr>
              <w:pStyle w:val="Compact"/>
              <w:jc w:val="left"/>
            </w:pPr>
            <w:r>
              <w:rPr>
                <w:b/>
                <w:bCs/>
              </w:rPr>
              <w:t xml:space="preserve">Device Compliance</w:t>
            </w:r>
          </w:p>
        </w:tc>
        <w:tc>
          <w:tcPr/>
          <w:p>
            <w:pPr>
              <w:pStyle w:val="Compact"/>
              <w:jc w:val="left"/>
            </w:pPr>
            <w:r>
              <w:t xml:space="preserve">Monitor Intune device compliance rates by tier</w:t>
            </w:r>
          </w:p>
        </w:tc>
        <w:tc>
          <w:tcPr/>
          <w:p>
            <w:pPr>
              <w:pStyle w:val="Compact"/>
              <w:jc w:val="left"/>
            </w:pPr>
            <w:r>
              <w:t xml:space="preserve">Compliant vs. non-compliant by extensionAttribute4, compliance failure reasons</w:t>
            </w:r>
          </w:p>
        </w:tc>
      </w:tr>
      <w:tr>
        <w:tc>
          <w:tcPr/>
          <w:p>
            <w:pPr>
              <w:pStyle w:val="Compact"/>
              <w:jc w:val="left"/>
            </w:pPr>
            <w:r>
              <w:rPr>
                <w:b/>
                <w:bCs/>
              </w:rPr>
              <w:t xml:space="preserve">Risk Event Analysis</w:t>
            </w:r>
          </w:p>
        </w:tc>
        <w:tc>
          <w:tcPr/>
          <w:p>
            <w:pPr>
              <w:pStyle w:val="Compact"/>
              <w:jc w:val="left"/>
            </w:pPr>
            <w:r>
              <w:t xml:space="preserve">Visualize Entra ID Protection risk detections and CA response</w:t>
            </w:r>
          </w:p>
        </w:tc>
        <w:tc>
          <w:tcPr/>
          <w:p>
            <w:pPr>
              <w:pStyle w:val="Compact"/>
              <w:jc w:val="left"/>
            </w:pPr>
            <w:r>
              <w:t xml:space="preserve">Risk events by type, sign-in risk vs. user risk trends, CA-061/062/063 trigger rates</w:t>
            </w:r>
          </w:p>
        </w:tc>
      </w:tr>
      <w:tr>
        <w:tc>
          <w:tcPr/>
          <w:p>
            <w:pPr>
              <w:pStyle w:val="Compact"/>
              <w:jc w:val="left"/>
            </w:pPr>
            <w:r>
              <w:rPr>
                <w:b/>
                <w:bCs/>
              </w:rPr>
              <w:t xml:space="preserve">Break-Glass Monitoring</w:t>
            </w:r>
          </w:p>
        </w:tc>
        <w:tc>
          <w:tcPr/>
          <w:p>
            <w:pPr>
              <w:pStyle w:val="Compact"/>
              <w:jc w:val="left"/>
            </w:pPr>
            <w:r>
              <w:t xml:space="preserve">Alert on and audit any break-glass account activity</w:t>
            </w:r>
          </w:p>
        </w:tc>
        <w:tc>
          <w:tcPr/>
          <w:p>
            <w:pPr>
              <w:pStyle w:val="Compact"/>
              <w:jc w:val="left"/>
            </w:pPr>
            <w:r>
              <w:t xml:space="preserve">Sign-in count (should be near zero), sign-in details, source IP/location</w:t>
            </w:r>
          </w:p>
        </w:tc>
      </w:tr>
    </w:tbl>
    <w:p>
      <w:pPr>
        <w:pStyle w:val="BodyText"/>
      </w:pPr>
      <w:r>
        <w:t xml:space="preserve">12.4 Integration with the Federal Modernization Program Drift Detection</w:t>
      </w:r>
    </w:p>
    <w:p>
      <w:pPr>
        <w:pStyle w:val="BodyText"/>
      </w:pPr>
      <w:r>
        <w:t xml:space="preserve">The Federal Modernization Program Drift Detection module continuously compares the live CA policy configuration in the tenant against the baseline definitions in this library. Drift detection monitors:</w:t>
      </w:r>
    </w:p>
    <w:p>
      <w:pPr>
        <w:numPr>
          <w:ilvl w:val="0"/>
          <w:numId w:val="1106"/>
        </w:numPr>
      </w:pPr>
      <w:r>
        <w:rPr>
          <w:b/>
          <w:bCs/>
        </w:rPr>
        <w:t xml:space="preserve">Policy state changes:</w:t>
      </w:r>
      <w:r>
        <w:t xml:space="preserve"> </w:t>
      </w:r>
      <w:r>
        <w:t xml:space="preserve">Alerts when a policy is switched from On to Off or Report-only without change management approval</w:t>
      </w:r>
    </w:p>
    <w:p>
      <w:pPr>
        <w:numPr>
          <w:ilvl w:val="0"/>
          <w:numId w:val="1106"/>
        </w:numPr>
      </w:pPr>
      <w:r>
        <w:rPr>
          <w:b/>
          <w:bCs/>
        </w:rPr>
        <w:t xml:space="preserve">Exclusion group modifications:</w:t>
      </w:r>
      <w:r>
        <w:t xml:space="preserve"> </w:t>
      </w:r>
      <w:r>
        <w:t xml:space="preserve">Alerts when users are added to or removed from SG-BreakGlass-Exclusion or other policy exclusion groups</w:t>
      </w:r>
    </w:p>
    <w:p>
      <w:pPr>
        <w:numPr>
          <w:ilvl w:val="0"/>
          <w:numId w:val="1106"/>
        </w:numPr>
      </w:pPr>
      <w:r>
        <w:rPr>
          <w:b/>
          <w:bCs/>
        </w:rPr>
        <w:t xml:space="preserve">Condition changes:</w:t>
      </w:r>
      <w:r>
        <w:t xml:space="preserve"> </w:t>
      </w:r>
      <w:r>
        <w:t xml:space="preserve">Detects modifications to named locations, app assignments, or grant/session controls</w:t>
      </w:r>
    </w:p>
    <w:p>
      <w:pPr>
        <w:numPr>
          <w:ilvl w:val="0"/>
          <w:numId w:val="1106"/>
        </w:numPr>
      </w:pPr>
      <w:r>
        <w:rPr>
          <w:b/>
          <w:bCs/>
        </w:rPr>
        <w:t xml:space="preserve">New or deleted policies:</w:t>
      </w:r>
      <w:r>
        <w:t xml:space="preserve"> </w:t>
      </w:r>
      <w:r>
        <w:t xml:space="preserve">Alerts when policies are created or deleted outside of the approved change management process</w:t>
      </w:r>
    </w:p>
    <w:p>
      <w:pPr>
        <w:numPr>
          <w:ilvl w:val="0"/>
          <w:numId w:val="1106"/>
        </w:numPr>
      </w:pPr>
      <w:r>
        <w:rPr>
          <w:b/>
          <w:bCs/>
        </w:rPr>
        <w:t xml:space="preserve">Extension attribute drift:</w:t>
      </w:r>
      <w:r>
        <w:t xml:space="preserve"> </w:t>
      </w:r>
      <w:r>
        <w:t xml:space="preserve">Monitors for users or devices with missing or incorrect extension attributes that would cause them to fall outside policy scope</w:t>
      </w:r>
    </w:p>
    <w:p>
      <w:pPr>
        <w:pStyle w:val="FirstParagraph"/>
      </w:pPr>
      <w:r>
        <w:t xml:space="preserve">Appendix A: JSON Export Templates</w:t>
      </w:r>
    </w:p>
    <w:p>
      <w:pPr>
        <w:pStyle w:val="BodyText"/>
      </w:pPr>
      <w:r>
        <w:t xml:space="preserve">The following JSON structures represent the Microsoft Graph API export format for three representative policies. These can be used as templates for automated deployment via the Graph API or PowerShell.</w:t>
      </w:r>
    </w:p>
    <w:p>
      <w:pPr>
        <w:pStyle w:val="BodyText"/>
      </w:pPr>
      <w:r>
        <w:t xml:space="preserve">A.1 Graph API Endpoints</w:t>
      </w:r>
    </w:p>
    <w:tbl>
      <w:tblPr>
        <w:tblStyle w:val="Table"/>
        <w:tblW w:type="pct" w:w="4884"/>
        <w:tblLayout w:type="fixed"/>
        <w:tblLook w:firstRow="1" w:lastRow="0" w:firstColumn="0" w:lastColumn="0" w:noHBand="0" w:noVBand="0" w:val="0020"/>
      </w:tblPr>
      <w:tblGrid>
        <w:gridCol w:w="2026"/>
        <w:gridCol w:w="1657"/>
        <w:gridCol w:w="4052"/>
      </w:tblGrid>
      <w:tr>
        <w:trPr>
          <w:tblHeader w:val="on"/>
        </w:trPr>
        <w:tc>
          <w:tcPr/>
          <w:p>
            <w:pPr>
              <w:pStyle w:val="Compact"/>
              <w:jc w:val="left"/>
            </w:pPr>
            <w:r>
              <w:rPr>
                <w:b/>
                <w:bCs/>
              </w:rPr>
              <w:t xml:space="preserve">Operation</w:t>
            </w:r>
          </w:p>
        </w:tc>
        <w:tc>
          <w:tcPr/>
          <w:p>
            <w:pPr>
              <w:pStyle w:val="Compact"/>
              <w:jc w:val="left"/>
            </w:pPr>
            <w:r>
              <w:rPr>
                <w:b/>
                <w:bCs/>
              </w:rPr>
              <w:t xml:space="preserve">HTTP Method</w:t>
            </w:r>
          </w:p>
        </w:tc>
        <w:tc>
          <w:tcPr/>
          <w:p>
            <w:pPr>
              <w:pStyle w:val="Compact"/>
              <w:jc w:val="left"/>
            </w:pPr>
            <w:r>
              <w:rPr>
                <w:b/>
                <w:bCs/>
              </w:rPr>
              <w:t xml:space="preserve">Endpoint</w:t>
            </w:r>
          </w:p>
        </w:tc>
      </w:tr>
      <w:tr>
        <w:tc>
          <w:tcPr/>
          <w:p>
            <w:pPr>
              <w:pStyle w:val="Compact"/>
              <w:jc w:val="left"/>
            </w:pPr>
            <w:r>
              <w:t xml:space="preserve">List all policies</w:t>
            </w:r>
          </w:p>
        </w:tc>
        <w:tc>
          <w:tcPr/>
          <w:p>
            <w:pPr>
              <w:pStyle w:val="Compact"/>
              <w:jc w:val="left"/>
            </w:pPr>
            <w:r>
              <w:t xml:space="preserve">GET</w:t>
            </w:r>
          </w:p>
        </w:tc>
        <w:tc>
          <w:tcPr/>
          <w:p>
            <w:pPr>
              <w:pStyle w:val="Compact"/>
              <w:jc w:val="left"/>
            </w:pPr>
            <w:r>
              <w:t xml:space="preserve">/identity/conditionalAccess/policies</w:t>
            </w:r>
          </w:p>
        </w:tc>
      </w:tr>
      <w:tr>
        <w:tc>
          <w:tcPr/>
          <w:p>
            <w:pPr>
              <w:pStyle w:val="Compact"/>
              <w:jc w:val="left"/>
            </w:pPr>
            <w:r>
              <w:t xml:space="preserve">Get specific policy</w:t>
            </w:r>
          </w:p>
        </w:tc>
        <w:tc>
          <w:tcPr/>
          <w:p>
            <w:pPr>
              <w:pStyle w:val="Compact"/>
              <w:jc w:val="left"/>
            </w:pPr>
            <w:r>
              <w:t xml:space="preserve">GET</w:t>
            </w:r>
          </w:p>
        </w:tc>
        <w:tc>
          <w:tcPr/>
          <w:p>
            <w:pPr>
              <w:pStyle w:val="Compact"/>
              <w:jc w:val="left"/>
            </w:pPr>
            <w:r>
              <w:t xml:space="preserve">/identity/conditionalAccess/policies/{id}</w:t>
            </w:r>
          </w:p>
        </w:tc>
      </w:tr>
      <w:tr>
        <w:tc>
          <w:tcPr/>
          <w:p>
            <w:pPr>
              <w:pStyle w:val="Compact"/>
              <w:jc w:val="left"/>
            </w:pPr>
            <w:r>
              <w:t xml:space="preserve">Create policy</w:t>
            </w:r>
          </w:p>
        </w:tc>
        <w:tc>
          <w:tcPr/>
          <w:p>
            <w:pPr>
              <w:pStyle w:val="Compact"/>
              <w:jc w:val="left"/>
            </w:pPr>
            <w:r>
              <w:t xml:space="preserve">POST</w:t>
            </w:r>
          </w:p>
        </w:tc>
        <w:tc>
          <w:tcPr/>
          <w:p>
            <w:pPr>
              <w:pStyle w:val="Compact"/>
              <w:jc w:val="left"/>
            </w:pPr>
            <w:r>
              <w:t xml:space="preserve">/identity/conditionalAccess/policies</w:t>
            </w:r>
          </w:p>
        </w:tc>
      </w:tr>
      <w:tr>
        <w:tc>
          <w:tcPr/>
          <w:p>
            <w:pPr>
              <w:pStyle w:val="Compact"/>
              <w:jc w:val="left"/>
            </w:pPr>
            <w:r>
              <w:t xml:space="preserve">Update policy</w:t>
            </w:r>
          </w:p>
        </w:tc>
        <w:tc>
          <w:tcPr/>
          <w:p>
            <w:pPr>
              <w:pStyle w:val="Compact"/>
              <w:jc w:val="left"/>
            </w:pPr>
            <w:r>
              <w:t xml:space="preserve">PATCH</w:t>
            </w:r>
          </w:p>
        </w:tc>
        <w:tc>
          <w:tcPr/>
          <w:p>
            <w:pPr>
              <w:pStyle w:val="Compact"/>
              <w:jc w:val="left"/>
            </w:pPr>
            <w:r>
              <w:t xml:space="preserve">/identity/conditionalAccess/policies/{id}</w:t>
            </w:r>
          </w:p>
        </w:tc>
      </w:tr>
      <w:tr>
        <w:tc>
          <w:tcPr/>
          <w:p>
            <w:pPr>
              <w:pStyle w:val="Compact"/>
              <w:jc w:val="left"/>
            </w:pPr>
            <w:r>
              <w:t xml:space="preserve">Delete policy</w:t>
            </w:r>
          </w:p>
        </w:tc>
        <w:tc>
          <w:tcPr/>
          <w:p>
            <w:pPr>
              <w:pStyle w:val="Compact"/>
              <w:jc w:val="left"/>
            </w:pPr>
            <w:r>
              <w:t xml:space="preserve">DELETE</w:t>
            </w:r>
          </w:p>
        </w:tc>
        <w:tc>
          <w:tcPr/>
          <w:p>
            <w:pPr>
              <w:pStyle w:val="Compact"/>
              <w:jc w:val="left"/>
            </w:pPr>
            <w:r>
              <w:t xml:space="preserve">/identity/conditionalAccess/policies/{id}</w:t>
            </w:r>
          </w:p>
        </w:tc>
      </w:tr>
    </w:tbl>
    <w:p>
      <w:pPr>
        <w:pStyle w:val="BodyText"/>
      </w:pPr>
      <w:r>
        <w:t xml:space="preserve">A.2 PowerShell Cmdlets</w:t>
      </w:r>
    </w:p>
    <w:tbl>
      <w:tblPr>
        <w:tblStyle w:val="Table"/>
        <w:tblW w:type="pct" w:w="4986"/>
        <w:tblLayout w:type="fixed"/>
        <w:tblLook w:firstRow="0" w:lastRow="0" w:firstColumn="0" w:lastColumn="0" w:noHBand="0" w:noVBand="0" w:val="0000"/>
      </w:tblPr>
      <w:tblGrid>
        <w:gridCol w:w="7898"/>
      </w:tblGrid>
      <w:tr>
        <w:tc>
          <w:tcPr/>
          <w:p>
            <w:pPr>
              <w:pStyle w:val="Compact"/>
              <w:jc w:val="left"/>
            </w:pPr>
            <w:r>
              <w:t xml:space="preserve"># Install Microsoft Graph PowerShell SDK Install-Module Microsoft.Graph -Scope CurrentUser # Connect with required permissions Connect-MgGraph -Scopes "Policy.ReadWrite.ConditionalAccess", "Policy.Read.All", "Directory.Read.All" # List all Conditional Access policies Get-MgIdentityConditionalAccessPolicy | Select-Object DisplayName, State # Export a specific policy to JSON $policy = Get-MgIdentityConditionalAccessPolicy -ConditionalAccessPolicyId "{id}" $policy | ConvertTo-Json -Depth 10 | Out-File "CA-001-export.json" # Create a new policy from JSON template $policyBody = Get-Content "CA-001-template.json" | ConvertFrom-Json New-MgIdentityConditionalAccessPolicy -BodyParameter $policyBody</w:t>
            </w:r>
          </w:p>
        </w:tc>
      </w:tr>
    </w:tbl>
    <w:p>
      <w:pPr>
        <w:pStyle w:val="BodyText"/>
      </w:pPr>
      <w:r>
        <w:t xml:space="preserve">A.3 CA-001 — JSON Template</w:t>
      </w:r>
    </w:p>
    <w:tbl>
      <w:tblPr>
        <w:tblStyle w:val="Table"/>
        <w:tblW w:type="pct" w:w="4981"/>
        <w:tblLayout w:type="fixed"/>
        <w:tblLook w:firstRow="0" w:lastRow="0" w:firstColumn="0" w:lastColumn="0" w:noHBand="0" w:noVBand="0" w:val="0000"/>
      </w:tblPr>
      <w:tblGrid>
        <w:gridCol w:w="7890"/>
      </w:tblGrid>
      <w:tr>
        <w:tc>
          <w:tcPr/>
          <w:p>
            <w:pPr>
              <w:pStyle w:val="Compact"/>
              <w:jc w:val="left"/>
            </w:pPr>
            <w:r>
              <w:t xml:space="preserve">{ "displayName": "CA-001: Require MFA for All Users", "state": "enabledForReportingButNotEnforced", "conditions": { "users": { "includeUsers": ["All"], "excludeGroups": ["{SG-BreakGlass-Exclusion-ObjectId}"] }, "applications": { "includeApplications": ["All"] }, "clientAppTypes": ["all"] }, "grantControls": { "operator": "OR", "authenticationStrength": { "id": "00000000-0000-0000-0000-000000000002", "displayName": "Multifactor authentication" } }, "sessionControls": null }</w:t>
            </w:r>
          </w:p>
        </w:tc>
      </w:tr>
    </w:tbl>
    <w:p>
      <w:pPr>
        <w:pStyle w:val="BodyText"/>
      </w:pPr>
      <w:r>
        <w:t xml:space="preserve">A.4 CA-010 — JSON Template</w:t>
      </w:r>
    </w:p>
    <w:tbl>
      <w:tblPr>
        <w:tblStyle w:val="Table"/>
        <w:tblW w:type="pct" w:w="4988"/>
        <w:tblLayout w:type="fixed"/>
        <w:tblLook w:firstRow="0" w:lastRow="0" w:firstColumn="0" w:lastColumn="0" w:noHBand="0" w:noVBand="0" w:val="0000"/>
      </w:tblPr>
      <w:tblGrid>
        <w:gridCol w:w="7901"/>
      </w:tblGrid>
      <w:tr>
        <w:tc>
          <w:tcPr/>
          <w:p>
            <w:pPr>
              <w:pStyle w:val="Compact"/>
              <w:jc w:val="left"/>
            </w:pPr>
            <w:r>
              <w:t xml:space="preserve">{ "displayName": "CA-010: Tier 0 - Privileged Access Workstation Enforcement", "state": "enabledForReportingButNotEnforced", "conditions": { "users": { "includeGroups": ["{DG-Devices-Tier0-ObjectId}"], "excludeGroups": ["{SG-BreakGlass-Exclusion-ObjectId}"] }, "applications": { "includeApplications": ["All"] }, "devices": { "deviceFilter": { "mode": "include", "rule": "device.extensionAttribute11 -eq \"Tier0\"" } } }, "grantControls": { "operator": "AND", "builtInControls": ["compliantDevice"], "authenticationStrength": { "id": "00000000-0000-0000-0000-000000000004", "displayName": "Phishing-resistant MFA" } }, "sessionControls": { "signInFrequency": { "value": 1, "type": "hours", "isEnabled": true }, "persistentBrowser": { "mode": "never", "isEnabled": true } } }</w:t>
            </w:r>
          </w:p>
        </w:tc>
      </w:tr>
    </w:tbl>
    <w:p>
      <w:pPr>
        <w:pStyle w:val="BodyText"/>
      </w:pPr>
      <w:r>
        <w:t xml:space="preserve">A.5 CA-020 — JSON Template</w:t>
      </w:r>
    </w:p>
    <w:tbl>
      <w:tblPr>
        <w:tblStyle w:val="Table"/>
        <w:tblW w:type="pct" w:w="4985"/>
        <w:tblLayout w:type="fixed"/>
        <w:tblLook w:firstRow="0" w:lastRow="0" w:firstColumn="0" w:lastColumn="0" w:noHBand="0" w:noVBand="0" w:val="0000"/>
      </w:tblPr>
      <w:tblGrid>
        <w:gridCol w:w="7895"/>
      </w:tblGrid>
      <w:tr>
        <w:tc>
          <w:tcPr/>
          <w:p>
            <w:pPr>
              <w:pStyle w:val="Compact"/>
              <w:jc w:val="left"/>
            </w:pPr>
            <w:r>
              <w:t xml:space="preserve">{ "displayName": "CA-020: Production Environment - Maximum Protection", "state": "enabledForReportingButNotEnforced", "conditions": { "users": { "includeGroups": ["{DG-Env-Production-ObjectId}"], "excludeGroups": ["{SG-BreakGlass-Exclusion-ObjectId}"] }, "applications": { "includeApplications": ["All"] }, "clientAppTypes": ["all"] }, "grantControls": { "operator": "AND", "builtInControls": [ "compliantDevice", "approvedApplication" ], "authenticationStrength": { "id": "00000000-0000-0000-0000-000000000002", "displayName": "Multifactor authentication" } }, "sessionControls": null }</w:t>
            </w:r>
          </w:p>
        </w:tc>
      </w:tr>
    </w:tbl>
    <w:p>
      <w:pPr>
        <w:pStyle w:val="BodyText"/>
      </w:pPr>
      <w:r>
        <w:t xml:space="preserve">Appendix B: Named Location Definitions</w:t>
      </w:r>
    </w:p>
    <w:p>
      <w:pPr>
        <w:pStyle w:val="BodyText"/>
      </w:pPr>
      <w:r>
        <w:t xml:space="preserve">B.1 IP-Based Named Location Template</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w:t>
            </w:r>
            <w:r>
              <w:t xml:space="preserve">@odata.type</w:t>
            </w:r>
            <w:r>
              <w:t xml:space="preserve">": "#microsoft.graph.ipNamedLocation", "displayName": "Corporate Networks - Headquarters", "isTrusted": true, "ipRanges": [ { "</w:t>
            </w:r>
            <w:r>
              <w:t xml:space="preserve">@odata.type</w:t>
            </w:r>
            <w:r>
              <w:t xml:space="preserve">": "#microsoft.graph.iPv4CidrRange", "cidrAddress": "203.0.113.0/24" }, { "</w:t>
            </w:r>
            <w:r>
              <w:t xml:space="preserve">@odata.type</w:t>
            </w:r>
            <w:r>
              <w:t xml:space="preserve">": "#microsoft.graph.iPv4CidrRange", "cidrAddress": "198.51.100.0/24" } ] }</w:t>
            </w:r>
          </w:p>
        </w:tc>
      </w:tr>
    </w:tbl>
    <w:p>
      <w:pPr>
        <w:pStyle w:val="BodyText"/>
      </w:pPr>
      <w:r>
        <w:t xml:space="preserve">B.2 Country-Based Named Location Template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 "</w:t>
            </w:r>
            <w:r>
              <w:t xml:space="preserve">@odata.type</w:t>
            </w:r>
            <w:r>
              <w:t xml:space="preserve">": "#microsoft.graph.countryNamedLocation", "displayName": "Allowed Countries", "countriesAndRegions": ["US", "CA", "GB", "DE", "FR", "AU"], "includeUnknownCountriesAndRegions": false }</w:t>
            </w:r>
          </w:p>
        </w:tc>
      </w:tr>
    </w:tbl>
    <w:p>
      <w:pPr>
        <w:pStyle w:val="BodyText"/>
      </w:pPr>
      <w:r>
        <w:t xml:space="preserve">B.3 PowerShell — Create Named Location via Graph API</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 Create an IP-based named location $params = @{ "</w:t>
            </w:r>
            <w:r>
              <w:t xml:space="preserve">@odata.type</w:t>
            </w:r>
            <w:r>
              <w:t xml:space="preserve">" = "#microsoft.graph.ipNamedLocation" DisplayName = "Corporate Networks - Headquarters" IsTrusted = $true IpRanges = @( @{ "</w:t>
            </w:r>
            <w:r>
              <w:t xml:space="preserve">@odata.type</w:t>
            </w:r>
            <w:r>
              <w:t xml:space="preserve">" = "#microsoft.graph.iPv4CidrRange" CidrAddress = "203.0.113.0/24" } ) } New-MgIdentityConditionalAccessNamedLocation -BodyParameter $params # Create a country-based named location $params = @{ "</w:t>
            </w:r>
            <w:r>
              <w:t xml:space="preserve">@odata.type</w:t>
            </w:r>
            <w:r>
              <w:t xml:space="preserve">" = "#microsoft.graph.countryNamedLocation" DisplayName = "Allowed Countries" CountriesAndRegions = @("US", "CA", "GB", "DE", "FR", "AU") IncludeUnknownCountriesAndRegions = $false } New-MgIdentityConditionalAccessNamedLocation -BodyParameter $params</w:t>
            </w:r>
          </w:p>
        </w:tc>
      </w:tr>
    </w:tbl>
    <w:p>
      <w:pPr>
        <w:pStyle w:val="BodyText"/>
      </w:pPr>
      <w:r>
        <w:t xml:space="preserve">Appendix C: Authentication Strength Definitions</w:t>
      </w:r>
    </w:p>
    <w:p>
      <w:pPr>
        <w:pStyle w:val="BodyText"/>
      </w:pPr>
      <w:r>
        <w:t xml:space="preserve">C.1 Built-in Authentication Strengths</w:t>
      </w:r>
    </w:p>
    <w:tbl>
      <w:tblPr>
        <w:tblStyle w:val="Table"/>
        <w:tblW w:type="pct" w:w="4979"/>
        <w:tblLayout w:type="fixed"/>
        <w:tblLook w:firstRow="1" w:lastRow="0" w:firstColumn="0" w:lastColumn="0" w:noHBand="0" w:noVBand="0" w:val="0020"/>
      </w:tblPr>
      <w:tblGrid>
        <w:gridCol w:w="486"/>
        <w:gridCol w:w="654"/>
        <w:gridCol w:w="6745"/>
      </w:tblGrid>
      <w:tr>
        <w:trPr>
          <w:tblHeader w:val="on"/>
        </w:trPr>
        <w:tc>
          <w:tcPr/>
          <w:p>
            <w:pPr>
              <w:pStyle w:val="Compact"/>
              <w:jc w:val="left"/>
            </w:pPr>
            <w:r>
              <w:rPr>
                <w:b/>
                <w:bCs/>
              </w:rPr>
              <w:t xml:space="preserve">Strength Name</w:t>
            </w:r>
          </w:p>
        </w:tc>
        <w:tc>
          <w:tcPr/>
          <w:p>
            <w:pPr>
              <w:pStyle w:val="Compact"/>
              <w:jc w:val="left"/>
            </w:pPr>
            <w:r>
              <w:rPr>
                <w:b/>
                <w:bCs/>
              </w:rPr>
              <w:t xml:space="preserve">ID</w:t>
            </w:r>
          </w:p>
        </w:tc>
        <w:tc>
          <w:tcPr/>
          <w:p>
            <w:pPr>
              <w:pStyle w:val="Compact"/>
              <w:jc w:val="left"/>
            </w:pPr>
            <w:r>
              <w:rPr>
                <w:b/>
                <w:bCs/>
              </w:rPr>
              <w:t xml:space="preserve">Allowed Combinations</w:t>
            </w:r>
          </w:p>
        </w:tc>
      </w:tr>
      <w:tr>
        <w:tc>
          <w:tcPr/>
          <w:p>
            <w:pPr>
              <w:pStyle w:val="Compact"/>
              <w:jc w:val="left"/>
            </w:pPr>
            <w:r>
              <w:rPr>
                <w:b/>
                <w:bCs/>
              </w:rPr>
              <w:t xml:space="preserve">MFA</w:t>
            </w:r>
          </w:p>
        </w:tc>
        <w:tc>
          <w:tcPr/>
          <w:p>
            <w:pPr>
              <w:pStyle w:val="Compact"/>
              <w:jc w:val="left"/>
            </w:pPr>
            <w:r>
              <w:t xml:space="preserve">00000000-0000-0000-0000-000000000002</w:t>
            </w:r>
          </w:p>
        </w:tc>
        <w:tc>
          <w:tcPr/>
          <w:p>
            <w:pPr>
              <w:pStyle w:val="Compact"/>
              <w:jc w:val="left"/>
            </w:pPr>
            <w:r>
              <w:t xml:space="preserve">Password + Microsoft Authenticator (push notification) Password + Software OATH token Password + Hardware OATH token Password + SMS Password + Voice Password + FIDO2 security key Password + Windows Hello for Business Password + Certificate (multi-factor) Federated multi-factor FIDO2 security key (standalone) Windows Hello for Business (standalone) Certificate-based auth (multi-factor, standalone)</w:t>
            </w:r>
          </w:p>
        </w:tc>
      </w:tr>
      <w:tr>
        <w:tc>
          <w:tcPr/>
          <w:p>
            <w:pPr>
              <w:pStyle w:val="Compact"/>
              <w:jc w:val="left"/>
            </w:pPr>
            <w:r>
              <w:rPr>
                <w:b/>
                <w:bCs/>
              </w:rPr>
              <w:t xml:space="preserve">Passwordless MFA</w:t>
            </w:r>
          </w:p>
        </w:tc>
        <w:tc>
          <w:tcPr/>
          <w:p>
            <w:pPr>
              <w:pStyle w:val="Compact"/>
              <w:jc w:val="left"/>
            </w:pPr>
            <w:r>
              <w:t xml:space="preserve">00000000-0000-0000-0000-000000000003</w:t>
            </w:r>
          </w:p>
        </w:tc>
        <w:tc>
          <w:tcPr/>
          <w:p>
            <w:pPr>
              <w:pStyle w:val="Compact"/>
              <w:jc w:val="left"/>
            </w:pPr>
            <w:r>
              <w:t xml:space="preserve">FIDO2 security key Windows Hello for Business Certificate-based auth (multi-factor)</w:t>
            </w:r>
          </w:p>
        </w:tc>
      </w:tr>
      <w:tr>
        <w:tc>
          <w:tcPr/>
          <w:p>
            <w:pPr>
              <w:pStyle w:val="Compact"/>
              <w:jc w:val="left"/>
            </w:pPr>
            <w:r>
              <w:rPr>
                <w:b/>
                <w:bCs/>
              </w:rPr>
              <w:t xml:space="preserve">Phishing-resistant MFA</w:t>
            </w:r>
          </w:p>
        </w:tc>
        <w:tc>
          <w:tcPr/>
          <w:p>
            <w:pPr>
              <w:pStyle w:val="Compact"/>
              <w:jc w:val="left"/>
            </w:pPr>
            <w:r>
              <w:t xml:space="preserve">00000000-0000-0000-0000-000000000004</w:t>
            </w:r>
          </w:p>
        </w:tc>
        <w:tc>
          <w:tcPr/>
          <w:p>
            <w:pPr>
              <w:pStyle w:val="Compact"/>
              <w:jc w:val="left"/>
            </w:pPr>
            <w:r>
              <w:t xml:space="preserve">FIDO2 security key Windows Hello for Business Certificate-based auth (multi-factor)</w:t>
            </w:r>
          </w:p>
        </w:tc>
      </w:tr>
    </w:tbl>
    <w:p>
      <w:pPr>
        <w:pStyle w:val="BodyText"/>
      </w:pPr>
      <w:r>
        <w:t xml:space="preserve">C.2 Custom Strength: The Federal Modernization Program Privileged Access</w:t>
      </w:r>
    </w:p>
    <w:p>
      <w:pPr>
        <w:pStyle w:val="BodyText"/>
      </w:pPr>
      <w:r>
        <w:t xml:space="preserve">This custom authentication strength restricts authentication to FIDO2 security keys only, used for Tier 0 privileged access workstations and critical admin portal access.</w:t>
      </w:r>
    </w:p>
    <w:tbl>
      <w:tblPr>
        <w:tblStyle w:val="Table"/>
        <w:tblW w:type="pct" w:w="4980"/>
        <w:tblLayout w:type="fixed"/>
        <w:tblLook w:firstRow="0" w:lastRow="0" w:firstColumn="0" w:lastColumn="0" w:noHBand="0" w:noVBand="0" w:val="0000"/>
      </w:tblPr>
      <w:tblGrid>
        <w:gridCol w:w="7889"/>
      </w:tblGrid>
      <w:tr>
        <w:tc>
          <w:tcPr/>
          <w:p>
            <w:pPr>
              <w:pStyle w:val="Compact"/>
            </w:pPr>
            <w:r>
              <w:t xml:space="preserve">{ "displayName": "the Federal Modernization Program Privileged Access", "description": "FIDO2 security key only - for Tier 0 PAW access", "allowedCombinations": [ "fido2" ], "requirementsSatisfied": "mfa" } # PowerShell to create custom authentication strength $params = @{ DisplayName = "the Federal Modernization Program Privileged Access" Description = "FIDO2 security key only - for Tier 0 PAW access" AllowedCombinations = @("fido2") RequirementsSatisfied = "mfa" } New-MgPolicyAuthenticationStrengthPolicy -BodyParameter $params</w:t>
            </w:r>
          </w:p>
        </w:tc>
      </w:tr>
    </w:tbl>
    <w:p>
      <w:pPr>
        <w:pStyle w:val="BodyText"/>
      </w:pPr>
      <w:r>
        <w:t xml:space="preserve">Appendix D: Compliance Mapping</w:t>
      </w:r>
    </w:p>
    <w:p>
      <w:pPr>
        <w:pStyle w:val="BodyText"/>
      </w:pPr>
      <w:r>
        <w:t xml:space="preserve">D.1 NIST 800-53 Control Mapping</w:t>
      </w:r>
    </w:p>
    <w:tbl>
      <w:tblPr>
        <w:tblStyle w:val="Table"/>
        <w:tblW w:type="pct" w:w="4971"/>
        <w:tblLayout w:type="fixed"/>
        <w:tblLook w:firstRow="1" w:lastRow="0" w:firstColumn="0" w:lastColumn="0" w:noHBand="0" w:noVBand="0" w:val="0020"/>
      </w:tblPr>
      <w:tblGrid>
        <w:gridCol w:w="386"/>
        <w:gridCol w:w="1183"/>
        <w:gridCol w:w="3504"/>
        <w:gridCol w:w="2799"/>
      </w:tblGrid>
      <w:tr>
        <w:trPr>
          <w:tblHeader w:val="on"/>
        </w:trPr>
        <w:tc>
          <w:tcPr/>
          <w:p>
            <w:pPr>
              <w:pStyle w:val="Compact"/>
              <w:jc w:val="left"/>
            </w:pPr>
            <w:r>
              <w:rPr>
                <w:b/>
                <w:bCs/>
              </w:rPr>
              <w:t xml:space="preserve">Control ID</w:t>
            </w:r>
          </w:p>
        </w:tc>
        <w:tc>
          <w:tcPr/>
          <w:p>
            <w:pPr>
              <w:pStyle w:val="Compact"/>
              <w:jc w:val="left"/>
            </w:pPr>
            <w:r>
              <w:rPr>
                <w:b/>
                <w:bCs/>
              </w:rPr>
              <w:t xml:space="preserve">Control Name</w:t>
            </w:r>
          </w:p>
        </w:tc>
        <w:tc>
          <w:tcPr/>
          <w:p>
            <w:pPr>
              <w:pStyle w:val="Compact"/>
              <w:jc w:val="left"/>
            </w:pPr>
            <w:r>
              <w:rPr>
                <w:b/>
                <w:bCs/>
              </w:rPr>
              <w:t xml:space="preserve">Description</w:t>
            </w:r>
          </w:p>
        </w:tc>
        <w:tc>
          <w:tcPr/>
          <w:p>
            <w:pPr>
              <w:pStyle w:val="Compact"/>
              <w:jc w:val="left"/>
            </w:pPr>
            <w:r>
              <w:rPr>
                <w:b/>
                <w:bCs/>
              </w:rPr>
              <w:t xml:space="preserve">CA Policies</w:t>
            </w:r>
          </w:p>
        </w:tc>
      </w:tr>
      <w:tr>
        <w:tc>
          <w:tcPr/>
          <w:p>
            <w:pPr>
              <w:pStyle w:val="Compact"/>
              <w:jc w:val="left"/>
            </w:pPr>
            <w:r>
              <w:rPr>
                <w:b/>
                <w:bCs/>
              </w:rPr>
              <w:t xml:space="preserve">AC-2</w:t>
            </w:r>
          </w:p>
        </w:tc>
        <w:tc>
          <w:tcPr/>
          <w:p>
            <w:pPr>
              <w:pStyle w:val="Compact"/>
              <w:jc w:val="left"/>
            </w:pPr>
            <w:r>
              <w:t xml:space="preserve">Account Management</w:t>
            </w:r>
          </w:p>
        </w:tc>
        <w:tc>
          <w:tcPr/>
          <w:p>
            <w:pPr>
              <w:pStyle w:val="Compact"/>
              <w:jc w:val="left"/>
            </w:pPr>
            <w:r>
              <w:t xml:space="preserve">Manage information system accounts including establishing, activating, modifying, reviewing, disabling, and removing accounts</w:t>
            </w:r>
          </w:p>
        </w:tc>
        <w:tc>
          <w:tcPr/>
          <w:p>
            <w:pPr>
              <w:pStyle w:val="Compact"/>
              <w:jc w:val="left"/>
            </w:pPr>
            <w:r>
              <w:t xml:space="preserve">CA-005 (guest management), CA-060 (audit), Break-glass procedures (Section 11)</w:t>
            </w:r>
          </w:p>
        </w:tc>
      </w:tr>
      <w:tr>
        <w:tc>
          <w:tcPr/>
          <w:p>
            <w:pPr>
              <w:pStyle w:val="Compact"/>
              <w:jc w:val="left"/>
            </w:pPr>
            <w:r>
              <w:rPr>
                <w:b/>
                <w:bCs/>
              </w:rPr>
              <w:t xml:space="preserve">AC-3</w:t>
            </w:r>
          </w:p>
        </w:tc>
        <w:tc>
          <w:tcPr/>
          <w:p>
            <w:pPr>
              <w:pStyle w:val="Compact"/>
              <w:jc w:val="left"/>
            </w:pPr>
            <w:r>
              <w:t xml:space="preserve">Access Enforcement</w:t>
            </w:r>
          </w:p>
        </w:tc>
        <w:tc>
          <w:tcPr/>
          <w:p>
            <w:pPr>
              <w:pStyle w:val="Compact"/>
              <w:jc w:val="left"/>
            </w:pPr>
            <w:r>
              <w:t xml:space="preserve">Enforce approved authorizations for logical access to information and system resources</w:t>
            </w:r>
          </w:p>
        </w:tc>
        <w:tc>
          <w:tcPr/>
          <w:p>
            <w:pPr>
              <w:pStyle w:val="Compact"/>
              <w:jc w:val="left"/>
            </w:pPr>
            <w:r>
              <w:t xml:space="preserve">CA-003, CA-010 through CA-015 (device tier), CA-020 through CA-023 (environment), CA-040 through CA-046 (app-specific)</w:t>
            </w:r>
          </w:p>
        </w:tc>
      </w:tr>
      <w:tr>
        <w:tc>
          <w:tcPr/>
          <w:p>
            <w:pPr>
              <w:pStyle w:val="Compact"/>
              <w:jc w:val="left"/>
            </w:pPr>
            <w:r>
              <w:rPr>
                <w:b/>
                <w:bCs/>
              </w:rPr>
              <w:t xml:space="preserve">AC-7</w:t>
            </w:r>
          </w:p>
        </w:tc>
        <w:tc>
          <w:tcPr/>
          <w:p>
            <w:pPr>
              <w:pStyle w:val="Compact"/>
              <w:jc w:val="left"/>
            </w:pPr>
            <w:r>
              <w:t xml:space="preserve">Unsuccessful Logon Attempts</w:t>
            </w:r>
          </w:p>
        </w:tc>
        <w:tc>
          <w:tcPr/>
          <w:p>
            <w:pPr>
              <w:pStyle w:val="Compact"/>
              <w:jc w:val="left"/>
            </w:pPr>
            <w:r>
              <w:t xml:space="preserve">Enforce a limit of consecutive invalid logon attempts and automatically lock the account</w:t>
            </w:r>
          </w:p>
        </w:tc>
        <w:tc>
          <w:tcPr/>
          <w:p>
            <w:pPr>
              <w:pStyle w:val="Compact"/>
              <w:jc w:val="left"/>
            </w:pPr>
            <w:r>
              <w:t xml:space="preserve">CA-061 (high risk block), CA-062 (medium risk MFA), Entra ID Smart Lockout</w:t>
            </w:r>
          </w:p>
        </w:tc>
      </w:tr>
      <w:tr>
        <w:tc>
          <w:tcPr/>
          <w:p>
            <w:pPr>
              <w:pStyle w:val="Compact"/>
              <w:jc w:val="left"/>
            </w:pPr>
            <w:r>
              <w:rPr>
                <w:b/>
                <w:bCs/>
              </w:rPr>
              <w:t xml:space="preserve">AC-11</w:t>
            </w:r>
          </w:p>
        </w:tc>
        <w:tc>
          <w:tcPr/>
          <w:p>
            <w:pPr>
              <w:pStyle w:val="Compact"/>
              <w:jc w:val="left"/>
            </w:pPr>
            <w:r>
              <w:t xml:space="preserve">Device Lock</w:t>
            </w:r>
          </w:p>
        </w:tc>
        <w:tc>
          <w:tcPr/>
          <w:p>
            <w:pPr>
              <w:pStyle w:val="Compact"/>
              <w:jc w:val="left"/>
            </w:pPr>
            <w:r>
              <w:t xml:space="preserve">Prevent further access to the system by initiating a device lock after a period of inactivity</w:t>
            </w:r>
          </w:p>
        </w:tc>
        <w:tc>
          <w:tcPr/>
          <w:p>
            <w:pPr>
              <w:pStyle w:val="Compact"/>
              <w:jc w:val="left"/>
            </w:pPr>
            <w:r>
              <w:t xml:space="preserve">CA-010 (1-hour frequency), CA-004 (4-hour frequency), CA-032 (4-hour remote), Intune device lock policies</w:t>
            </w:r>
          </w:p>
        </w:tc>
      </w:tr>
      <w:tr>
        <w:tc>
          <w:tcPr/>
          <w:p>
            <w:pPr>
              <w:pStyle w:val="Compact"/>
              <w:jc w:val="left"/>
            </w:pPr>
            <w:r>
              <w:rPr>
                <w:b/>
                <w:bCs/>
              </w:rPr>
              <w:t xml:space="preserve">AC-17</w:t>
            </w:r>
          </w:p>
        </w:tc>
        <w:tc>
          <w:tcPr/>
          <w:p>
            <w:pPr>
              <w:pStyle w:val="Compact"/>
              <w:jc w:val="left"/>
            </w:pPr>
            <w:r>
              <w:t xml:space="preserve">Remote Access</w:t>
            </w:r>
          </w:p>
        </w:tc>
        <w:tc>
          <w:tcPr/>
          <w:p>
            <w:pPr>
              <w:pStyle w:val="Compact"/>
              <w:jc w:val="left"/>
            </w:pPr>
            <w:r>
              <w:t xml:space="preserve">Establish and document usage restrictions, configuration/connection requirements, and implementation guidance for each type of remote access allowed</w:t>
            </w:r>
          </w:p>
        </w:tc>
        <w:tc>
          <w:tcPr/>
          <w:p>
            <w:pPr>
              <w:pStyle w:val="Compact"/>
              <w:jc w:val="left"/>
            </w:pPr>
            <w:r>
              <w:t xml:space="preserve">CA-015 (non-corporate network), CA-032 (remote work), CA-014 (unmanaged device), CA-030 (geographic)</w:t>
            </w:r>
          </w:p>
        </w:tc>
      </w:tr>
      <w:tr>
        <w:tc>
          <w:tcPr/>
          <w:p>
            <w:pPr>
              <w:pStyle w:val="Compact"/>
              <w:jc w:val="left"/>
            </w:pPr>
            <w:r>
              <w:rPr>
                <w:b/>
                <w:bCs/>
              </w:rPr>
              <w:t xml:space="preserve">IA-2</w:t>
            </w:r>
          </w:p>
        </w:tc>
        <w:tc>
          <w:tcPr/>
          <w:p>
            <w:pPr>
              <w:pStyle w:val="Compact"/>
              <w:jc w:val="left"/>
            </w:pPr>
            <w:r>
              <w:t xml:space="preserve">Identification and Authentication (Org Users)</w:t>
            </w:r>
          </w:p>
        </w:tc>
        <w:tc>
          <w:tcPr/>
          <w:p>
            <w:pPr>
              <w:pStyle w:val="Compact"/>
              <w:jc w:val="left"/>
            </w:pPr>
            <w:r>
              <w:t xml:space="preserve">Uniquely identify and authenticate organizational users</w:t>
            </w:r>
          </w:p>
        </w:tc>
        <w:tc>
          <w:tcPr/>
          <w:p>
            <w:pPr>
              <w:pStyle w:val="Compact"/>
              <w:jc w:val="left"/>
            </w:pPr>
            <w:r>
              <w:t xml:space="preserve">CA-001 (MFA all users), CA-010 (phishing-resistant MFA), CA-004 (admin MFA)</w:t>
            </w:r>
          </w:p>
        </w:tc>
      </w:tr>
      <w:tr>
        <w:tc>
          <w:tcPr/>
          <w:p>
            <w:pPr>
              <w:pStyle w:val="Compact"/>
              <w:jc w:val="left"/>
            </w:pPr>
            <w:r>
              <w:rPr>
                <w:b/>
                <w:bCs/>
              </w:rPr>
              <w:t xml:space="preserve">IA-5</w:t>
            </w:r>
          </w:p>
        </w:tc>
        <w:tc>
          <w:tcPr/>
          <w:p>
            <w:pPr>
              <w:pStyle w:val="Compact"/>
              <w:jc w:val="left"/>
            </w:pPr>
            <w:r>
              <w:t xml:space="preserve">Authenticator Management</w:t>
            </w:r>
          </w:p>
        </w:tc>
        <w:tc>
          <w:tcPr/>
          <w:p>
            <w:pPr>
              <w:pStyle w:val="Compact"/>
              <w:jc w:val="left"/>
            </w:pPr>
            <w:r>
              <w:t xml:space="preserve">Manage information system authenticators by verifying identity, initial authenticator content, administrative procedures, and protecting authenticators</w:t>
            </w:r>
          </w:p>
        </w:tc>
        <w:tc>
          <w:tcPr/>
          <w:p>
            <w:pPr>
              <w:pStyle w:val="Compact"/>
              <w:jc w:val="left"/>
            </w:pPr>
            <w:r>
              <w:t xml:space="preserve">CA-063 (password change on risk), Authentication Strength policies (Appendix C), Break-glass key management (Section 11)</w:t>
            </w:r>
          </w:p>
        </w:tc>
      </w:tr>
      <w:tr>
        <w:tc>
          <w:tcPr/>
          <w:p>
            <w:pPr>
              <w:pStyle w:val="Compact"/>
              <w:jc w:val="left"/>
            </w:pPr>
            <w:r>
              <w:rPr>
                <w:b/>
                <w:bCs/>
              </w:rPr>
              <w:t xml:space="preserve">IA-8</w:t>
            </w:r>
          </w:p>
        </w:tc>
        <w:tc>
          <w:tcPr/>
          <w:p>
            <w:pPr>
              <w:pStyle w:val="Compact"/>
              <w:jc w:val="left"/>
            </w:pPr>
            <w:r>
              <w:t xml:space="preserve">Identification and Authentication (Non-Org Users)</w:t>
            </w:r>
          </w:p>
        </w:tc>
        <w:tc>
          <w:tcPr/>
          <w:p>
            <w:pPr>
              <w:pStyle w:val="Compact"/>
              <w:jc w:val="left"/>
            </w:pPr>
            <w:r>
              <w:t xml:space="preserve">Uniquely identify and authenticate non-organizational users</w:t>
            </w:r>
          </w:p>
        </w:tc>
        <w:tc>
          <w:tcPr/>
          <w:p>
            <w:pPr>
              <w:pStyle w:val="Compact"/>
              <w:jc w:val="left"/>
            </w:pPr>
            <w:r>
              <w:t xml:space="preserve">CA-005 (guest terms of use + MFA)</w:t>
            </w:r>
          </w:p>
        </w:tc>
      </w:tr>
    </w:tbl>
    <w:p>
      <w:pPr>
        <w:pStyle w:val="BodyText"/>
      </w:pPr>
      <w:r>
        <w:t xml:space="preserve">D.2 FedRAMP 20x / CR26 Mapping</w:t>
      </w:r>
    </w:p>
    <w:p>
      <w:pPr>
        <w:pStyle w:val="BodyText"/>
      </w:pPr>
      <w:r>
        <w:t xml:space="preserve">FedRAMP 20x expresses assessment expectations as</w:t>
      </w:r>
      <w:r>
        <w:t xml:space="preserve"> </w:t>
      </w:r>
      <w:r>
        <w:rPr>
          <w:b/>
          <w:bCs/>
        </w:rPr>
        <w:t xml:space="preserve">Key Security Indicators</w:t>
      </w:r>
      <w:r>
        <w:t xml:space="preserve"> </w:t>
      </w:r>
      <w:r>
        <w:t xml:space="preserve">rather than control narratives. The NIST 800-53 controls listed in D.1 remain correct — CR26 anchors each indicator to a set of them — but the artifact an assessor consumes is indicator evidence. This policy library is almost entirely a</w:t>
      </w:r>
      <w:r>
        <w:t xml:space="preserve"> </w:t>
      </w:r>
      <w:r>
        <w:rPr>
          <w:b/>
          <w:bCs/>
        </w:rPr>
        <w:t xml:space="preserve">KSI-IAM</w:t>
      </w:r>
      <w:r>
        <w:t xml:space="preserve"> </w:t>
      </w:r>
      <w:r>
        <w:t xml:space="preserve">surface; the mapping below is the one to cite in a 20x package.</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CR26 indicator</w:t>
            </w:r>
          </w:p>
        </w:tc>
        <w:tc>
          <w:tcPr/>
          <w:p>
            <w:pPr>
              <w:pStyle w:val="Compact"/>
              <w:jc w:val="left"/>
            </w:pPr>
            <w:r>
              <w:rPr>
                <w:b/>
                <w:bCs/>
              </w:rPr>
              <w:t xml:space="preserve">What the indicator asks</w:t>
            </w:r>
          </w:p>
        </w:tc>
        <w:tc>
          <w:tcPr/>
          <w:p>
            <w:pPr>
              <w:pStyle w:val="Compact"/>
              <w:jc w:val="left"/>
            </w:pPr>
            <w:r>
              <w:rPr>
                <w:b/>
                <w:bCs/>
              </w:rPr>
              <w:t xml:space="preserve">CA Policy Reference</w:t>
            </w:r>
          </w:p>
        </w:tc>
      </w:tr>
      <w:tr>
        <w:tc>
          <w:tcPr/>
          <w:p>
            <w:pPr>
              <w:pStyle w:val="Compact"/>
              <w:jc w:val="left"/>
            </w:pPr>
            <w:r>
              <w:rPr>
                <w:b/>
                <w:bCs/>
              </w:rPr>
              <w:t xml:space="preserve">KSI-IAM-APM</w:t>
            </w:r>
            <w:r>
              <w:t xml:space="preserve"> </w:t>
            </w:r>
            <w:r>
              <w:t xml:space="preserve">— Adopting Passwordless Methods</w:t>
            </w:r>
          </w:p>
        </w:tc>
        <w:tc>
          <w:tcPr/>
          <w:p>
            <w:pPr>
              <w:pStyle w:val="Compact"/>
              <w:jc w:val="left"/>
            </w:pPr>
            <w:r>
              <w:t xml:space="preserve">Modern, phishing-resistant authentication in place of shared secrets</w:t>
            </w:r>
          </w:p>
        </w:tc>
        <w:tc>
          <w:tcPr/>
          <w:p>
            <w:pPr>
              <w:pStyle w:val="Compact"/>
              <w:jc w:val="left"/>
            </w:pPr>
            <w:r>
              <w:t xml:space="preserve">CA-001, CA-004, CA-010</w:t>
            </w:r>
          </w:p>
        </w:tc>
      </w:tr>
      <w:tr>
        <w:tc>
          <w:tcPr/>
          <w:p>
            <w:pPr>
              <w:pStyle w:val="Compact"/>
              <w:jc w:val="left"/>
            </w:pPr>
            <w:r>
              <w:rPr>
                <w:b/>
                <w:bCs/>
              </w:rPr>
              <w:t xml:space="preserve">KSI-IAM-ELP</w:t>
            </w:r>
            <w:r>
              <w:t xml:space="preserve"> </w:t>
            </w:r>
            <w:r>
              <w:t xml:space="preserve">— Ensuring Least Privilege</w:t>
            </w:r>
          </w:p>
        </w:tc>
        <w:tc>
          <w:tcPr/>
          <w:p>
            <w:pPr>
              <w:pStyle w:val="Compact"/>
              <w:jc w:val="left"/>
            </w:pPr>
            <w:r>
              <w:t xml:space="preserve">Access granted no broader than the role requires</w:t>
            </w:r>
          </w:p>
        </w:tc>
        <w:tc>
          <w:tcPr/>
          <w:p>
            <w:pPr>
              <w:pStyle w:val="Compact"/>
              <w:jc w:val="left"/>
            </w:pPr>
            <w:r>
              <w:t xml:space="preserve">CA-023, CA-010 through CA-012, CA-043</w:t>
            </w:r>
          </w:p>
        </w:tc>
      </w:tr>
      <w:tr>
        <w:tc>
          <w:tcPr/>
          <w:p>
            <w:pPr>
              <w:pStyle w:val="Compact"/>
              <w:jc w:val="left"/>
            </w:pPr>
            <w:r>
              <w:rPr>
                <w:b/>
                <w:bCs/>
              </w:rPr>
              <w:t xml:space="preserve">KSI-IAM-JIT</w:t>
            </w:r>
            <w:r>
              <w:t xml:space="preserve"> </w:t>
            </w:r>
            <w:r>
              <w:t xml:space="preserve">— Authorizing Just-in-Time</w:t>
            </w:r>
          </w:p>
        </w:tc>
        <w:tc>
          <w:tcPr/>
          <w:p>
            <w:pPr>
              <w:pStyle w:val="Compact"/>
              <w:jc w:val="left"/>
            </w:pPr>
            <w:r>
              <w:t xml:space="preserve">Privilege held only for the window it is needed</w:t>
            </w:r>
          </w:p>
        </w:tc>
        <w:tc>
          <w:tcPr/>
          <w:p>
            <w:pPr>
              <w:pStyle w:val="Compact"/>
              <w:jc w:val="left"/>
            </w:pPr>
            <w:r>
              <w:t xml:space="preserve">CA-010, PIM (Section 11)</w:t>
            </w:r>
          </w:p>
        </w:tc>
      </w:tr>
      <w:tr>
        <w:tc>
          <w:tcPr/>
          <w:p>
            <w:pPr>
              <w:pStyle w:val="Compact"/>
              <w:jc w:val="left"/>
            </w:pPr>
            <w:r>
              <w:rPr>
                <w:b/>
                <w:bCs/>
              </w:rPr>
              <w:t xml:space="preserve">KSI-IAM-SNU</w:t>
            </w:r>
            <w:r>
              <w:t xml:space="preserve"> </w:t>
            </w:r>
            <w:r>
              <w:t xml:space="preserve">— Securing Non-User Authentication</w:t>
            </w:r>
          </w:p>
        </w:tc>
        <w:tc>
          <w:tcPr/>
          <w:p>
            <w:pPr>
              <w:pStyle w:val="Compact"/>
              <w:jc w:val="left"/>
            </w:pPr>
            <w:r>
              <w:t xml:space="preserve">Service and workload identities authenticate without interactive MFA, securely</w:t>
            </w:r>
          </w:p>
        </w:tc>
        <w:tc>
          <w:tcPr/>
          <w:p>
            <w:pPr>
              <w:pStyle w:val="Compact"/>
              <w:jc w:val="left"/>
            </w:pPr>
            <w:r>
              <w:t xml:space="preserve">CA-005, Appendix C</w:t>
            </w:r>
          </w:p>
        </w:tc>
      </w:tr>
      <w:tr>
        <w:tc>
          <w:tcPr/>
          <w:p>
            <w:pPr>
              <w:pStyle w:val="Compact"/>
              <w:jc w:val="left"/>
            </w:pPr>
            <w:r>
              <w:rPr>
                <w:b/>
                <w:bCs/>
              </w:rPr>
              <w:t xml:space="preserve">KSI-IAM-SUS</w:t>
            </w:r>
            <w:r>
              <w:t xml:space="preserve"> </w:t>
            </w:r>
            <w:r>
              <w:t xml:space="preserve">— Responding to Suspicious Activity</w:t>
            </w:r>
          </w:p>
        </w:tc>
        <w:tc>
          <w:tcPr/>
          <w:p>
            <w:pPr>
              <w:pStyle w:val="Compact"/>
              <w:jc w:val="left"/>
            </w:pPr>
            <w:r>
              <w:t xml:space="preserve">Detected risk drives an automated access response</w:t>
            </w:r>
          </w:p>
        </w:tc>
        <w:tc>
          <w:tcPr/>
          <w:p>
            <w:pPr>
              <w:pStyle w:val="Compact"/>
              <w:jc w:val="left"/>
            </w:pPr>
            <w:r>
              <w:t xml:space="preserve">CA-061 through CA-064</w:t>
            </w:r>
          </w:p>
        </w:tc>
      </w:tr>
      <w:tr>
        <w:tc>
          <w:tcPr/>
          <w:p>
            <w:pPr>
              <w:pStyle w:val="Compact"/>
              <w:jc w:val="left"/>
            </w:pPr>
            <w:r>
              <w:rPr>
                <w:b/>
                <w:bCs/>
              </w:rPr>
              <w:t xml:space="preserve">KSI-IAM-AAM</w:t>
            </w:r>
            <w:r>
              <w:t xml:space="preserve"> </w:t>
            </w:r>
            <w:r>
              <w:t xml:space="preserve">— Automating Account Management</w:t>
            </w:r>
          </w:p>
        </w:tc>
        <w:tc>
          <w:tcPr/>
          <w:p>
            <w:pPr>
              <w:pStyle w:val="Compact"/>
              <w:jc w:val="left"/>
            </w:pPr>
            <w:r>
              <w:t xml:space="preserve">Account lifecycle is automated rather than ticket-driven; dynamic group targeting throughout</w:t>
            </w:r>
          </w:p>
        </w:tc>
        <w:tc>
          <w:tcPr/>
          <w:p>
            <w:pPr>
              <w:pStyle w:val="Compact"/>
              <w:jc w:val="left"/>
            </w:pPr>
            <w:r>
              <w:t xml:space="preserve">Attribute-scoped assignment</w:t>
            </w:r>
          </w:p>
        </w:tc>
      </w:tr>
      <w:tr>
        <w:tc>
          <w:tcPr/>
          <w:p>
            <w:pPr>
              <w:pStyle w:val="Compact"/>
              <w:jc w:val="left"/>
            </w:pPr>
            <w:r>
              <w:rPr>
                <w:b/>
                <w:bCs/>
              </w:rPr>
              <w:t xml:space="preserve">KSI-MLA-RVL</w:t>
            </w:r>
            <w:r>
              <w:t xml:space="preserve"> </w:t>
            </w:r>
            <w:r>
              <w:t xml:space="preserve">— Reviewing Logs</w:t>
            </w:r>
          </w:p>
        </w:tc>
        <w:tc>
          <w:tcPr/>
          <w:p>
            <w:pPr>
              <w:pStyle w:val="Compact"/>
              <w:jc w:val="left"/>
            </w:pPr>
            <w:r>
              <w:t xml:space="preserve">Logs are reviewed, not merely retained</w:t>
            </w:r>
          </w:p>
        </w:tc>
        <w:tc>
          <w:tcPr/>
          <w:p>
            <w:pPr>
              <w:pStyle w:val="Compact"/>
              <w:jc w:val="left"/>
            </w:pPr>
            <w:r>
              <w:t xml:space="preserve">CA-060, Section 12</w:t>
            </w:r>
          </w:p>
        </w:tc>
      </w:tr>
      <w:tr>
        <w:tc>
          <w:tcPr/>
          <w:p>
            <w:pPr>
              <w:pStyle w:val="Compact"/>
              <w:jc w:val="left"/>
            </w:pPr>
            <w:r>
              <w:rPr>
                <w:b/>
                <w:bCs/>
              </w:rPr>
              <w:t xml:space="preserve">KSI-CMT-LMC</w:t>
            </w:r>
            <w:r>
              <w:t xml:space="preserve"> </w:t>
            </w:r>
            <w:r>
              <w:t xml:space="preserve">— Logging Changes</w:t>
            </w:r>
          </w:p>
        </w:tc>
        <w:tc>
          <w:tcPr/>
          <w:p>
            <w:pPr>
              <w:pStyle w:val="Compact"/>
              <w:jc w:val="left"/>
            </w:pPr>
            <w:r>
              <w:t xml:space="preserve">Configuration changes are logged and attributable; drift detection integration</w:t>
            </w:r>
          </w:p>
        </w:tc>
        <w:tc>
          <w:tcPr/>
          <w:p>
            <w:pPr>
              <w:pStyle w:val="Compact"/>
              <w:jc w:val="left"/>
            </w:pPr>
            <w:r>
              <w:t xml:space="preserve">Compliance Amendment (</w:t>
            </w:r>
            <w:r>
              <w:rPr>
                <w:rStyle w:val="VerbatimChar"/>
              </w:rPr>
              <w:t xml:space="preserve">CM-3</w:t>
            </w:r>
            <w:r>
              <w:t xml:space="preserve">)</w:t>
            </w:r>
          </w:p>
        </w:tc>
      </w:tr>
    </w:tbl>
    <w:p>
      <w:pPr>
        <w:pStyle w:val="BodyText"/>
      </w:pPr>
      <w:r>
        <w:t xml:space="preserve">Note what this library does</w:t>
      </w:r>
      <w:r>
        <w:t xml:space="preserve"> </w:t>
      </w:r>
      <w:r>
        <w:rPr>
          <w:b/>
          <w:bCs/>
        </w:rPr>
        <w:t xml:space="preserve">not</w:t>
      </w:r>
      <w:r>
        <w:t xml:space="preserve"> </w:t>
      </w:r>
      <w:r>
        <w:t xml:space="preserve">evidence. CR26 indicators outside KSI-IAM — recovery planning (KSI-RPL), supply chain risk (KSI-SCR), cybersecurity education (KSI-CED), incident response process (KSI-INR) — are not addressable by Conditional Access policy and are evidenced elsewhere. A package that cites this library against those indicators is overclaiming.</w:t>
      </w:r>
    </w:p>
    <w:p>
      <w:pPr>
        <w:pStyle w:val="BodyText"/>
      </w:pPr>
      <w:r>
        <w:t xml:space="preserve">D.2a Deployment and residency considerations</w:t>
      </w:r>
    </w:p>
    <w:p>
      <w:pPr>
        <w:pStyle w:val="BodyText"/>
      </w:pPr>
      <w:r>
        <w:t xml:space="preserve">The following considerations apply to this policy library within the GCC-Moderate deployment boundary. They are deployment facts; what is</w:t>
      </w:r>
      <w:r>
        <w:t xml:space="preserve"> </w:t>
      </w:r>
      <w:r>
        <w:rPr>
          <w:i/>
          <w:iCs/>
        </w:rPr>
        <w:t xml:space="preserve">assessed</w:t>
      </w:r>
      <w:r>
        <w:t xml:space="preserve"> </w:t>
      </w:r>
      <w:r>
        <w:t xml:space="preserve">is decided per information resource by the Minimum Assessment Scope inclusion test.</w:t>
      </w:r>
    </w:p>
    <w:tbl>
      <w:tblPr>
        <w:tblStyle w:val="Table"/>
        <w:tblW w:type="pct" w:w="4953"/>
        <w:tblLayout w:type="fixed"/>
        <w:tblLook w:firstRow="1" w:lastRow="0" w:firstColumn="0" w:lastColumn="0" w:noHBand="0" w:noVBand="0" w:val="0020"/>
      </w:tblPr>
      <w:tblGrid>
        <w:gridCol w:w="2099"/>
        <w:gridCol w:w="4309"/>
        <w:gridCol w:w="1436"/>
      </w:tblGrid>
      <w:tr>
        <w:trPr>
          <w:tblHeader w:val="on"/>
        </w:trPr>
        <w:tc>
          <w:tcPr/>
          <w:p>
            <w:pPr>
              <w:pStyle w:val="Compact"/>
              <w:jc w:val="left"/>
            </w:pPr>
            <w:r>
              <w:rPr>
                <w:b/>
                <w:bCs/>
              </w:rPr>
              <w:t xml:space="preserve">Deployment requirement</w:t>
            </w:r>
          </w:p>
        </w:tc>
        <w:tc>
          <w:tcPr/>
          <w:p>
            <w:pPr>
              <w:pStyle w:val="Compact"/>
              <w:jc w:val="left"/>
            </w:pPr>
            <w:r>
              <w:rPr>
                <w:b/>
                <w:bCs/>
              </w:rPr>
              <w:t xml:space="preserve">Implementation</w:t>
            </w:r>
          </w:p>
        </w:tc>
        <w:tc>
          <w:tcPr/>
          <w:p>
            <w:pPr>
              <w:pStyle w:val="Compact"/>
              <w:jc w:val="left"/>
            </w:pPr>
            <w:r>
              <w:rPr>
                <w:b/>
                <w:bCs/>
              </w:rPr>
              <w:t xml:space="preserve">CA Policy Reference</w:t>
            </w:r>
          </w:p>
        </w:tc>
      </w:tr>
      <w:tr>
        <w:tc>
          <w:tcPr/>
          <w:p>
            <w:pPr>
              <w:pStyle w:val="Compact"/>
              <w:jc w:val="left"/>
            </w:pPr>
            <w:r>
              <w:t xml:space="preserve">Data residency within US boundaries</w:t>
            </w:r>
          </w:p>
        </w:tc>
        <w:tc>
          <w:tcPr/>
          <w:p>
            <w:pPr>
              <w:pStyle w:val="Compact"/>
              <w:jc w:val="left"/>
            </w:pPr>
            <w:r>
              <w:t xml:space="preserve">GCC-Moderate tenant enforces US data residency; CA-030 blocks access from non-approved countries</w:t>
            </w:r>
          </w:p>
        </w:tc>
        <w:tc>
          <w:tcPr/>
          <w:p>
            <w:pPr>
              <w:pStyle w:val="Compact"/>
              <w:jc w:val="left"/>
            </w:pPr>
            <w:r>
              <w:t xml:space="preserve">CA-030, Named locations (Appendix B)</w:t>
            </w:r>
          </w:p>
        </w:tc>
      </w:tr>
      <w:tr>
        <w:tc>
          <w:tcPr/>
          <w:p>
            <w:pPr>
              <w:pStyle w:val="Compact"/>
              <w:jc w:val="left"/>
            </w:pPr>
            <w:r>
              <w:t xml:space="preserve">Multi-factor authentication for all users</w:t>
            </w:r>
          </w:p>
        </w:tc>
        <w:tc>
          <w:tcPr/>
          <w:p>
            <w:pPr>
              <w:pStyle w:val="Compact"/>
              <w:jc w:val="left"/>
            </w:pPr>
            <w:r>
              <w:t xml:space="preserve">CA-001 enforces MFA for all users across all cloud apps</w:t>
            </w:r>
          </w:p>
        </w:tc>
        <w:tc>
          <w:tcPr/>
          <w:p>
            <w:pPr>
              <w:pStyle w:val="Compact"/>
              <w:jc w:val="left"/>
            </w:pPr>
            <w:r>
              <w:t xml:space="preserve">CA-001</w:t>
            </w:r>
          </w:p>
        </w:tc>
      </w:tr>
      <w:tr>
        <w:tc>
          <w:tcPr/>
          <w:p>
            <w:pPr>
              <w:pStyle w:val="Compact"/>
              <w:jc w:val="left"/>
            </w:pPr>
            <w:r>
              <w:t xml:space="preserve">Phishing-resistant authentication for privileged users</w:t>
            </w:r>
          </w:p>
        </w:tc>
        <w:tc>
          <w:tcPr/>
          <w:p>
            <w:pPr>
              <w:pStyle w:val="Compact"/>
              <w:jc w:val="left"/>
            </w:pPr>
            <w:r>
              <w:t xml:space="preserve">CA-010 and CA-004 require phishing-resistant or passwordless MFA for admin roles and Tier 0 devices</w:t>
            </w:r>
          </w:p>
        </w:tc>
        <w:tc>
          <w:tcPr/>
          <w:p>
            <w:pPr>
              <w:pStyle w:val="Compact"/>
              <w:jc w:val="left"/>
            </w:pPr>
            <w:r>
              <w:t xml:space="preserve">CA-004, CA-010</w:t>
            </w:r>
          </w:p>
        </w:tc>
      </w:tr>
      <w:tr>
        <w:tc>
          <w:tcPr/>
          <w:p>
            <w:pPr>
              <w:pStyle w:val="Compact"/>
              <w:jc w:val="left"/>
            </w:pPr>
            <w:r>
              <w:t xml:space="preserve">Continuous monitoring</w:t>
            </w:r>
          </w:p>
        </w:tc>
        <w:tc>
          <w:tcPr/>
          <w:p>
            <w:pPr>
              <w:pStyle w:val="Compact"/>
              <w:jc w:val="left"/>
            </w:pPr>
            <w:r>
              <w:t xml:space="preserve">CA-060 permanent report-only mode, sign-in log analysis (Section 12), drift detection integration</w:t>
            </w:r>
          </w:p>
        </w:tc>
        <w:tc>
          <w:tcPr/>
          <w:p>
            <w:pPr>
              <w:pStyle w:val="Compact"/>
              <w:jc w:val="left"/>
            </w:pPr>
            <w:r>
              <w:t xml:space="preserve">CA-060, Section 12</w:t>
            </w:r>
          </w:p>
        </w:tc>
      </w:tr>
      <w:tr>
        <w:tc>
          <w:tcPr/>
          <w:p>
            <w:pPr>
              <w:pStyle w:val="Compact"/>
              <w:jc w:val="left"/>
            </w:pPr>
            <w:r>
              <w:t xml:space="preserve">Incident response capability</w:t>
            </w:r>
          </w:p>
        </w:tc>
        <w:tc>
          <w:tcPr/>
          <w:p>
            <w:pPr>
              <w:pStyle w:val="Compact"/>
              <w:jc w:val="left"/>
            </w:pPr>
            <w:r>
              <w:t xml:space="preserve">Break-glass accounts provide emergency access; risk-based policies automate response to detected threats</w:t>
            </w:r>
          </w:p>
        </w:tc>
        <w:tc>
          <w:tcPr/>
          <w:p>
            <w:pPr>
              <w:pStyle w:val="Compact"/>
              <w:jc w:val="left"/>
            </w:pPr>
            <w:r>
              <w:t xml:space="preserve">Section 11, CA-061 through CA-064</w:t>
            </w:r>
          </w:p>
        </w:tc>
      </w:tr>
      <w:tr>
        <w:tc>
          <w:tcPr/>
          <w:p>
            <w:pPr>
              <w:pStyle w:val="Compact"/>
              <w:jc w:val="left"/>
            </w:pPr>
            <w:r>
              <w:t xml:space="preserve">Separation of duties</w:t>
            </w:r>
          </w:p>
        </w:tc>
        <w:tc>
          <w:tcPr/>
          <w:p>
            <w:pPr>
              <w:pStyle w:val="Compact"/>
              <w:jc w:val="left"/>
            </w:pPr>
            <w:r>
              <w:t xml:space="preserve">Environment isolation (CA-023), device tier separation (CA-010 through CA-012), admin portal restrictions (CA-043)</w:t>
            </w:r>
          </w:p>
        </w:tc>
        <w:tc>
          <w:tcPr/>
          <w:p>
            <w:pPr>
              <w:pStyle w:val="Compact"/>
              <w:jc w:val="left"/>
            </w:pPr>
            <w:r>
              <w:t xml:space="preserve">CA-023, CA-010, CA-043</w:t>
            </w:r>
          </w:p>
        </w:tc>
      </w:tr>
    </w:tbl>
    <w:p>
      <w:pPr>
        <w:pStyle w:val="BodyText"/>
      </w:pPr>
      <w:r>
        <w:t xml:space="preserve">D.3 GCC-Moderate Boundary Considerations</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GCC-Moderate Compliance Notes</w:t>
            </w:r>
          </w:p>
          <w:p>
            <w:pPr>
              <w:pStyle w:val="BlockText"/>
            </w:pPr>
            <w:r>
              <w:t xml:space="preserve">• All Conditional Access policies must be configured in the GCC-Moderate tenant (GCC runs on the commercial Entra ID service)</w:t>
            </w:r>
          </w:p>
          <w:p>
            <w:pPr>
              <w:pStyle w:val="BlockText"/>
            </w:pPr>
            <w:r>
              <w:t xml:space="preserve">• GCC-Moderate uses the worldwide Graph endpoint,</w:t>
            </w:r>
            <w:r>
              <w:t xml:space="preserve"> </w:t>
            </w:r>
            <w:r>
              <w:rPr>
                <w:b/>
                <w:bCs/>
              </w:rPr>
              <w:t xml:space="preserve">graph.microsoft.com</w:t>
            </w:r>
            <w:r>
              <w:t xml:space="preserve">;</w:t>
            </w:r>
            <w:r>
              <w:t xml:space="preserve"> </w:t>
            </w:r>
            <w:r>
              <w:rPr>
                <w:b/>
                <w:bCs/>
              </w:rPr>
              <w:t xml:space="preserve">graph.microsoft.us</w:t>
            </w:r>
            <w:r>
              <w:t xml:space="preserve"> </w:t>
            </w:r>
            <w:r>
              <w:t xml:space="preserve">is for GCC High</w:t>
            </w:r>
          </w:p>
          <w:p>
            <w:pPr>
              <w:pStyle w:val="BlockText"/>
            </w:pPr>
            <w:r>
              <w:t xml:space="preserve">• Some features may have delayed availability in GCC; verify feature availability in the Microsoft 365 Government service description before deploying policies that reference advanced features (e.g., Adaptive Protection, Continuous Access Evaluation)</w:t>
            </w:r>
          </w:p>
          <w:p>
            <w:pPr>
              <w:pStyle w:val="BlockText"/>
            </w:pPr>
            <w:r>
              <w:t xml:space="preserve">• Named locations must reflect GCC-Moderate Azure Government region IP ranges for compliance boundary enforcement</w:t>
            </w:r>
          </w:p>
          <w:p>
            <w:pPr>
              <w:pStyle w:val="BlockText"/>
            </w:pPr>
            <w:r>
              <w:t xml:space="preserve">• Third-party FIDO2 security keys must be FIPS 140-2 Level 2 validated or higher for use within the GCC-Moderate boundary</w:t>
            </w:r>
          </w:p>
        </w:tc>
      </w:tr>
    </w:tbl>
    <w:p>
      <w:pPr>
        <w:pStyle w:val="FirstParagraph"/>
      </w:pPr>
      <w:r>
        <w:rPr>
          <w:b/>
          <w:bCs/>
        </w:rPr>
        <w:t xml:space="preserve">The Federal Modernization Program Conditional Access Policy Library</w:t>
      </w:r>
      <w:r>
        <w:t xml:space="preserve"> </w:t>
      </w:r>
      <w:r>
        <w:t xml:space="preserve">| Version 2.0 | April 21, 2026</w:t>
      </w:r>
      <w:r>
        <w:br/>
      </w:r>
      <w:r>
        <w:t xml:space="preserve">Classification: Controlled | Boundary: GCC-Moderate | the Federal Modernization Program Identity Modernization Program Office</w:t>
      </w:r>
      <w:r>
        <w:br/>
      </w:r>
      <w:r>
        <w:t xml:space="preserve">This document is subject to quarterly review. Unauthorized modification or distribution outside the defined audience is prohibited.</w:t>
      </w:r>
    </w:p>
    <w:bookmarkStart w:id="157" w:name="X2b1049ef798040a3ce27563d8fdc9016a310d41"/>
    <w:p>
      <w:pPr>
        <w:pStyle w:val="Heading2"/>
      </w:pPr>
      <w:r>
        <w:t xml:space="preserve">Compliance Amendment — Device Compliance Enforcement and Policy Change Tracking (</w:t>
      </w:r>
      <w:r>
        <w:rPr>
          <w:rStyle w:val="VerbatimChar"/>
        </w:rPr>
        <w:t xml:space="preserve">AC-3</w:t>
      </w:r>
      <w:r>
        <w:t xml:space="preserve">,</w:t>
      </w:r>
      <w:r>
        <w:t xml:space="preserve"> </w:t>
      </w:r>
      <w:r>
        <w:rPr>
          <w:rStyle w:val="VerbatimChar"/>
        </w:rPr>
        <w:t xml:space="preserve">CM-3</w:t>
      </w:r>
      <w:r>
        <w:t xml:space="preserve">)</w:t>
      </w:r>
    </w:p>
    <w:bookmarkStart w:id="155" w:name="device-compliance-enforcement-ac-3"/>
    <w:p>
      <w:pPr>
        <w:pStyle w:val="Heading3"/>
      </w:pPr>
      <w:r>
        <w:t xml:space="preserve">Device compliance enforcement (</w:t>
      </w:r>
      <w:r>
        <w:rPr>
          <w:rStyle w:val="VerbatimChar"/>
        </w:rPr>
        <w:t xml:space="preserve">AC-3</w:t>
      </w:r>
      <w:r>
        <w:t xml:space="preserve">)</w:t>
      </w:r>
    </w:p>
    <w:p>
      <w:pPr>
        <w:pStyle w:val="FirstParagraph"/>
      </w:pPr>
      <w:r>
        <w:t xml:space="preserve">A Conditional Access policy requires that devices accessing in-boundary resources are marked compliant (Intune) or are hybrid/Entra-joined, enforcing access only from managed, compliant devices. This complements the user- and risk-based policies in this library and is part of the</w:t>
      </w:r>
      <w:r>
        <w:t xml:space="preserve"> </w:t>
      </w:r>
      <w:r>
        <w:rPr>
          <w:rStyle w:val="VerbatimChar"/>
        </w:rPr>
        <w:t xml:space="preserve">AC-3</w:t>
      </w:r>
      <w:r>
        <w:t xml:space="preserve"> </w:t>
      </w:r>
      <w:r>
        <w:t xml:space="preserve">access-enforcement posture.</w:t>
      </w:r>
    </w:p>
    <w:bookmarkEnd w:id="155"/>
    <w:bookmarkStart w:id="156" w:name="policy-change-tracking-cm-3"/>
    <w:p>
      <w:pPr>
        <w:pStyle w:val="Heading3"/>
      </w:pPr>
      <w:r>
        <w:t xml:space="preserve">Policy change tracking (</w:t>
      </w:r>
      <w:r>
        <w:rPr>
          <w:rStyle w:val="VerbatimChar"/>
        </w:rPr>
        <w:t xml:space="preserve">CM-3</w:t>
      </w:r>
      <w:r>
        <w:t xml:space="preserve">)</w:t>
      </w:r>
    </w:p>
    <w:p>
      <w:pPr>
        <w:pStyle w:val="FirstParagraph"/>
      </w:pPr>
      <w:r>
        <w:t xml:space="preserve">Changes to any Conditional Access policy follow change control (</w:t>
      </w:r>
      <w:r>
        <w:rPr>
          <w:rStyle w:val="VerbatimChar"/>
        </w:rPr>
        <w:t xml:space="preserve">CM-3</w:t>
      </w:r>
      <w:r>
        <w:t xml:space="preserve">): each modification is recorded with author, rationale, and approval, and the policy set is captured as governed configuration so that an unauthorized or out-of-band change surfaces as drift. Policy state is reviewed on the quarterly cadence noted above.</w:t>
      </w:r>
    </w:p>
    <w:tbl>
      <w:tblPr>
        <w:tblStyle w:val="Table"/>
        <w:tblW w:type="pct" w:w="3889"/>
        <w:tblLayout w:type="fixed"/>
        <w:tblLook w:firstRow="0" w:lastRow="0" w:firstColumn="0" w:lastColumn="0" w:noHBand="0" w:noVBand="0" w:val="0000"/>
      </w:tblPr>
      <w:tblGrid>
        <w:gridCol w:w="6160"/>
      </w:tblGrid>
      <w:tr>
        <w:tc>
          <w:tcPr/>
          <w:p>
            <w:pPr>
              <w:pStyle w:val="Compact"/>
            </w:pPr>
            <w:r>
              <w:t xml:space="preserve">CONTROLLED |</w:t>
            </w:r>
            <w:r>
              <w:t xml:space="preserve"> </w:t>
            </w:r>
            <w:r>
              <w:t xml:space="preserve">|</w:t>
            </w:r>
            <w:r>
              <w:t xml:space="preserve"> </w:t>
            </w:r>
            <w:r>
              <w:t xml:space="preserve">| |</w:t>
            </w:r>
            <w:r>
              <w:t xml:space="preserve"> </w:t>
            </w:r>
            <w:r>
              <w:t xml:space="preserve">|</w:t>
            </w:r>
            <w:r>
              <w:t xml:space="preserve"> </w:t>
            </w:r>
            <w:r>
              <w:t xml:space="preserve">GCC-MODERATE BOUNDARY |</w:t>
            </w:r>
            <w:r>
              <w:t xml:space="preserve"> </w:t>
            </w:r>
            <w:r>
              <w:t xml:space="preserve">|</w:t>
            </w:r>
            <w:r>
              <w:t xml:space="preserve"> </w:t>
            </w:r>
            <w:r>
              <w:t xml:space="preserve">| |</w:t>
            </w:r>
            <w:r>
              <w:t xml:space="preserve"> </w:t>
            </w:r>
            <w:r>
              <w:t xml:space="preserve">|</w:t>
            </w:r>
            <w:r>
              <w:t xml:space="preserve"> </w:t>
            </w:r>
            <w:r>
              <w:t xml:space="preserve">The Federal Modernization Program IDENTITY GOVERNANCE</w:t>
            </w:r>
          </w:p>
        </w:tc>
      </w:tr>
    </w:tbl>
    <w:bookmarkEnd w:id="156"/>
    <w:bookmarkEnd w:id="157"/>
    <w:bookmarkEnd w:id="158"/>
    <w:bookmarkStart w:id="228" w:name="pim-self-request-with-approval-1"/>
    <w:p>
      <w:pPr>
        <w:pStyle w:val="Heading1"/>
      </w:pPr>
      <w:r>
        <w:t xml:space="preserve">PIM Self-Request with Approval</w:t>
      </w:r>
    </w:p>
    <w:p>
      <w:pPr>
        <w:pStyle w:val="FirstParagraph"/>
      </w:pPr>
      <w:r>
        <w:rPr>
          <w:b/>
          <w:bCs/>
        </w:rPr>
        <w:t xml:space="preserve">Series:</w:t>
      </w:r>
      <w:r>
        <w:t xml:space="preserve"> </w:t>
      </w:r>
      <w:r>
        <w:t xml:space="preserve">the Federal Modernization Program Access Plane — F.5 Privileged Access Management ·</w:t>
      </w:r>
      <w:r>
        <w:t xml:space="preserve"> </w:t>
      </w:r>
      <w:r>
        <w:rPr>
          <w:b/>
          <w:bCs/>
        </w:rPr>
        <w:t xml:space="preserve">Boundary:</w:t>
      </w:r>
      <w:r>
        <w:t xml:space="preserve"> </w:t>
      </w:r>
      <w:r>
        <w:t xml:space="preserve">GCC-Moderate ·</w:t>
      </w:r>
      <w:r>
        <w:t xml:space="preserve"> </w:t>
      </w:r>
      <w:r>
        <w:rPr>
          <w:b/>
          <w:bCs/>
        </w:rPr>
        <w:t xml:space="preserve">Classification:</w:t>
      </w:r>
      <w:r>
        <w:t xml:space="preserve"> </w:t>
      </w:r>
      <w:r>
        <w:t xml:space="preserve">Controlled</w:t>
      </w:r>
    </w:p>
    <w:p>
      <w:pPr>
        <w:pStyle w:val="BodyText"/>
      </w:pPr>
      <w:r>
        <w:rPr>
          <w:b/>
          <w:bCs/>
        </w:rPr>
        <w:t xml:space="preserve">What this guide is</w:t>
      </w:r>
    </w:p>
    <w:p>
      <w:pPr>
        <w:pStyle w:val="BodyText"/>
      </w:pPr>
      <w:r>
        <w:t xml:space="preserve">A build guide for one specific Microsoft Entra Privileged Identity Management</w:t>
      </w:r>
      <w:r>
        <w:t xml:space="preserve"> </w:t>
      </w:r>
      <w:r>
        <w:t xml:space="preserve">(PIM) configuration:</w:t>
      </w:r>
      <w:r>
        <w:t xml:space="preserve"> </w:t>
      </w:r>
      <w:r>
        <w:rPr>
          <w:b/>
          <w:bCs/>
        </w:rPr>
        <w:t xml:space="preserve">administrative roles held as</w:t>
      </w:r>
      <w:r>
        <w:rPr>
          <w:b/>
          <w:bCs/>
        </w:rPr>
        <w:t xml:space="preserve"> </w:t>
      </w:r>
      <w:r>
        <w:rPr>
          <w:b/>
          <w:bCs/>
          <w:i/>
          <w:iCs/>
        </w:rPr>
        <w:t xml:space="preserve">eligible</w:t>
      </w:r>
      <w:r>
        <w:rPr>
          <w:b/>
          <w:bCs/>
        </w:rPr>
        <w:t xml:space="preserve"> </w:t>
      </w:r>
      <w:r>
        <w:rPr>
          <w:b/>
          <w:bCs/>
        </w:rPr>
        <w:t xml:space="preserve">only, activated</w:t>
      </w:r>
      <w:r>
        <w:rPr>
          <w:b/>
          <w:bCs/>
        </w:rPr>
        <w:t xml:space="preserve"> </w:t>
      </w:r>
      <w:r>
        <w:rPr>
          <w:b/>
          <w:bCs/>
        </w:rPr>
        <w:t xml:space="preserve">by the holder’s own request, and released only after a named approver</w:t>
      </w:r>
      <w:r>
        <w:rPr>
          <w:b/>
          <w:bCs/>
        </w:rPr>
        <w:t xml:space="preserve"> </w:t>
      </w:r>
      <w:r>
        <w:rPr>
          <w:b/>
          <w:bCs/>
        </w:rPr>
        <w:t xml:space="preserve">approves.</w:t>
      </w:r>
      <w:r>
        <w:t xml:space="preserve"> </w:t>
      </w:r>
      <w:r>
        <w:t xml:space="preserve">It gives the portal path, the Microsoft Graph equivalent, the</w:t>
      </w:r>
      <w:r>
        <w:t xml:space="preserve"> </w:t>
      </w:r>
      <w:r>
        <w:t xml:space="preserve">approver and break-glass design, the evidence pipeline, and the mapping from</w:t>
      </w:r>
      <w:r>
        <w:t xml:space="preserve"> </w:t>
      </w:r>
      <w:r>
        <w:t xml:space="preserve">each build step to the NIST SP 800-53 Rev 5 controls that FedRAMP Moderate</w:t>
      </w:r>
      <w:r>
        <w:t xml:space="preserve"> </w:t>
      </w:r>
      <w:r>
        <w:t xml:space="preserve">inherits.</w:t>
      </w:r>
    </w:p>
    <w:p>
      <w:pPr>
        <w:pStyle w:val="BodyText"/>
      </w:pPr>
      <w:r>
        <w:t xml:space="preserve">It is deliberately narrower than the</w:t>
      </w:r>
      <w:r>
        <w:t xml:space="preserve"> </w:t>
      </w:r>
      <w:r>
        <w:t xml:space="preserve">Privileged Access Management book,</w:t>
      </w:r>
      <w:r>
        <w:t xml:space="preserve"> </w:t>
      </w:r>
      <w:r>
        <w:t xml:space="preserve">which covers the whole PAM estate — PIM, Arc JIT server access, and Privileged</w:t>
      </w:r>
      <w:r>
        <w:t xml:space="preserve"> </w:t>
      </w:r>
      <w:r>
        <w:t xml:space="preserve">Access Workstations. Read that for the programme; read this to build and</w:t>
      </w:r>
      <w:r>
        <w:t xml:space="preserve"> </w:t>
      </w:r>
      <w:r>
        <w:t xml:space="preserve">evidence the approval gate.</w:t>
      </w:r>
    </w:p>
    <w:bookmarkStart w:id="162" w:name="purpose-and-scope"/>
    <w:p>
      <w:pPr>
        <w:pStyle w:val="Heading2"/>
      </w:pPr>
      <w:r>
        <w:t xml:space="preserve">Purpose and scope</w:t>
      </w:r>
    </w:p>
    <w:bookmarkStart w:id="159" w:name="in-scope"/>
    <w:p>
      <w:pPr>
        <w:pStyle w:val="Heading3"/>
      </w:pPr>
      <w:r>
        <w:t xml:space="preserve">In scope</w:t>
      </w:r>
    </w:p>
    <w:p>
      <w:pPr>
        <w:pStyle w:val="Compact"/>
        <w:numPr>
          <w:ilvl w:val="0"/>
          <w:numId w:val="1107"/>
        </w:numPr>
      </w:pPr>
      <w:r>
        <w:t xml:space="preserve">Microsoft Entra</w:t>
      </w:r>
      <w:r>
        <w:t xml:space="preserve"> </w:t>
      </w:r>
      <w:r>
        <w:rPr>
          <w:b/>
          <w:bCs/>
        </w:rPr>
        <w:t xml:space="preserve">directory roles</w:t>
      </w:r>
      <w:r>
        <w:t xml:space="preserve"> </w:t>
      </w:r>
      <w:r>
        <w:t xml:space="preserve">(built-in and custom) managed by PIM.</w:t>
      </w:r>
    </w:p>
    <w:p>
      <w:pPr>
        <w:pStyle w:val="Compact"/>
        <w:numPr>
          <w:ilvl w:val="0"/>
          <w:numId w:val="1107"/>
        </w:numPr>
      </w:pPr>
      <w:r>
        <w:rPr>
          <w:b/>
          <w:bCs/>
        </w:rPr>
        <w:t xml:space="preserve">Self-activation</w:t>
      </w:r>
      <w:r>
        <w:t xml:space="preserve"> </w:t>
      </w:r>
      <w:r>
        <w:t xml:space="preserve">of an eligible assignment by the assignment holder —</w:t>
      </w:r>
      <w:r>
        <w:t xml:space="preserve"> </w:t>
      </w:r>
      <w:r>
        <w:t xml:space="preserve">the Graph</w:t>
      </w:r>
      <w:r>
        <w:t xml:space="preserve"> </w:t>
      </w:r>
      <w:r>
        <w:rPr>
          <w:rStyle w:val="VerbatimChar"/>
        </w:rPr>
        <w:t xml:space="preserve">selfActivate</w:t>
      </w:r>
      <w:r>
        <w:t xml:space="preserve"> </w:t>
      </w:r>
      <w:r>
        <w:t xml:space="preserve">action — gated by</w:t>
      </w:r>
      <w:r>
        <w:t xml:space="preserve"> </w:t>
      </w:r>
      <w:r>
        <w:rPr>
          <w:b/>
          <w:bCs/>
        </w:rPr>
        <w:t xml:space="preserve">approval</w:t>
      </w:r>
      <w:r>
        <w:t xml:space="preserve">, MFA, and</w:t>
      </w:r>
      <w:r>
        <w:t xml:space="preserve"> </w:t>
      </w:r>
      <w:r>
        <w:t xml:space="preserve">justification.</w:t>
      </w:r>
    </w:p>
    <w:p>
      <w:pPr>
        <w:pStyle w:val="Compact"/>
        <w:numPr>
          <w:ilvl w:val="0"/>
          <w:numId w:val="1107"/>
        </w:numPr>
      </w:pPr>
      <w:r>
        <w:t xml:space="preserve">The role settings (PIM policies) that make the gate real, in both the</w:t>
      </w:r>
      <w:r>
        <w:t xml:space="preserve"> </w:t>
      </w:r>
      <w:r>
        <w:t xml:space="preserve">Microsoft Entra admin center and Microsoft Graph.</w:t>
      </w:r>
    </w:p>
    <w:p>
      <w:pPr>
        <w:pStyle w:val="Compact"/>
        <w:numPr>
          <w:ilvl w:val="0"/>
          <w:numId w:val="1107"/>
        </w:numPr>
      </w:pPr>
      <w:r>
        <w:t xml:space="preserve">The audit, alerting, access-review, and log-retention plumbing an assessor</w:t>
      </w:r>
      <w:r>
        <w:t xml:space="preserve"> </w:t>
      </w:r>
      <w:r>
        <w:t xml:space="preserve">will ask for.</w:t>
      </w:r>
    </w:p>
    <w:p>
      <w:pPr>
        <w:pStyle w:val="Compact"/>
        <w:numPr>
          <w:ilvl w:val="0"/>
          <w:numId w:val="1107"/>
        </w:numPr>
      </w:pPr>
      <w:r>
        <w:t xml:space="preserve">A control mapping suitable for drafting SSP implementation statements.</w:t>
      </w:r>
    </w:p>
    <w:bookmarkEnd w:id="159"/>
    <w:bookmarkStart w:id="160" w:name="out-of-scope"/>
    <w:p>
      <w:pPr>
        <w:pStyle w:val="Heading3"/>
      </w:pPr>
      <w:r>
        <w:t xml:space="preserve">Out of scope</w:t>
      </w:r>
    </w:p>
    <w:p>
      <w:pPr>
        <w:pStyle w:val="Compact"/>
        <w:numPr>
          <w:ilvl w:val="0"/>
          <w:numId w:val="1108"/>
        </w:numPr>
      </w:pPr>
      <w:r>
        <w:rPr>
          <w:b/>
          <w:bCs/>
        </w:rPr>
        <w:t xml:space="preserve">Azure resource roles</w:t>
      </w:r>
      <w:r>
        <w:t xml:space="preserve"> </w:t>
      </w:r>
      <w:r>
        <w:t xml:space="preserve">and</w:t>
      </w:r>
      <w:r>
        <w:t xml:space="preserve"> </w:t>
      </w:r>
      <w:r>
        <w:rPr>
          <w:b/>
          <w:bCs/>
        </w:rPr>
        <w:t xml:space="preserve">PIM for Groups</w:t>
      </w:r>
      <w:r>
        <w:t xml:space="preserve">. Both support the same</w:t>
      </w:r>
      <w:r>
        <w:t xml:space="preserve"> </w:t>
      </w:r>
      <w:r>
        <w:t xml:space="preserve">approval concept through parallel policy objects; the rule IDs and portal</w:t>
      </w:r>
      <w:r>
        <w:t xml:space="preserve"> </w:t>
      </w:r>
      <w:r>
        <w:t xml:space="preserve">blades differ. Where a resource-role equivalent exists it is noted, but the</w:t>
      </w:r>
      <w:r>
        <w:t xml:space="preserve"> </w:t>
      </w:r>
      <w:r>
        <w:t xml:space="preserve">build steps here target directory roles only.</w:t>
      </w:r>
    </w:p>
    <w:p>
      <w:pPr>
        <w:pStyle w:val="Compact"/>
        <w:numPr>
          <w:ilvl w:val="0"/>
          <w:numId w:val="1108"/>
        </w:numPr>
      </w:pPr>
      <w:r>
        <w:t xml:space="preserve">Arc-based just-in-time</w:t>
      </w:r>
      <w:r>
        <w:t xml:space="preserve"> </w:t>
      </w:r>
      <w:r>
        <w:rPr>
          <w:b/>
          <w:bCs/>
        </w:rPr>
        <w:t xml:space="preserve">server</w:t>
      </w:r>
      <w:r>
        <w:t xml:space="preserve"> </w:t>
      </w:r>
      <w:r>
        <w:t xml:space="preserve">access and PAW baselines — see the</w:t>
      </w:r>
      <w:r>
        <w:t xml:space="preserve"> </w:t>
      </w:r>
      <w:r>
        <w:t xml:space="preserve">PAM book.</w:t>
      </w:r>
    </w:p>
    <w:p>
      <w:pPr>
        <w:pStyle w:val="Compact"/>
        <w:numPr>
          <w:ilvl w:val="0"/>
          <w:numId w:val="1108"/>
        </w:numPr>
      </w:pPr>
      <w:r>
        <w:t xml:space="preserve">Entitlement management access packages — see the note below on the two</w:t>
      </w:r>
      <w:r>
        <w:t xml:space="preserve"> </w:t>
      </w:r>
      <w:r>
        <w:t xml:space="preserve">layers of self-request.</w:t>
      </w:r>
    </w:p>
    <w:p>
      <w:pPr>
        <w:pStyle w:val="FirstParagraph"/>
      </w:pPr>
      <w:r>
        <w:rPr>
          <w:b/>
          <w:bCs/>
        </w:rPr>
        <w:t xml:space="preserve">"Self-request" has two layers — this guide builds the second</w:t>
      </w:r>
    </w:p>
    <w:p>
      <w:pPr>
        <w:pStyle w:val="BodyText"/>
      </w:pPr>
      <w:r>
        <w:t xml:space="preserve">The phrase covers two distinct things, and an agency can run either or both:</w:t>
      </w:r>
    </w:p>
    <w:p>
      <w:pPr>
        <w:pStyle w:val="Compact"/>
        <w:numPr>
          <w:ilvl w:val="0"/>
          <w:numId w:val="1109"/>
        </w:numPr>
      </w:pPr>
      <w:r>
        <w:rPr>
          <w:b/>
          <w:bCs/>
        </w:rPr>
        <w:t xml:space="preserve">Self-request for</w:t>
      </w:r>
      <w:r>
        <w:rPr>
          <w:b/>
          <w:bCs/>
        </w:rPr>
        <w:t xml:space="preserve"> </w:t>
      </w:r>
      <w:r>
        <w:rPr>
          <w:b/>
          <w:bCs/>
          <w:i/>
          <w:iCs/>
        </w:rPr>
        <w:t xml:space="preserve">eligibility</w:t>
      </w:r>
      <w:r>
        <w:t xml:space="preserve"> </w:t>
      </w:r>
      <w:r>
        <w:t xml:space="preserve">— a user asks to become eligible for a</w:t>
      </w:r>
      <w:r>
        <w:t xml:space="preserve"> </w:t>
      </w:r>
      <w:r>
        <w:t xml:space="preserve">role, and an approver grants it. This is</w:t>
      </w:r>
      <w:r>
        <w:t xml:space="preserve"> </w:t>
      </w:r>
      <w:r>
        <w:rPr>
          <w:b/>
          <w:bCs/>
        </w:rPr>
        <w:t xml:space="preserve">entitlement management</w:t>
      </w:r>
      <w:r>
        <w:t xml:space="preserve">: a</w:t>
      </w:r>
      <w:r>
        <w:t xml:space="preserve"> </w:t>
      </w:r>
      <w:r>
        <w:t xml:space="preserve">role-assignable group published as an access package, with an approval</w:t>
      </w:r>
      <w:r>
        <w:t xml:space="preserve"> </w:t>
      </w:r>
      <w:r>
        <w:t xml:space="preserve">workflow on the request. It answers</w:t>
      </w:r>
      <w:r>
        <w:t xml:space="preserve"> </w:t>
      </w:r>
      <w:r>
        <w:rPr>
          <w:i/>
          <w:iCs/>
        </w:rPr>
        <w:t xml:space="preserve">may this person ever hold this role?</w:t>
      </w:r>
    </w:p>
    <w:p>
      <w:pPr>
        <w:pStyle w:val="Compact"/>
        <w:numPr>
          <w:ilvl w:val="0"/>
          <w:numId w:val="1109"/>
        </w:numPr>
      </w:pPr>
      <w:r>
        <w:rPr>
          <w:b/>
          <w:bCs/>
        </w:rPr>
        <w:t xml:space="preserve">Self-request for</w:t>
      </w:r>
      <w:r>
        <w:rPr>
          <w:b/>
          <w:bCs/>
        </w:rPr>
        <w:t xml:space="preserve"> </w:t>
      </w:r>
      <w:r>
        <w:rPr>
          <w:b/>
          <w:bCs/>
          <w:i/>
          <w:iCs/>
        </w:rPr>
        <w:t xml:space="preserve">activation</w:t>
      </w:r>
      <w:r>
        <w:t xml:space="preserve"> </w:t>
      </w:r>
      <w:r>
        <w:t xml:space="preserve">— an already-eligible user asks to turn</w:t>
      </w:r>
      <w:r>
        <w:t xml:space="preserve"> </w:t>
      </w:r>
      <w:r>
        <w:t xml:space="preserve">the role on for a bounded window, and an approver releases it. This is</w:t>
      </w:r>
      <w:r>
        <w:t xml:space="preserve"> </w:t>
      </w:r>
      <w:r>
        <w:rPr>
          <w:b/>
          <w:bCs/>
        </w:rPr>
        <w:t xml:space="preserve">PIM</w:t>
      </w:r>
      <w:r>
        <w:t xml:space="preserve">, and it is what this guide builds. It answers</w:t>
      </w:r>
      <w:r>
        <w:t xml:space="preserve"> </w:t>
      </w:r>
      <w:r>
        <w:rPr>
          <w:i/>
          <w:iCs/>
        </w:rPr>
        <w:t xml:space="preserve">may this person use</w:t>
      </w:r>
      <w:r>
        <w:rPr>
          <w:i/>
          <w:iCs/>
        </w:rPr>
        <w:t xml:space="preserve"> </w:t>
      </w:r>
      <w:r>
        <w:rPr>
          <w:i/>
          <w:iCs/>
        </w:rPr>
        <w:t xml:space="preserve">this role right now?</w:t>
      </w:r>
    </w:p>
    <w:p>
      <w:pPr>
        <w:pStyle w:val="FirstParagraph"/>
      </w:pPr>
      <w:r>
        <w:t xml:space="preserve">Microsoft’s guidance for the DoD Zero Trust user pillar treats these as</w:t>
      </w:r>
      <w:r>
        <w:t xml:space="preserve"> </w:t>
      </w:r>
      <w:r>
        <w:t xml:space="preserve">composable: you can require approval when users request eligibility in</w:t>
      </w:r>
      <w:r>
        <w:t xml:space="preserve"> </w:t>
      </w:r>
      <w:r>
        <w:t xml:space="preserve">entitlement management, require approval upon activation in PIM,</w:t>
      </w:r>
      <w:r>
        <w:t xml:space="preserve"> </w:t>
      </w:r>
      <w:r>
        <w:rPr>
          <w:b/>
          <w:bCs/>
        </w:rPr>
        <w:t xml:space="preserve">or both</w:t>
      </w:r>
      <w:r>
        <w:t xml:space="preserve">.</w:t>
      </w:r>
    </w:p>
    <w:p>
      <w:pPr>
        <w:pStyle w:val="BodyText"/>
      </w:pPr>
      <w:r>
        <w:t xml:space="preserve">Layer 2 is the one that produces a per-use, time-bounded, individually</w:t>
      </w:r>
      <w:r>
        <w:t xml:space="preserve"> </w:t>
      </w:r>
      <w:r>
        <w:t xml:space="preserve">justified record — which is what an assessor tests against AC-6(9) and</w:t>
      </w:r>
      <w:r>
        <w:t xml:space="preserve"> </w:t>
      </w:r>
      <w:r>
        <w:t xml:space="preserve">AC-17(4). Layer 1 without layer 2 grants standing privilege through a nicer</w:t>
      </w:r>
      <w:r>
        <w:t xml:space="preserve"> </w:t>
      </w:r>
      <w:r>
        <w:t xml:space="preserve">front door. If the agency runs only one, run this one.</w:t>
      </w:r>
    </w:p>
    <w:bookmarkEnd w:id="160"/>
    <w:bookmarkStart w:id="161" w:name="reading-order"/>
    <w:p>
      <w:pPr>
        <w:pStyle w:val="Heading3"/>
      </w:pPr>
      <w:r>
        <w:t xml:space="preserve">Reading order</w:t>
      </w:r>
    </w:p>
    <w:p>
      <w:pPr>
        <w:pStyle w:val="FirstParagraph"/>
      </w:pPr>
      <w:r>
        <w:t xml:space="preserve">If you are standing this up from nothing, work the build steps in order.</w:t>
      </w:r>
      <w:r>
        <w:t xml:space="preserve"> </w:t>
      </w:r>
      <w:r>
        <w:t xml:space="preserve">Step 0 is not optional and not reorderable: configuring an approval</w:t>
      </w:r>
      <w:r>
        <w:t xml:space="preserve"> </w:t>
      </w:r>
      <w:r>
        <w:t xml:space="preserve">requirement before emergency access accounts exist is the one sequence that</w:t>
      </w:r>
      <w:r>
        <w:t xml:space="preserve"> </w:t>
      </w:r>
      <w:r>
        <w:t xml:space="preserve">can lock an agency out of its own tenant.</w:t>
      </w:r>
    </w:p>
    <w:bookmarkEnd w:id="161"/>
    <w:bookmarkEnd w:id="162"/>
    <w:bookmarkStart w:id="164" w:name="prerequisites"/>
    <w:p>
      <w:pPr>
        <w:pStyle w:val="Heading2"/>
      </w:pPr>
      <w:r>
        <w:t xml:space="preserve">Prerequisites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Detail</w:t>
            </w:r>
          </w:p>
        </w:tc>
      </w:tr>
      <w:tr>
        <w:tc>
          <w:tcPr/>
          <w:p>
            <w:pPr>
              <w:pStyle w:val="Compact"/>
            </w:pPr>
            <w:r>
              <w:rPr>
                <w:b/>
                <w:bCs/>
              </w:rPr>
              <w:t xml:space="preserve">Licence</w:t>
            </w:r>
          </w:p>
        </w:tc>
        <w:tc>
          <w:tcPr/>
          <w:p>
            <w:pPr>
              <w:pStyle w:val="Compact"/>
            </w:pPr>
            <w:r>
              <w:t xml:space="preserve">Microsoft Entra ID</w:t>
            </w:r>
            <w:r>
              <w:t xml:space="preserve"> </w:t>
            </w:r>
            <w:r>
              <w:rPr>
                <w:b/>
                <w:bCs/>
              </w:rPr>
              <w:t xml:space="preserve">P2</w:t>
            </w:r>
            <w:r>
              <w:t xml:space="preserve"> </w:t>
            </w:r>
            <w:r>
              <w:t xml:space="preserve">or</w:t>
            </w:r>
            <w:r>
              <w:t xml:space="preserve"> </w:t>
            </w:r>
            <w:r>
              <w:rPr>
                <w:b/>
                <w:bCs/>
              </w:rPr>
              <w:t xml:space="preserve">Microsoft Entra ID Governance</w:t>
            </w:r>
            <w:r>
              <w:t xml:space="preserve">. PIM is unavailable without one; if the licence lapses, PIM blades, APIs, and PowerShell interfaces stop serving activation and assignment management, in-flight access reviews end, and PIM configuration settings are removed.</w:t>
            </w:r>
          </w:p>
        </w:tc>
      </w:tr>
      <w:tr>
        <w:tc>
          <w:tcPr/>
          <w:p>
            <w:pPr>
              <w:pStyle w:val="Compact"/>
            </w:pPr>
            <w:r>
              <w:rPr>
                <w:b/>
                <w:bCs/>
              </w:rPr>
              <w:t xml:space="preserve">Role to configure PIM</w:t>
            </w:r>
          </w:p>
        </w:tc>
        <w:tc>
          <w:tcPr/>
          <w:p>
            <w:pPr>
              <w:pStyle w:val="Compact"/>
            </w:pPr>
            <w:r>
              <w:rPr>
                <w:b/>
                <w:bCs/>
              </w:rPr>
              <w:t xml:space="preserve">Privileged Role Administrator</w:t>
            </w:r>
            <w:r>
              <w:t xml:space="preserve"> </w:t>
            </w:r>
            <w:r>
              <w:t xml:space="preserve">is the least-privileged role sufficient to manage PIM role settings and assignments for a Microsoft Entra role.</w:t>
            </w:r>
          </w:p>
        </w:tc>
      </w:tr>
      <w:tr>
        <w:tc>
          <w:tcPr/>
          <w:p>
            <w:pPr>
              <w:pStyle w:val="Compact"/>
            </w:pPr>
            <w:r>
              <w:rPr>
                <w:b/>
                <w:bCs/>
              </w:rPr>
              <w:t xml:space="preserve">Role to read PIM alerts</w:t>
            </w:r>
          </w:p>
        </w:tc>
        <w:tc>
          <w:tcPr/>
          <w:p>
            <w:pPr>
              <w:pStyle w:val="Compact"/>
            </w:pPr>
            <w:r>
              <w:t xml:space="preserve">Global Administrator, Privileged Role Administrator, Global Reader, Security Administrator, or Security Reader.</w:t>
            </w:r>
          </w:p>
        </w:tc>
      </w:tr>
      <w:tr>
        <w:tc>
          <w:tcPr/>
          <w:p>
            <w:pPr>
              <w:pStyle w:val="Compact"/>
            </w:pPr>
            <w:r>
              <w:rPr>
                <w:b/>
                <w:bCs/>
              </w:rPr>
              <w:t xml:space="preserve">Graph permissions (delegated)</w:t>
            </w:r>
          </w:p>
        </w:tc>
        <w:tc>
          <w:tcPr/>
          <w:p>
            <w:pPr>
              <w:pStyle w:val="Compact"/>
            </w:pPr>
            <w:r>
              <w:rPr>
                <w:rStyle w:val="VerbatimChar"/>
              </w:rPr>
              <w:t xml:space="preserve">RoleManagementPolicy.ReadWrite.Directory</w:t>
            </w:r>
            <w:r>
              <w:t xml:space="preserve"> </w:t>
            </w:r>
            <w:r>
              <w:t xml:space="preserve">to manage rules;</w:t>
            </w:r>
            <w:r>
              <w:t xml:space="preserve"> </w:t>
            </w:r>
            <w:r>
              <w:rPr>
                <w:rStyle w:val="VerbatimChar"/>
              </w:rPr>
              <w:t xml:space="preserve">RoleManagement.ReadWrite.Directory</w:t>
            </w:r>
            <w:r>
              <w:t xml:space="preserve"> </w:t>
            </w:r>
            <w:r>
              <w:t xml:space="preserve">to create eligible assignments.</w:t>
            </w:r>
          </w:p>
        </w:tc>
      </w:tr>
      <w:tr>
        <w:tc>
          <w:tcPr/>
          <w:p>
            <w:pPr>
              <w:pStyle w:val="Compact"/>
            </w:pPr>
            <w:r>
              <w:rPr>
                <w:b/>
                <w:bCs/>
              </w:rPr>
              <w:t xml:space="preserve">MFA</w:t>
            </w:r>
          </w:p>
        </w:tc>
        <w:tc>
          <w:tcPr/>
          <w:p>
            <w:pPr>
              <w:pStyle w:val="Compact"/>
            </w:pPr>
            <w:r>
              <w:t xml:space="preserve">Microsoft Entra multifactor authentication enabled for all users — MFA is a per-role activation requirement here, not a substitute for tenant-wide MFA.</w:t>
            </w:r>
          </w:p>
        </w:tc>
      </w:tr>
      <w:tr>
        <w:tc>
          <w:tcPr/>
          <w:p>
            <w:pPr>
              <w:pStyle w:val="Compact"/>
            </w:pPr>
            <w:r>
              <w:rPr>
                <w:b/>
                <w:bCs/>
              </w:rPr>
              <w:t xml:space="preserve">Log destination</w:t>
            </w:r>
          </w:p>
        </w:tc>
        <w:tc>
          <w:tcPr/>
          <w:p>
            <w:pPr>
              <w:pStyle w:val="Compact"/>
            </w:pPr>
            <w:r>
              <w:t xml:space="preserve">An Azure Monitor / Log Analytics workspace (and, where required, an Azure storage account) inside the authorization boundary, for audit retention beyond 30 days. See</w:t>
            </w:r>
            <w:r>
              <w:t xml:space="preserve"> </w:t>
            </w:r>
            <w:hyperlink w:anchor="X5fdc1b1e631de87959cc3be1c08521b2c1db66f">
              <w:r>
                <w:rPr>
                  <w:rStyle w:val="Hyperlink"/>
                </w:rPr>
                <w:t xml:space="preserve">Step 8</w:t>
              </w:r>
            </w:hyperlink>
            <w:r>
              <w:t xml:space="preserve">.</w:t>
            </w:r>
          </w:p>
        </w:tc>
      </w:tr>
      <w:tr>
        <w:tc>
          <w:tcPr/>
          <w:p>
            <w:pPr>
              <w:pStyle w:val="Compact"/>
            </w:pPr>
            <w:r>
              <w:rPr>
                <w:b/>
                <w:bCs/>
              </w:rPr>
              <w:t xml:space="preserve">Government cloud</w:t>
            </w:r>
          </w:p>
        </w:tc>
        <w:tc>
          <w:tcPr/>
          <w:p>
            <w:pPr>
              <w:pStyle w:val="Compact"/>
            </w:pPr>
            <w:r>
              <w:t xml:space="preserve">Microsoft Entra ID Governance — which carries PIM — is available in the US Government community cloud (</w:t>
            </w:r>
            <w:r>
              <w:rPr>
                <w:b/>
                <w:bCs/>
              </w:rPr>
              <w:t xml:space="preserve">GCC</w:t>
            </w:r>
            <w:r>
              <w:t xml:space="preserve">),</w:t>
            </w:r>
            <w:r>
              <w:t xml:space="preserve"> </w:t>
            </w:r>
            <w:r>
              <w:rPr>
                <w:b/>
                <w:bCs/>
              </w:rPr>
              <w:t xml:space="preserve">GCC High</w:t>
            </w:r>
            <w:r>
              <w:t xml:space="preserve">, and</w:t>
            </w:r>
            <w:r>
              <w:t xml:space="preserve"> </w:t>
            </w:r>
            <w:r>
              <w:rPr>
                <w:b/>
                <w:bCs/>
              </w:rPr>
              <w:t xml:space="preserve">Department of Defense</w:t>
            </w:r>
            <w:r>
              <w:t xml:space="preserve"> </w:t>
            </w:r>
            <w:r>
              <w:t xml:space="preserve">cloud environments. Feature parity with commercial is a moving target, so confirm any specific capability against the</w:t>
            </w:r>
            <w:r>
              <w:t xml:space="preserve"> </w:t>
            </w:r>
            <w:hyperlink r:id="rId163">
              <w:r>
                <w:rPr>
                  <w:rStyle w:val="Hyperlink"/>
                </w:rPr>
                <w:t xml:space="preserve">Microsoft Entra feature availability</w:t>
              </w:r>
            </w:hyperlink>
            <w:r>
              <w:t xml:space="preserve"> </w:t>
            </w:r>
            <w:r>
              <w:t xml:space="preserve">page for the agency’s cloud before designing against it.</w:t>
            </w:r>
          </w:p>
        </w:tc>
      </w:tr>
    </w:tbl>
    <w:p>
      <w:pPr>
        <w:pStyle w:val="BodyText"/>
      </w:pPr>
      <w:r>
        <w:rPr>
          <w:b/>
          <w:bCs/>
        </w:rPr>
        <w:t xml:space="preserve">Licence dependency is a control dependency</w:t>
      </w:r>
    </w:p>
    <w:p>
      <w:pPr>
        <w:pStyle w:val="BodyText"/>
      </w:pPr>
      <w:r>
        <w:t xml:space="preserve">Because PIM configuration settings are</w:t>
      </w:r>
      <w:r>
        <w:t xml:space="preserve"> </w:t>
      </w:r>
      <w:r>
        <w:rPr>
          <w:i/>
          <w:iCs/>
        </w:rPr>
        <w:t xml:space="preserve">removed</w:t>
      </w:r>
      <w:r>
        <w:t xml:space="preserve"> </w:t>
      </w:r>
      <w:r>
        <w:t xml:space="preserve">when the licence lapses, the</w:t>
      </w:r>
      <w:r>
        <w:t xml:space="preserve"> </w:t>
      </w:r>
      <w:r>
        <w:t xml:space="preserve">approval gate documented here is only as durable as the subscription behind</w:t>
      </w:r>
      <w:r>
        <w:t xml:space="preserve"> </w:t>
      </w:r>
      <w:r>
        <w:t xml:space="preserve">it. Treat licence expiry as a configuration-management event with a</w:t>
      </w:r>
      <w:r>
        <w:t xml:space="preserve"> </w:t>
      </w:r>
      <w:r>
        <w:t xml:space="preserve">control impact, not a procurement footnote.</w:t>
      </w:r>
    </w:p>
    <w:bookmarkEnd w:id="164"/>
    <w:bookmarkStart w:id="169" w:name="the-target-design"/>
    <w:p>
      <w:pPr>
        <w:pStyle w:val="Heading2"/>
      </w:pPr>
      <w:r>
        <w:t xml:space="preserve">The target design</w:t>
      </w:r>
    </w:p>
    <w:bookmarkStart w:id="165" w:name="eligible-not-active"/>
    <w:p>
      <w:pPr>
        <w:pStyle w:val="Heading3"/>
      </w:pPr>
      <w:r>
        <w:t xml:space="preserve">Eligible, not active</w:t>
      </w:r>
    </w:p>
    <w:p>
      <w:pPr>
        <w:pStyle w:val="FirstParagraph"/>
      </w:pPr>
      <w:r>
        <w:t xml:space="preserve">PIM gives every role assignment one of two states:</w:t>
      </w:r>
    </w:p>
    <w:p>
      <w:pPr>
        <w:pStyle w:val="Compact"/>
        <w:numPr>
          <w:ilvl w:val="0"/>
          <w:numId w:val="1110"/>
        </w:numPr>
      </w:pPr>
      <w:r>
        <w:rPr>
          <w:b/>
          <w:bCs/>
        </w:rPr>
        <w:t xml:space="preserve">Active</w:t>
      </w:r>
      <w:r>
        <w:t xml:space="preserve"> </w:t>
      </w:r>
      <w:r>
        <w:t xml:space="preserve">— the role is effective now. The holder exercises it with no</w:t>
      </w:r>
      <w:r>
        <w:t xml:space="preserve"> </w:t>
      </w:r>
      <w:r>
        <w:t xml:space="preserve">further step. Anyone who captures the session captures the privilege.</w:t>
      </w:r>
    </w:p>
    <w:p>
      <w:pPr>
        <w:pStyle w:val="Compact"/>
        <w:numPr>
          <w:ilvl w:val="0"/>
          <w:numId w:val="1110"/>
        </w:numPr>
      </w:pPr>
      <w:r>
        <w:rPr>
          <w:b/>
          <w:bCs/>
        </w:rPr>
        <w:t xml:space="preserve">Eligible</w:t>
      </w:r>
      <w:r>
        <w:t xml:space="preserve"> </w:t>
      </w:r>
      <w:r>
        <w:t xml:space="preserve">— the role is assigned but</w:t>
      </w:r>
      <w:r>
        <w:t xml:space="preserve"> </w:t>
      </w:r>
      <w:r>
        <w:rPr>
          <w:i/>
          <w:iCs/>
        </w:rPr>
        <w:t xml:space="preserve">not</w:t>
      </w:r>
      <w:r>
        <w:t xml:space="preserve"> </w:t>
      </w:r>
      <w:r>
        <w:t xml:space="preserve">effective. The holder must</w:t>
      </w:r>
      <w:r>
        <w:t xml:space="preserve"> </w:t>
      </w:r>
      <w:r>
        <w:t xml:space="preserve">explicitly activate it, satisfying whatever the role’s policy requires, to</w:t>
      </w:r>
      <w:r>
        <w:t xml:space="preserve"> </w:t>
      </w:r>
      <w:r>
        <w:t xml:space="preserve">receive a time-limited active session. At expiry the assignment reverts to</w:t>
      </w:r>
      <w:r>
        <w:t xml:space="preserve"> </w:t>
      </w:r>
      <w:r>
        <w:t xml:space="preserve">eligible-only.</w:t>
      </w:r>
    </w:p>
    <w:p>
      <w:pPr>
        <w:pStyle w:val="FirstParagraph"/>
      </w:pPr>
      <w:r>
        <w:t xml:space="preserve">The design in this guide holds</w:t>
      </w:r>
      <w:r>
        <w:t xml:space="preserve"> </w:t>
      </w:r>
      <w:r>
        <w:rPr>
          <w:b/>
          <w:bCs/>
        </w:rPr>
        <w:t xml:space="preserve">every human administrative assignment as</w:t>
      </w:r>
      <w:r>
        <w:rPr>
          <w:b/>
          <w:bCs/>
        </w:rPr>
        <w:t xml:space="preserve"> </w:t>
      </w:r>
      <w:r>
        <w:rPr>
          <w:b/>
          <w:bCs/>
        </w:rPr>
        <w:t xml:space="preserve">eligible</w:t>
      </w:r>
      <w:r>
        <w:t xml:space="preserve">, and reserves active assignments for the emergency access accounts</w:t>
      </w:r>
      <w:r>
        <w:t xml:space="preserve"> </w:t>
      </w:r>
      <w:r>
        <w:t xml:space="preserve">of Step 0 and for service principals that cannot perform an activation</w:t>
      </w:r>
      <w:r>
        <w:t xml:space="preserve"> </w:t>
      </w:r>
      <w:r>
        <w:t xml:space="preserve">ceremony.</w:t>
      </w:r>
    </w:p>
    <w:bookmarkEnd w:id="165"/>
    <w:bookmarkStart w:id="166" w:name="the-six-activation-controls"/>
    <w:p>
      <w:pPr>
        <w:pStyle w:val="Heading3"/>
      </w:pPr>
      <w:r>
        <w:t xml:space="preserve">The six activation controls</w:t>
      </w:r>
    </w:p>
    <w:p>
      <w:pPr>
        <w:pStyle w:val="FirstParagraph"/>
      </w:pPr>
      <w:r>
        <w:t xml:space="preserve">A role’s PIM settings — Microsoft calls them</w:t>
      </w:r>
      <w:r>
        <w:t xml:space="preserve"> </w:t>
      </w:r>
      <w:r>
        <w:rPr>
          <w:i/>
          <w:iCs/>
        </w:rPr>
        <w:t xml:space="preserve">role settings</w:t>
      </w:r>
      <w:r>
        <w:t xml:space="preserve">, the Graph API</w:t>
      </w:r>
      <w:r>
        <w:t xml:space="preserve"> </w:t>
      </w:r>
      <w:r>
        <w:t xml:space="preserve">calls them</w:t>
      </w:r>
      <w:r>
        <w:t xml:space="preserve"> </w:t>
      </w:r>
      <w:r>
        <w:rPr>
          <w:i/>
          <w:iCs/>
        </w:rPr>
        <w:t xml:space="preserve">rules</w:t>
      </w:r>
      <w:r>
        <w:t xml:space="preserve">, and both are sometimes called</w:t>
      </w:r>
      <w:r>
        <w:t xml:space="preserve"> </w:t>
      </w:r>
      <w:r>
        <w:rPr>
          <w:i/>
          <w:iCs/>
        </w:rPr>
        <w:t xml:space="preserve">PIM policies</w:t>
      </w:r>
      <w:r>
        <w:t xml:space="preserve"> </w:t>
      </w:r>
      <w:r>
        <w:t xml:space="preserve">— expose six</w:t>
      </w:r>
      <w:r>
        <w:t xml:space="preserve"> </w:t>
      </w:r>
      <w:r>
        <w:t xml:space="preserve">controls on the activation path. Settings are</w:t>
      </w:r>
      <w:r>
        <w:t xml:space="preserve"> </w:t>
      </w:r>
      <w:r>
        <w:rPr>
          <w:b/>
          <w:bCs/>
        </w:rPr>
        <w:t xml:space="preserve">per role</w:t>
      </w:r>
      <w:r>
        <w:t xml:space="preserve">: each role’s</w:t>
      </w:r>
      <w:r>
        <w:t xml:space="preserve"> </w:t>
      </w:r>
      <w:r>
        <w:t xml:space="preserve">settings are independent, and every assignment of the same role follows the</w:t>
      </w:r>
      <w:r>
        <w:t xml:space="preserve"> </w:t>
      </w:r>
      <w:r>
        <w:t xml:space="preserve">same settings.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does</w:t>
            </w:r>
          </w:p>
        </w:tc>
        <w:tc>
          <w:tcPr/>
          <w:p>
            <w:pPr>
              <w:pStyle w:val="Compact"/>
            </w:pPr>
            <w:r>
              <w:t xml:space="preserve">Notes that matter for a federal build</w:t>
            </w:r>
          </w:p>
        </w:tc>
      </w:tr>
      <w:tr>
        <w:tc>
          <w:tcPr/>
          <w:p>
            <w:pPr>
              <w:pStyle w:val="Compact"/>
            </w:pPr>
            <w:r>
              <w:rPr>
                <w:b/>
                <w:bCs/>
              </w:rPr>
              <w:t xml:space="preserve">Activation maximum duration</w:t>
            </w:r>
          </w:p>
        </w:tc>
        <w:tc>
          <w:tcPr/>
          <w:p>
            <w:pPr>
              <w:pStyle w:val="Compact"/>
            </w:pPr>
            <w:r>
              <w:t xml:space="preserve">Caps how long an activation stays active before it expires.</w:t>
            </w:r>
          </w:p>
        </w:tc>
        <w:tc>
          <w:tcPr/>
          <w:p>
            <w:pPr>
              <w:pStyle w:val="Compact"/>
            </w:pPr>
            <w:r>
              <w:t xml:space="preserve">Range is</w:t>
            </w:r>
            <w:r>
              <w:t xml:space="preserve"> </w:t>
            </w:r>
            <w:r>
              <w:rPr>
                <w:b/>
                <w:bCs/>
              </w:rPr>
              <w:t xml:space="preserve">1 to 24 hours</w:t>
            </w:r>
            <w:r>
              <w:t xml:space="preserve">. This is the exposure window; set it to the shortest window the work actually needs.</w:t>
            </w:r>
          </w:p>
        </w:tc>
      </w:tr>
      <w:tr>
        <w:tc>
          <w:tcPr/>
          <w:p>
            <w:pPr>
              <w:pStyle w:val="Compact"/>
            </w:pPr>
            <w:r>
              <w:rPr>
                <w:b/>
                <w:bCs/>
              </w:rPr>
              <w:t xml:space="preserve">On activation, require multifactor authentication</w:t>
            </w:r>
          </w:p>
        </w:tc>
        <w:tc>
          <w:tcPr/>
          <w:p>
            <w:pPr>
              <w:pStyle w:val="Compact"/>
            </w:pPr>
            <w:r>
              <w:t xml:space="preserve">Requires MFA before activation.</w:t>
            </w:r>
          </w:p>
        </w:tc>
        <w:tc>
          <w:tcPr/>
          <w:p>
            <w:pPr>
              <w:pStyle w:val="Compact"/>
            </w:pPr>
            <w:r>
              <w:t xml:space="preserve">Users</w:t>
            </w:r>
            <w:r>
              <w:t xml:space="preserve"> </w:t>
            </w:r>
            <w:r>
              <w:rPr>
                <w:b/>
                <w:bCs/>
              </w:rPr>
              <w:t xml:space="preserve">might not be prompted</w:t>
            </w:r>
            <w:r>
              <w:t xml:space="preserve"> </w:t>
            </w:r>
            <w:r>
              <w:t xml:space="preserve">if they authenticated with strong credentials or already satisfied MFA earlier in the session. If the requirement is</w:t>
            </w:r>
            <w:r>
              <w:t xml:space="preserve"> </w:t>
            </w:r>
            <w:r>
              <w:rPr>
                <w:i/>
                <w:iCs/>
              </w:rPr>
              <w:t xml:space="preserve">proof at activation time</w:t>
            </w:r>
            <w:r>
              <w:t xml:space="preserve">, this setting alone does not deliver it — use authentication context instead.</w:t>
            </w:r>
          </w:p>
        </w:tc>
      </w:tr>
      <w:tr>
        <w:tc>
          <w:tcPr/>
          <w:p>
            <w:pPr>
              <w:pStyle w:val="Compact"/>
            </w:pPr>
            <w:r>
              <w:rPr>
                <w:b/>
                <w:bCs/>
              </w:rPr>
              <w:t xml:space="preserve">On activation, require Microsoft Entra Conditional Access authentication context</w:t>
            </w:r>
          </w:p>
        </w:tc>
        <w:tc>
          <w:tcPr/>
          <w:p>
            <w:pPr>
              <w:pStyle w:val="Compact"/>
            </w:pPr>
            <w:r>
              <w:t xml:space="preserve">Points activation at a Conditional Access authentication context, so CA policy defines the bar.</w:t>
            </w:r>
          </w:p>
        </w:tc>
        <w:tc>
          <w:tcPr/>
          <w:p>
            <w:pPr>
              <w:pStyle w:val="Compact"/>
            </w:pPr>
            <w:r>
              <w:t xml:space="preserve">The way to force a fresh, method-specific, device-conditioned proof. See</w:t>
            </w:r>
            <w:r>
              <w:t xml:space="preserve"> </w:t>
            </w:r>
            <w:hyperlink w:anchor="X486cab376ece609a02076c0665c261b3c918b70">
              <w:r>
                <w:rPr>
                  <w:rStyle w:val="Hyperlink"/>
                </w:rPr>
                <w:t xml:space="preserve">Step 5</w:t>
              </w:r>
            </w:hyperlink>
            <w:r>
              <w:t xml:space="preserve">.</w:t>
            </w:r>
          </w:p>
        </w:tc>
      </w:tr>
      <w:tr>
        <w:tc>
          <w:tcPr/>
          <w:p>
            <w:pPr>
              <w:pStyle w:val="Compact"/>
            </w:pPr>
            <w:r>
              <w:rPr>
                <w:b/>
                <w:bCs/>
              </w:rPr>
              <w:t xml:space="preserve">Require justification on activation</w:t>
            </w:r>
          </w:p>
        </w:tc>
        <w:tc>
          <w:tcPr/>
          <w:p>
            <w:pPr>
              <w:pStyle w:val="Compact"/>
            </w:pPr>
            <w:r>
              <w:t xml:space="preserve">Requires free-text business justification.</w:t>
            </w:r>
          </w:p>
        </w:tc>
        <w:tc>
          <w:tcPr/>
          <w:p>
            <w:pPr>
              <w:pStyle w:val="Compact"/>
            </w:pPr>
            <w:r>
              <w:t xml:space="preserve">Captured in the request record and the audit log — this is the artifact that makes activation reviewable.</w:t>
            </w:r>
          </w:p>
        </w:tc>
      </w:tr>
      <w:tr>
        <w:tc>
          <w:tcPr/>
          <w:p>
            <w:pPr>
              <w:pStyle w:val="Compact"/>
            </w:pPr>
            <w:r>
              <w:rPr>
                <w:b/>
                <w:bCs/>
              </w:rPr>
              <w:t xml:space="preserve">Require ticket information on activation</w:t>
            </w:r>
          </w:p>
        </w:tc>
        <w:tc>
          <w:tcPr/>
          <w:p>
            <w:pPr>
              <w:pStyle w:val="Compact"/>
            </w:pPr>
            <w:r>
              <w:t xml:space="preserve">Requires a support ticket number.</w:t>
            </w:r>
          </w:p>
        </w:tc>
        <w:tc>
          <w:tcPr/>
          <w:p>
            <w:pPr>
              <w:pStyle w:val="Compact"/>
            </w:pPr>
            <w:r>
              <w:rPr>
                <w:b/>
                <w:bCs/>
              </w:rPr>
              <w:t xml:space="preserve">Information-only.</w:t>
            </w:r>
            <w:r>
              <w:t xml:space="preserve"> </w:t>
            </w:r>
            <w:r>
              <w:t xml:space="preserve">Correlation against any ticketing system is</w:t>
            </w:r>
            <w:r>
              <w:t xml:space="preserve"> </w:t>
            </w:r>
            <w:r>
              <w:rPr>
                <w:i/>
                <w:iCs/>
              </w:rPr>
              <w:t xml:space="preserve">not</w:t>
            </w:r>
            <w:r>
              <w:t xml:space="preserve"> </w:t>
            </w:r>
            <w:r>
              <w:t xml:space="preserve">enforced by Entra. Useful for traceability, worthless as a control on its own; if the agency needs enforced ticket correlation, that check lives downstream in the SIEM or ITSM.</w:t>
            </w:r>
          </w:p>
        </w:tc>
      </w:tr>
      <w:tr>
        <w:tc>
          <w:tcPr/>
          <w:p>
            <w:pPr>
              <w:pStyle w:val="Compact"/>
            </w:pPr>
            <w:r>
              <w:rPr>
                <w:b/>
                <w:bCs/>
              </w:rPr>
              <w:t xml:space="preserve">Require approval to activate</w:t>
            </w:r>
          </w:p>
        </w:tc>
        <w:tc>
          <w:tcPr/>
          <w:p>
            <w:pPr>
              <w:pStyle w:val="Compact"/>
            </w:pPr>
            <w:r>
              <w:t xml:space="preserve">Holds the activation until a named approver approves.</w:t>
            </w:r>
          </w:p>
        </w:tc>
        <w:tc>
          <w:tcPr/>
          <w:p>
            <w:pPr>
              <w:pStyle w:val="Compact"/>
            </w:pPr>
            <w:r>
              <w:t xml:space="preserve">The subject of this guide. See</w:t>
            </w:r>
            <w:r>
              <w:t xml:space="preserve"> </w:t>
            </w:r>
            <w:hyperlink w:anchor="approver-design-and-separation-of-duties">
              <w:r>
                <w:rPr>
                  <w:rStyle w:val="Hyperlink"/>
                </w:rPr>
                <w:t xml:space="preserve">approver design</w:t>
              </w:r>
            </w:hyperlink>
            <w:r>
              <w:t xml:space="preserve">.</w:t>
            </w:r>
          </w:p>
        </w:tc>
      </w:tr>
    </w:tbl>
    <w:bookmarkEnd w:id="166"/>
    <w:bookmarkStart w:id="167" w:name="the-assignment-side-controls"/>
    <w:p>
      <w:pPr>
        <w:pStyle w:val="Heading3"/>
      </w:pPr>
      <w:r>
        <w:t xml:space="preserve">The assignment-side controls</w:t>
      </w:r>
    </w:p>
    <w:p>
      <w:pPr>
        <w:pStyle w:val="FirstParagraph"/>
      </w:pPr>
      <w:r>
        <w:t xml:space="preserve">Three further settings govern how assignments are</w:t>
      </w:r>
      <w:r>
        <w:t xml:space="preserve"> </w:t>
      </w:r>
      <w:r>
        <w:rPr>
          <w:i/>
          <w:iCs/>
        </w:rPr>
        <w:t xml:space="preserve">made</w:t>
      </w:r>
      <w:r>
        <w:t xml:space="preserve">, not how they are</w:t>
      </w:r>
      <w:r>
        <w:t xml:space="preserve"> </w:t>
      </w:r>
      <w:r>
        <w:t xml:space="preserve">activated. They are what stops a well-built activation gate from being</w:t>
      </w:r>
      <w:r>
        <w:t xml:space="preserve"> </w:t>
      </w:r>
      <w:r>
        <w:t xml:space="preserve">bypassed by simply granting someone a permanent active assignment.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Recommended posture</w:t>
            </w:r>
          </w:p>
        </w:tc>
      </w:tr>
      <w:tr>
        <w:tc>
          <w:tcPr/>
          <w:p>
            <w:pPr>
              <w:pStyle w:val="Compact"/>
            </w:pPr>
            <w:r>
              <w:rPr>
                <w:b/>
                <w:bCs/>
              </w:rPr>
              <w:t xml:space="preserve">Allow permanent eligible assignment</w:t>
            </w:r>
            <w:r>
              <w:t xml:space="preserve"> </w:t>
            </w:r>
            <w:r>
              <w:t xml:space="preserve">/</w:t>
            </w:r>
            <w:r>
              <w:t xml:space="preserve"> </w:t>
            </w:r>
            <w:r>
              <w:rPr>
                <w:b/>
                <w:bCs/>
              </w:rPr>
              <w:t xml:space="preserve">Expire eligible assignment after</w:t>
            </w:r>
          </w:p>
        </w:tc>
        <w:tc>
          <w:tcPr/>
          <w:p>
            <w:pPr>
              <w:pStyle w:val="Compact"/>
            </w:pPr>
            <w:r>
              <w:t xml:space="preserve">Require expiry. A bounded eligibility window forces periodic re-authorization instead of relying solely on access reviews to catch drift.</w:t>
            </w:r>
          </w:p>
        </w:tc>
      </w:tr>
      <w:tr>
        <w:tc>
          <w:tcPr/>
          <w:p>
            <w:pPr>
              <w:pStyle w:val="Compact"/>
            </w:pPr>
            <w:r>
              <w:rPr>
                <w:b/>
                <w:bCs/>
              </w:rPr>
              <w:t xml:space="preserve">Allow permanent active assignment</w:t>
            </w:r>
            <w:r>
              <w:t xml:space="preserve"> </w:t>
            </w:r>
            <w:r>
              <w:t xml:space="preserve">/</w:t>
            </w:r>
            <w:r>
              <w:t xml:space="preserve"> </w:t>
            </w:r>
            <w:r>
              <w:rPr>
                <w:b/>
                <w:bCs/>
              </w:rPr>
              <w:t xml:space="preserve">Expire active assignment after</w:t>
            </w:r>
          </w:p>
        </w:tc>
        <w:tc>
          <w:tcPr/>
          <w:p>
            <w:pPr>
              <w:pStyle w:val="Compact"/>
            </w:pPr>
            <w:r>
              <w:t xml:space="preserve">Require expiry, and keep active assignments to emergency access accounts and service principals.</w:t>
            </w:r>
          </w:p>
        </w:tc>
      </w:tr>
      <w:tr>
        <w:tc>
          <w:tcPr/>
          <w:p>
            <w:pPr>
              <w:pStyle w:val="Compact"/>
            </w:pPr>
            <w:r>
              <w:rPr>
                <w:b/>
                <w:bCs/>
              </w:rPr>
              <w:t xml:space="preserve">Require MFA / justification on active assignment</w:t>
            </w:r>
          </w:p>
        </w:tc>
        <w:tc>
          <w:tcPr/>
          <w:p>
            <w:pPr>
              <w:pStyle w:val="Compact"/>
            </w:pPr>
            <w:r>
              <w:t xml:space="preserve">Require both. PIM cannot enforce MFA when the holder</w:t>
            </w:r>
            <w:r>
              <w:t xml:space="preserve"> </w:t>
            </w:r>
            <w:r>
              <w:rPr>
                <w:i/>
                <w:iCs/>
              </w:rPr>
              <w:t xml:space="preserve">uses</w:t>
            </w:r>
            <w:r>
              <w:t xml:space="preserve"> </w:t>
            </w:r>
            <w:r>
              <w:t xml:space="preserve">an active role — they are already active from the moment of assignment — so the enforcement point is the moment of assignment.</w:t>
            </w:r>
          </w:p>
        </w:tc>
      </w:tr>
    </w:tbl>
    <w:bookmarkEnd w:id="167"/>
    <w:bookmarkStart w:id="168" w:name="role-tiering"/>
    <w:p>
      <w:pPr>
        <w:pStyle w:val="Heading3"/>
      </w:pPr>
      <w:r>
        <w:t xml:space="preserve">Role tiering</w:t>
      </w:r>
    </w:p>
    <w:p>
      <w:pPr>
        <w:pStyle w:val="FirstParagraph"/>
      </w:pPr>
      <w:r>
        <w:t xml:space="preserve">Not every administrative role warrants the same gate. A single policy applied</w:t>
      </w:r>
      <w:r>
        <w:t xml:space="preserve"> </w:t>
      </w:r>
      <w:r>
        <w:t xml:space="preserve">uniformly either throttles routine work or under-protects the tenant-wide</w:t>
      </w:r>
      <w:r>
        <w:t xml:space="preserve"> </w:t>
      </w:r>
      <w:r>
        <w:t xml:space="preserve">roles. The tiering below is a starting posture to adapt to the agency’s own</w:t>
      </w:r>
      <w:r>
        <w:t xml:space="preserve"> </w:t>
      </w:r>
      <w:r>
        <w:t xml:space="preserve">role inventory — the tier boundaries, not the exact hour counts, are the part</w:t>
      </w:r>
      <w:r>
        <w:t xml:space="preserve"> </w:t>
      </w:r>
      <w:r>
        <w:t xml:space="preserve">that transfers.</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Tier</w:t>
            </w:r>
          </w:p>
        </w:tc>
        <w:tc>
          <w:tcPr/>
          <w:p>
            <w:pPr>
              <w:pStyle w:val="Compact"/>
            </w:pPr>
            <w:r>
              <w:t xml:space="preserve">Example roles</w:t>
            </w:r>
          </w:p>
        </w:tc>
        <w:tc>
          <w:tcPr/>
          <w:p>
            <w:pPr>
              <w:pStyle w:val="Compact"/>
            </w:pPr>
            <w:r>
              <w:t xml:space="preserve">Max duration</w:t>
            </w:r>
          </w:p>
        </w:tc>
        <w:tc>
          <w:tcPr/>
          <w:p>
            <w:pPr>
              <w:pStyle w:val="Compact"/>
            </w:pPr>
            <w:r>
              <w:t xml:space="preserve">MFA</w:t>
            </w:r>
          </w:p>
        </w:tc>
        <w:tc>
          <w:tcPr/>
          <w:p>
            <w:pPr>
              <w:pStyle w:val="Compact"/>
            </w:pPr>
            <w:r>
              <w:t xml:space="preserve">Justification</w:t>
            </w:r>
          </w:p>
        </w:tc>
        <w:tc>
          <w:tcPr/>
          <w:p>
            <w:pPr>
              <w:pStyle w:val="Compact"/>
            </w:pPr>
            <w:r>
              <w:t xml:space="preserve">Ticket</w:t>
            </w:r>
          </w:p>
        </w:tc>
        <w:tc>
          <w:tcPr/>
          <w:p>
            <w:pPr>
              <w:pStyle w:val="Compact"/>
            </w:pPr>
            <w:r>
              <w:t xml:space="preserve">Approval</w:t>
            </w:r>
          </w:p>
        </w:tc>
        <w:tc>
          <w:tcPr/>
          <w:p>
            <w:pPr>
              <w:pStyle w:val="Compact"/>
            </w:pPr>
            <w:r>
              <w:t xml:space="preserve">Eligibility expiry</w:t>
            </w:r>
          </w:p>
        </w:tc>
      </w:tr>
      <w:tr>
        <w:tc>
          <w:tcPr/>
          <w:p>
            <w:pPr>
              <w:pStyle w:val="Compact"/>
            </w:pPr>
            <w:r>
              <w:rPr>
                <w:b/>
                <w:bCs/>
              </w:rPr>
              <w:t xml:space="preserve">Tier 0 — tenant-wide</w:t>
            </w:r>
          </w:p>
        </w:tc>
        <w:tc>
          <w:tcPr/>
          <w:p>
            <w:pPr>
              <w:pStyle w:val="Compact"/>
            </w:pPr>
            <w:r>
              <w:t xml:space="preserve">Global Administrator, Privileged Role Administrator, Privileged Authentication Administrator, Security Administrator, Conditional Access Administrator</w:t>
            </w:r>
          </w:p>
        </w:tc>
        <w:tc>
          <w:tcPr/>
          <w:p>
            <w:pPr>
              <w:pStyle w:val="Compact"/>
            </w:pPr>
            <w:r>
              <w:t xml:space="preserve">2–4 h</w:t>
            </w:r>
          </w:p>
        </w:tc>
        <w:tc>
          <w:tcPr/>
          <w:p>
            <w:pPr>
              <w:pStyle w:val="Compact"/>
            </w:pPr>
            <w:r>
              <w:t xml:space="preserve">Auth context (phishing-resistant, sign-in frequency</w:t>
            </w:r>
            <w:r>
              <w:t xml:space="preserve"> </w:t>
            </w:r>
            <w:r>
              <w:rPr>
                <w:i/>
                <w:iCs/>
              </w:rPr>
              <w:t xml:space="preserve">Every time</w:t>
            </w:r>
            <w:r>
              <w:t xml:space="preserve">)</w:t>
            </w:r>
          </w:p>
        </w:tc>
        <w:tc>
          <w:tcPr/>
          <w:p>
            <w:pPr>
              <w:pStyle w:val="Compact"/>
            </w:pPr>
            <w:r>
              <w:t xml:space="preserve">Required</w:t>
            </w:r>
          </w:p>
        </w:tc>
        <w:tc>
          <w:tcPr/>
          <w:p>
            <w:pPr>
              <w:pStyle w:val="Compact"/>
            </w:pPr>
            <w:r>
              <w:t xml:space="preserve">Required</w:t>
            </w:r>
          </w:p>
        </w:tc>
        <w:tc>
          <w:tcPr/>
          <w:p>
            <w:pPr>
              <w:pStyle w:val="Compact"/>
            </w:pPr>
            <w:r>
              <w:rPr>
                <w:b/>
                <w:bCs/>
              </w:rPr>
              <w:t xml:space="preserve">Required</w:t>
            </w:r>
            <w:r>
              <w:t xml:space="preserve">, ≥ 2 approvers</w:t>
            </w:r>
          </w:p>
        </w:tc>
        <w:tc>
          <w:tcPr/>
          <w:p>
            <w:pPr>
              <w:pStyle w:val="Compact"/>
            </w:pPr>
            <w:r>
              <w:t xml:space="preserve">90 days</w:t>
            </w:r>
          </w:p>
        </w:tc>
      </w:tr>
      <w:tr>
        <w:tc>
          <w:tcPr/>
          <w:p>
            <w:pPr>
              <w:pStyle w:val="Compact"/>
            </w:pPr>
            <w:r>
              <w:rPr>
                <w:b/>
                <w:bCs/>
              </w:rPr>
              <w:t xml:space="preserve">Tier 1 — service-wide</w:t>
            </w:r>
          </w:p>
        </w:tc>
        <w:tc>
          <w:tcPr/>
          <w:p>
            <w:pPr>
              <w:pStyle w:val="Compact"/>
            </w:pPr>
            <w:r>
              <w:t xml:space="preserve">Exchange, SharePoint, Intune, Teams, Application, Cloud Application, Hybrid Identity Administrator</w:t>
            </w:r>
          </w:p>
        </w:tc>
        <w:tc>
          <w:tcPr/>
          <w:p>
            <w:pPr>
              <w:pStyle w:val="Compact"/>
            </w:pPr>
            <w:r>
              <w:t xml:space="preserve">4–8 h</w:t>
            </w:r>
          </w:p>
        </w:tc>
        <w:tc>
          <w:tcPr/>
          <w:p>
            <w:pPr>
              <w:pStyle w:val="Compact"/>
            </w:pPr>
            <w:r>
              <w:t xml:space="preserve">Auth context or MFA</w:t>
            </w:r>
          </w:p>
        </w:tc>
        <w:tc>
          <w:tcPr/>
          <w:p>
            <w:pPr>
              <w:pStyle w:val="Compact"/>
            </w:pPr>
            <w:r>
              <w:t xml:space="preserve">Required</w:t>
            </w:r>
          </w:p>
        </w:tc>
        <w:tc>
          <w:tcPr/>
          <w:p>
            <w:pPr>
              <w:pStyle w:val="Compact"/>
            </w:pPr>
            <w:r>
              <w:t xml:space="preserve">Required</w:t>
            </w:r>
          </w:p>
        </w:tc>
        <w:tc>
          <w:tcPr/>
          <w:p>
            <w:pPr>
              <w:pStyle w:val="Compact"/>
            </w:pPr>
            <w:r>
              <w:rPr>
                <w:b/>
                <w:bCs/>
              </w:rPr>
              <w:t xml:space="preserve">Required</w:t>
            </w:r>
            <w:r>
              <w:t xml:space="preserve">, ≥ 2 approvers</w:t>
            </w:r>
          </w:p>
        </w:tc>
        <w:tc>
          <w:tcPr/>
          <w:p>
            <w:pPr>
              <w:pStyle w:val="Compact"/>
            </w:pPr>
            <w:r>
              <w:t xml:space="preserve">180 days</w:t>
            </w:r>
          </w:p>
        </w:tc>
      </w:tr>
      <w:tr>
        <w:tc>
          <w:tcPr/>
          <w:p>
            <w:pPr>
              <w:pStyle w:val="Compact"/>
            </w:pPr>
            <w:r>
              <w:rPr>
                <w:b/>
                <w:bCs/>
              </w:rPr>
              <w:t xml:space="preserve">Tier 2 — scoped operational</w:t>
            </w:r>
          </w:p>
        </w:tc>
        <w:tc>
          <w:tcPr/>
          <w:p>
            <w:pPr>
              <w:pStyle w:val="Compact"/>
            </w:pPr>
            <w:r>
              <w:t xml:space="preserve">User Administrator, Groups Administrator, Helpdesk Administrator, Authentication Administrator (scoped to an administrative unit)</w:t>
            </w:r>
          </w:p>
        </w:tc>
        <w:tc>
          <w:tcPr/>
          <w:p>
            <w:pPr>
              <w:pStyle w:val="Compact"/>
            </w:pPr>
            <w:r>
              <w:t xml:space="preserve">8 h</w:t>
            </w:r>
          </w:p>
        </w:tc>
        <w:tc>
          <w:tcPr/>
          <w:p>
            <w:pPr>
              <w:pStyle w:val="Compact"/>
            </w:pPr>
            <w:r>
              <w:t xml:space="preserve">MFA</w:t>
            </w:r>
          </w:p>
        </w:tc>
        <w:tc>
          <w:tcPr/>
          <w:p>
            <w:pPr>
              <w:pStyle w:val="Compact"/>
            </w:pPr>
            <w:r>
              <w:t xml:space="preserve">Required</w:t>
            </w:r>
          </w:p>
        </w:tc>
        <w:tc>
          <w:tcPr/>
          <w:p>
            <w:pPr>
              <w:pStyle w:val="Compact"/>
            </w:pPr>
            <w:r>
              <w:t xml:space="preserve">Required</w:t>
            </w:r>
          </w:p>
        </w:tc>
        <w:tc>
          <w:tcPr/>
          <w:p>
            <w:pPr>
              <w:pStyle w:val="Compact"/>
            </w:pPr>
            <w:r>
              <w:t xml:space="preserve">Required or risk-accepted with documented rationale</w:t>
            </w:r>
          </w:p>
        </w:tc>
        <w:tc>
          <w:tcPr/>
          <w:p>
            <w:pPr>
              <w:pStyle w:val="Compact"/>
            </w:pPr>
            <w:r>
              <w:t xml:space="preserve">180 days</w:t>
            </w:r>
          </w:p>
        </w:tc>
      </w:tr>
      <w:tr>
        <w:tc>
          <w:tcPr/>
          <w:p>
            <w:pPr>
              <w:pStyle w:val="Compact"/>
            </w:pPr>
            <w:r>
              <w:rPr>
                <w:b/>
                <w:bCs/>
              </w:rPr>
              <w:t xml:space="preserve">Read-only</w:t>
            </w:r>
          </w:p>
        </w:tc>
        <w:tc>
          <w:tcPr/>
          <w:p>
            <w:pPr>
              <w:pStyle w:val="Compact"/>
            </w:pPr>
            <w:r>
              <w:t xml:space="preserve">Global Reader, Security Reader, Reports Reader</w:t>
            </w:r>
          </w:p>
        </w:tc>
        <w:tc>
          <w:tcPr/>
          <w:p>
            <w:pPr>
              <w:pStyle w:val="Compact"/>
            </w:pPr>
            <w:r>
              <w:t xml:space="preserve">8 h</w:t>
            </w:r>
          </w:p>
        </w:tc>
        <w:tc>
          <w:tcPr/>
          <w:p>
            <w:pPr>
              <w:pStyle w:val="Compact"/>
            </w:pPr>
            <w:r>
              <w:t xml:space="preserve">MFA</w:t>
            </w:r>
          </w:p>
        </w:tc>
        <w:tc>
          <w:tcPr/>
          <w:p>
            <w:pPr>
              <w:pStyle w:val="Compact"/>
            </w:pPr>
            <w:r>
              <w:t xml:space="preserve">Required</w:t>
            </w:r>
          </w:p>
        </w:tc>
        <w:tc>
          <w:tcPr/>
          <w:p>
            <w:pPr>
              <w:pStyle w:val="Compact"/>
            </w:pPr>
            <w:r>
              <w:t xml:space="preserve">Optional</w:t>
            </w:r>
          </w:p>
        </w:tc>
        <w:tc>
          <w:tcPr/>
          <w:p>
            <w:pPr>
              <w:pStyle w:val="Compact"/>
            </w:pPr>
            <w:r>
              <w:t xml:space="preserve">Not required</w:t>
            </w:r>
          </w:p>
        </w:tc>
        <w:tc>
          <w:tcPr/>
          <w:p>
            <w:pPr>
              <w:pStyle w:val="Compact"/>
            </w:pPr>
            <w:r>
              <w:t xml:space="preserve">365 days</w:t>
            </w:r>
          </w:p>
        </w:tc>
      </w:tr>
    </w:tbl>
    <w:p>
      <w:pPr>
        <w:pStyle w:val="BodyText"/>
      </w:pPr>
      <w:r>
        <w:rPr>
          <w:b/>
          <w:bCs/>
        </w:rPr>
        <w:t xml:space="preserve">Scope before you gate</w:t>
      </w:r>
    </w:p>
    <w:p>
      <w:pPr>
        <w:pStyle w:val="BodyText"/>
      </w:pPr>
      <w:r>
        <w:t xml:space="preserve">Several Tier 2 roles support</w:t>
      </w:r>
      <w:r>
        <w:t xml:space="preserve"> </w:t>
      </w:r>
      <w:r>
        <w:rPr>
          <w:b/>
          <w:bCs/>
        </w:rPr>
        <w:t xml:space="preserve">administrative unit</w:t>
      </w:r>
      <w:r>
        <w:t xml:space="preserve"> </w:t>
      </w:r>
      <w:r>
        <w:t xml:space="preserve">scoping. A User</w:t>
      </w:r>
      <w:r>
        <w:t xml:space="preserve"> </w:t>
      </w:r>
      <w:r>
        <w:t xml:space="preserve">Administrator scoped to one AU is a materially smaller grant than a</w:t>
      </w:r>
      <w:r>
        <w:t xml:space="preserve"> </w:t>
      </w:r>
      <w:r>
        <w:t xml:space="preserve">tenant-wide one, and scoping is the cheaper control — apply it first, then</w:t>
      </w:r>
      <w:r>
        <w:t xml:space="preserve"> </w:t>
      </w:r>
      <w:r>
        <w:t xml:space="preserve">gate what remains.</w:t>
      </w:r>
    </w:p>
    <w:bookmarkEnd w:id="168"/>
    <w:bookmarkEnd w:id="169"/>
    <w:bookmarkStart w:id="188" w:name="build"/>
    <w:p>
      <w:pPr>
        <w:pStyle w:val="Heading2"/>
      </w:pPr>
      <w:r>
        <w:t xml:space="preserve">Build</w:t>
      </w:r>
    </w:p>
    <w:bookmarkStart w:id="170" w:name="X6a1fbf839e590c091db39ccfade4dac6530a2e9"/>
    <w:p>
      <w:pPr>
        <w:pStyle w:val="Heading3"/>
      </w:pPr>
      <w:r>
        <w:t xml:space="preserve">Step 0 — Establish emergency access accounts first</w:t>
      </w:r>
    </w:p>
    <w:p>
      <w:pPr>
        <w:pStyle w:val="FirstParagraph"/>
      </w:pPr>
      <w:r>
        <w:rPr>
          <w:b/>
          <w:bCs/>
        </w:rPr>
        <w:t xml:space="preserve">The documented lockout condition</w:t>
      </w:r>
    </w:p>
    <w:p>
      <w:pPr>
        <w:pStyle w:val="BodyText"/>
      </w:pPr>
      <w:r>
        <w:t xml:space="preserve">Microsoft documents an explicit tenant lockout that this build can cause. You</w:t>
      </w:r>
      <w:r>
        <w:t xml:space="preserve"> </w:t>
      </w:r>
      <w:r>
        <w:t xml:space="preserve">are locked out if</w:t>
      </w:r>
      <w:r>
        <w:t xml:space="preserve"> </w:t>
      </w:r>
      <w:r>
        <w:rPr>
          <w:b/>
          <w:bCs/>
        </w:rPr>
        <w:t xml:space="preserve">all</w:t>
      </w:r>
      <w:r>
        <w:t xml:space="preserve"> </w:t>
      </w:r>
      <w:r>
        <w:t xml:space="preserve">of the following are true:</w:t>
      </w:r>
    </w:p>
    <w:p>
      <w:pPr>
        <w:pStyle w:val="Compact"/>
        <w:numPr>
          <w:ilvl w:val="0"/>
          <w:numId w:val="1111"/>
        </w:numPr>
      </w:pPr>
      <w:r>
        <w:t xml:space="preserve">All Privileged Role Administrators / Global Administrators hold</w:t>
      </w:r>
      <w:r>
        <w:t xml:space="preserve"> </w:t>
      </w:r>
      <w:r>
        <w:rPr>
          <w:b/>
          <w:bCs/>
        </w:rPr>
        <w:t xml:space="preserve">eligible</w:t>
      </w:r>
      <w:r>
        <w:t xml:space="preserve"> </w:t>
      </w:r>
      <w:r>
        <w:t xml:space="preserve">assignments, none active;</w:t>
      </w:r>
      <w:r>
        <w:t xml:space="preserve"> </w:t>
      </w:r>
      <w:r>
        <w:rPr>
          <w:b/>
          <w:bCs/>
        </w:rPr>
        <w:t xml:space="preserve">and</w:t>
      </w:r>
    </w:p>
    <w:p>
      <w:pPr>
        <w:pStyle w:val="Compact"/>
        <w:numPr>
          <w:ilvl w:val="0"/>
          <w:numId w:val="1111"/>
        </w:numPr>
      </w:pPr>
      <w:r>
        <w:t xml:space="preserve">Approval is required for activation;</w:t>
      </w:r>
      <w:r>
        <w:t xml:space="preserve"> </w:t>
      </w:r>
      <w:r>
        <w:rPr>
          <w:b/>
          <w:bCs/>
        </w:rPr>
        <w:t xml:space="preserve">and</w:t>
      </w:r>
    </w:p>
    <w:p>
      <w:pPr>
        <w:pStyle w:val="Compact"/>
        <w:numPr>
          <w:ilvl w:val="0"/>
          <w:numId w:val="1111"/>
        </w:numPr>
      </w:pPr>
      <w:r>
        <w:rPr>
          <w:b/>
          <w:bCs/>
        </w:rPr>
        <w:t xml:space="preserve">No approvers are configured.</w:t>
      </w:r>
    </w:p>
    <w:p>
      <w:pPr>
        <w:pStyle w:val="FirstParagraph"/>
      </w:pPr>
      <w:r>
        <w:t xml:space="preserve">Avoid it by configuring emergency access accounts</w:t>
      </w:r>
      <w:r>
        <w:t xml:space="preserve"> </w:t>
      </w:r>
      <w:r>
        <w:rPr>
          <w:b/>
          <w:bCs/>
        </w:rPr>
        <w:t xml:space="preserve">and</w:t>
      </w:r>
      <w:r>
        <w:t xml:space="preserve"> </w:t>
      </w:r>
      <w:r>
        <w:t xml:space="preserve">naming specific</w:t>
      </w:r>
      <w:r>
        <w:t xml:space="preserve"> </w:t>
      </w:r>
      <w:r>
        <w:t xml:space="preserve">approvers. Both halves are required — neither alone closes the hole.</w:t>
      </w:r>
    </w:p>
    <w:p>
      <w:pPr>
        <w:pStyle w:val="BodyText"/>
      </w:pPr>
      <w:r>
        <w:t xml:space="preserve">Create</w:t>
      </w:r>
      <w:r>
        <w:t xml:space="preserve"> </w:t>
      </w:r>
      <w:r>
        <w:rPr>
          <w:b/>
          <w:bCs/>
        </w:rPr>
        <w:t xml:space="preserve">two or more</w:t>
      </w:r>
      <w:r>
        <w:t xml:space="preserve"> </w:t>
      </w:r>
      <w:r>
        <w:t xml:space="preserve">emergency access (</w:t>
      </w:r>
      <w:r>
        <w:t xml:space="preserve">“break-glass”</w:t>
      </w:r>
      <w:r>
        <w:t xml:space="preserve">) accounts before</w:t>
      </w:r>
      <w:r>
        <w:t xml:space="preserve"> </w:t>
      </w:r>
      <w:r>
        <w:t xml:space="preserve">touching any role setting:</w:t>
      </w:r>
    </w:p>
    <w:p>
      <w:pPr>
        <w:pStyle w:val="Compact"/>
        <w:numPr>
          <w:ilvl w:val="0"/>
          <w:numId w:val="1112"/>
        </w:numPr>
      </w:pPr>
      <w:r>
        <w:rPr>
          <w:b/>
          <w:bCs/>
        </w:rPr>
        <w:t xml:space="preserve">Cloud-only</w:t>
      </w:r>
      <w:r>
        <w:t xml:space="preserve">, on the</w:t>
      </w:r>
      <w:r>
        <w:t xml:space="preserve"> </w:t>
      </w:r>
      <w:r>
        <w:rPr>
          <w:rStyle w:val="VerbatimChar"/>
        </w:rPr>
        <w:t xml:space="preserve">*.onmicrosoft.com</w:t>
      </w:r>
      <w:r>
        <w:t xml:space="preserve"> </w:t>
      </w:r>
      <w:r>
        <w:t xml:space="preserve">domain, neither federated nor</w:t>
      </w:r>
      <w:r>
        <w:t xml:space="preserve"> </w:t>
      </w:r>
      <w:r>
        <w:t xml:space="preserve">synchronized from on-premises.</w:t>
      </w:r>
    </w:p>
    <w:p>
      <w:pPr>
        <w:pStyle w:val="Compact"/>
        <w:numPr>
          <w:ilvl w:val="0"/>
          <w:numId w:val="1112"/>
        </w:numPr>
      </w:pPr>
      <w:r>
        <w:t xml:space="preserve">Assigned the</w:t>
      </w:r>
      <w:r>
        <w:t xml:space="preserve"> </w:t>
      </w:r>
      <w:r>
        <w:rPr>
          <w:b/>
          <w:bCs/>
        </w:rPr>
        <w:t xml:space="preserve">Global Administrator</w:t>
      </w:r>
      <w:r>
        <w:t xml:space="preserve"> </w:t>
      </w:r>
      <w:r>
        <w:t xml:space="preserve">role as a</w:t>
      </w:r>
      <w:r>
        <w:t xml:space="preserve"> </w:t>
      </w:r>
      <w:r>
        <w:rPr>
          <w:b/>
          <w:bCs/>
        </w:rPr>
        <w:t xml:space="preserve">permanent active</w:t>
      </w:r>
      <w:r>
        <w:t xml:space="preserve"> </w:t>
      </w:r>
      <w:r>
        <w:t xml:space="preserve">assignment — these accounts must never depend on an activation ceremony.</w:t>
      </w:r>
    </w:p>
    <w:p>
      <w:pPr>
        <w:pStyle w:val="Compact"/>
        <w:numPr>
          <w:ilvl w:val="0"/>
          <w:numId w:val="1112"/>
        </w:numPr>
      </w:pPr>
      <w:r>
        <w:t xml:space="preserve">Registered with a</w:t>
      </w:r>
      <w:r>
        <w:t xml:space="preserve"> </w:t>
      </w:r>
      <w:r>
        <w:rPr>
          <w:b/>
          <w:bCs/>
        </w:rPr>
        <w:t xml:space="preserve">phishing-resistant</w:t>
      </w:r>
      <w:r>
        <w:t xml:space="preserve"> </w:t>
      </w:r>
      <w:r>
        <w:t xml:space="preserve">authentication method.</w:t>
      </w:r>
    </w:p>
    <w:p>
      <w:pPr>
        <w:pStyle w:val="Compact"/>
        <w:numPr>
          <w:ilvl w:val="0"/>
          <w:numId w:val="1112"/>
        </w:numPr>
      </w:pPr>
      <w:r>
        <w:rPr>
          <w:b/>
          <w:bCs/>
        </w:rPr>
        <w:t xml:space="preserve">Excluded from any Conditional Access policy that blocks or restricts</w:t>
      </w:r>
      <w:r>
        <w:rPr>
          <w:b/>
          <w:bCs/>
        </w:rPr>
        <w:t xml:space="preserve"> </w:t>
      </w:r>
      <w:r>
        <w:rPr>
          <w:b/>
          <w:bCs/>
        </w:rPr>
        <w:t xml:space="preserve">sign-in.</w:t>
      </w:r>
      <w:r>
        <w:t xml:space="preserve"> </w:t>
      </w:r>
      <w:r>
        <w:t xml:space="preserve">The phishing-resistant method is what protects the account; an</w:t>
      </w:r>
      <w:r>
        <w:t xml:space="preserve"> </w:t>
      </w:r>
      <w:r>
        <w:t xml:space="preserve">enforced CA policy could block sign-in during the exact emergency the</w:t>
      </w:r>
      <w:r>
        <w:t xml:space="preserve"> </w:t>
      </w:r>
      <w:r>
        <w:t xml:space="preserve">account exists for. Report-only policies do not block and need no exclusion.</w:t>
      </w:r>
    </w:p>
    <w:p>
      <w:pPr>
        <w:pStyle w:val="Compact"/>
        <w:numPr>
          <w:ilvl w:val="0"/>
          <w:numId w:val="1112"/>
        </w:numPr>
      </w:pPr>
      <w:r>
        <w:t xml:space="preserve">Credentials split and stored under dual control, with use alerting to a</w:t>
      </w:r>
      <w:r>
        <w:t xml:space="preserve"> </w:t>
      </w:r>
      <w:r>
        <w:t xml:space="preserve">named post-mortem team.</w:t>
      </w:r>
    </w:p>
    <w:p>
      <w:pPr>
        <w:pStyle w:val="FirstParagraph"/>
      </w:pPr>
      <w:r>
        <w:t xml:space="preserve">Validate the accounts on a schedule and after any change to Conditional</w:t>
      </w:r>
      <w:r>
        <w:t xml:space="preserve"> </w:t>
      </w:r>
      <w:r>
        <w:t xml:space="preserve">Access, MFA policy, or the PIM settings built below.</w:t>
      </w:r>
    </w:p>
    <w:bookmarkEnd w:id="170"/>
    <w:bookmarkStart w:id="171" w:name="step-1-build-the-approver-groups"/>
    <w:p>
      <w:pPr>
        <w:pStyle w:val="Heading3"/>
      </w:pPr>
      <w:r>
        <w:t xml:space="preserve">Step 1 — Build the approver groups</w:t>
      </w:r>
    </w:p>
    <w:p>
      <w:pPr>
        <w:pStyle w:val="FirstParagraph"/>
      </w:pPr>
      <w:r>
        <w:t xml:space="preserve">Approvers can be users or groups, and groups of all types are supported. Use</w:t>
      </w:r>
      <w:r>
        <w:t xml:space="preserve"> </w:t>
      </w:r>
      <w:r>
        <w:rPr>
          <w:b/>
          <w:bCs/>
        </w:rPr>
        <w:t xml:space="preserve">groups</w:t>
      </w:r>
      <w:r>
        <w:t xml:space="preserve">, not named individuals: individuals leave, and a policy that names</w:t>
      </w:r>
      <w:r>
        <w:t xml:space="preserve"> </w:t>
      </w:r>
      <w:r>
        <w:t xml:space="preserve">a departed employee is a policy whose approval path is broken.</w:t>
      </w:r>
    </w:p>
    <w:p>
      <w:pPr>
        <w:pStyle w:val="BodyText"/>
      </w:pPr>
      <w:r>
        <w:t xml:space="preserve">Create one approver group per tier — for example</w:t>
      </w:r>
      <w:r>
        <w:t xml:space="preserve"> </w:t>
      </w:r>
      <w:r>
        <w:rPr>
          <w:rStyle w:val="VerbatimChar"/>
        </w:rPr>
        <w:t xml:space="preserve">PIM-Approvers-Tier0</w:t>
      </w:r>
      <w:r>
        <w:t xml:space="preserve">,</w:t>
      </w:r>
      <w:r>
        <w:t xml:space="preserve"> </w:t>
      </w:r>
      <w:r>
        <w:rPr>
          <w:rStyle w:val="VerbatimChar"/>
        </w:rPr>
        <w:t xml:space="preserve">PIM-Approvers-Tier1</w:t>
      </w:r>
      <w:r>
        <w:t xml:space="preserve">,</w:t>
      </w:r>
      <w:r>
        <w:t xml:space="preserve"> </w:t>
      </w:r>
      <w:r>
        <w:rPr>
          <w:rStyle w:val="VerbatimChar"/>
        </w:rPr>
        <w:t xml:space="preserve">PIM-Approvers-Tier2</w:t>
      </w:r>
      <w:r>
        <w:t xml:space="preserve"> </w:t>
      </w:r>
      <w:r>
        <w:t xml:space="preserve">— and populate them per the</w:t>
      </w:r>
      <w:r>
        <w:t xml:space="preserve"> </w:t>
      </w:r>
      <w:r>
        <w:t xml:space="preserve">separation-of-duties rules in the</w:t>
      </w:r>
      <w:r>
        <w:t xml:space="preserve"> </w:t>
      </w:r>
      <w:hyperlink w:anchor="approver-design-and-separation-of-duties">
        <w:r>
          <w:rPr>
            <w:rStyle w:val="Hyperlink"/>
          </w:rPr>
          <w:t xml:space="preserve">next section</w:t>
        </w:r>
      </w:hyperlink>
      <w:r>
        <w:t xml:space="preserve">.</w:t>
      </w:r>
    </w:p>
    <w:p>
      <w:pPr>
        <w:pStyle w:val="BodyText"/>
      </w:pPr>
      <w:r>
        <w:t xml:space="preserve">Two properties of the approval engine shape this design:</w:t>
      </w:r>
    </w:p>
    <w:p>
      <w:pPr>
        <w:pStyle w:val="Compact"/>
        <w:numPr>
          <w:ilvl w:val="0"/>
          <w:numId w:val="1113"/>
        </w:numPr>
      </w:pPr>
      <w:r>
        <w:rPr>
          <w:b/>
          <w:bCs/>
        </w:rPr>
        <w:t xml:space="preserve">Approvers do not need to hold any role.</w:t>
      </w:r>
      <w:r>
        <w:t xml:space="preserve"> </w:t>
      </w:r>
      <w:r>
        <w:t xml:space="preserve">An approver’s authority to</w:t>
      </w:r>
      <w:r>
        <w:t xml:space="preserve"> </w:t>
      </w:r>
      <w:r>
        <w:t xml:space="preserve">approve is independent of their own privilege. This is what makes a</w:t>
      </w:r>
      <w:r>
        <w:t xml:space="preserve"> </w:t>
      </w:r>
      <w:r>
        <w:t xml:space="preserve">non-privileged oversight function possible.</w:t>
      </w:r>
    </w:p>
    <w:p>
      <w:pPr>
        <w:pStyle w:val="Compact"/>
        <w:numPr>
          <w:ilvl w:val="0"/>
          <w:numId w:val="1113"/>
        </w:numPr>
      </w:pPr>
      <w:r>
        <w:rPr>
          <w:b/>
          <w:bCs/>
        </w:rPr>
        <w:t xml:space="preserve">Approvers cannot approve their own activation requests</w:t>
      </w:r>
      <w:r>
        <w:t xml:space="preserve">, and</w:t>
      </w:r>
      <w:r>
        <w:t xml:space="preserve"> </w:t>
      </w:r>
      <w:r>
        <w:rPr>
          <w:b/>
          <w:bCs/>
        </w:rPr>
        <w:t xml:space="preserve">service</w:t>
      </w:r>
      <w:r>
        <w:rPr>
          <w:b/>
          <w:bCs/>
        </w:rPr>
        <w:t xml:space="preserve"> </w:t>
      </w:r>
      <w:r>
        <w:rPr>
          <w:b/>
          <w:bCs/>
        </w:rPr>
        <w:t xml:space="preserve">principals cannot approve</w:t>
      </w:r>
      <w:r>
        <w:t xml:space="preserve"> </w:t>
      </w:r>
      <w:r>
        <w:t xml:space="preserve">at all. Self-approval is blocked by the</w:t>
      </w:r>
      <w:r>
        <w:t xml:space="preserve"> </w:t>
      </w:r>
      <w:r>
        <w:t xml:space="preserve">platform, not by policy — which is worth stating in the SSP, because it is</w:t>
      </w:r>
      <w:r>
        <w:t xml:space="preserve"> </w:t>
      </w:r>
      <w:r>
        <w:t xml:space="preserve">an enforced separation rather than a procedural one.</w:t>
      </w:r>
    </w:p>
    <w:bookmarkEnd w:id="171"/>
    <w:bookmarkStart w:id="173" w:name="Xe1336534b960e845358a2f6b788acdca5796907"/>
    <w:p>
      <w:pPr>
        <w:pStyle w:val="Heading3"/>
      </w:pPr>
      <w:r>
        <w:t xml:space="preserve">Step 2 — Configure role settings in the portal</w:t>
      </w:r>
    </w:p>
    <w:p>
      <w:pPr>
        <w:pStyle w:val="FirstParagraph"/>
      </w:pPr>
      <w:r>
        <w:t xml:space="preserve">For each role in the tiering table:</w:t>
      </w:r>
    </w:p>
    <w:p>
      <w:pPr>
        <w:pStyle w:val="Compact"/>
        <w:numPr>
          <w:ilvl w:val="0"/>
          <w:numId w:val="1114"/>
        </w:numPr>
      </w:pPr>
      <w:r>
        <w:t xml:space="preserve">Sign in to the</w:t>
      </w:r>
      <w:r>
        <w:t xml:space="preserve"> </w:t>
      </w:r>
      <w:hyperlink r:id="rId172">
        <w:r>
          <w:rPr>
            <w:rStyle w:val="Hyperlink"/>
          </w:rPr>
          <w:t xml:space="preserve">Microsoft Entra admin center</w:t>
        </w:r>
      </w:hyperlink>
      <w:r>
        <w:t xml:space="preserve"> </w:t>
      </w:r>
      <w:r>
        <w:t xml:space="preserve">as at least a</w:t>
      </w:r>
      <w:r>
        <w:t xml:space="preserve"> </w:t>
      </w:r>
      <w:r>
        <w:rPr>
          <w:b/>
          <w:bCs/>
        </w:rPr>
        <w:t xml:space="preserve">Privileged Role Administrator</w:t>
      </w:r>
      <w:r>
        <w:t xml:space="preserve">.</w:t>
      </w:r>
    </w:p>
    <w:p>
      <w:pPr>
        <w:pStyle w:val="Compact"/>
        <w:numPr>
          <w:ilvl w:val="0"/>
          <w:numId w:val="1114"/>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Microsoft Entra roles</w:t>
      </w:r>
      <w:r>
        <w:t xml:space="preserve"> </w:t>
      </w:r>
      <w:r>
        <w:t xml:space="preserve">&gt;</w:t>
      </w:r>
      <w:r>
        <w:t xml:space="preserve"> </w:t>
      </w:r>
      <w:r>
        <w:rPr>
          <w:b/>
          <w:bCs/>
        </w:rPr>
        <w:t xml:space="preserve">Roles</w:t>
      </w:r>
      <w:r>
        <w:t xml:space="preserve">.</w:t>
      </w:r>
    </w:p>
    <w:p>
      <w:pPr>
        <w:pStyle w:val="Compact"/>
        <w:numPr>
          <w:ilvl w:val="0"/>
          <w:numId w:val="1114"/>
        </w:numPr>
      </w:pPr>
      <w:r>
        <w:t xml:space="preserve">Select the role, then</w:t>
      </w:r>
      <w:r>
        <w:t xml:space="preserve"> </w:t>
      </w:r>
      <w:r>
        <w:rPr>
          <w:b/>
          <w:bCs/>
        </w:rPr>
        <w:t xml:space="preserve">Role settings</w:t>
      </w:r>
      <w:r>
        <w:t xml:space="preserve">, then</w:t>
      </w:r>
      <w:r>
        <w:t xml:space="preserve"> </w:t>
      </w:r>
      <w:r>
        <w:rPr>
          <w:b/>
          <w:bCs/>
        </w:rPr>
        <w:t xml:space="preserve">Edit</w:t>
      </w:r>
      <w:r>
        <w:t xml:space="preserve">.</w:t>
      </w:r>
    </w:p>
    <w:p>
      <w:pPr>
        <w:pStyle w:val="Compact"/>
        <w:numPr>
          <w:ilvl w:val="0"/>
          <w:numId w:val="1114"/>
        </w:numPr>
      </w:pPr>
      <w:r>
        <w:t xml:space="preserve">On the</w:t>
      </w:r>
      <w:r>
        <w:t xml:space="preserve"> </w:t>
      </w:r>
      <w:r>
        <w:rPr>
          <w:b/>
          <w:bCs/>
        </w:rPr>
        <w:t xml:space="preserve">Activation</w:t>
      </w:r>
      <w:r>
        <w:t xml:space="preserve"> </w:t>
      </w:r>
      <w:r>
        <w:t xml:space="preserve">tab, set:</w:t>
      </w:r>
    </w:p>
    <w:p>
      <w:pPr>
        <w:pStyle w:val="Compact"/>
        <w:numPr>
          <w:ilvl w:val="1"/>
          <w:numId w:val="1115"/>
        </w:numPr>
      </w:pPr>
      <w:r>
        <w:rPr>
          <w:b/>
          <w:bCs/>
        </w:rPr>
        <w:t xml:space="preserve">Activation maximum duration</w:t>
      </w:r>
      <w:r>
        <w:t xml:space="preserve"> </w:t>
      </w:r>
      <w:r>
        <w:t xml:space="preserve">to the tier’s value.</w:t>
      </w:r>
    </w:p>
    <w:p>
      <w:pPr>
        <w:pStyle w:val="Compact"/>
        <w:numPr>
          <w:ilvl w:val="1"/>
          <w:numId w:val="1115"/>
        </w:numPr>
      </w:pPr>
      <w:r>
        <w:rPr>
          <w:b/>
          <w:bCs/>
        </w:rPr>
        <w:t xml:space="preserve">On activation, require</w:t>
      </w:r>
      <w:r>
        <w:t xml:space="preserve"> </w:t>
      </w:r>
      <w:r>
        <w:t xml:space="preserve">— multifactor authentication, or</w:t>
      </w:r>
      <w:r>
        <w:t xml:space="preserve"> </w:t>
      </w:r>
      <w:r>
        <w:t xml:space="preserve">Microsoft Entra Conditional Access authentication context (Step 5).</w:t>
      </w:r>
    </w:p>
    <w:p>
      <w:pPr>
        <w:pStyle w:val="Compact"/>
        <w:numPr>
          <w:ilvl w:val="1"/>
          <w:numId w:val="1115"/>
        </w:numPr>
      </w:pPr>
      <w:r>
        <w:rPr>
          <w:b/>
          <w:bCs/>
        </w:rPr>
        <w:t xml:space="preserve">Require justification on activation</w:t>
      </w:r>
      <w:r>
        <w:t xml:space="preserve"> </w:t>
      </w:r>
      <w:r>
        <w:t xml:space="preserve">— on.</w:t>
      </w:r>
    </w:p>
    <w:p>
      <w:pPr>
        <w:pStyle w:val="Compact"/>
        <w:numPr>
          <w:ilvl w:val="1"/>
          <w:numId w:val="1115"/>
        </w:numPr>
      </w:pPr>
      <w:r>
        <w:rPr>
          <w:b/>
          <w:bCs/>
        </w:rPr>
        <w:t xml:space="preserve">Require ticket information on activation</w:t>
      </w:r>
      <w:r>
        <w:t xml:space="preserve"> </w:t>
      </w:r>
      <w:r>
        <w:t xml:space="preserve">— on, where the agency runs</w:t>
      </w:r>
      <w:r>
        <w:t xml:space="preserve"> </w:t>
      </w:r>
      <w:r>
        <w:t xml:space="preserve">a ticketing discipline worth correlating.</w:t>
      </w:r>
    </w:p>
    <w:p>
      <w:pPr>
        <w:pStyle w:val="Compact"/>
        <w:numPr>
          <w:ilvl w:val="1"/>
          <w:numId w:val="1115"/>
        </w:numPr>
      </w:pPr>
      <w:r>
        <w:rPr>
          <w:b/>
          <w:bCs/>
        </w:rPr>
        <w:t xml:space="preserve">Require approval to activate</w:t>
      </w:r>
      <w:r>
        <w:t xml:space="preserve"> </w:t>
      </w:r>
      <w:r>
        <w:t xml:space="preserve">— on, and</w:t>
      </w:r>
      <w:r>
        <w:t xml:space="preserve"> </w:t>
      </w:r>
      <w:r>
        <w:rPr>
          <w:b/>
          <w:bCs/>
        </w:rPr>
        <w:t xml:space="preserve">select the approver group</w:t>
      </w:r>
      <w:r>
        <w:t xml:space="preserve"> </w:t>
      </w:r>
      <w:r>
        <w:t xml:space="preserve">from Step 1. Select at least one; Microsoft recommends at least two.</w:t>
      </w:r>
    </w:p>
    <w:p>
      <w:pPr>
        <w:pStyle w:val="Compact"/>
        <w:numPr>
          <w:ilvl w:val="0"/>
          <w:numId w:val="1114"/>
        </w:numPr>
      </w:pPr>
      <w:r>
        <w:t xml:space="preserve">On the</w:t>
      </w:r>
      <w:r>
        <w:t xml:space="preserve"> </w:t>
      </w:r>
      <w:r>
        <w:rPr>
          <w:b/>
          <w:bCs/>
        </w:rPr>
        <w:t xml:space="preserve">Assignment</w:t>
      </w:r>
      <w:r>
        <w:t xml:space="preserve"> </w:t>
      </w:r>
      <w:r>
        <w:t xml:space="preserve">tab, set the eligibility and active-assignment expiry</w:t>
      </w:r>
      <w:r>
        <w:t xml:space="preserve"> </w:t>
      </w:r>
      <w:r>
        <w:t xml:space="preserve">posture from</w:t>
      </w:r>
      <w:r>
        <w:t xml:space="preserve"> </w:t>
      </w:r>
      <w:hyperlink w:anchor="the-assignment-side-controls">
        <w:r>
          <w:rPr>
            <w:rStyle w:val="Hyperlink"/>
          </w:rPr>
          <w:t xml:space="preserve">the assignment-side controls</w:t>
        </w:r>
      </w:hyperlink>
      <w:r>
        <w:t xml:space="preserve">.</w:t>
      </w:r>
    </w:p>
    <w:p>
      <w:pPr>
        <w:pStyle w:val="Compact"/>
        <w:numPr>
          <w:ilvl w:val="0"/>
          <w:numId w:val="1114"/>
        </w:numPr>
      </w:pPr>
      <w:r>
        <w:t xml:space="preserve">On the</w:t>
      </w:r>
      <w:r>
        <w:t xml:space="preserve"> </w:t>
      </w:r>
      <w:r>
        <w:rPr>
          <w:b/>
          <w:bCs/>
        </w:rPr>
        <w:t xml:space="preserve">Notifications</w:t>
      </w:r>
      <w:r>
        <w:t xml:space="preserve"> </w:t>
      </w:r>
      <w:r>
        <w:t xml:space="preserve">tab, configure recipients (Step 6).</w:t>
      </w:r>
    </w:p>
    <w:p>
      <w:pPr>
        <w:pStyle w:val="Compact"/>
        <w:numPr>
          <w:ilvl w:val="0"/>
          <w:numId w:val="1114"/>
        </w:numPr>
      </w:pPr>
      <w:r>
        <w:t xml:space="preserve">Select</w:t>
      </w:r>
      <w:r>
        <w:t xml:space="preserve"> </w:t>
      </w:r>
      <w:r>
        <w:rPr>
          <w:b/>
          <w:bCs/>
        </w:rPr>
        <w:t xml:space="preserve">Update</w:t>
      </w:r>
      <w:r>
        <w:t xml:space="preserve">.</w:t>
      </w:r>
    </w:p>
    <w:p>
      <w:pPr>
        <w:pStyle w:val="FirstParagraph"/>
      </w:pPr>
      <w:r>
        <w:rPr>
          <w:b/>
          <w:bCs/>
        </w:rPr>
        <w:t xml:space="preserve">Never leave the approver list empty</w:t>
      </w:r>
    </w:p>
    <w:p>
      <w:pPr>
        <w:pStyle w:val="BodyText"/>
      </w:pPr>
      <w:r>
        <w:t xml:space="preserve">If no specific approvers are selected, active</w:t>
      </w:r>
      <w:r>
        <w:t xml:space="preserve"> </w:t>
      </w:r>
      <w:r>
        <w:rPr>
          <w:b/>
          <w:bCs/>
        </w:rPr>
        <w:t xml:space="preserve">Privileged Role</w:t>
      </w:r>
      <w:r>
        <w:rPr>
          <w:b/>
          <w:bCs/>
        </w:rPr>
        <w:t xml:space="preserve"> </w:t>
      </w:r>
      <w:r>
        <w:rPr>
          <w:b/>
          <w:bCs/>
        </w:rPr>
        <w:t xml:space="preserve">Administrators / Global Administrators become the default approvers</w:t>
      </w:r>
      <w:r>
        <w:t xml:space="preserve">. That</w:t>
      </w:r>
      <w:r>
        <w:t xml:space="preserve"> </w:t>
      </w:r>
      <w:r>
        <w:t xml:space="preserve">default is exactly the population this design is trying to keep</w:t>
      </w:r>
      <w:r>
        <w:t xml:space="preserve"> </w:t>
      </w:r>
      <w:r>
        <w:t xml:space="preserve">eligible-not-active — which is how the lockout in Step 0 arises. Always name</w:t>
      </w:r>
      <w:r>
        <w:t xml:space="preserve"> </w:t>
      </w:r>
      <w:r>
        <w:t xml:space="preserve">the approver group explicitly.</w:t>
      </w:r>
    </w:p>
    <w:bookmarkEnd w:id="173"/>
    <w:bookmarkStart w:id="181" w:name="X55aa064dbcfaba68fbf7b20870b4c0208a959d1"/>
    <w:p>
      <w:pPr>
        <w:pStyle w:val="Heading3"/>
      </w:pPr>
      <w:r>
        <w:t xml:space="preserve">Step 3 — Configure role settings with Microsoft Graph</w:t>
      </w:r>
    </w:p>
    <w:p>
      <w:pPr>
        <w:pStyle w:val="FirstParagraph"/>
      </w:pPr>
      <w:r>
        <w:t xml:space="preserve">The portal is fine for one role and unworkable for thirty. In Graph, role</w:t>
      </w:r>
      <w:r>
        <w:t xml:space="preserve"> </w:t>
      </w:r>
      <w:r>
        <w:t xml:space="preserve">settings are</w:t>
      </w:r>
      <w:r>
        <w:t xml:space="preserve"> </w:t>
      </w:r>
      <w:r>
        <w:rPr>
          <w:b/>
          <w:bCs/>
        </w:rPr>
        <w:t xml:space="preserve">rules</w:t>
      </w:r>
      <w:r>
        <w:t xml:space="preserve"> </w:t>
      </w:r>
      <w:r>
        <w:t xml:space="preserve">attached to a</w:t>
      </w:r>
      <w:r>
        <w:t xml:space="preserve"> </w:t>
      </w:r>
      <w:r>
        <w:rPr>
          <w:b/>
          <w:bCs/>
        </w:rPr>
        <w:t xml:space="preserve">role management policy</w:t>
      </w:r>
      <w:r>
        <w:t xml:space="preserve">, and each</w:t>
      </w:r>
      <w:r>
        <w:t xml:space="preserve"> </w:t>
      </w:r>
      <w:r>
        <w:t xml:space="preserve">directory role is assigned one policy object.</w:t>
      </w:r>
    </w:p>
    <w:bookmarkStart w:id="174" w:name="find-the-policy-for-a-role"/>
    <w:p>
      <w:pPr>
        <w:pStyle w:val="Heading4"/>
      </w:pPr>
      <w:r>
        <w:t xml:space="preserve">Find the policy for a role</w:t>
      </w:r>
    </w:p>
    <w:p>
      <w:pPr>
        <w:pStyle w:val="FirstParagraph"/>
      </w:pPr>
      <w:r>
        <w:t xml:space="preserve">Every rule update needs the</w:t>
      </w:r>
      <w:r>
        <w:t xml:space="preserve"> </w:t>
      </w:r>
      <w:r>
        <w:rPr>
          <w:rStyle w:val="VerbatimChar"/>
        </w:rPr>
        <w:t xml:space="preserve">policyId</w:t>
      </w:r>
      <w:r>
        <w:t xml:space="preserve"> </w:t>
      </w:r>
      <w:r>
        <w:t xml:space="preserve">for the target role. Resolve it from</w:t>
      </w:r>
      <w:r>
        <w:t xml:space="preserve"> </w:t>
      </w:r>
      <w:r>
        <w:t xml:space="preserve">the role’s immutable template ID:</w:t>
      </w:r>
    </w:p>
    <w:p>
      <w:pPr>
        <w:pStyle w:val="SourceCode"/>
      </w:pPr>
      <w:r>
        <w:rPr>
          <w:rStyle w:val="VerbatimChar"/>
        </w:rPr>
        <w:t xml:space="preserve">GET https://graph.microsoft.com/v1.0/policies/roleManagementPolicyAssignments</w:t>
      </w:r>
      <w:r>
        <w:br/>
      </w:r>
      <w:r>
        <w:rPr>
          <w:rStyle w:val="VerbatimChar"/>
        </w:rPr>
        <w:t xml:space="preserve">    ?$filter=scopeId eq '/' and scopeType eq 'DirectoryRole'</w:t>
      </w:r>
      <w:r>
        <w:br/>
      </w:r>
      <w:r>
        <w:rPr>
          <w:rStyle w:val="VerbatimChar"/>
        </w:rPr>
        <w:t xml:space="preserve">      and roleDefinitionId eq '9b895d92-2cd3-44c7-9d02-a6ac2d5ea5c3'</w:t>
      </w:r>
    </w:p>
    <w:p>
      <w:pPr>
        <w:pStyle w:val="FirstParagraph"/>
      </w:pPr>
      <w:r>
        <w:t xml:space="preserve">The response carries both the assignment</w:t>
      </w:r>
      <w:r>
        <w:t xml:space="preserve"> </w:t>
      </w:r>
      <w:r>
        <w:rPr>
          <w:rStyle w:val="VerbatimChar"/>
        </w:rPr>
        <w:t xml:space="preserve">id</w:t>
      </w:r>
      <w:r>
        <w:t xml:space="preserve"> </w:t>
      </w:r>
      <w:r>
        <w:t xml:space="preserve">and the</w:t>
      </w:r>
      <w:r>
        <w:t xml:space="preserve"> </w:t>
      </w:r>
      <w:r>
        <w:rPr>
          <w:rStyle w:val="VerbatimChar"/>
        </w:rPr>
        <w:t xml:space="preserve">policyId</w:t>
      </w:r>
      <w:r>
        <w:t xml:space="preserve"> </w:t>
      </w:r>
      <w:r>
        <w:t xml:space="preserve">— use the</w:t>
      </w:r>
      <w:r>
        <w:t xml:space="preserve"> </w:t>
      </w:r>
      <w:r>
        <w:rPr>
          <w:rStyle w:val="VerbatimChar"/>
        </w:rPr>
        <w:t xml:space="preserve">policyId</w:t>
      </w:r>
      <w:r>
        <w:t xml:space="preserve"> </w:t>
      </w:r>
      <w:r>
        <w:t xml:space="preserve">for everything that follows.</w:t>
      </w:r>
    </w:p>
    <w:p>
      <w:pPr>
        <w:pStyle w:val="BodyText"/>
      </w:pPr>
      <w:r>
        <w:t xml:space="preserve">Template IDs for the roles named in the tiering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Template ID</w:t>
            </w:r>
          </w:p>
        </w:tc>
      </w:tr>
      <w:tr>
        <w:tc>
          <w:tcPr/>
          <w:p>
            <w:pPr>
              <w:pStyle w:val="Compact"/>
            </w:pPr>
            <w:r>
              <w:t xml:space="preserve">Global Administrator</w:t>
            </w:r>
          </w:p>
        </w:tc>
        <w:tc>
          <w:tcPr/>
          <w:p>
            <w:pPr>
              <w:pStyle w:val="Compact"/>
            </w:pPr>
            <w:r>
              <w:rPr>
                <w:rStyle w:val="VerbatimChar"/>
              </w:rPr>
              <w:t xml:space="preserve">62e90394-69f5-4237-9190-012177145e10</w:t>
            </w:r>
          </w:p>
        </w:tc>
      </w:tr>
      <w:tr>
        <w:tc>
          <w:tcPr/>
          <w:p>
            <w:pPr>
              <w:pStyle w:val="Compact"/>
            </w:pPr>
            <w:r>
              <w:t xml:space="preserve">Privileged Role Administrator</w:t>
            </w:r>
          </w:p>
        </w:tc>
        <w:tc>
          <w:tcPr/>
          <w:p>
            <w:pPr>
              <w:pStyle w:val="Compact"/>
            </w:pPr>
            <w:r>
              <w:rPr>
                <w:rStyle w:val="VerbatimChar"/>
              </w:rPr>
              <w:t xml:space="preserve">e8611ab8-c189-46e8-94e1-60213ab1f814</w:t>
            </w:r>
          </w:p>
        </w:tc>
      </w:tr>
      <w:tr>
        <w:tc>
          <w:tcPr/>
          <w:p>
            <w:pPr>
              <w:pStyle w:val="Compact"/>
            </w:pPr>
            <w:r>
              <w:t xml:space="preserve">Privileged Authentication Administrator</w:t>
            </w:r>
          </w:p>
        </w:tc>
        <w:tc>
          <w:tcPr/>
          <w:p>
            <w:pPr>
              <w:pStyle w:val="Compact"/>
            </w:pPr>
            <w:r>
              <w:rPr>
                <w:rStyle w:val="VerbatimChar"/>
              </w:rPr>
              <w:t xml:space="preserve">7be44c8a-adaf-4e2a-84d6-ab2649e08a13</w:t>
            </w:r>
          </w:p>
        </w:tc>
      </w:tr>
      <w:tr>
        <w:tc>
          <w:tcPr/>
          <w:p>
            <w:pPr>
              <w:pStyle w:val="Compact"/>
            </w:pPr>
            <w:r>
              <w:t xml:space="preserve">Security Administrator</w:t>
            </w:r>
          </w:p>
        </w:tc>
        <w:tc>
          <w:tcPr/>
          <w:p>
            <w:pPr>
              <w:pStyle w:val="Compact"/>
            </w:pPr>
            <w:r>
              <w:rPr>
                <w:rStyle w:val="VerbatimChar"/>
              </w:rPr>
              <w:t xml:space="preserve">194ae4cb-b126-40b2-bd5b-6091b380977d</w:t>
            </w:r>
          </w:p>
        </w:tc>
      </w:tr>
      <w:tr>
        <w:tc>
          <w:tcPr/>
          <w:p>
            <w:pPr>
              <w:pStyle w:val="Compact"/>
            </w:pPr>
            <w:r>
              <w:t xml:space="preserve">Conditional Access Administrator</w:t>
            </w:r>
          </w:p>
        </w:tc>
        <w:tc>
          <w:tcPr/>
          <w:p>
            <w:pPr>
              <w:pStyle w:val="Compact"/>
            </w:pPr>
            <w:r>
              <w:rPr>
                <w:rStyle w:val="VerbatimChar"/>
              </w:rPr>
              <w:t xml:space="preserve">b1be1c3e-b65d-4f19-8427-f6fa0d97feb9</w:t>
            </w:r>
          </w:p>
        </w:tc>
      </w:tr>
      <w:tr>
        <w:tc>
          <w:tcPr/>
          <w:p>
            <w:pPr>
              <w:pStyle w:val="Compact"/>
            </w:pPr>
            <w:r>
              <w:t xml:space="preserve">Exchange Administrator</w:t>
            </w:r>
          </w:p>
        </w:tc>
        <w:tc>
          <w:tcPr/>
          <w:p>
            <w:pPr>
              <w:pStyle w:val="Compact"/>
            </w:pPr>
            <w:r>
              <w:rPr>
                <w:rStyle w:val="VerbatimChar"/>
              </w:rPr>
              <w:t xml:space="preserve">29232cdf-9323-42fd-ade2-1d097af3e4de</w:t>
            </w:r>
          </w:p>
        </w:tc>
      </w:tr>
      <w:tr>
        <w:tc>
          <w:tcPr/>
          <w:p>
            <w:pPr>
              <w:pStyle w:val="Compact"/>
            </w:pPr>
            <w:r>
              <w:t xml:space="preserve">SharePoint Administrator</w:t>
            </w:r>
          </w:p>
        </w:tc>
        <w:tc>
          <w:tcPr/>
          <w:p>
            <w:pPr>
              <w:pStyle w:val="Compact"/>
            </w:pPr>
            <w:r>
              <w:rPr>
                <w:rStyle w:val="VerbatimChar"/>
              </w:rPr>
              <w:t xml:space="preserve">f28a1f50-f6e7-4571-818b-6a12f2af6b6c</w:t>
            </w:r>
          </w:p>
        </w:tc>
      </w:tr>
      <w:tr>
        <w:tc>
          <w:tcPr/>
          <w:p>
            <w:pPr>
              <w:pStyle w:val="Compact"/>
            </w:pPr>
            <w:r>
              <w:t xml:space="preserve">Intune Administrator</w:t>
            </w:r>
          </w:p>
        </w:tc>
        <w:tc>
          <w:tcPr/>
          <w:p>
            <w:pPr>
              <w:pStyle w:val="Compact"/>
            </w:pPr>
            <w:r>
              <w:rPr>
                <w:rStyle w:val="VerbatimChar"/>
              </w:rPr>
              <w:t xml:space="preserve">3a2c62db-5318-420d-8d74-23affee5d9d5</w:t>
            </w:r>
          </w:p>
        </w:tc>
      </w:tr>
      <w:tr>
        <w:tc>
          <w:tcPr/>
          <w:p>
            <w:pPr>
              <w:pStyle w:val="Compact"/>
            </w:pPr>
            <w:r>
              <w:t xml:space="preserve">Teams Administrator</w:t>
            </w:r>
          </w:p>
        </w:tc>
        <w:tc>
          <w:tcPr/>
          <w:p>
            <w:pPr>
              <w:pStyle w:val="Compact"/>
            </w:pPr>
            <w:r>
              <w:rPr>
                <w:rStyle w:val="VerbatimChar"/>
              </w:rPr>
              <w:t xml:space="preserve">69091246-20e8-4a56-aa4d-066075b2a7a8</w:t>
            </w:r>
          </w:p>
        </w:tc>
      </w:tr>
      <w:tr>
        <w:tc>
          <w:tcPr/>
          <w:p>
            <w:pPr>
              <w:pStyle w:val="Compact"/>
            </w:pPr>
            <w:r>
              <w:t xml:space="preserve">Application Administrator</w:t>
            </w:r>
          </w:p>
        </w:tc>
        <w:tc>
          <w:tcPr/>
          <w:p>
            <w:pPr>
              <w:pStyle w:val="Compact"/>
            </w:pPr>
            <w:r>
              <w:rPr>
                <w:rStyle w:val="VerbatimChar"/>
              </w:rPr>
              <w:t xml:space="preserve">9b895d92-2cd3-44c7-9d02-a6ac2d5ea5c3</w:t>
            </w:r>
          </w:p>
        </w:tc>
      </w:tr>
      <w:tr>
        <w:tc>
          <w:tcPr/>
          <w:p>
            <w:pPr>
              <w:pStyle w:val="Compact"/>
            </w:pPr>
            <w:r>
              <w:t xml:space="preserve">Cloud Application Administrator</w:t>
            </w:r>
          </w:p>
        </w:tc>
        <w:tc>
          <w:tcPr/>
          <w:p>
            <w:pPr>
              <w:pStyle w:val="Compact"/>
            </w:pPr>
            <w:r>
              <w:rPr>
                <w:rStyle w:val="VerbatimChar"/>
              </w:rPr>
              <w:t xml:space="preserve">158c047a-c907-4556-b7ef-446551a6b5f7</w:t>
            </w:r>
          </w:p>
        </w:tc>
      </w:tr>
      <w:tr>
        <w:tc>
          <w:tcPr/>
          <w:p>
            <w:pPr>
              <w:pStyle w:val="Compact"/>
            </w:pPr>
            <w:r>
              <w:t xml:space="preserve">Hybrid Identity Administrator</w:t>
            </w:r>
          </w:p>
        </w:tc>
        <w:tc>
          <w:tcPr/>
          <w:p>
            <w:pPr>
              <w:pStyle w:val="Compact"/>
            </w:pPr>
            <w:r>
              <w:rPr>
                <w:rStyle w:val="VerbatimChar"/>
              </w:rPr>
              <w:t xml:space="preserve">8ac3fc64-6eca-42ea-9e69-59f4c7b60eb2</w:t>
            </w:r>
          </w:p>
        </w:tc>
      </w:tr>
      <w:tr>
        <w:tc>
          <w:tcPr/>
          <w:p>
            <w:pPr>
              <w:pStyle w:val="Compact"/>
            </w:pPr>
            <w:r>
              <w:t xml:space="preserve">User Administrator</w:t>
            </w:r>
          </w:p>
        </w:tc>
        <w:tc>
          <w:tcPr/>
          <w:p>
            <w:pPr>
              <w:pStyle w:val="Compact"/>
            </w:pPr>
            <w:r>
              <w:rPr>
                <w:rStyle w:val="VerbatimChar"/>
              </w:rPr>
              <w:t xml:space="preserve">fe930be7-5e62-47db-91af-98c3a49a38b1</w:t>
            </w:r>
          </w:p>
        </w:tc>
      </w:tr>
      <w:tr>
        <w:tc>
          <w:tcPr/>
          <w:p>
            <w:pPr>
              <w:pStyle w:val="Compact"/>
            </w:pPr>
            <w:r>
              <w:t xml:space="preserve">Groups Administrator</w:t>
            </w:r>
          </w:p>
        </w:tc>
        <w:tc>
          <w:tcPr/>
          <w:p>
            <w:pPr>
              <w:pStyle w:val="Compact"/>
            </w:pPr>
            <w:r>
              <w:rPr>
                <w:rStyle w:val="VerbatimChar"/>
              </w:rPr>
              <w:t xml:space="preserve">fdd7a751-b60b-444a-984c-02652fe8fa1c</w:t>
            </w:r>
          </w:p>
        </w:tc>
      </w:tr>
      <w:tr>
        <w:tc>
          <w:tcPr/>
          <w:p>
            <w:pPr>
              <w:pStyle w:val="Compact"/>
            </w:pPr>
            <w:r>
              <w:t xml:space="preserve">Helpdesk Administrator</w:t>
            </w:r>
          </w:p>
        </w:tc>
        <w:tc>
          <w:tcPr/>
          <w:p>
            <w:pPr>
              <w:pStyle w:val="Compact"/>
            </w:pPr>
            <w:r>
              <w:rPr>
                <w:rStyle w:val="VerbatimChar"/>
              </w:rPr>
              <w:t xml:space="preserve">729827e3-9c14-49f7-bb1b-9608f156bbb8</w:t>
            </w:r>
          </w:p>
        </w:tc>
      </w:tr>
      <w:tr>
        <w:tc>
          <w:tcPr/>
          <w:p>
            <w:pPr>
              <w:pStyle w:val="Compact"/>
            </w:pPr>
            <w:r>
              <w:t xml:space="preserve">Authentication Administrator</w:t>
            </w:r>
          </w:p>
        </w:tc>
        <w:tc>
          <w:tcPr/>
          <w:p>
            <w:pPr>
              <w:pStyle w:val="Compact"/>
            </w:pPr>
            <w:r>
              <w:rPr>
                <w:rStyle w:val="VerbatimChar"/>
              </w:rPr>
              <w:t xml:space="preserve">c4e39bd9-1100-46d3-8c65-fb160da0071f</w:t>
            </w:r>
          </w:p>
        </w:tc>
      </w:tr>
      <w:tr>
        <w:tc>
          <w:tcPr/>
          <w:p>
            <w:pPr>
              <w:pStyle w:val="Compact"/>
            </w:pPr>
            <w:r>
              <w:t xml:space="preserve">Global Reader</w:t>
            </w:r>
          </w:p>
        </w:tc>
        <w:tc>
          <w:tcPr/>
          <w:p>
            <w:pPr>
              <w:pStyle w:val="Compact"/>
            </w:pPr>
            <w:r>
              <w:rPr>
                <w:rStyle w:val="VerbatimChar"/>
              </w:rPr>
              <w:t xml:space="preserve">f2ef992c-3afb-46b9-b7cf-a126ee74c451</w:t>
            </w:r>
          </w:p>
        </w:tc>
      </w:tr>
      <w:tr>
        <w:tc>
          <w:tcPr/>
          <w:p>
            <w:pPr>
              <w:pStyle w:val="Compact"/>
            </w:pPr>
            <w:r>
              <w:t xml:space="preserve">Security Reader</w:t>
            </w:r>
          </w:p>
        </w:tc>
        <w:tc>
          <w:tcPr/>
          <w:p>
            <w:pPr>
              <w:pStyle w:val="Compact"/>
            </w:pPr>
            <w:r>
              <w:rPr>
                <w:rStyle w:val="VerbatimChar"/>
              </w:rPr>
              <w:t xml:space="preserve">5d6b6bb7-de71-4623-b4af-96380a352509</w:t>
            </w:r>
          </w:p>
        </w:tc>
      </w:tr>
    </w:tbl>
    <w:bookmarkEnd w:id="174"/>
    <w:bookmarkStart w:id="175" w:name="the-rules-this-build-touches"/>
    <w:p>
      <w:pPr>
        <w:pStyle w:val="Heading4"/>
      </w:pPr>
      <w:r>
        <w:t xml:space="preserve">The rules this build touches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Rule ID</w:t>
            </w:r>
          </w:p>
        </w:tc>
        <w:tc>
          <w:tcPr/>
          <w:p>
            <w:pPr>
              <w:pStyle w:val="Compact"/>
            </w:pPr>
            <w:r>
              <w:t xml:space="preserve">Category</w:t>
            </w:r>
          </w:p>
        </w:tc>
        <w:tc>
          <w:tcPr/>
          <w:p>
            <w:pPr>
              <w:pStyle w:val="Compact"/>
            </w:pPr>
            <w:r>
              <w:t xml:space="preserve">What it sets</w:t>
            </w:r>
          </w:p>
        </w:tc>
      </w:tr>
      <w:tr>
        <w:tc>
          <w:tcPr/>
          <w:p>
            <w:pPr>
              <w:pStyle w:val="Compact"/>
            </w:pPr>
            <w:r>
              <w:rPr>
                <w:rStyle w:val="VerbatimChar"/>
              </w:rPr>
              <w:t xml:space="preserve">Expiration_EndUser_Assignment</w:t>
            </w:r>
          </w:p>
        </w:tc>
        <w:tc>
          <w:tcPr/>
          <w:p>
            <w:pPr>
              <w:pStyle w:val="Compact"/>
            </w:pPr>
            <w:r>
              <w:t xml:space="preserve">Activation</w:t>
            </w:r>
          </w:p>
        </w:tc>
        <w:tc>
          <w:tcPr/>
          <w:p>
            <w:pPr>
              <w:pStyle w:val="Compact"/>
            </w:pPr>
            <w:r>
              <w:t xml:space="preserve">Activation maximum duration</w:t>
            </w:r>
          </w:p>
        </w:tc>
      </w:tr>
      <w:tr>
        <w:tc>
          <w:tcPr/>
          <w:p>
            <w:pPr>
              <w:pStyle w:val="Compact"/>
            </w:pPr>
            <w:r>
              <w:rPr>
                <w:rStyle w:val="VerbatimChar"/>
              </w:rPr>
              <w:t xml:space="preserve">Enablement_EndUser_Assignment</w:t>
            </w:r>
          </w:p>
        </w:tc>
        <w:tc>
          <w:tcPr/>
          <w:p>
            <w:pPr>
              <w:pStyle w:val="Compact"/>
            </w:pPr>
            <w:r>
              <w:t xml:space="preserve">Activation</w:t>
            </w:r>
          </w:p>
        </w:tc>
        <w:tc>
          <w:tcPr/>
          <w:p>
            <w:pPr>
              <w:pStyle w:val="Compact"/>
            </w:pPr>
            <w:r>
              <w:t xml:space="preserve">Justification / MFA / ticketing on activation</w:t>
            </w:r>
          </w:p>
        </w:tc>
      </w:tr>
      <w:tr>
        <w:tc>
          <w:tcPr/>
          <w:p>
            <w:pPr>
              <w:pStyle w:val="Compact"/>
            </w:pPr>
            <w:r>
              <w:rPr>
                <w:rStyle w:val="VerbatimChar"/>
              </w:rPr>
              <w:t xml:space="preserve">Approval_EndUser_Assignment</w:t>
            </w:r>
          </w:p>
        </w:tc>
        <w:tc>
          <w:tcPr/>
          <w:p>
            <w:pPr>
              <w:pStyle w:val="Compact"/>
            </w:pPr>
            <w:r>
              <w:t xml:space="preserve">Activation</w:t>
            </w:r>
          </w:p>
        </w:tc>
        <w:tc>
          <w:tcPr/>
          <w:p>
            <w:pPr>
              <w:pStyle w:val="Compact"/>
            </w:pPr>
            <w:r>
              <w:t xml:space="preserve">The approval requirement and the approver list</w:t>
            </w:r>
          </w:p>
        </w:tc>
      </w:tr>
      <w:tr>
        <w:tc>
          <w:tcPr/>
          <w:p>
            <w:pPr>
              <w:pStyle w:val="Compact"/>
            </w:pPr>
            <w:r>
              <w:rPr>
                <w:rStyle w:val="VerbatimChar"/>
              </w:rPr>
              <w:t xml:space="preserve">Expiration_Admin_Eligibility</w:t>
            </w:r>
          </w:p>
        </w:tc>
        <w:tc>
          <w:tcPr/>
          <w:p>
            <w:pPr>
              <w:pStyle w:val="Compact"/>
            </w:pPr>
            <w:r>
              <w:t xml:space="preserve">Assignment</w:t>
            </w:r>
          </w:p>
        </w:tc>
        <w:tc>
          <w:tcPr/>
          <w:p>
            <w:pPr>
              <w:pStyle w:val="Compact"/>
            </w:pPr>
            <w:r>
              <w:t xml:space="preserve">Expiry of eligible assignments</w:t>
            </w:r>
          </w:p>
        </w:tc>
      </w:tr>
      <w:tr>
        <w:tc>
          <w:tcPr/>
          <w:p>
            <w:pPr>
              <w:pStyle w:val="Compact"/>
            </w:pPr>
            <w:r>
              <w:rPr>
                <w:rStyle w:val="VerbatimChar"/>
              </w:rPr>
              <w:t xml:space="preserve">Expiration_Admin_Assignment</w:t>
            </w:r>
          </w:p>
        </w:tc>
        <w:tc>
          <w:tcPr/>
          <w:p>
            <w:pPr>
              <w:pStyle w:val="Compact"/>
            </w:pPr>
            <w:r>
              <w:t xml:space="preserve">Assignment</w:t>
            </w:r>
          </w:p>
        </w:tc>
        <w:tc>
          <w:tcPr/>
          <w:p>
            <w:pPr>
              <w:pStyle w:val="Compact"/>
            </w:pPr>
            <w:r>
              <w:t xml:space="preserve">Expiry of active assignments</w:t>
            </w:r>
          </w:p>
        </w:tc>
      </w:tr>
      <w:tr>
        <w:tc>
          <w:tcPr/>
          <w:p>
            <w:pPr>
              <w:pStyle w:val="Compact"/>
            </w:pPr>
            <w:r>
              <w:rPr>
                <w:rStyle w:val="VerbatimChar"/>
              </w:rPr>
              <w:t xml:space="preserve">Enablement_Admin_Assignment</w:t>
            </w:r>
          </w:p>
        </w:tc>
        <w:tc>
          <w:tcPr/>
          <w:p>
            <w:pPr>
              <w:pStyle w:val="Compact"/>
            </w:pPr>
            <w:r>
              <w:t xml:space="preserve">Assignment</w:t>
            </w:r>
          </w:p>
        </w:tc>
        <w:tc>
          <w:tcPr/>
          <w:p>
            <w:pPr>
              <w:pStyle w:val="Compact"/>
            </w:pPr>
            <w:r>
              <w:t xml:space="preserve">Justification / MFA when an admin creates an active assignment</w:t>
            </w:r>
          </w:p>
        </w:tc>
      </w:tr>
    </w:tbl>
    <w:p>
      <w:pPr>
        <w:pStyle w:val="BodyText"/>
      </w:pPr>
      <w:r>
        <w:t xml:space="preserve">Each</w:t>
      </w:r>
      <w:r>
        <w:t xml:space="preserve"> </w:t>
      </w:r>
      <w:r>
        <w:rPr>
          <w:rStyle w:val="VerbatimChar"/>
        </w:rPr>
        <w:t xml:space="preserve">PATCH</w:t>
      </w:r>
      <w:r>
        <w:t xml:space="preserve"> </w:t>
      </w:r>
      <w:r>
        <w:t xml:space="preserve">must include the</w:t>
      </w:r>
      <w:r>
        <w:t xml:space="preserve"> </w:t>
      </w:r>
      <w:r>
        <w:rPr>
          <w:rStyle w:val="VerbatimChar"/>
        </w:rPr>
        <w:t xml:space="preserve">@odata.type</w:t>
      </w:r>
      <w:r>
        <w:t xml:space="preserve"> </w:t>
      </w:r>
      <w:r>
        <w:t xml:space="preserve">of the derived rule type. A</w:t>
      </w:r>
      <w:r>
        <w:t xml:space="preserve"> </w:t>
      </w:r>
      <w:r>
        <w:t xml:space="preserve">successful update returns</w:t>
      </w:r>
      <w:r>
        <w:t xml:space="preserve"> </w:t>
      </w:r>
      <w:r>
        <w:rPr>
          <w:rStyle w:val="VerbatimChar"/>
        </w:rPr>
        <w:t xml:space="preserve">204 No Content</w:t>
      </w:r>
      <w:r>
        <w:t xml:space="preserve">.</w:t>
      </w:r>
    </w:p>
    <w:bookmarkEnd w:id="175"/>
    <w:bookmarkStart w:id="176" w:name="Xaa7b78e2f1147fb38dc7e9f2f161924d2db7f57"/>
    <w:p>
      <w:pPr>
        <w:pStyle w:val="Heading4"/>
      </w:pPr>
      <w:r>
        <w:t xml:space="preserve">Require approval, with a named approver group</w:t>
      </w:r>
    </w:p>
    <w:p>
      <w:pPr>
        <w:pStyle w:val="SourceCode"/>
      </w:pPr>
      <w:r>
        <w:rPr>
          <w:rStyle w:val="VerbatimChar"/>
        </w:rPr>
        <w:t xml:space="preserve">PATCH https://graph.microsoft.com/v1.0/policies/roleManagementPolicies/{policyId}/rules/Approval_EndUser_Assignment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"#microsoft.graph.unifiedRoleManagementPolicyApprovalRule",</w:t>
      </w:r>
      <w:r>
        <w:br/>
      </w:r>
      <w:r>
        <w:rPr>
          <w:rStyle w:val="VerbatimChar"/>
        </w:rPr>
        <w:t xml:space="preserve">    "id": "Approval_EndUser_Assignment",</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    "setting": {</w:t>
      </w:r>
      <w:r>
        <w:br/>
      </w:r>
      <w:r>
        <w:rPr>
          <w:rStyle w:val="VerbatimChar"/>
        </w:rPr>
        <w:t xml:space="preserve">        "@odata.type": "microsoft.graph.approvalSettings",</w:t>
      </w:r>
      <w:r>
        <w:br/>
      </w:r>
      <w:r>
        <w:rPr>
          <w:rStyle w:val="VerbatimChar"/>
        </w:rPr>
        <w:t xml:space="preserve">        "isApprovalRequired": true,</w:t>
      </w:r>
      <w:r>
        <w:br/>
      </w:r>
      <w:r>
        <w:rPr>
          <w:rStyle w:val="VerbatimChar"/>
        </w:rPr>
        <w:t xml:space="preserve">        "isApprovalRequiredForExtension": false,</w:t>
      </w:r>
      <w:r>
        <w:br/>
      </w:r>
      <w:r>
        <w:rPr>
          <w:rStyle w:val="VerbatimChar"/>
        </w:rPr>
        <w:t xml:space="preserve">        "isRequestorJustificationRequired": true,</w:t>
      </w:r>
      <w:r>
        <w:br/>
      </w:r>
      <w:r>
        <w:rPr>
          <w:rStyle w:val="VerbatimChar"/>
        </w:rPr>
        <w:t xml:space="preserve">        "approvalMode": "SingleStage",</w:t>
      </w:r>
      <w:r>
        <w:br/>
      </w:r>
      <w:r>
        <w:rPr>
          <w:rStyle w:val="VerbatimChar"/>
        </w:rPr>
        <w:t xml:space="preserve">        "approvalStages": [</w:t>
      </w:r>
      <w:r>
        <w:br/>
      </w:r>
      <w:r>
        <w:rPr>
          <w:rStyle w:val="VerbatimChar"/>
        </w:rPr>
        <w:t xml:space="preserve">            {</w:t>
      </w:r>
      <w:r>
        <w:br/>
      </w:r>
      <w:r>
        <w:rPr>
          <w:rStyle w:val="VerbatimChar"/>
        </w:rPr>
        <w:t xml:space="preserve">                "approvalStageTimeOutInDays": 1,</w:t>
      </w:r>
      <w:r>
        <w:br/>
      </w:r>
      <w:r>
        <w:rPr>
          <w:rStyle w:val="VerbatimChar"/>
        </w:rPr>
        <w:t xml:space="preserve">                "isApproverJustificationRequired": true,</w:t>
      </w:r>
      <w:r>
        <w:br/>
      </w:r>
      <w:r>
        <w:rPr>
          <w:rStyle w:val="VerbatimChar"/>
        </w:rPr>
        <w:t xml:space="preserve">                "escalationTimeInMinutes": 0,</w:t>
      </w:r>
      <w:r>
        <w:br/>
      </w:r>
      <w:r>
        <w:rPr>
          <w:rStyle w:val="VerbatimChar"/>
        </w:rPr>
        <w:t xml:space="preserve">                "primaryApprovers": [</w:t>
      </w:r>
      <w:r>
        <w:br/>
      </w:r>
      <w:r>
        <w:rPr>
          <w:rStyle w:val="VerbatimChar"/>
        </w:rPr>
        <w:t xml:space="preserve">                    {</w:t>
      </w:r>
      <w:r>
        <w:br/>
      </w:r>
      <w:r>
        <w:rPr>
          <w:rStyle w:val="VerbatimChar"/>
        </w:rPr>
        <w:t xml:space="preserve">                        "@odata.type": "#microsoft.graph.groupMembers",</w:t>
      </w:r>
      <w:r>
        <w:br/>
      </w:r>
      <w:r>
        <w:rPr>
          <w:rStyle w:val="VerbatimChar"/>
        </w:rPr>
        <w:t xml:space="preserve">                        "groupId": "&lt;PIM-Approvers-Tier0 object ID&gt;"</w:t>
      </w:r>
      <w:r>
        <w:br/>
      </w:r>
      <w:r>
        <w:rPr>
          <w:rStyle w:val="VerbatimChar"/>
        </w:rPr>
        <w:t xml:space="preserve">                    }</w:t>
      </w:r>
      <w:r>
        <w:br/>
      </w:r>
      <w:r>
        <w:rPr>
          <w:rStyle w:val="VerbatimChar"/>
        </w:rPr>
        <w:t xml:space="preserve">                ],</w:t>
      </w:r>
      <w:r>
        <w:br/>
      </w:r>
      <w:r>
        <w:rPr>
          <w:rStyle w:val="VerbatimChar"/>
        </w:rPr>
        <w:t xml:space="preserve">                "isEscalationEnabled": false,</w:t>
      </w:r>
      <w:r>
        <w:br/>
      </w:r>
      <w:r>
        <w:rPr>
          <w:rStyle w:val="VerbatimChar"/>
        </w:rPr>
        <w:t xml:space="preserve">                "escalationApprovers":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rPr>
          <w:rStyle w:val="VerbatimChar"/>
        </w:rPr>
        <w:t xml:space="preserve">isApproverJustificationRequired: true</w:t>
      </w:r>
      <w:r>
        <w:t xml:space="preserve"> </w:t>
      </w:r>
      <w:r>
        <w:t xml:space="preserve">is the setting that makes the</w:t>
      </w:r>
      <w:r>
        <w:t xml:space="preserve"> </w:t>
      </w:r>
      <w:r>
        <w:rPr>
          <w:i/>
          <w:iCs/>
        </w:rPr>
        <w:t xml:space="preserve">approver’s</w:t>
      </w:r>
      <w:r>
        <w:t xml:space="preserve"> </w:t>
      </w:r>
      <w:r>
        <w:t xml:space="preserve">reasoning part of the record, not just the requester’s. For an</w:t>
      </w:r>
      <w:r>
        <w:t xml:space="preserve"> </w:t>
      </w:r>
      <w:r>
        <w:t xml:space="preserve">approval gate to be evidence of a decision rather than evidence of a</w:t>
      </w:r>
      <w:r>
        <w:t xml:space="preserve"> </w:t>
      </w:r>
      <w:r>
        <w:t xml:space="preserve">click, keep it on.</w:t>
      </w:r>
    </w:p>
    <w:bookmarkEnd w:id="176"/>
    <w:bookmarkStart w:id="177" w:name="X90fa3893d55424f3fa5add5d0fc36c13e671661"/>
    <w:p>
      <w:pPr>
        <w:pStyle w:val="Heading4"/>
      </w:pPr>
      <w:r>
        <w:t xml:space="preserve">Require MFA, justification, and ticket on activation</w:t>
      </w:r>
    </w:p>
    <w:p>
      <w:pPr>
        <w:pStyle w:val="SourceCode"/>
      </w:pPr>
      <w:r>
        <w:rPr>
          <w:rStyle w:val="VerbatimChar"/>
        </w:rPr>
        <w:t xml:space="preserve">PATCH https://graph.microsoft.com/v1.0/policies/roleManagementPolicies/{policyId}/rules/Enablement_EndUser_Assignment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"#microsoft.graph.unifiedRoleManagementPolicyEnablementRule",</w:t>
      </w:r>
      <w:r>
        <w:br/>
      </w:r>
      <w:r>
        <w:rPr>
          <w:rStyle w:val="VerbatimChar"/>
        </w:rPr>
        <w:t xml:space="preserve">    "id": "Enablement_EndUser_Assignment",</w:t>
      </w:r>
      <w:r>
        <w:br/>
      </w:r>
      <w:r>
        <w:rPr>
          <w:rStyle w:val="VerbatimChar"/>
        </w:rPr>
        <w:t xml:space="preserve">    "enabledRules": [ "Justification", "MultiFactorAuthentication", "Ticketing" ],</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177"/>
    <w:bookmarkStart w:id="178" w:name="cap-the-activation-window"/>
    <w:p>
      <w:pPr>
        <w:pStyle w:val="Heading4"/>
      </w:pPr>
      <w:r>
        <w:t xml:space="preserve">Cap the activation window</w:t>
      </w:r>
    </w:p>
    <w:p>
      <w:pPr>
        <w:pStyle w:val="SourceCode"/>
      </w:pPr>
      <w:r>
        <w:rPr>
          <w:rStyle w:val="VerbatimChar"/>
        </w:rPr>
        <w:t xml:space="preserve">PATCH https://graph.microsoft.com/v1.0/policies/roleManagementPolicies/{policyId}/rules/Expiration_EndUser_Assignment</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"Expiration_EndUser_Assignment",</w:t>
      </w:r>
      <w:r>
        <w:br/>
      </w:r>
      <w:r>
        <w:rPr>
          <w:rStyle w:val="VerbatimChar"/>
        </w:rPr>
        <w:t xml:space="preserve">    "isExpirationRequired": true,</w:t>
      </w:r>
      <w:r>
        <w:br/>
      </w:r>
      <w:r>
        <w:rPr>
          <w:rStyle w:val="VerbatimChar"/>
        </w:rPr>
        <w:t xml:space="preserve">    "maximumDuration": "PT4H",</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"EndUser",</w:t>
      </w:r>
      <w:r>
        <w:br/>
      </w:r>
      <w:r>
        <w:rPr>
          <w:rStyle w:val="VerbatimChar"/>
        </w:rPr>
        <w:t xml:space="preserve">        "operations": [ "All" ],</w:t>
      </w:r>
      <w:r>
        <w:br/>
      </w:r>
      <w:r>
        <w:rPr>
          <w:rStyle w:val="VerbatimChar"/>
        </w:rPr>
        <w:t xml:space="preserve">        "level": "Assignment",</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178"/>
    <w:bookmarkStart w:id="179" w:name="bound-eligibility"/>
    <w:p>
      <w:pPr>
        <w:pStyle w:val="Heading4"/>
      </w:pPr>
      <w:r>
        <w:t xml:space="preserve">Bound eligibility</w:t>
      </w:r>
    </w:p>
    <w:p>
      <w:pPr>
        <w:pStyle w:val="SourceCode"/>
      </w:pPr>
      <w:r>
        <w:rPr>
          <w:rStyle w:val="VerbatimChar"/>
        </w:rPr>
        <w:t xml:space="preserve">PATCH https://graph.microsoft.com/v1.0/policies/roleManagementPolicies/{policyId}/rules/Expiration_Admin_Eligibility</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"#microsoft.graph.unifiedRoleManagementPolicyExpirationRule",</w:t>
      </w:r>
      <w:r>
        <w:br/>
      </w:r>
      <w:r>
        <w:rPr>
          <w:rStyle w:val="VerbatimChar"/>
        </w:rPr>
        <w:t xml:space="preserve">    "id": "Expiration_Admin_Eligibility",</w:t>
      </w:r>
      <w:r>
        <w:br/>
      </w:r>
      <w:r>
        <w:rPr>
          <w:rStyle w:val="VerbatimChar"/>
        </w:rPr>
        <w:t xml:space="preserve">    "isExpirationRequired": true,</w:t>
      </w:r>
      <w:r>
        <w:br/>
      </w:r>
      <w:r>
        <w:rPr>
          <w:rStyle w:val="VerbatimChar"/>
        </w:rPr>
        <w:t xml:space="preserve">    "maximumDuration": "P90D",</w:t>
      </w:r>
      <w:r>
        <w:br/>
      </w:r>
      <w:r>
        <w:rPr>
          <w:rStyle w:val="VerbatimChar"/>
        </w:rPr>
        <w:t xml:space="preserve">    "target": {</w:t>
      </w:r>
      <w:r>
        <w:br/>
      </w:r>
      <w:r>
        <w:rPr>
          <w:rStyle w:val="VerbatimChar"/>
        </w:rPr>
        <w:t xml:space="preserve">        "@odata.type": "microsoft.graph.unifiedRoleManagementPolicyRuleTarget",</w:t>
      </w:r>
      <w:r>
        <w:br/>
      </w:r>
      <w:r>
        <w:rPr>
          <w:rStyle w:val="VerbatimChar"/>
        </w:rPr>
        <w:t xml:space="preserve">        "caller": "Admin",</w:t>
      </w:r>
      <w:r>
        <w:br/>
      </w:r>
      <w:r>
        <w:rPr>
          <w:rStyle w:val="VerbatimChar"/>
        </w:rPr>
        <w:t xml:space="preserve">        "operations": [ "All" ],</w:t>
      </w:r>
      <w:r>
        <w:br/>
      </w:r>
      <w:r>
        <w:rPr>
          <w:rStyle w:val="VerbatimChar"/>
        </w:rPr>
        <w:t xml:space="preserve">        "level": "Eligibility",</w:t>
      </w:r>
      <w:r>
        <w:br/>
      </w:r>
      <w:r>
        <w:rPr>
          <w:rStyle w:val="VerbatimChar"/>
        </w:rPr>
        <w:t xml:space="preserve">        "inheritableSettings": [],</w:t>
      </w:r>
      <w:r>
        <w:br/>
      </w:r>
      <w:r>
        <w:rPr>
          <w:rStyle w:val="VerbatimChar"/>
        </w:rPr>
        <w:t xml:space="preserve">        "enforcedSettings": []</w:t>
      </w:r>
      <w:r>
        <w:br/>
      </w:r>
      <w:r>
        <w:rPr>
          <w:rStyle w:val="VerbatimChar"/>
        </w:rPr>
        <w:t xml:space="preserve">    }</w:t>
      </w:r>
      <w:r>
        <w:br/>
      </w:r>
      <w:r>
        <w:rPr>
          <w:rStyle w:val="VerbatimChar"/>
        </w:rPr>
        <w:t xml:space="preserve">}</w:t>
      </w:r>
    </w:p>
    <w:bookmarkEnd w:id="179"/>
    <w:bookmarkStart w:id="180" w:name="applying-the-tier-policy-across-roles"/>
    <w:p>
      <w:pPr>
        <w:pStyle w:val="Heading4"/>
      </w:pPr>
      <w:r>
        <w:t xml:space="preserve">Applying the tier policy across roles</w:t>
      </w:r>
    </w:p>
    <w:p>
      <w:pPr>
        <w:pStyle w:val="FirstParagraph"/>
      </w:pPr>
      <w:r>
        <w:t xml:space="preserve">The script below applies one tier’s settings to a list of roles. It is a</w:t>
      </w:r>
      <w:r>
        <w:t xml:space="preserve"> </w:t>
      </w:r>
      <w:r>
        <w:rPr>
          <w:b/>
          <w:bCs/>
        </w:rPr>
        <w:t xml:space="preserve">reference implementation for review and adaptation</w:t>
      </w:r>
      <w:r>
        <w:t xml:space="preserve"> </w:t>
      </w:r>
      <w:r>
        <w:t xml:space="preserve">— written against</w:t>
      </w:r>
      <w:r>
        <w:t xml:space="preserve"> </w:t>
      </w:r>
      <w:r>
        <w:t xml:space="preserve">current Microsoft Graph PowerShell, not run against a live tenant. Anything</w:t>
      </w:r>
      <w:r>
        <w:t xml:space="preserve"> </w:t>
      </w:r>
      <w:r>
        <w:t xml:space="preserve">environment-specific is marked</w:t>
      </w:r>
      <w:r>
        <w:t xml:space="preserve"> </w:t>
      </w:r>
      <w:r>
        <w:rPr>
          <w:rStyle w:val="VerbatimChar"/>
        </w:rPr>
        <w:t xml:space="preserve"># CONFIGURE:</w:t>
      </w:r>
      <w:r>
        <w:t xml:space="preserve">. It honours</w:t>
      </w:r>
      <w:r>
        <w:t xml:space="preserve"> </w:t>
      </w:r>
      <w:r>
        <w:rPr>
          <w:rStyle w:val="VerbatimChar"/>
        </w:rPr>
        <w:t xml:space="preserve">-WhatIf</w:t>
      </w:r>
      <w:r>
        <w:t xml:space="preserve">; dry-run</w:t>
      </w:r>
      <w:r>
        <w:t xml:space="preserve"> </w:t>
      </w:r>
      <w:r>
        <w:t xml:space="preserve">before touching a live tenant.</w:t>
      </w:r>
    </w:p>
    <w:p>
      <w:pPr>
        <w:pStyle w:val="SourceCode"/>
      </w:pPr>
      <w:r>
        <w:rPr>
          <w:rStyle w:val="CommentTok"/>
        </w:rPr>
        <w:t xml:space="preserve">#Requires -Modules Microsoft.Graph.Identity.Governance</w:t>
      </w:r>
      <w:r>
        <w:br/>
      </w:r>
      <w:r>
        <w:br/>
      </w:r>
      <w:r>
        <w:rPr>
          <w:rStyle w:val="CommentTok"/>
        </w:rPr>
        <w:t xml:space="preserve">&lt;#</w:t>
      </w:r>
      <w:r>
        <w:br/>
      </w:r>
      <w:r>
        <w:rPr>
          <w:rStyle w:val="CommentTok"/>
        </w:rPr>
        <w:t xml:space="preserve">.SYNOPSIS</w:t>
      </w:r>
      <w:r>
        <w:br/>
      </w:r>
      <w:r>
        <w:rPr>
          <w:rStyle w:val="CommentTok"/>
        </w:rPr>
        <w:t xml:space="preserve">    Apply a PIM tier policy (approval, MFA, justification, duration, eligibility</w:t>
      </w:r>
      <w:r>
        <w:br/>
      </w:r>
      <w:r>
        <w:rPr>
          <w:rStyle w:val="CommentTok"/>
        </w:rPr>
        <w:t xml:space="preserve">    expiry) to a set of Microsoft Entra directory roles.</w:t>
      </w:r>
      <w:r>
        <w:br/>
      </w:r>
      <w:r>
        <w:br/>
      </w:r>
      <w:r>
        <w:rPr>
          <w:rStyle w:val="CommentTok"/>
        </w:rPr>
        <w:t xml:space="preserve">.DESCRIPTION</w:t>
      </w:r>
      <w:r>
        <w:br/>
      </w:r>
      <w:r>
        <w:rPr>
          <w:rStyle w:val="CommentTok"/>
        </w:rPr>
        <w:t xml:space="preserve">    Resolves each role's role-management policy from its immutable template ID,</w:t>
      </w:r>
      <w:r>
        <w:br/>
      </w:r>
      <w:r>
        <w:rPr>
          <w:rStyle w:val="CommentTok"/>
        </w:rPr>
        <w:t xml:space="preserve">    then PATCHes the four activation/assignment rules that constitute the</w:t>
      </w:r>
      <w:r>
        <w:br/>
      </w:r>
      <w:r>
        <w:rPr>
          <w:rStyle w:val="CommentTok"/>
        </w:rPr>
        <w:t xml:space="preserve">    approval gate. Idempotent: re-running with the same inputs is a no-op in</w:t>
      </w:r>
      <w:r>
        <w:br/>
      </w:r>
      <w:r>
        <w:rPr>
          <w:rStyle w:val="CommentTok"/>
        </w:rPr>
        <w:t xml:space="preserve">    effect, though each run issues the PATCH.</w:t>
      </w:r>
      <w:r>
        <w:br/>
      </w:r>
      <w:r>
        <w:br/>
      </w:r>
      <w:r>
        <w:rPr>
          <w:rStyle w:val="CommentTok"/>
        </w:rPr>
        <w:t xml:space="preserve">.NOTES</w:t>
      </w:r>
      <w:r>
        <w:br/>
      </w:r>
      <w:r>
        <w:rPr>
          <w:rStyle w:val="CommentTok"/>
        </w:rPr>
        <w:t xml:space="preserve">    Least-privileged role: Privileged Role Administrator.</w:t>
      </w:r>
      <w:r>
        <w:br/>
      </w:r>
      <w:r>
        <w:rPr>
          <w:rStyle w:val="CommentTok"/>
        </w:rPr>
        <w:t xml:space="preserve">    Delegated scopes: RoleManagementPolicy.ReadWrite.Directory</w:t>
      </w:r>
      <w:r>
        <w:br/>
      </w:r>
      <w:r>
        <w:rPr>
          <w:rStyle w:val="CommentTok"/>
        </w:rPr>
        <w:t xml:space="preserve">#&gt;</w:t>
      </w:r>
      <w:r>
        <w:br/>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rPr>
          <w:rStyle w:val="NormalTok"/>
        </w:rPr>
        <w:t xml:space="preserve"> ConfirmImpact </w:t>
      </w:r>
      <w:r>
        <w:rPr>
          <w:rStyle w:val="OperatorTok"/>
        </w:rPr>
        <w:t xml:space="preserve">=</w:t>
      </w:r>
      <w:r>
        <w:rPr>
          <w:rStyle w:val="NormalTok"/>
        </w:rPr>
        <w:t xml:space="preserve"> </w:t>
      </w:r>
      <w:r>
        <w:rPr>
          <w:rStyle w:val="StringTok"/>
        </w:rPr>
        <w:t xml:space="preserve">'High'</w:t>
      </w:r>
      <w:r>
        <w:rPr>
          <w:rStyle w:val="OperatorTok"/>
        </w:rPr>
        <w:t xml:space="preserve">)]</w:t>
      </w:r>
      <w:r>
        <w:br/>
      </w:r>
      <w:r>
        <w:rPr>
          <w:rStyle w:val="KeywordTok"/>
        </w:rPr>
        <w:t xml:space="preserve">param</w:t>
      </w:r>
      <w:r>
        <w:rPr>
          <w:rStyle w:val="OperatorTok"/>
        </w:rPr>
        <w:t xml:space="preserve">(</w:t>
      </w:r>
      <w:r>
        <w:br/>
      </w:r>
      <w:r>
        <w:rPr>
          <w:rStyle w:val="NormalTok"/>
        </w:rPr>
        <w:t xml:space="preserve">    </w:t>
      </w:r>
      <w:r>
        <w:rPr>
          <w:rStyle w:val="CommentTok"/>
        </w:rPr>
        <w:t xml:space="preserve"># Role template IDs to configure. CONFIGURE: replace with your tier's roles.</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$RoleTemplateId</w:t>
      </w:r>
      <w:r>
        <w:rPr>
          <w:rStyle w:val="OperatorTok"/>
        </w:rPr>
        <w:t xml:space="preserve">,</w:t>
      </w:r>
      <w:r>
        <w:br/>
      </w:r>
      <w:r>
        <w:br/>
      </w:r>
      <w:r>
        <w:rPr>
          <w:rStyle w:val="NormalTok"/>
        </w:rPr>
        <w:t xml:space="preserve">    </w:t>
      </w:r>
      <w:r>
        <w:rPr>
          <w:rStyle w:val="CommentTok"/>
        </w:rPr>
        <w:t xml:space="preserve"># Object ID of the approver group created in Step 1.</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$ApproverGroupId</w:t>
      </w:r>
      <w:r>
        <w:rPr>
          <w:rStyle w:val="OperatorTok"/>
        </w:rPr>
        <w:t xml:space="preserve">,</w:t>
      </w:r>
      <w:r>
        <w:br/>
      </w:r>
      <w:r>
        <w:br/>
      </w:r>
      <w:r>
        <w:rPr>
          <w:rStyle w:val="NormalTok"/>
        </w:rPr>
        <w:t xml:space="preserve">    </w:t>
      </w:r>
      <w:r>
        <w:rPr>
          <w:rStyle w:val="CommentTok"/>
        </w:rPr>
        <w:t xml:space="preserve"># ISO 8601 duration for the maximum activation window (1h-24h).</w:t>
      </w:r>
      <w:r>
        <w:br/>
      </w:r>
      <w:r>
        <w:rPr>
          <w:rStyle w:val="NormalTok"/>
        </w:rPr>
        <w:t xml:space="preserve">    </w:t>
      </w:r>
      <w:r>
        <w:rPr>
          <w:rStyle w:val="OperatorTok"/>
        </w:rPr>
        <w:t xml:space="preserve">[</w:t>
      </w:r>
      <w:r>
        <w:rPr>
          <w:rStyle w:val="NormalTok"/>
        </w:rPr>
        <w:t xml:space="preserve">ValidatePattern</w:t>
      </w:r>
      <w:r>
        <w:rPr>
          <w:rStyle w:val="OperatorTok"/>
        </w:rPr>
        <w:t xml:space="preserve">(</w:t>
      </w:r>
      <w:r>
        <w:rPr>
          <w:rStyle w:val="StringTok"/>
        </w:rPr>
        <w:t xml:space="preserve">'^PT([1-9]|1[0-9]|2[0-4])H$'</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$MaxActivationDuration</w:t>
      </w:r>
      <w:r>
        <w:rPr>
          <w:rStyle w:val="NormalTok"/>
        </w:rPr>
        <w:t xml:space="preserve"> </w:t>
      </w:r>
      <w:r>
        <w:rPr>
          <w:rStyle w:val="OperatorTok"/>
        </w:rPr>
        <w:t xml:space="preserve">=</w:t>
      </w:r>
      <w:r>
        <w:rPr>
          <w:rStyle w:val="NormalTok"/>
        </w:rPr>
        <w:t xml:space="preserve"> </w:t>
      </w:r>
      <w:r>
        <w:rPr>
          <w:rStyle w:val="StringTok"/>
        </w:rPr>
        <w:t xml:space="preserve">'PT4H'</w:t>
      </w:r>
      <w:r>
        <w:rPr>
          <w:rStyle w:val="OperatorTok"/>
        </w:rPr>
        <w:t xml:space="preserve">,</w:t>
      </w:r>
      <w:r>
        <w:br/>
      </w:r>
      <w:r>
        <w:br/>
      </w:r>
      <w:r>
        <w:rPr>
          <w:rStyle w:val="NormalTok"/>
        </w:rPr>
        <w:t xml:space="preserve">    </w:t>
      </w:r>
      <w:r>
        <w:rPr>
          <w:rStyle w:val="CommentTok"/>
        </w:rPr>
        <w:t xml:space="preserve"># ISO 8601 duration for maximum eligible-assignment lifetime.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$MaxEligibilityDuration</w:t>
      </w:r>
      <w:r>
        <w:rPr>
          <w:rStyle w:val="NormalTok"/>
        </w:rPr>
        <w:t xml:space="preserve"> </w:t>
      </w:r>
      <w:r>
        <w:rPr>
          <w:rStyle w:val="OperatorTok"/>
        </w:rPr>
        <w:t xml:space="preserve">=</w:t>
      </w:r>
      <w:r>
        <w:rPr>
          <w:rStyle w:val="NormalTok"/>
        </w:rPr>
        <w:t xml:space="preserve"> </w:t>
      </w:r>
      <w:r>
        <w:rPr>
          <w:rStyle w:val="StringTok"/>
        </w:rPr>
        <w:t xml:space="preserve">'P90D'</w:t>
      </w:r>
      <w:r>
        <w:rPr>
          <w:rStyle w:val="OperatorTok"/>
        </w:rPr>
        <w:t xml:space="preserve">,</w:t>
      </w:r>
      <w:r>
        <w:br/>
      </w:r>
      <w:r>
        <w:br/>
      </w:r>
      <w:r>
        <w:rPr>
          <w:rStyle w:val="NormalTok"/>
        </w:rPr>
        <w:t xml:space="preserve">    </w:t>
      </w:r>
      <w:r>
        <w:rPr>
          <w:rStyle w:val="CommentTok"/>
        </w:rPr>
        <w:t xml:space="preserve"># Activation requirements. Ticketing is information-only in Entra.</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'MultiFactorAuthentication'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$EnabledRules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'Justification'</w:t>
      </w:r>
      <w:r>
        <w:rPr>
          <w:rStyle w:val="OperatorTok"/>
        </w:rPr>
        <w:t xml:space="preserve">,</w:t>
      </w:r>
      <w:r>
        <w:rPr>
          <w:rStyle w:val="NormalTok"/>
        </w:rPr>
        <w:t xml:space="preserve"> </w:t>
      </w:r>
      <w:r>
        <w:rPr>
          <w:rStyle w:val="StringTok"/>
        </w:rPr>
        <w:t xml:space="preserve">'MultiFactorAuthentication'</w:t>
      </w:r>
      <w:r>
        <w:rPr>
          <w:rStyle w:val="OperatorTok"/>
        </w:rPr>
        <w:t xml:space="preserve">,</w:t>
      </w:r>
      <w:r>
        <w:rPr>
          <w:rStyle w:val="NormalTok"/>
        </w:rPr>
        <w:t xml:space="preserve"> </w:t>
      </w:r>
      <w:r>
        <w:rPr>
          <w:rStyle w:val="StringTok"/>
        </w:rPr>
        <w:t xml:space="preserve">'Ticketing'</w:t>
      </w:r>
      <w:r>
        <w:rPr>
          <w:rStyle w:val="OperatorTok"/>
        </w:rPr>
        <w:t xml:space="preserve">)</w:t>
      </w:r>
      <w:r>
        <w:br/>
      </w:r>
      <w:r>
        <w:rPr>
          <w:rStyle w:val="OperatorTok"/>
        </w:rPr>
        <w:t xml:space="preserve">)</w:t>
      </w:r>
      <w:r>
        <w:br/>
      </w:r>
      <w:r>
        <w:br/>
      </w:r>
      <w:r>
        <w:rPr>
          <w:rStyle w:val="KeywordTok"/>
        </w:rPr>
        <w:t xml:space="preserve">begin</w:t>
      </w:r>
      <w:r>
        <w:rPr>
          <w:rStyle w:val="NormalTok"/>
        </w:rPr>
        <w:t xml:space="preserve"> </w:t>
      </w:r>
      <w:r>
        <w:rPr>
          <w:rStyle w:val="OperatorTok"/>
        </w:rPr>
        <w:t xml:space="preserve">{</w:t>
      </w:r>
      <w:r>
        <w:br/>
      </w:r>
      <w:r>
        <w:rPr>
          <w:rStyle w:val="NormalTok"/>
        </w:rPr>
        <w:t xml:space="preserve">    </w:t>
      </w:r>
      <w:r>
        <w:rPr>
          <w:rStyle w:val="KeywordTok"/>
        </w:rPr>
        <w:t xml:space="preserve">function</w:t>
      </w:r>
      <w:r>
        <w:rPr>
          <w:rStyle w:val="NormalTok"/>
        </w:rPr>
        <w:t xml:space="preserve"> New-PimRuleTarget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'EndUser'</w:t>
      </w:r>
      <w:r>
        <w:rPr>
          <w:rStyle w:val="OperatorTok"/>
        </w:rPr>
        <w:t xml:space="preserve">,</w:t>
      </w:r>
      <w:r>
        <w:rPr>
          <w:rStyle w:val="NormalTok"/>
        </w:rPr>
        <w:t xml:space="preserve"> </w:t>
      </w:r>
      <w:r>
        <w:rPr>
          <w:rStyle w:val="StringTok"/>
        </w:rPr>
        <w:t xml:space="preserve">'Admin'</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$Caller</w:t>
      </w:r>
      <w:r>
        <w:rPr>
          <w:rStyle w:val="NormalTok"/>
        </w:rPr>
        <w:t xml:space="preserve"> </w:t>
      </w:r>
      <w:r>
        <w:rPr>
          <w:rStyle w:val="OperatorTok"/>
        </w:rPr>
        <w:t xml:space="preserve">=</w:t>
      </w:r>
      <w:r>
        <w:rPr>
          <w:rStyle w:val="NormalTok"/>
        </w:rPr>
        <w:t xml:space="preserve"> </w:t>
      </w:r>
      <w:r>
        <w:rPr>
          <w:rStyle w:val="StringTok"/>
        </w:rPr>
        <w:t xml:space="preserve">'EndUser'</w:t>
      </w:r>
      <w:r>
        <w:rPr>
          <w:rStyle w:val="OperatorTok"/>
        </w:rPr>
        <w:t xml:space="preserve">,</w:t>
      </w:r>
      <w:r>
        <w:br/>
      </w:r>
      <w:r>
        <w:rPr>
          <w:rStyle w:val="NormalTok"/>
        </w:rPr>
        <w:t xml:space="preserve">            </w:t>
      </w:r>
      <w:r>
        <w:rPr>
          <w:rStyle w:val="OperatorTok"/>
        </w:rPr>
        <w:t xml:space="preserve">[</w:t>
      </w:r>
      <w:r>
        <w:rPr>
          <w:rStyle w:val="NormalTok"/>
        </w:rPr>
        <w:t xml:space="preserve">ValidateSet</w:t>
      </w:r>
      <w:r>
        <w:rPr>
          <w:rStyle w:val="OperatorTok"/>
        </w:rPr>
        <w:t xml:space="preserve">(</w:t>
      </w:r>
      <w:r>
        <w:rPr>
          <w:rStyle w:val="StringTok"/>
        </w:rPr>
        <w:t xml:space="preserve">'Assignment'</w:t>
      </w:r>
      <w:r>
        <w:rPr>
          <w:rStyle w:val="OperatorTok"/>
        </w:rPr>
        <w:t xml:space="preserve">,</w:t>
      </w:r>
      <w:r>
        <w:rPr>
          <w:rStyle w:val="NormalTok"/>
        </w:rPr>
        <w:t xml:space="preserve"> </w:t>
      </w:r>
      <w:r>
        <w:rPr>
          <w:rStyle w:val="StringTok"/>
        </w:rPr>
        <w:t xml:space="preserve">'Eligibility'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$Level</w:t>
      </w:r>
      <w:r>
        <w:rPr>
          <w:rStyle w:val="NormalTok"/>
        </w:rPr>
        <w:t xml:space="preserve"> </w:t>
      </w:r>
      <w:r>
        <w:rPr>
          <w:rStyle w:val="OperatorTok"/>
        </w:rPr>
        <w:t xml:space="preserve">=</w:t>
      </w:r>
      <w:r>
        <w:rPr>
          <w:rStyle w:val="NormalTok"/>
        </w:rPr>
        <w:t xml:space="preserve"> </w:t>
      </w:r>
      <w:r>
        <w:rPr>
          <w:rStyle w:val="StringTok"/>
        </w:rPr>
        <w:t xml:space="preserve">'Assignment'</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'microsoft.graph.unifiedRoleManagementPolicyRuleTarget'</w:t>
      </w:r>
      <w:r>
        <w:br/>
      </w:r>
      <w:r>
        <w:rPr>
          <w:rStyle w:val="NormalTok"/>
        </w:rPr>
        <w:t xml:space="preserve">            caller               </w:t>
      </w:r>
      <w:r>
        <w:rPr>
          <w:rStyle w:val="OperatorTok"/>
        </w:rPr>
        <w:t xml:space="preserve">=</w:t>
      </w:r>
      <w:r>
        <w:rPr>
          <w:rStyle w:val="NormalTok"/>
        </w:rPr>
        <w:t xml:space="preserve"> </w:t>
      </w:r>
      <w:r>
        <w:rPr>
          <w:rStyle w:val="VariableTok"/>
        </w:rPr>
        <w:t xml:space="preserve">$Caller</w:t>
      </w:r>
      <w:r>
        <w:br/>
      </w:r>
      <w:r>
        <w:rPr>
          <w:rStyle w:val="NormalTok"/>
        </w:rPr>
        <w:t xml:space="preserve">            operations           </w:t>
      </w:r>
      <w:r>
        <w:rPr>
          <w:rStyle w:val="OperatorTok"/>
        </w:rPr>
        <w:t xml:space="preserve">=</w:t>
      </w:r>
      <w:r>
        <w:rPr>
          <w:rStyle w:val="NormalTok"/>
        </w:rPr>
        <w:t xml:space="preserve"> </w:t>
      </w:r>
      <w:r>
        <w:rPr>
          <w:rStyle w:val="OperatorTok"/>
        </w:rPr>
        <w:t xml:space="preserve">@(</w:t>
      </w:r>
      <w:r>
        <w:rPr>
          <w:rStyle w:val="StringTok"/>
        </w:rPr>
        <w:t xml:space="preserve">'All'</w:t>
      </w:r>
      <w:r>
        <w:rPr>
          <w:rStyle w:val="OperatorTok"/>
        </w:rPr>
        <w:t xml:space="preserve">)</w:t>
      </w:r>
      <w:r>
        <w:br/>
      </w:r>
      <w:r>
        <w:rPr>
          <w:rStyle w:val="NormalTok"/>
        </w:rPr>
        <w:t xml:space="preserve">            level                </w:t>
      </w:r>
      <w:r>
        <w:rPr>
          <w:rStyle w:val="OperatorTok"/>
        </w:rPr>
        <w:t xml:space="preserve">=</w:t>
      </w:r>
      <w:r>
        <w:rPr>
          <w:rStyle w:val="NormalTok"/>
        </w:rPr>
        <w:t xml:space="preserve"> </w:t>
      </w:r>
      <w:r>
        <w:rPr>
          <w:rStyle w:val="VariableTok"/>
        </w:rPr>
        <w:t xml:space="preserve">$Level</w:t>
      </w:r>
      <w:r>
        <w:br/>
      </w:r>
      <w:r>
        <w:rPr>
          <w:rStyle w:val="NormalTok"/>
        </w:rPr>
        <w:t xml:space="preserve">            inheritableSettings  </w:t>
      </w:r>
      <w:r>
        <w:rPr>
          <w:rStyle w:val="OperatorTok"/>
        </w:rPr>
        <w:t xml:space="preserve">=</w:t>
      </w:r>
      <w:r>
        <w:rPr>
          <w:rStyle w:val="NormalTok"/>
        </w:rPr>
        <w:t xml:space="preserve"> @</w:t>
      </w:r>
      <w:r>
        <w:br/>
      </w:r>
      <w:r>
        <w:rPr>
          <w:rStyle w:val="NormalTok"/>
        </w:rPr>
        <w:t xml:space="preserve">            enforcedSettings     </w:t>
      </w:r>
      <w:r>
        <w:rPr>
          <w:rStyle w:val="OperatorTok"/>
        </w:rPr>
        <w:t xml:space="preserve">=</w:t>
      </w:r>
      <w:r>
        <w:rPr>
          <w:rStyle w:val="NormalTok"/>
        </w:rPr>
        <w:t xml:space="preserve">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Activation rules are scoped to the end user activating their own</w:t>
      </w:r>
      <w:r>
        <w:br/>
      </w:r>
      <w:r>
        <w:rPr>
          <w:rStyle w:val="NormalTok"/>
        </w:rPr>
        <w:t xml:space="preserve">    </w:t>
      </w:r>
      <w:r>
        <w:rPr>
          <w:rStyle w:val="CommentTok"/>
        </w:rPr>
        <w:t xml:space="preserve"># eligible assignment; the eligibility-expiry rule is scoped to the</w:t>
      </w:r>
      <w:r>
        <w:br/>
      </w:r>
      <w:r>
        <w:rPr>
          <w:rStyle w:val="NormalTok"/>
        </w:rPr>
        <w:t xml:space="preserve">    </w:t>
      </w:r>
      <w:r>
        <w:rPr>
          <w:rStyle w:val="CommentTok"/>
        </w:rPr>
        <w:t xml:space="preserve"># admin who creates the assignment.</w:t>
      </w:r>
      <w:r>
        <w:br/>
      </w:r>
      <w:r>
        <w:rPr>
          <w:rStyle w:val="NormalTok"/>
        </w:rPr>
        <w:t xml:space="preserve">    </w:t>
      </w:r>
      <w:r>
        <w:rPr>
          <w:rStyle w:val="VariableTok"/>
        </w:rPr>
        <w:t xml:space="preserve">$activationTarget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'EndUser'</w:t>
      </w:r>
      <w:r>
        <w:rPr>
          <w:rStyle w:val="NormalTok"/>
        </w:rPr>
        <w:t xml:space="preserve"> </w:t>
      </w:r>
      <w:r>
        <w:rPr>
          <w:rStyle w:val="OperatorTok"/>
        </w:rPr>
        <w:t xml:space="preserve">-</w:t>
      </w:r>
      <w:r>
        <w:rPr>
          <w:rStyle w:val="NormalTok"/>
        </w:rPr>
        <w:t xml:space="preserve">Level </w:t>
      </w:r>
      <w:r>
        <w:rPr>
          <w:rStyle w:val="StringTok"/>
        </w:rPr>
        <w:t xml:space="preserve">'Assignment'</w:t>
      </w:r>
      <w:r>
        <w:br/>
      </w:r>
      <w:r>
        <w:rPr>
          <w:rStyle w:val="NormalTok"/>
        </w:rPr>
        <w:t xml:space="preserve">    </w:t>
      </w:r>
      <w:r>
        <w:rPr>
          <w:rStyle w:val="VariableTok"/>
        </w:rPr>
        <w:t xml:space="preserve">$eligibilityTarget</w:t>
      </w:r>
      <w:r>
        <w:rPr>
          <w:rStyle w:val="NormalTok"/>
        </w:rPr>
        <w:t xml:space="preserve"> </w:t>
      </w:r>
      <w:r>
        <w:rPr>
          <w:rStyle w:val="OperatorTok"/>
        </w:rPr>
        <w:t xml:space="preserve">=</w:t>
      </w:r>
      <w:r>
        <w:rPr>
          <w:rStyle w:val="NormalTok"/>
        </w:rPr>
        <w:t xml:space="preserve"> New-PimRuleTarget </w:t>
      </w:r>
      <w:r>
        <w:rPr>
          <w:rStyle w:val="OperatorTok"/>
        </w:rPr>
        <w:t xml:space="preserve">-</w:t>
      </w:r>
      <w:r>
        <w:rPr>
          <w:rStyle w:val="NormalTok"/>
        </w:rPr>
        <w:t xml:space="preserve">Caller </w:t>
      </w:r>
      <w:r>
        <w:rPr>
          <w:rStyle w:val="StringTok"/>
        </w:rPr>
        <w:t xml:space="preserve">'Admin'</w:t>
      </w:r>
      <w:r>
        <w:rPr>
          <w:rStyle w:val="NormalTok"/>
        </w:rPr>
        <w:t xml:space="preserve">   </w:t>
      </w:r>
      <w:r>
        <w:rPr>
          <w:rStyle w:val="OperatorTok"/>
        </w:rPr>
        <w:t xml:space="preserve">-</w:t>
      </w:r>
      <w:r>
        <w:rPr>
          <w:rStyle w:val="NormalTok"/>
        </w:rPr>
        <w:t xml:space="preserve">Level </w:t>
      </w:r>
      <w:r>
        <w:rPr>
          <w:rStyle w:val="StringTok"/>
        </w:rPr>
        <w:t xml:space="preserve">'Eligibility'</w:t>
      </w:r>
      <w:r>
        <w:br/>
      </w:r>
      <w:r>
        <w:br/>
      </w:r>
      <w:r>
        <w:rPr>
          <w:rStyle w:val="NormalTok"/>
        </w:rPr>
        <w:t xml:space="preserve">    </w:t>
      </w:r>
      <w:r>
        <w:rPr>
          <w:rStyle w:val="KeywordTok"/>
        </w:rPr>
        <w:t xml:space="preserve">function</w:t>
      </w:r>
      <w:r>
        <w:rPr>
          <w:rStyle w:val="NormalTok"/>
        </w:rPr>
        <w:t xml:space="preserve"> Resolve-PimPolicyId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$TemplateId</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"scopeId eq '/' and scopeType eq 'DirectoryRole' and "</w:t>
      </w:r>
      <w:r>
        <w:rPr>
          <w:rStyle w:val="NormalTok"/>
        </w:rPr>
        <w:t xml:space="preserve"> </w:t>
      </w:r>
      <w:r>
        <w:rPr>
          <w:rStyle w:val="OperatorTok"/>
        </w:rPr>
        <w:t xml:space="preserve">+</w:t>
      </w:r>
      <w:r>
        <w:br/>
      </w:r>
      <w:r>
        <w:rPr>
          <w:rStyle w:val="NormalTok"/>
        </w:rPr>
        <w:t xml:space="preserve">                  </w:t>
      </w:r>
      <w:r>
        <w:rPr>
          <w:rStyle w:val="StringTok"/>
        </w:rPr>
        <w:t xml:space="preserve">"roleDefinitionId eq '</w:t>
      </w:r>
      <w:r>
        <w:rPr>
          <w:rStyle w:val="VariableTok"/>
        </w:rPr>
        <w:t xml:space="preserve">$TemplateId</w:t>
      </w:r>
      <w:r>
        <w:rPr>
          <w:rStyle w:val="StringTok"/>
        </w:rPr>
        <w:t xml:space="preserve">'"</w:t>
      </w:r>
      <w:r>
        <w:br/>
      </w:r>
      <w:r>
        <w:rPr>
          <w:rStyle w:val="NormalTok"/>
        </w:rPr>
        <w:t xml:space="preserve">        </w:t>
      </w:r>
      <w:r>
        <w:rPr>
          <w:rStyle w:val="VariableTok"/>
        </w:rPr>
        <w:t xml:space="preserve">$assignment</w:t>
      </w:r>
      <w:r>
        <w:rPr>
          <w:rStyle w:val="NormalTok"/>
        </w:rPr>
        <w:t xml:space="preserve"> </w:t>
      </w:r>
      <w:r>
        <w:rPr>
          <w:rStyle w:val="OperatorTok"/>
        </w:rPr>
        <w:t xml:space="preserve">=</w:t>
      </w:r>
      <w:r>
        <w:rPr>
          <w:rStyle w:val="NormalTok"/>
        </w:rPr>
        <w:t xml:space="preserve"> Get-MgPolicyRoleManagementPolicyAssignment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ErrorAction Stop</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$assignment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throw</w:t>
      </w:r>
      <w:r>
        <w:rPr>
          <w:rStyle w:val="NormalTok"/>
        </w:rPr>
        <w:t xml:space="preserve"> </w:t>
      </w:r>
      <w:r>
        <w:rPr>
          <w:rStyle w:val="StringTok"/>
        </w:rPr>
        <w:t xml:space="preserve">"No role management policy assignment found for template ID </w:t>
      </w:r>
      <w:r>
        <w:rPr>
          <w:rStyle w:val="VariableTok"/>
        </w:rPr>
        <w:t xml:space="preserve">$TemplateId</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mmentTok"/>
        </w:rPr>
        <w:t xml:space="preserve"># A directory role at tenant scope resolves to exactly one policy.</w:t>
      </w:r>
      <w:r>
        <w:br/>
      </w:r>
      <w:r>
        <w:rPr>
          <w:rStyle w:val="NormalTok"/>
        </w:rPr>
        <w:t xml:space="preserve">        </w:t>
      </w:r>
      <w:r>
        <w:rPr>
          <w:rStyle w:val="ControlFlowTok"/>
        </w:rPr>
        <w:t xml:space="preserve">return</w:t>
      </w:r>
      <w:r>
        <w:rPr>
          <w:rStyle w:val="NormalTok"/>
        </w:rPr>
        <w:t xml:space="preserve"> </w:t>
      </w:r>
      <w:r>
        <w:rPr>
          <w:rStyle w:val="VariableTok"/>
        </w:rPr>
        <w:t xml:space="preserve">$assignment</w:t>
      </w:r>
      <w:r>
        <w:rPr>
          <w:rStyle w:val="OperatorTok"/>
        </w:rPr>
        <w:t xml:space="preserve">[</w:t>
      </w:r>
      <w:r>
        <w:rPr>
          <w:rStyle w:val="DecValTok"/>
        </w:rPr>
        <w:t xml:space="preserve">0</w:t>
      </w:r>
      <w:r>
        <w:rPr>
          <w:rStyle w:val="OperatorTok"/>
        </w:rPr>
        <w:t xml:space="preserve">].</w:t>
      </w:r>
      <w:r>
        <w:rPr>
          <w:rStyle w:val="FunctionTok"/>
        </w:rPr>
        <w:t xml:space="preserve">PolicyId</w:t>
      </w:r>
      <w:r>
        <w:br/>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Set-PimRule </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$PolicyId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$RuleId</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hashtable</w:t>
      </w:r>
      <w:r>
        <w:rPr>
          <w:rStyle w:val="OperatorTok"/>
        </w:rPr>
        <w:t xml:space="preserve">]</w:t>
      </w:r>
      <w:r>
        <w:rPr>
          <w:rStyle w:val="NormalTok"/>
        </w:rPr>
        <w:t xml:space="preserve"> </w:t>
      </w:r>
      <w:r>
        <w:rPr>
          <w:rStyle w:val="VariableTok"/>
        </w:rPr>
        <w:t xml:space="preserve">$Body</w:t>
      </w:r>
      <w:r>
        <w:br/>
      </w:r>
      <w:r>
        <w:rPr>
          <w:rStyle w:val="NormalTok"/>
        </w:rPr>
        <w:t xml:space="preserve">        </w:t>
      </w:r>
      <w:r>
        <w:rPr>
          <w:rStyle w:val="OperatorTok"/>
        </w:rPr>
        <w:t xml:space="preserve">)</w:t>
      </w:r>
      <w:r>
        <w:br/>
      </w:r>
      <w:r>
        <w:br/>
      </w:r>
      <w:r>
        <w:rPr>
          <w:rStyle w:val="NormalTok"/>
        </w:rPr>
        <w:t xml:space="preserve">        Update-MgPolicyRoleManagementPolicyRule `</w:t>
      </w:r>
      <w:r>
        <w:br/>
      </w:r>
      <w:r>
        <w:rPr>
          <w:rStyle w:val="NormalTok"/>
        </w:rPr>
        <w:t xml:space="preserve">            </w:t>
      </w:r>
      <w:r>
        <w:rPr>
          <w:rStyle w:val="OperatorTok"/>
        </w:rPr>
        <w:t xml:space="preserve">-</w:t>
      </w:r>
      <w:r>
        <w:rPr>
          <w:rStyle w:val="NormalTok"/>
        </w:rPr>
        <w:t xml:space="preserve">UnifiedRoleManagementPolicyId     </w:t>
      </w:r>
      <w:r>
        <w:rPr>
          <w:rStyle w:val="VariableTok"/>
        </w:rPr>
        <w:t xml:space="preserve">$PolicyId</w:t>
      </w:r>
      <w:r>
        <w:rPr>
          <w:rStyle w:val="NormalTok"/>
        </w:rPr>
        <w:t xml:space="preserve"> `</w:t>
      </w:r>
      <w:r>
        <w:br/>
      </w:r>
      <w:r>
        <w:rPr>
          <w:rStyle w:val="NormalTok"/>
        </w:rPr>
        <w:t xml:space="preserve">            </w:t>
      </w:r>
      <w:r>
        <w:rPr>
          <w:rStyle w:val="OperatorTok"/>
        </w:rPr>
        <w:t xml:space="preserve">-</w:t>
      </w:r>
      <w:r>
        <w:rPr>
          <w:rStyle w:val="NormalTok"/>
        </w:rPr>
        <w:t xml:space="preserve">UnifiedRoleManagementPolicyRuleId </w:t>
      </w:r>
      <w:r>
        <w:rPr>
          <w:rStyle w:val="VariableTok"/>
        </w:rPr>
        <w:t xml:space="preserve">$RuleId</w:t>
      </w:r>
      <w:r>
        <w:rPr>
          <w:rStyle w:val="NormalTok"/>
        </w:rPr>
        <w:t xml:space="preserve"> `</w:t>
      </w:r>
      <w:r>
        <w:br/>
      </w:r>
      <w:r>
        <w:rPr>
          <w:rStyle w:val="NormalTok"/>
        </w:rPr>
        <w:t xml:space="preserve">            </w:t>
      </w:r>
      <w:r>
        <w:rPr>
          <w:rStyle w:val="OperatorTok"/>
        </w:rPr>
        <w:t xml:space="preserve">-</w:t>
      </w:r>
      <w:r>
        <w:rPr>
          <w:rStyle w:val="NormalTok"/>
        </w:rPr>
        <w:t xml:space="preserve">BodyParameter                     </w:t>
      </w:r>
      <w:r>
        <w:rPr>
          <w:rStyle w:val="VariableTok"/>
        </w:rPr>
        <w:t xml:space="preserve">$Body</w:t>
      </w:r>
      <w:r>
        <w:rPr>
          <w:rStyle w:val="NormalTok"/>
        </w:rPr>
        <w:t xml:space="preserve"> `</w:t>
      </w:r>
      <w:r>
        <w:br/>
      </w:r>
      <w:r>
        <w:rPr>
          <w:rStyle w:val="NormalTok"/>
        </w:rPr>
        <w:t xml:space="preserve">            </w:t>
      </w:r>
      <w:r>
        <w:rPr>
          <w:rStyle w:val="OperatorTok"/>
        </w:rPr>
        <w:t xml:space="preserve">-</w:t>
      </w:r>
      <w:r>
        <w:rPr>
          <w:rStyle w:val="NormalTok"/>
        </w:rPr>
        <w:t xml:space="preserve">ErrorAction                       Stop</w:t>
      </w:r>
      <w:r>
        <w:br/>
      </w:r>
      <w:r>
        <w:rPr>
          <w:rStyle w:val="NormalTok"/>
        </w:rPr>
        <w:t xml:space="preserve">    </w:t>
      </w:r>
      <w:r>
        <w:rPr>
          <w:rStyle w:val="OperatorTok"/>
        </w:rPr>
        <w:t xml:space="preserve">}</w:t>
      </w:r>
      <w:r>
        <w:br/>
      </w:r>
      <w:r>
        <w:rPr>
          <w:rStyle w:val="OperatorTok"/>
        </w:rPr>
        <w:t xml:space="preserve">}</w:t>
      </w:r>
      <w:r>
        <w:br/>
      </w:r>
      <w:r>
        <w:br/>
      </w:r>
      <w:r>
        <w:rPr>
          <w:rStyle w:val="ControlFlowTok"/>
        </w:rPr>
        <w:t xml:space="preserve">process</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$templateId</w:t>
      </w:r>
      <w:r>
        <w:rPr>
          <w:rStyle w:val="NormalTok"/>
        </w:rPr>
        <w:t xml:space="preserve"> </w:t>
      </w:r>
      <w:r>
        <w:rPr>
          <w:rStyle w:val="KeywordTok"/>
        </w:rPr>
        <w:t xml:space="preserve">in</w:t>
      </w:r>
      <w:r>
        <w:rPr>
          <w:rStyle w:val="NormalTok"/>
        </w:rPr>
        <w:t xml:space="preserve"> </w:t>
      </w:r>
      <w:r>
        <w:rPr>
          <w:rStyle w:val="VariableTok"/>
        </w:rPr>
        <w:t xml:space="preserve">$RoleTemplateId</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$policyId</w:t>
      </w:r>
      <w:r>
        <w:rPr>
          <w:rStyle w:val="NormalTok"/>
        </w:rPr>
        <w:t xml:space="preserve"> </w:t>
      </w:r>
      <w:r>
        <w:rPr>
          <w:rStyle w:val="OperatorTok"/>
        </w:rPr>
        <w:t xml:space="preserve">=</w:t>
      </w:r>
      <w:r>
        <w:rPr>
          <w:rStyle w:val="NormalTok"/>
        </w:rPr>
        <w:t xml:space="preserve"> Resolve-PimPolicyId </w:t>
      </w:r>
      <w:r>
        <w:rPr>
          <w:rStyle w:val="OperatorTok"/>
        </w:rPr>
        <w:t xml:space="preserve">-</w:t>
      </w:r>
      <w:r>
        <w:rPr>
          <w:rStyle w:val="NormalTok"/>
        </w:rPr>
        <w:t xml:space="preserve">TemplateId </w:t>
      </w:r>
      <w:r>
        <w:rPr>
          <w:rStyle w:val="VariableTok"/>
        </w:rPr>
        <w:t xml:space="preserve">$templateId</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$PSCmdlet</w:t>
      </w:r>
      <w:r>
        <w:rPr>
          <w:rStyle w:val="OperatorTok"/>
        </w:rPr>
        <w:t xml:space="preserve">.</w:t>
      </w:r>
      <w:r>
        <w:rPr>
          <w:rStyle w:val="FunctionTok"/>
        </w:rPr>
        <w:t xml:space="preserve">ShouldProcess</w:t>
      </w:r>
      <w:r>
        <w:rPr>
          <w:rStyle w:val="OperatorTok"/>
        </w:rPr>
        <w:t xml:space="preserve">(</w:t>
      </w:r>
      <w:r>
        <w:br/>
      </w:r>
      <w:r>
        <w:rPr>
          <w:rStyle w:val="NormalTok"/>
        </w:rPr>
        <w:t xml:space="preserve">                </w:t>
      </w:r>
      <w:r>
        <w:rPr>
          <w:rStyle w:val="StringTok"/>
        </w:rPr>
        <w:t xml:space="preserve">"role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rPr>
          <w:rStyle w:val="OperatorTok"/>
        </w:rPr>
        <w:t xml:space="preserve">,</w:t>
      </w:r>
      <w:r>
        <w:br/>
      </w:r>
      <w:r>
        <w:rPr>
          <w:rStyle w:val="NormalTok"/>
        </w:rPr>
        <w:t xml:space="preserve">                </w:t>
      </w:r>
      <w:r>
        <w:rPr>
          <w:rStyle w:val="StringTok"/>
        </w:rPr>
        <w:t xml:space="preserve">"Apply PIM tier policy: approval via </w:t>
      </w:r>
      <w:r>
        <w:rPr>
          <w:rStyle w:val="VariableTok"/>
        </w:rPr>
        <w:t xml:space="preserve">$ApproverGroupId</w:t>
      </w:r>
      <w:r>
        <w:rPr>
          <w:rStyle w:val="StringTok"/>
        </w:rPr>
        <w:t xml:space="preserve">, max </w:t>
      </w:r>
      <w:r>
        <w:rPr>
          <w:rStyle w:val="VariableTok"/>
        </w:rPr>
        <w:t xml:space="preserve">$MaxActivationDuration</w:t>
      </w:r>
      <w:r>
        <w:rPr>
          <w:rStyle w:val="String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CommentTok"/>
        </w:rPr>
        <w:t xml:space="preserve"># 1. Require approval, routed to the approver group.</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'Approval_EndUser_Assignment'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'#microsoft.graph.unifiedRoleManagementPolicyApprovalRule'</w:t>
      </w:r>
      <w:r>
        <w:br/>
      </w:r>
      <w:r>
        <w:rPr>
          <w:rStyle w:val="NormalTok"/>
        </w:rPr>
        <w:t xml:space="preserve">            id            </w:t>
      </w:r>
      <w:r>
        <w:rPr>
          <w:rStyle w:val="OperatorTok"/>
        </w:rPr>
        <w:t xml:space="preserve">=</w:t>
      </w:r>
      <w:r>
        <w:rPr>
          <w:rStyle w:val="NormalTok"/>
        </w:rPr>
        <w:t xml:space="preserve"> </w:t>
      </w:r>
      <w:r>
        <w:rPr>
          <w:rStyle w:val="StringTok"/>
        </w:rPr>
        <w:t xml:space="preserve">'Approval_EndUser_Assignment'</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setting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'microsoft.graph.approvalSettings'</w:t>
      </w:r>
      <w:r>
        <w:br/>
      </w:r>
      <w:r>
        <w:rPr>
          <w:rStyle w:val="NormalTok"/>
        </w:rPr>
        <w:t xml:space="preserve">                isApprovalRequired                </w:t>
      </w:r>
      <w:r>
        <w:rPr>
          <w:rStyle w:val="OperatorTok"/>
        </w:rPr>
        <w:t xml:space="preserve">=</w:t>
      </w:r>
      <w:r>
        <w:rPr>
          <w:rStyle w:val="NormalTok"/>
        </w:rPr>
        <w:t xml:space="preserve"> </w:t>
      </w:r>
      <w:r>
        <w:rPr>
          <w:rStyle w:val="VariableTok"/>
        </w:rPr>
        <w:t xml:space="preserve">$true</w:t>
      </w:r>
      <w:r>
        <w:br/>
      </w:r>
      <w:r>
        <w:rPr>
          <w:rStyle w:val="NormalTok"/>
        </w:rPr>
        <w:t xml:space="preserve">                isApprovalRequiredForExtension    </w:t>
      </w:r>
      <w:r>
        <w:rPr>
          <w:rStyle w:val="OperatorTok"/>
        </w:rPr>
        <w:t xml:space="preserve">=</w:t>
      </w:r>
      <w:r>
        <w:rPr>
          <w:rStyle w:val="NormalTok"/>
        </w:rPr>
        <w:t xml:space="preserve"> </w:t>
      </w:r>
      <w:r>
        <w:rPr>
          <w:rStyle w:val="VariableTok"/>
        </w:rPr>
        <w:t xml:space="preserve">$false</w:t>
      </w:r>
      <w:r>
        <w:br/>
      </w:r>
      <w:r>
        <w:rPr>
          <w:rStyle w:val="NormalTok"/>
        </w:rPr>
        <w:t xml:space="preserve">                isRequestorJustificationRequired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approvalMode                      </w:t>
      </w:r>
      <w:r>
        <w:rPr>
          <w:rStyle w:val="OperatorTok"/>
        </w:rPr>
        <w:t xml:space="preserve">=</w:t>
      </w:r>
      <w:r>
        <w:rPr>
          <w:rStyle w:val="NormalTok"/>
        </w:rPr>
        <w:t xml:space="preserve"> </w:t>
      </w:r>
      <w:r>
        <w:rPr>
          <w:rStyle w:val="StringTok"/>
        </w:rPr>
        <w:t xml:space="preserve">'SingleStage'</w:t>
      </w:r>
      <w:r>
        <w:br/>
      </w:r>
      <w:r>
        <w:rPr>
          <w:rStyle w:val="NormalTok"/>
        </w:rPr>
        <w:t xml:space="preserve">                approvalStages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approvalStageTimeOutInDays      </w:t>
      </w:r>
      <w:r>
        <w:rPr>
          <w:rStyle w:val="OperatorTok"/>
        </w:rPr>
        <w:t xml:space="preserve">=</w:t>
      </w:r>
      <w:r>
        <w:rPr>
          <w:rStyle w:val="NormalTok"/>
        </w:rPr>
        <w:t xml:space="preserve"> </w:t>
      </w:r>
      <w:r>
        <w:rPr>
          <w:rStyle w:val="DecValTok"/>
        </w:rPr>
        <w:t xml:space="preserve">1</w:t>
      </w:r>
      <w:r>
        <w:br/>
      </w:r>
      <w:r>
        <w:rPr>
          <w:rStyle w:val="NormalTok"/>
        </w:rPr>
        <w:t xml:space="preserve">                        isApproverJustificationRequired </w:t>
      </w:r>
      <w:r>
        <w:rPr>
          <w:rStyle w:val="OperatorTok"/>
        </w:rPr>
        <w:t xml:space="preserve">=</w:t>
      </w:r>
      <w:r>
        <w:rPr>
          <w:rStyle w:val="NormalTok"/>
        </w:rPr>
        <w:t xml:space="preserve"> </w:t>
      </w:r>
      <w:r>
        <w:rPr>
          <w:rStyle w:val="VariableTok"/>
        </w:rPr>
        <w:t xml:space="preserve">$true</w:t>
      </w:r>
      <w:r>
        <w:br/>
      </w:r>
      <w:r>
        <w:rPr>
          <w:rStyle w:val="NormalTok"/>
        </w:rPr>
        <w:t xml:space="preserve">                        escalationTimeInMinutes         </w:t>
      </w:r>
      <w:r>
        <w:rPr>
          <w:rStyle w:val="OperatorTok"/>
        </w:rPr>
        <w:t xml:space="preserve">=</w:t>
      </w:r>
      <w:r>
        <w:rPr>
          <w:rStyle w:val="NormalTok"/>
        </w:rPr>
        <w:t xml:space="preserve"> </w:t>
      </w:r>
      <w:r>
        <w:rPr>
          <w:rStyle w:val="DecValTok"/>
        </w:rPr>
        <w:t xml:space="preserve">0</w:t>
      </w:r>
      <w:r>
        <w:br/>
      </w:r>
      <w:r>
        <w:rPr>
          <w:rStyle w:val="NormalTok"/>
        </w:rPr>
        <w:t xml:space="preserve">                        isEscalationEnabled             </w:t>
      </w:r>
      <w:r>
        <w:rPr>
          <w:rStyle w:val="OperatorTok"/>
        </w:rPr>
        <w:t xml:space="preserve">=</w:t>
      </w:r>
      <w:r>
        <w:rPr>
          <w:rStyle w:val="NormalTok"/>
        </w:rPr>
        <w:t xml:space="preserve"> </w:t>
      </w:r>
      <w:r>
        <w:rPr>
          <w:rStyle w:val="VariableTok"/>
        </w:rPr>
        <w:t xml:space="preserve">$false</w:t>
      </w:r>
      <w:r>
        <w:br/>
      </w:r>
      <w:r>
        <w:rPr>
          <w:rStyle w:val="NormalTok"/>
        </w:rPr>
        <w:t xml:space="preserve">                        escalationApprovers             </w:t>
      </w:r>
      <w:r>
        <w:rPr>
          <w:rStyle w:val="OperatorTok"/>
        </w:rPr>
        <w:t xml:space="preserve">=</w:t>
      </w:r>
      <w:r>
        <w:rPr>
          <w:rStyle w:val="NormalTok"/>
        </w:rPr>
        <w:t xml:space="preserve"> @</w:t>
      </w:r>
      <w:r>
        <w:br/>
      </w:r>
      <w:r>
        <w:rPr>
          <w:rStyle w:val="NormalTok"/>
        </w:rPr>
        <w:t xml:space="preserve">                        primaryApprovers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'#microsoft.graph.groupMembers'</w:t>
      </w:r>
      <w:r>
        <w:br/>
      </w:r>
      <w:r>
        <w:rPr>
          <w:rStyle w:val="NormalTok"/>
        </w:rPr>
        <w:t xml:space="preserve">                                groupId       </w:t>
      </w:r>
      <w:r>
        <w:rPr>
          <w:rStyle w:val="OperatorTok"/>
        </w:rPr>
        <w:t xml:space="preserve">=</w:t>
      </w:r>
      <w:r>
        <w:rPr>
          <w:rStyle w:val="NormalTok"/>
        </w:rPr>
        <w:t xml:space="preserve"> </w:t>
      </w:r>
      <w:r>
        <w:rPr>
          <w:rStyle w:val="VariableTok"/>
        </w:rPr>
        <w:t xml:space="preserve">$ApproverGroupId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2. Require MFA, justification, and ticket at activation.</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'Enablement_EndUser_Assignment'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'#microsoft.graph.unifiedRoleManagementPolicyEnablementRule'</w:t>
      </w:r>
      <w:r>
        <w:br/>
      </w:r>
      <w:r>
        <w:rPr>
          <w:rStyle w:val="NormalTok"/>
        </w:rPr>
        <w:t xml:space="preserve">            id            </w:t>
      </w:r>
      <w:r>
        <w:rPr>
          <w:rStyle w:val="OperatorTok"/>
        </w:rPr>
        <w:t xml:space="preserve">=</w:t>
      </w:r>
      <w:r>
        <w:rPr>
          <w:rStyle w:val="NormalTok"/>
        </w:rPr>
        <w:t xml:space="preserve"> </w:t>
      </w:r>
      <w:r>
        <w:rPr>
          <w:rStyle w:val="StringTok"/>
        </w:rPr>
        <w:t xml:space="preserve">'Enablement_EndUser_Assignment'</w:t>
      </w:r>
      <w:r>
        <w:br/>
      </w:r>
      <w:r>
        <w:rPr>
          <w:rStyle w:val="NormalTok"/>
        </w:rPr>
        <w:t xml:space="preserve">            enabledRules  </w:t>
      </w:r>
      <w:r>
        <w:rPr>
          <w:rStyle w:val="OperatorTok"/>
        </w:rPr>
        <w:t xml:space="preserve">=</w:t>
      </w:r>
      <w:r>
        <w:rPr>
          <w:rStyle w:val="NormalTok"/>
        </w:rPr>
        <w:t xml:space="preserve"> </w:t>
      </w:r>
      <w:r>
        <w:rPr>
          <w:rStyle w:val="VariableTok"/>
        </w:rPr>
        <w:t xml:space="preserve">$EnabledRules</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3. Cap the activation window.</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'Expiration_EndUser_Assignment'</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'Expiration_EndUser_Assignment'</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$MaxActivationDuration</w:t>
      </w:r>
      <w:r>
        <w:br/>
      </w:r>
      <w:r>
        <w:rPr>
          <w:rStyle w:val="NormalTok"/>
        </w:rPr>
        <w:t xml:space="preserve">            target               </w:t>
      </w:r>
      <w:r>
        <w:rPr>
          <w:rStyle w:val="OperatorTok"/>
        </w:rPr>
        <w:t xml:space="preserve">=</w:t>
      </w:r>
      <w:r>
        <w:rPr>
          <w:rStyle w:val="NormalTok"/>
        </w:rPr>
        <w:t xml:space="preserve"> </w:t>
      </w:r>
      <w:r>
        <w:rPr>
          <w:rStyle w:val="VariableTok"/>
        </w:rPr>
        <w:t xml:space="preserve">$activationTarget</w:t>
      </w:r>
      <w:r>
        <w:br/>
      </w:r>
      <w:r>
        <w:rPr>
          <w:rStyle w:val="NormalTok"/>
        </w:rPr>
        <w:t xml:space="preserve">        </w:t>
      </w:r>
      <w:r>
        <w:rPr>
          <w:rStyle w:val="OperatorTok"/>
        </w:rPr>
        <w:t xml:space="preserve">}</w:t>
      </w:r>
      <w:r>
        <w:br/>
      </w:r>
      <w:r>
        <w:br/>
      </w:r>
      <w:r>
        <w:rPr>
          <w:rStyle w:val="NormalTok"/>
        </w:rPr>
        <w:t xml:space="preserve">        </w:t>
      </w:r>
      <w:r>
        <w:rPr>
          <w:rStyle w:val="CommentTok"/>
        </w:rPr>
        <w:t xml:space="preserve"># 4. Bound how long an eligible assignment may live.</w:t>
      </w:r>
      <w:r>
        <w:br/>
      </w:r>
      <w:r>
        <w:rPr>
          <w:rStyle w:val="NormalTok"/>
        </w:rPr>
        <w:t xml:space="preserve">        Set-PimRule </w:t>
      </w:r>
      <w:r>
        <w:rPr>
          <w:rStyle w:val="OperatorTok"/>
        </w:rPr>
        <w:t xml:space="preserve">-</w:t>
      </w:r>
      <w:r>
        <w:rPr>
          <w:rStyle w:val="NormalTok"/>
        </w:rPr>
        <w:t xml:space="preserve">PolicyId </w:t>
      </w:r>
      <w:r>
        <w:rPr>
          <w:rStyle w:val="VariableTok"/>
        </w:rPr>
        <w:t xml:space="preserve">$policyId</w:t>
      </w:r>
      <w:r>
        <w:rPr>
          <w:rStyle w:val="NormalTok"/>
        </w:rPr>
        <w:t xml:space="preserve"> </w:t>
      </w:r>
      <w:r>
        <w:rPr>
          <w:rStyle w:val="OperatorTok"/>
        </w:rPr>
        <w:t xml:space="preserve">-</w:t>
      </w:r>
      <w:r>
        <w:rPr>
          <w:rStyle w:val="NormalTok"/>
        </w:rPr>
        <w:t xml:space="preserve">RuleId </w:t>
      </w:r>
      <w:r>
        <w:rPr>
          <w:rStyle w:val="StringTok"/>
        </w:rPr>
        <w:t xml:space="preserve">'Expiration_Admin_Eligibility'</w:t>
      </w:r>
      <w:r>
        <w:rPr>
          <w:rStyle w:val="NormalTok"/>
        </w:rPr>
        <w:t xml:space="preserve"> </w:t>
      </w:r>
      <w:r>
        <w:rPr>
          <w:rStyle w:val="OperatorTok"/>
        </w:rPr>
        <w:t xml:space="preserve">-</w:t>
      </w:r>
      <w:r>
        <w:rPr>
          <w:rStyle w:val="NormalTok"/>
        </w:rPr>
        <w:t xml:space="preserve">Body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'#microsoft.graph.unifiedRoleManagementPolicyExpirationRule'</w:t>
      </w:r>
      <w:r>
        <w:br/>
      </w:r>
      <w:r>
        <w:rPr>
          <w:rStyle w:val="NormalTok"/>
        </w:rPr>
        <w:t xml:space="preserve">            id                   </w:t>
      </w:r>
      <w:r>
        <w:rPr>
          <w:rStyle w:val="OperatorTok"/>
        </w:rPr>
        <w:t xml:space="preserve">=</w:t>
      </w:r>
      <w:r>
        <w:rPr>
          <w:rStyle w:val="NormalTok"/>
        </w:rPr>
        <w:t xml:space="preserve"> </w:t>
      </w:r>
      <w:r>
        <w:rPr>
          <w:rStyle w:val="StringTok"/>
        </w:rPr>
        <w:t xml:space="preserve">'Expiration_Admin_Eligibility'</w:t>
      </w:r>
      <w:r>
        <w:br/>
      </w:r>
      <w:r>
        <w:rPr>
          <w:rStyle w:val="NormalTok"/>
        </w:rPr>
        <w:t xml:space="preserve">            isExpirationRequired </w:t>
      </w:r>
      <w:r>
        <w:rPr>
          <w:rStyle w:val="OperatorTok"/>
        </w:rPr>
        <w:t xml:space="preserve">=</w:t>
      </w:r>
      <w:r>
        <w:rPr>
          <w:rStyle w:val="NormalTok"/>
        </w:rPr>
        <w:t xml:space="preserve"> </w:t>
      </w:r>
      <w:r>
        <w:rPr>
          <w:rStyle w:val="VariableTok"/>
        </w:rPr>
        <w:t xml:space="preserve">$true</w:t>
      </w:r>
      <w:r>
        <w:br/>
      </w:r>
      <w:r>
        <w:rPr>
          <w:rStyle w:val="NormalTok"/>
        </w:rPr>
        <w:t xml:space="preserve">            maximumDuration      </w:t>
      </w:r>
      <w:r>
        <w:rPr>
          <w:rStyle w:val="OperatorTok"/>
        </w:rPr>
        <w:t xml:space="preserve">=</w:t>
      </w:r>
      <w:r>
        <w:rPr>
          <w:rStyle w:val="NormalTok"/>
        </w:rPr>
        <w:t xml:space="preserve"> </w:t>
      </w:r>
      <w:r>
        <w:rPr>
          <w:rStyle w:val="VariableTok"/>
        </w:rPr>
        <w:t xml:space="preserve">$MaxEligibilityDuration</w:t>
      </w:r>
      <w:r>
        <w:br/>
      </w:r>
      <w:r>
        <w:rPr>
          <w:rStyle w:val="NormalTok"/>
        </w:rPr>
        <w:t xml:space="preserve">            target               </w:t>
      </w:r>
      <w:r>
        <w:rPr>
          <w:rStyle w:val="OperatorTok"/>
        </w:rPr>
        <w:t xml:space="preserve">=</w:t>
      </w:r>
      <w:r>
        <w:rPr>
          <w:rStyle w:val="NormalTok"/>
        </w:rPr>
        <w:t xml:space="preserve"> </w:t>
      </w:r>
      <w:r>
        <w:rPr>
          <w:rStyle w:val="VariableTok"/>
        </w:rPr>
        <w:t xml:space="preserve">$eligibilityTarget</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Write-Verbose</w:t>
      </w:r>
      <w:r>
        <w:rPr>
          <w:rStyle w:val="NormalTok"/>
        </w:rPr>
        <w:t xml:space="preserve"> </w:t>
      </w:r>
      <w:r>
        <w:rPr>
          <w:rStyle w:val="StringTok"/>
        </w:rPr>
        <w:t xml:space="preserve">"Applied tier policy to role </w:t>
      </w:r>
      <w:r>
        <w:rPr>
          <w:rStyle w:val="VariableTok"/>
        </w:rPr>
        <w:t xml:space="preserve">$templateId</w:t>
      </w:r>
      <w:r>
        <w:rPr>
          <w:rStyle w:val="StringTok"/>
        </w:rPr>
        <w:t xml:space="preserve"> (policy </w:t>
      </w:r>
      <w:r>
        <w:rPr>
          <w:rStyle w:val="VariableTok"/>
        </w:rPr>
        <w:t xml:space="preserve">$policyId</w:t>
      </w:r>
      <w:r>
        <w:rPr>
          <w:rStyle w:val="StringTok"/>
        </w:rPr>
        <w:t xml:space="preserve">)."</w:t>
      </w:r>
      <w:r>
        <w:br/>
      </w:r>
      <w:r>
        <w:rPr>
          <w:rStyle w:val="NormalTok"/>
        </w:rPr>
        <w:t xml:space="preserve">    </w:t>
      </w:r>
      <w:r>
        <w:rPr>
          <w:rStyle w:val="OperatorTok"/>
        </w:rPr>
        <w:t xml:space="preserve">}</w:t>
      </w:r>
      <w:r>
        <w:br/>
      </w:r>
      <w:r>
        <w:rPr>
          <w:rStyle w:val="OperatorTok"/>
        </w:rPr>
        <w:t xml:space="preserve">}</w:t>
      </w:r>
    </w:p>
    <w:bookmarkEnd w:id="180"/>
    <w:bookmarkEnd w:id="181"/>
    <w:bookmarkStart w:id="182" w:name="Xb94beef4eede164daa8614e737716b4836b158c"/>
    <w:p>
      <w:pPr>
        <w:pStyle w:val="Heading3"/>
      </w:pPr>
      <w:r>
        <w:t xml:space="preserve">Step 4 — Convert standing assignments to eligible</w:t>
      </w:r>
    </w:p>
    <w:p>
      <w:pPr>
        <w:pStyle w:val="FirstParagraph"/>
      </w:pPr>
      <w:r>
        <w:t xml:space="preserve">An approval gate on activation does nothing for an administrator who never</w:t>
      </w:r>
      <w:r>
        <w:t xml:space="preserve"> </w:t>
      </w:r>
      <w:r>
        <w:t xml:space="preserve">has to activate. Inventory the tenant’s active directory role assignments and</w:t>
      </w:r>
      <w:r>
        <w:t xml:space="preserve"> </w:t>
      </w:r>
      <w:r>
        <w:t xml:space="preserve">convert every human one to eligible.</w:t>
      </w:r>
    </w:p>
    <w:p>
      <w:pPr>
        <w:pStyle w:val="BodyText"/>
      </w:pPr>
      <w:r>
        <w:t xml:space="preserve">Create the eligible assignment first, confirm it, then remove the active one —</w:t>
      </w:r>
      <w:r>
        <w:t xml:space="preserve"> </w:t>
      </w:r>
      <w:r>
        <w:t xml:space="preserve">in that order, so no administrator is stranded mid-conversion:</w:t>
      </w:r>
    </w:p>
    <w:p>
      <w:pPr>
        <w:pStyle w:val="SourceCode"/>
      </w:pPr>
      <w:r>
        <w:rPr>
          <w:rStyle w:val="VerbatimChar"/>
        </w:rPr>
        <w:t xml:space="preserve">POST https://graph.microsoft.com/v1.0/roleManagement/directory/roleEligibilityScheduleRequests</w:t>
      </w:r>
      <w:r>
        <w:br/>
      </w:r>
      <w:r>
        <w:rPr>
          <w:rStyle w:val="VerbatimChar"/>
        </w:rPr>
        <w:t xml:space="preserve">Content-Type: application/json</w:t>
      </w:r>
      <w:r>
        <w:br/>
      </w:r>
      <w:r>
        <w:br/>
      </w:r>
      <w:r>
        <w:rPr>
          <w:rStyle w:val="VerbatimChar"/>
        </w:rPr>
        <w:t xml:space="preserve">{</w:t>
      </w:r>
      <w:r>
        <w:br/>
      </w:r>
      <w:r>
        <w:rPr>
          <w:rStyle w:val="VerbatimChar"/>
        </w:rPr>
        <w:t xml:space="preserve">    "action": "adminAssign",</w:t>
      </w:r>
      <w:r>
        <w:br/>
      </w:r>
      <w:r>
        <w:rPr>
          <w:rStyle w:val="VerbatimChar"/>
        </w:rPr>
        <w:t xml:space="preserve">    "justification": "Convert standing assignment to PIM eligible per PAM policy",</w:t>
      </w:r>
      <w:r>
        <w:br/>
      </w:r>
      <w:r>
        <w:rPr>
          <w:rStyle w:val="VerbatimChar"/>
        </w:rPr>
        <w:t xml:space="preserve">    "roleDefinitionId": "9b895d92-2cd3-44c7-9d02-a6ac2d5ea5c3",</w:t>
      </w:r>
      <w:r>
        <w:br/>
      </w:r>
      <w:r>
        <w:rPr>
          <w:rStyle w:val="VerbatimChar"/>
        </w:rPr>
        <w:t xml:space="preserve">    "directoryScopeId": "/",</w:t>
      </w:r>
      <w:r>
        <w:br/>
      </w:r>
      <w:r>
        <w:rPr>
          <w:rStyle w:val="VerbatimChar"/>
        </w:rPr>
        <w:t xml:space="preserve">    "principalId": "&lt;user object ID&gt;",</w:t>
      </w:r>
      <w:r>
        <w:br/>
      </w:r>
      <w:r>
        <w:rPr>
          <w:rStyle w:val="VerbatimChar"/>
        </w:rPr>
        <w:t xml:space="preserve">    "scheduleInfo": {</w:t>
      </w:r>
      <w:r>
        <w:br/>
      </w:r>
      <w:r>
        <w:rPr>
          <w:rStyle w:val="VerbatimChar"/>
        </w:rPr>
        <w:t xml:space="preserve">        "startDateTime": "2026-09-01T00:00:00Z",</w:t>
      </w:r>
      <w:r>
        <w:br/>
      </w:r>
      <w:r>
        <w:rPr>
          <w:rStyle w:val="VerbatimChar"/>
        </w:rPr>
        <w:t xml:space="preserve">        "expiration": { "type": "afterDuration", "duration": "P90D" }</w:t>
      </w:r>
      <w:r>
        <w:br/>
      </w:r>
      <w:r>
        <w:rPr>
          <w:rStyle w:val="VerbatimChar"/>
        </w:rPr>
        <w:t xml:space="preserve">    }</w:t>
      </w:r>
      <w:r>
        <w:br/>
      </w:r>
      <w:r>
        <w:rPr>
          <w:rStyle w:val="VerbatimChar"/>
        </w:rPr>
        <w:t xml:space="preserve">}</w:t>
      </w:r>
    </w:p>
    <w:p>
      <w:pPr>
        <w:pStyle w:val="FirstParagraph"/>
      </w:pPr>
      <w:r>
        <w:t xml:space="preserve">Two platform behaviours to plan around:</w:t>
      </w:r>
    </w:p>
    <w:p>
      <w:pPr>
        <w:pStyle w:val="Compact"/>
        <w:numPr>
          <w:ilvl w:val="0"/>
          <w:numId w:val="1116"/>
        </w:numPr>
      </w:pPr>
      <w:r>
        <w:t xml:space="preserve">An assignment</w:t>
      </w:r>
      <w:r>
        <w:t xml:space="preserve"> </w:t>
      </w:r>
      <w:r>
        <w:rPr>
          <w:b/>
          <w:bCs/>
        </w:rPr>
        <w:t xml:space="preserve">cannot be created for less than five minutes</w:t>
      </w:r>
      <w:r>
        <w:t xml:space="preserve">, and</w:t>
      </w:r>
      <w:r>
        <w:t xml:space="preserve"> </w:t>
      </w:r>
      <w:r>
        <w:rPr>
          <w:b/>
          <w:bCs/>
        </w:rPr>
        <w:t xml:space="preserve">cannot be removed within five minutes</w:t>
      </w:r>
      <w:r>
        <w:t xml:space="preserve"> </w:t>
      </w:r>
      <w:r>
        <w:t xml:space="preserve">of being created. Batch</w:t>
      </w:r>
      <w:r>
        <w:t xml:space="preserve"> </w:t>
      </w:r>
      <w:r>
        <w:t xml:space="preserve">conversions accordingly.</w:t>
      </w:r>
    </w:p>
    <w:p>
      <w:pPr>
        <w:pStyle w:val="Compact"/>
        <w:numPr>
          <w:ilvl w:val="0"/>
          <w:numId w:val="1116"/>
        </w:numPr>
      </w:pPr>
      <w:r>
        <w:t xml:space="preserve">A</w:t>
      </w:r>
      <w:r>
        <w:t xml:space="preserve"> </w:t>
      </w:r>
      <w:r>
        <w:rPr>
          <w:b/>
          <w:bCs/>
        </w:rPr>
        <w:t xml:space="preserve">time-bound Global Administrator assignment is not removed at expiry if</w:t>
      </w:r>
      <w:r>
        <w:rPr>
          <w:b/>
          <w:bCs/>
        </w:rPr>
        <w:t xml:space="preserve"> </w:t>
      </w:r>
      <w:r>
        <w:rPr>
          <w:b/>
          <w:bCs/>
        </w:rPr>
        <w:t xml:space="preserve">it is the last one</w:t>
      </w:r>
      <w:r>
        <w:t xml:space="preserve"> </w:t>
      </w:r>
      <w:r>
        <w:t xml:space="preserve">— active or eligible. Entra deliberately declines to</w:t>
      </w:r>
      <w:r>
        <w:t xml:space="preserve"> </w:t>
      </w:r>
      <w:r>
        <w:t xml:space="preserve">strand a tenant. Do not read the surviving assignment as a failed</w:t>
      </w:r>
      <w:r>
        <w:t xml:space="preserve"> </w:t>
      </w:r>
      <w:r>
        <w:t xml:space="preserve">conversion, and do not rely on expiry to remove the final GA assignment.</w:t>
      </w:r>
    </w:p>
    <w:p>
      <w:pPr>
        <w:pStyle w:val="FirstParagraph"/>
      </w:pPr>
      <w:r>
        <w:t xml:space="preserve">The exclusions from this conversion are exactly two, and both belong in the</w:t>
      </w:r>
      <w:r>
        <w:t xml:space="preserve"> </w:t>
      </w:r>
      <w:r>
        <w:t xml:space="preserve">SSP with rationale: the</w:t>
      </w:r>
      <w:r>
        <w:t xml:space="preserve"> </w:t>
      </w:r>
      <w:r>
        <w:rPr>
          <w:b/>
          <w:bCs/>
        </w:rPr>
        <w:t xml:space="preserve">emergency access accounts</w:t>
      </w:r>
      <w:r>
        <w:t xml:space="preserve"> </w:t>
      </w:r>
      <w:r>
        <w:t xml:space="preserve">from Step 0, and</w:t>
      </w:r>
      <w:r>
        <w:t xml:space="preserve"> </w:t>
      </w:r>
      <w:r>
        <w:rPr>
          <w:b/>
          <w:bCs/>
        </w:rPr>
        <w:t xml:space="preserve">service principals</w:t>
      </w:r>
      <w:r>
        <w:t xml:space="preserve">, which cannot perform an activation ceremony.</w:t>
      </w:r>
    </w:p>
    <w:bookmarkEnd w:id="182"/>
    <w:bookmarkStart w:id="183" w:name="X486cab376ece609a02076c0665c261b3c918b70"/>
    <w:p>
      <w:pPr>
        <w:pStyle w:val="Heading3"/>
      </w:pPr>
      <w:r>
        <w:t xml:space="preserve">Step 5 — Force fresh proof with Conditional Access authentication context</w:t>
      </w:r>
    </w:p>
    <w:p>
      <w:pPr>
        <w:pStyle w:val="FirstParagraph"/>
      </w:pPr>
      <w:r>
        <w:t xml:space="preserve">For Tier 0,</w:t>
      </w:r>
      <w:r>
        <w:t xml:space="preserve"> </w:t>
      </w:r>
      <w:r>
        <w:t xml:space="preserve">“require MFA on activation”</w:t>
      </w:r>
      <w:r>
        <w:t xml:space="preserve"> </w:t>
      </w:r>
      <w:r>
        <w:t xml:space="preserve">is not enough. Microsoft is explicit</w:t>
      </w:r>
      <w:r>
        <w:t xml:space="preserve"> </w:t>
      </w:r>
      <w:r>
        <w:t xml:space="preserve">that a user</w:t>
      </w:r>
      <w:r>
        <w:t xml:space="preserve"> </w:t>
      </w:r>
      <w:r>
        <w:rPr>
          <w:b/>
          <w:bCs/>
        </w:rPr>
        <w:t xml:space="preserve">might not be prompted</w:t>
      </w:r>
      <w:r>
        <w:t xml:space="preserve"> </w:t>
      </w:r>
      <w:r>
        <w:t xml:space="preserve">for MFA at activation if they</w:t>
      </w:r>
      <w:r>
        <w:t xml:space="preserve"> </w:t>
      </w:r>
      <w:r>
        <w:t xml:space="preserve">authenticated with strong credentials or already satisfied MFA earlier in the</w:t>
      </w:r>
      <w:r>
        <w:t xml:space="preserve"> </w:t>
      </w:r>
      <w:r>
        <w:t xml:space="preserve">session. If the control objective is</w:t>
      </w:r>
      <w:r>
        <w:t xml:space="preserve"> </w:t>
      </w:r>
      <w:r>
        <w:rPr>
          <w:i/>
          <w:iCs/>
        </w:rPr>
        <w:t xml:space="preserve">a fresh authentication proof at the</w:t>
      </w:r>
      <w:r>
        <w:rPr>
          <w:i/>
          <w:iCs/>
        </w:rPr>
        <w:t xml:space="preserve"> </w:t>
      </w:r>
      <w:r>
        <w:rPr>
          <w:i/>
          <w:iCs/>
        </w:rPr>
        <w:t xml:space="preserve">moment of elevation</w:t>
      </w:r>
      <w:r>
        <w:t xml:space="preserve">, use authentication context.</w:t>
      </w:r>
    </w:p>
    <w:p>
      <w:pPr>
        <w:pStyle w:val="BodyText"/>
      </w:pPr>
      <w:r>
        <w:t xml:space="preserve">Build it in this order — the order matters:</w:t>
      </w:r>
    </w:p>
    <w:p>
      <w:pPr>
        <w:pStyle w:val="Compact"/>
        <w:numPr>
          <w:ilvl w:val="0"/>
          <w:numId w:val="1117"/>
        </w:numPr>
      </w:pPr>
      <w:r>
        <w:rPr>
          <w:b/>
          <w:bCs/>
        </w:rPr>
        <w:t xml:space="preserve">Create the Conditional Access policy first</w:t>
      </w:r>
      <w:r>
        <w:t xml:space="preserve">, targeting the</w:t>
      </w:r>
      <w:r>
        <w:t xml:space="preserve"> </w:t>
      </w:r>
      <w:r>
        <w:t xml:space="preserve">authentication context, scoped to all users or to the eligible population.</w:t>
      </w:r>
      <w:r>
        <w:t xml:space="preserve"> </w:t>
      </w:r>
      <w:r>
        <w:t xml:space="preserve">Set the authentication strength (for example, phishing-resistant MFA), any</w:t>
      </w:r>
      <w:r>
        <w:t xml:space="preserve"> </w:t>
      </w:r>
      <w:r>
        <w:t xml:space="preserve">device-compliance requirement, and — to force reauthentication on every</w:t>
      </w:r>
      <w:r>
        <w:t xml:space="preserve"> </w:t>
      </w:r>
      <w:r>
        <w:t xml:space="preserve">activation —</w:t>
      </w:r>
      <w:r>
        <w:t xml:space="preserve"> </w:t>
      </w:r>
      <w:r>
        <w:rPr>
          <w:b/>
          <w:bCs/>
        </w:rPr>
        <w:t xml:space="preserve">sign-in frequency: Every time</w:t>
      </w:r>
      <w:r>
        <w:t xml:space="preserve"> </w:t>
      </w:r>
      <w:r>
        <w:t xml:space="preserve">under</w:t>
      </w:r>
      <w:r>
        <w:t xml:space="preserve"> </w:t>
      </w:r>
      <w:r>
        <w:rPr>
          <w:b/>
          <w:bCs/>
        </w:rPr>
        <w:t xml:space="preserve">Session</w:t>
      </w:r>
      <w:r>
        <w:t xml:space="preserve"> </w:t>
      </w:r>
      <w:r>
        <w:t xml:space="preserve">controls.</w:t>
      </w:r>
    </w:p>
    <w:p>
      <w:pPr>
        <w:pStyle w:val="Compact"/>
        <w:numPr>
          <w:ilvl w:val="0"/>
          <w:numId w:val="1117"/>
        </w:numPr>
      </w:pPr>
      <w:r>
        <w:rPr>
          <w:b/>
          <w:bCs/>
        </w:rPr>
        <w:t xml:space="preserve">Then</w:t>
      </w:r>
      <w:r>
        <w:t xml:space="preserve"> </w:t>
      </w:r>
      <w:r>
        <w:t xml:space="preserve">select that authentication context in the role’s PIM settings.</w:t>
      </w:r>
    </w:p>
    <w:p>
      <w:pPr>
        <w:pStyle w:val="FirstParagraph"/>
      </w:pPr>
      <w:r>
        <w:t xml:space="preserve">Constraints worth knowing before you design against it:</w:t>
      </w:r>
    </w:p>
    <w:p>
      <w:pPr>
        <w:pStyle w:val="Compact"/>
        <w:numPr>
          <w:ilvl w:val="0"/>
          <w:numId w:val="1118"/>
        </w:numPr>
      </w:pPr>
      <w:r>
        <w:rPr>
          <w:b/>
          <w:bCs/>
        </w:rPr>
        <w:t xml:space="preserve">Do not scope the CA policy to both the authentication context and a</w:t>
      </w:r>
      <w:r>
        <w:rPr>
          <w:b/>
          <w:bCs/>
        </w:rPr>
        <w:t xml:space="preserve"> </w:t>
      </w:r>
      <w:r>
        <w:rPr>
          <w:b/>
          <w:bCs/>
        </w:rPr>
        <w:t xml:space="preserve">directory role.</w:t>
      </w:r>
      <w:r>
        <w:t xml:space="preserve"> </w:t>
      </w:r>
      <w:r>
        <w:t xml:space="preserve">At activation time the user does not hold the role yet, so</w:t>
      </w:r>
      <w:r>
        <w:t xml:space="preserve"> </w:t>
      </w:r>
      <w:r>
        <w:t xml:space="preserve">a role-scoped policy will not apply.</w:t>
      </w:r>
    </w:p>
    <w:p>
      <w:pPr>
        <w:pStyle w:val="Compact"/>
        <w:numPr>
          <w:ilvl w:val="0"/>
          <w:numId w:val="1118"/>
        </w:numPr>
      </w:pPr>
      <w:r>
        <w:t xml:space="preserve">There is a</w:t>
      </w:r>
      <w:r>
        <w:t xml:space="preserve"> </w:t>
      </w:r>
      <w:r>
        <w:rPr>
          <w:b/>
          <w:bCs/>
        </w:rPr>
        <w:t xml:space="preserve">backup mechanism</w:t>
      </w:r>
      <w:r>
        <w:t xml:space="preserve">: if no CA policy in the tenant targets the</w:t>
      </w:r>
      <w:r>
        <w:t xml:space="preserve"> </w:t>
      </w:r>
      <w:r>
        <w:t xml:space="preserve">authentication context configured in PIM, activation falls back to requiring</w:t>
      </w:r>
      <w:r>
        <w:t xml:space="preserve"> </w:t>
      </w:r>
      <w:r>
        <w:t xml:space="preserve">MFA. It exists to catch a build-order mistake, and it does</w:t>
      </w:r>
      <w:r>
        <w:t xml:space="preserve"> </w:t>
      </w:r>
      <w:r>
        <w:rPr>
          <w:b/>
          <w:bCs/>
        </w:rPr>
        <w:t xml:space="preserve">not</w:t>
      </w:r>
      <w:r>
        <w:t xml:space="preserve"> </w:t>
      </w:r>
      <w:r>
        <w:t xml:space="preserve">trigger</w:t>
      </w:r>
      <w:r>
        <w:t xml:space="preserve"> </w:t>
      </w:r>
      <w:r>
        <w:t xml:space="preserve">when the policy is turned off, in report-only mode, or has the eligible user</w:t>
      </w:r>
      <w:r>
        <w:t xml:space="preserve"> </w:t>
      </w:r>
      <w:r>
        <w:t xml:space="preserve">excluded. Do not treat it as a safety net.</w:t>
      </w:r>
    </w:p>
    <w:p>
      <w:pPr>
        <w:pStyle w:val="Compact"/>
        <w:numPr>
          <w:ilvl w:val="0"/>
          <w:numId w:val="1118"/>
        </w:numPr>
      </w:pPr>
      <w:r>
        <w:t xml:space="preserve">After a reauthentication, a</w:t>
      </w:r>
      <w:r>
        <w:t xml:space="preserve"> </w:t>
      </w:r>
      <w:r>
        <w:rPr>
          <w:b/>
          <w:bCs/>
        </w:rPr>
        <w:t xml:space="preserve">10-minute window</w:t>
      </w:r>
      <w:r>
        <w:t xml:space="preserve"> </w:t>
      </w:r>
      <w:r>
        <w:t xml:space="preserve">applies: another eligible</w:t>
      </w:r>
      <w:r>
        <w:t xml:space="preserve"> </w:t>
      </w:r>
      <w:r>
        <w:t xml:space="preserve">role activated inside that window does not reprompt. The window spans</w:t>
      </w:r>
      <w:r>
        <w:t xml:space="preserve"> </w:t>
      </w:r>
      <w:r>
        <w:t xml:space="preserve">Microsoft Entra roles, Azure resource roles, and PIM for Groups.</w:t>
      </w:r>
    </w:p>
    <w:p>
      <w:pPr>
        <w:pStyle w:val="Compact"/>
        <w:numPr>
          <w:ilvl w:val="0"/>
          <w:numId w:val="1118"/>
        </w:numPr>
      </w:pPr>
      <w:r>
        <w:t xml:space="preserve">Authentication context governs the</w:t>
      </w:r>
      <w:r>
        <w:t xml:space="preserve"> </w:t>
      </w:r>
      <w:r>
        <w:rPr>
          <w:b/>
          <w:bCs/>
        </w:rPr>
        <w:t xml:space="preserve">activation</w:t>
      </w:r>
      <w:r>
        <w:t xml:space="preserve">, not what happens after.</w:t>
      </w:r>
      <w:r>
        <w:t xml:space="preserve"> </w:t>
      </w:r>
      <w:r>
        <w:t xml:space="preserve">A user can activate from a compliant device and then use the activated role</w:t>
      </w:r>
      <w:r>
        <w:t xml:space="preserve"> </w:t>
      </w:r>
      <w:r>
        <w:t xml:space="preserve">from a non-compliant one. To close that, add a</w:t>
      </w:r>
      <w:r>
        <w:t xml:space="preserve"> </w:t>
      </w:r>
      <w:r>
        <w:rPr>
          <w:b/>
          <w:bCs/>
        </w:rPr>
        <w:t xml:space="preserve">second</w:t>
      </w:r>
      <w:r>
        <w:t xml:space="preserve"> </w:t>
      </w:r>
      <w:r>
        <w:t xml:space="preserve">CA policy targeting</w:t>
      </w:r>
      <w:r>
        <w:t xml:space="preserve"> </w:t>
      </w:r>
      <w:r>
        <w:rPr>
          <w:b/>
          <w:bCs/>
        </w:rPr>
        <w:t xml:space="preserve">directory roles</w:t>
      </w:r>
      <w:r>
        <w:t xml:space="preserve">, which applies once the role is active. Both policies can</w:t>
      </w:r>
      <w:r>
        <w:t xml:space="preserve"> </w:t>
      </w:r>
      <w:r>
        <w:t xml:space="preserve">enforce the same or different requirements.</w:t>
      </w:r>
    </w:p>
    <w:p>
      <w:pPr>
        <w:pStyle w:val="FirstParagraph"/>
      </w:pPr>
      <w:r>
        <w:rPr>
          <w:b/>
          <w:bCs/>
        </w:rPr>
        <w:t xml:space="preserve">Authentication context creates a privilege dependency</w:t>
      </w:r>
    </w:p>
    <w:p>
      <w:pPr>
        <w:pStyle w:val="BodyText"/>
      </w:pPr>
      <w:r>
        <w:t xml:space="preserve">Once PIM points at an authentication context, whoever can edit Conditional</w:t>
      </w:r>
      <w:r>
        <w:t xml:space="preserve"> </w:t>
      </w:r>
      <w:r>
        <w:t xml:space="preserve">Access policies — Conditional Access Administrator, Security Administrator —</w:t>
      </w:r>
      <w:r>
        <w:t xml:space="preserve"> </w:t>
      </w:r>
      <w:r>
        <w:t xml:space="preserve">can weaken the requirement, remove it, or block eligible users from</w:t>
      </w:r>
      <w:r>
        <w:t xml:space="preserve"> </w:t>
      </w:r>
      <w:r>
        <w:t xml:space="preserve">activating at all. Those roles become part of the privileged surface</w:t>
      </w:r>
      <w:r>
        <w:t xml:space="preserve"> </w:t>
      </w:r>
      <w:r>
        <w:t xml:space="preserve">protecting elevation. Put them in</w:t>
      </w:r>
      <w:r>
        <w:t xml:space="preserve"> </w:t>
      </w:r>
      <w:r>
        <w:rPr>
          <w:b/>
          <w:bCs/>
        </w:rPr>
        <w:t xml:space="preserve">Tier 0</w:t>
      </w:r>
      <w:r>
        <w:t xml:space="preserve">, and gate them with this same</w:t>
      </w:r>
      <w:r>
        <w:t xml:space="preserve"> </w:t>
      </w:r>
      <w:r>
        <w:t xml:space="preserve">build. Then close the loop with</w:t>
      </w:r>
      <w:r>
        <w:t xml:space="preserve"> </w:t>
      </w:r>
      <w:r>
        <w:rPr>
          <w:b/>
          <w:bCs/>
        </w:rPr>
        <w:t xml:space="preserve">protected actions</w:t>
      </w:r>
      <w:r>
        <w:t xml:space="preserve">, below — Tier 0 gating</w:t>
      </w:r>
      <w:r>
        <w:t xml:space="preserve"> </w:t>
      </w:r>
      <w:r>
        <w:t xml:space="preserve">controls</w:t>
      </w:r>
      <w:r>
        <w:t xml:space="preserve"> </w:t>
      </w:r>
      <w:r>
        <w:rPr>
          <w:i/>
          <w:iCs/>
        </w:rPr>
        <w:t xml:space="preserve">who holds</w:t>
      </w:r>
      <w:r>
        <w:t xml:space="preserve"> </w:t>
      </w:r>
      <w:r>
        <w:t xml:space="preserve">the role, protected actions control</w:t>
      </w:r>
      <w:r>
        <w:t xml:space="preserve"> </w:t>
      </w:r>
      <w:r>
        <w:rPr>
          <w:i/>
          <w:iCs/>
        </w:rPr>
        <w:t xml:space="preserve">what they must</w:t>
      </w:r>
      <w:r>
        <w:rPr>
          <w:i/>
          <w:iCs/>
        </w:rPr>
        <w:t xml:space="preserve"> </w:t>
      </w:r>
      <w:r>
        <w:rPr>
          <w:i/>
          <w:iCs/>
        </w:rPr>
        <w:t xml:space="preserve">prove to use it</w:t>
      </w:r>
      <w:r>
        <w:t xml:space="preserve">.</w:t>
      </w:r>
    </w:p>
    <w:p>
      <w:pPr>
        <w:pStyle w:val="BodyText"/>
      </w:pPr>
      <w:r>
        <w:t xml:space="preserve">The agency’s CA policy set for this pattern belongs in the</w:t>
      </w:r>
      <w:r>
        <w:t xml:space="preserve"> </w:t>
      </w:r>
      <w:r>
        <w:t xml:space="preserve">Conditional Access library.</w:t>
      </w:r>
    </w:p>
    <w:bookmarkEnd w:id="183"/>
    <w:bookmarkStart w:id="184" w:name="Xb96a6a41d2116b951f6b7d440e0cdd31514962c"/>
    <w:p>
      <w:pPr>
        <w:pStyle w:val="Heading3"/>
      </w:pPr>
      <w:r>
        <w:t xml:space="preserve">Step 5a — Close the loop with protected actions</w:t>
      </w:r>
    </w:p>
    <w:p>
      <w:pPr>
        <w:pStyle w:val="FirstParagraph"/>
      </w:pPr>
      <w:r>
        <w:t xml:space="preserve">The dependency in the warning above has a named mitigation.</w:t>
      </w:r>
      <w:r>
        <w:t xml:space="preserve"> </w:t>
      </w:r>
      <w:r>
        <w:rPr>
          <w:b/>
          <w:bCs/>
        </w:rPr>
        <w:t xml:space="preserve">Protected</w:t>
      </w:r>
      <w:r>
        <w:rPr>
          <w:b/>
          <w:bCs/>
        </w:rPr>
        <w:t xml:space="preserve"> </w:t>
      </w:r>
      <w:r>
        <w:rPr>
          <w:b/>
          <w:bCs/>
        </w:rPr>
        <w:t xml:space="preserve">actions</w:t>
      </w:r>
      <w:r>
        <w:t xml:space="preserve"> </w:t>
      </w:r>
      <w:r>
        <w:t xml:space="preserve">are Microsoft Entra</w:t>
      </w:r>
      <w:r>
        <w:t xml:space="preserve"> </w:t>
      </w:r>
      <w:r>
        <w:rPr>
          <w:i/>
          <w:iCs/>
        </w:rPr>
        <w:t xml:space="preserve">permissions</w:t>
      </w:r>
      <w:r>
        <w:t xml:space="preserve"> </w:t>
      </w:r>
      <w:r>
        <w:t xml:space="preserve">that carry a Conditional Access</w:t>
      </w:r>
      <w:r>
        <w:t xml:space="preserve"> </w:t>
      </w:r>
      <w:r>
        <w:t xml:space="preserve">policy of their own. Enforcement happens when the user attempts the action —</w:t>
      </w:r>
      <w:r>
        <w:t xml:space="preserve"> </w:t>
      </w:r>
      <w:r>
        <w:t xml:space="preserve">not at sign-in, and not at role activation — so it binds regardless of which</w:t>
      </w:r>
      <w:r>
        <w:t xml:space="preserve"> </w:t>
      </w:r>
      <w:r>
        <w:t xml:space="preserve">role granted the permission or how the user came to hold it.</w:t>
      </w:r>
    </w:p>
    <w:p>
      <w:pPr>
        <w:pStyle w:val="BodyText"/>
      </w:pPr>
      <w:r>
        <w:t xml:space="preserve">That is exactly the shape of the problem: PIM role activation protects</w:t>
      </w:r>
      <w:r>
        <w:t xml:space="preserve"> </w:t>
      </w:r>
      <w:r>
        <w:rPr>
          <w:i/>
          <w:iCs/>
        </w:rPr>
        <w:t xml:space="preserve">becoming</w:t>
      </w:r>
      <w:r>
        <w:t xml:space="preserve"> </w:t>
      </w:r>
      <w:r>
        <w:t xml:space="preserve">a Conditional Access Administrator, but nothing in PIM protects</w:t>
      </w:r>
      <w:r>
        <w:t xml:space="preserve"> </w:t>
      </w:r>
      <w:r>
        <w:rPr>
          <w:i/>
          <w:iCs/>
        </w:rPr>
        <w:t xml:space="preserve">editing a CA policy</w:t>
      </w:r>
      <w:r>
        <w:t xml:space="preserve"> </w:t>
      </w:r>
      <w:r>
        <w:t xml:space="preserve">once someone already holds the permission by another</w:t>
      </w:r>
      <w:r>
        <w:t xml:space="preserve"> </w:t>
      </w:r>
      <w:r>
        <w:t xml:space="preserve">route. Microsoft states the two are complementary —</w:t>
      </w:r>
      <w:r>
        <w:t xml:space="preserve"> </w:t>
      </w:r>
      <w:r>
        <w:t xml:space="preserve">“Privileged Identity</w:t>
      </w:r>
      <w:r>
        <w:t xml:space="preserve"> </w:t>
      </w:r>
      <w:r>
        <w:t xml:space="preserve">Management role activation and protected actions can be used together for</w:t>
      </w:r>
      <w:r>
        <w:t xml:space="preserve"> </w:t>
      </w:r>
      <w:r>
        <w:t xml:space="preserve">stronger coverage.”</w:t>
      </w:r>
    </w:p>
    <w:p>
      <w:pPr>
        <w:pStyle w:val="BodyText"/>
      </w:pPr>
      <w:r>
        <w:t xml:space="preserve">Apply protected actions to the permissions that can dismantle this build: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Permission</w:t>
            </w:r>
          </w:p>
        </w:tc>
        <w:tc>
          <w:tcPr/>
          <w:p>
            <w:pPr>
              <w:pStyle w:val="Compact"/>
            </w:pPr>
            <w:r>
              <w:t xml:space="preserve">Why it belongs behind a protected action</w:t>
            </w:r>
          </w:p>
        </w:tc>
      </w:tr>
      <w:tr>
        <w:tc>
          <w:tcPr/>
          <w:p>
            <w:pPr>
              <w:pStyle w:val="Compact"/>
            </w:pPr>
            <w:r>
              <w:rPr>
                <w:rStyle w:val="VerbatimChar"/>
              </w:rPr>
              <w:t xml:space="preserve">microsoft.directory/conditionalAccessPolicies/basic/update</w:t>
            </w:r>
          </w:p>
        </w:tc>
        <w:tc>
          <w:tcPr/>
          <w:p>
            <w:pPr>
              <w:pStyle w:val="Compact"/>
            </w:pPr>
            <w:r>
              <w:t xml:space="preserve">Weakening the authentication-context policy silently relaxes the elevation gate</w:t>
            </w:r>
          </w:p>
        </w:tc>
      </w:tr>
      <w:tr>
        <w:tc>
          <w:tcPr/>
          <w:p>
            <w:pPr>
              <w:pStyle w:val="Compact"/>
            </w:pPr>
            <w:r>
              <w:rPr>
                <w:rStyle w:val="VerbatimChar"/>
              </w:rPr>
              <w:t xml:space="preserve">microsoft.directory/conditionalAccessPolicies/create</w:t>
            </w:r>
          </w:p>
        </w:tc>
        <w:tc>
          <w:tcPr/>
          <w:p>
            <w:pPr>
              <w:pStyle w:val="Compact"/>
            </w:pPr>
            <w:r>
              <w:t xml:space="preserve">A new policy can shadow or contradict the elevation policy</w:t>
            </w:r>
          </w:p>
        </w:tc>
      </w:tr>
      <w:tr>
        <w:tc>
          <w:tcPr/>
          <w:p>
            <w:pPr>
              <w:pStyle w:val="Compact"/>
            </w:pPr>
            <w:r>
              <w:rPr>
                <w:rStyle w:val="VerbatimChar"/>
              </w:rPr>
              <w:t xml:space="preserve">microsoft.directory/conditionalAccessPolicies/delete</w:t>
            </w:r>
          </w:p>
        </w:tc>
        <w:tc>
          <w:tcPr/>
          <w:p>
            <w:pPr>
              <w:pStyle w:val="Compact"/>
            </w:pPr>
            <w:r>
              <w:t xml:space="preserve">Deleting the policy removes the requirement outright</w:t>
            </w:r>
          </w:p>
        </w:tc>
      </w:tr>
      <w:tr>
        <w:tc>
          <w:tcPr/>
          <w:p>
            <w:pPr>
              <w:pStyle w:val="Compact"/>
            </w:pPr>
            <w:r>
              <w:rPr>
                <w:rStyle w:val="VerbatimChar"/>
              </w:rPr>
              <w:t xml:space="preserve">microsoft.directory/resourceNamespaces/resourceActions/authenticationContext/update</w:t>
            </w:r>
          </w:p>
        </w:tc>
        <w:tc>
          <w:tcPr/>
          <w:p>
            <w:pPr>
              <w:pStyle w:val="Compact"/>
            </w:pPr>
            <w:r>
              <w:t xml:space="preserve">Repointing an authentication context changes what activation actually demands</w:t>
            </w:r>
          </w:p>
        </w:tc>
      </w:tr>
      <w:tr>
        <w:tc>
          <w:tcPr/>
          <w:p>
            <w:pPr>
              <w:pStyle w:val="Compact"/>
            </w:pPr>
            <w:r>
              <w:rPr>
                <w:rStyle w:val="VerbatimChar"/>
              </w:rPr>
              <w:t xml:space="preserve">microsoft.directory/deletedItems/delete</w:t>
            </w:r>
          </w:p>
        </w:tc>
        <w:tc>
          <w:tcPr/>
          <w:p>
            <w:pPr>
              <w:pStyle w:val="Compact"/>
            </w:pPr>
            <w:r>
              <w:t xml:space="preserve">Hard deletion is unrecoverable — soft-deleted objects otherwise stay restorable for 30 days</w:t>
            </w:r>
          </w:p>
        </w:tc>
      </w:tr>
    </w:tbl>
    <w:p>
      <w:pPr>
        <w:pStyle w:val="BodyText"/>
      </w:pPr>
      <w:r>
        <w:t xml:space="preserve">Cross-tenant access settings and named-location permissions are also</w:t>
      </w:r>
      <w:r>
        <w:t xml:space="preserve"> </w:t>
      </w:r>
      <w:r>
        <w:t xml:space="preserve">eligible, and are worth adding where the agency’s policy set depends on them.</w:t>
      </w:r>
    </w:p>
    <w:p>
      <w:pPr>
        <w:pStyle w:val="BodyText"/>
      </w:pPr>
      <w:r>
        <w:rPr>
          <w:b/>
          <w:bCs/>
        </w:rPr>
        <w:t xml:space="preserve">Build order matters here too</w:t>
      </w:r>
      <w:r>
        <w:t xml:space="preserve">, and in the same direction as Step 5:</w:t>
      </w:r>
    </w:p>
    <w:p>
      <w:pPr>
        <w:pStyle w:val="Compact"/>
        <w:numPr>
          <w:ilvl w:val="0"/>
          <w:numId w:val="1119"/>
        </w:numPr>
      </w:pPr>
      <w:r>
        <w:t xml:space="preserve">Confirm you hold</w:t>
      </w:r>
      <w:r>
        <w:t xml:space="preserve"> </w:t>
      </w:r>
      <w:r>
        <w:rPr>
          <w:b/>
          <w:bCs/>
        </w:rPr>
        <w:t xml:space="preserve">Conditional Access Administrator</w:t>
      </w:r>
      <w:r>
        <w:t xml:space="preserve"> </w:t>
      </w:r>
      <w:r>
        <w:t xml:space="preserve">or</w:t>
      </w:r>
      <w:r>
        <w:t xml:space="preserve"> </w:t>
      </w:r>
      <w:r>
        <w:rPr>
          <w:b/>
          <w:bCs/>
        </w:rPr>
        <w:t xml:space="preserve">Security</w:t>
      </w:r>
      <w:r>
        <w:rPr>
          <w:b/>
          <w:bCs/>
        </w:rPr>
        <w:t xml:space="preserve"> </w:t>
      </w:r>
      <w:r>
        <w:rPr>
          <w:b/>
          <w:bCs/>
        </w:rPr>
        <w:t xml:space="preserve">Administrator</w:t>
      </w:r>
      <w:r>
        <w:t xml:space="preserve">.</w:t>
      </w:r>
    </w:p>
    <w:p>
      <w:pPr>
        <w:pStyle w:val="Compact"/>
        <w:numPr>
          <w:ilvl w:val="0"/>
          <w:numId w:val="1119"/>
        </w:numPr>
      </w:pPr>
      <w:r>
        <w:t xml:space="preserve">Create the authentication context — with</w:t>
      </w:r>
      <w:r>
        <w:t xml:space="preserve"> </w:t>
      </w:r>
      <w:r>
        <w:rPr>
          <w:b/>
          <w:bCs/>
        </w:rPr>
        <w:t xml:space="preserve">Publish to apps</w:t>
      </w:r>
      <w:r>
        <w:t xml:space="preserve"> </w:t>
      </w:r>
      <w:r>
        <w:t xml:space="preserve">checked, or</w:t>
      </w:r>
      <w:r>
        <w:t xml:space="preserve"> </w:t>
      </w:r>
      <w:r>
        <w:t xml:space="preserve">it will not be selectable later — and its Conditional Access policy. A</w:t>
      </w:r>
      <w:r>
        <w:t xml:space="preserve"> </w:t>
      </w:r>
      <w:r>
        <w:t xml:space="preserve">sensible starting bar is passwordless or phishing-resistant MFA,</w:t>
      </w:r>
      <w:r>
        <w:t xml:space="preserve"> </w:t>
      </w:r>
      <w:r>
        <w:rPr>
          <w:b/>
          <w:bCs/>
        </w:rPr>
        <w:t xml:space="preserve">with an</w:t>
      </w:r>
      <w:r>
        <w:rPr>
          <w:b/>
          <w:bCs/>
        </w:rPr>
        <w:t xml:space="preserve"> </w:t>
      </w:r>
      <w:r>
        <w:rPr>
          <w:b/>
          <w:bCs/>
        </w:rPr>
        <w:t xml:space="preserve">emergency access account excluded</w:t>
      </w:r>
      <w:r>
        <w:t xml:space="preserve">.</w:t>
      </w:r>
    </w:p>
    <w:p>
      <w:pPr>
        <w:pStyle w:val="Compact"/>
        <w:numPr>
          <w:ilvl w:val="0"/>
          <w:numId w:val="1119"/>
        </w:numPr>
      </w:pPr>
      <w:r>
        <w:t xml:space="preserve">Confirm the policy state is</w:t>
      </w:r>
      <w:r>
        <w:t xml:space="preserve"> </w:t>
      </w:r>
      <w:r>
        <w:rPr>
          <w:b/>
          <w:bCs/>
        </w:rPr>
        <w:t xml:space="preserve">On</w:t>
      </w:r>
      <w:r>
        <w:t xml:space="preserve">. A policy left</w:t>
      </w:r>
      <w:r>
        <w:t xml:space="preserve"> </w:t>
      </w:r>
      <w:r>
        <w:rPr>
          <w:b/>
          <w:bCs/>
        </w:rPr>
        <w:t xml:space="preserve">Off</w:t>
      </w:r>
      <w:r>
        <w:t xml:space="preserve"> </w:t>
      </w:r>
      <w:r>
        <w:t xml:space="preserve">or in</w:t>
      </w:r>
      <w:r>
        <w:t xml:space="preserve"> </w:t>
      </w:r>
      <w:r>
        <w:rPr>
          <w:b/>
          <w:bCs/>
        </w:rPr>
        <w:t xml:space="preserve">Report-only</w:t>
      </w:r>
      <w:r>
        <w:t xml:space="preserve"> </w:t>
      </w:r>
      <w:r>
        <w:t xml:space="preserve">does not satisfy a protected action, which is the same</w:t>
      </w:r>
      <w:r>
        <w:t xml:space="preserve"> </w:t>
      </w:r>
      <w:r>
        <w:t xml:space="preserve">trap as the authentication-context fallback in Step 5 and produces the</w:t>
      </w:r>
      <w:r>
        <w:t xml:space="preserve"> </w:t>
      </w:r>
      <w:r>
        <w:t xml:space="preserve">same symptom from the other direction.</w:t>
      </w:r>
    </w:p>
    <w:p>
      <w:pPr>
        <w:pStyle w:val="Compact"/>
        <w:numPr>
          <w:ilvl w:val="0"/>
          <w:numId w:val="1119"/>
        </w:numPr>
      </w:pPr>
      <w:r>
        <w:t xml:space="preserve">Assign that authentication context to the selected permissions</w:t>
      </w:r>
      <w:r>
        <w:t xml:space="preserve"> </w:t>
      </w:r>
      <w:r>
        <w:t xml:space="preserve">(</w:t>
      </w:r>
      <w:r>
        <w:rPr>
          <w:b/>
          <w:bCs/>
        </w:rPr>
        <w:t xml:space="preserve">Entra ID</w:t>
      </w:r>
      <w:r>
        <w:t xml:space="preserve"> </w:t>
      </w:r>
      <w:r>
        <w:t xml:space="preserve">&gt;</w:t>
      </w:r>
      <w:r>
        <w:t xml:space="preserve"> </w:t>
      </w:r>
      <w:r>
        <w:rPr>
          <w:b/>
          <w:bCs/>
        </w:rPr>
        <w:t xml:space="preserve">Roles &amp; admins</w:t>
      </w:r>
      <w:r>
        <w:t xml:space="preserve"> </w:t>
      </w:r>
      <w:r>
        <w:t xml:space="preserve">&gt;</w:t>
      </w:r>
      <w:r>
        <w:t xml:space="preserve"> </w:t>
      </w:r>
      <w:r>
        <w:rPr>
          <w:b/>
          <w:bCs/>
        </w:rPr>
        <w:t xml:space="preserve">Protected actions</w:t>
      </w:r>
      <w:r>
        <w:t xml:space="preserve">).</w:t>
      </w:r>
    </w:p>
    <w:p>
      <w:pPr>
        <w:pStyle w:val="Compact"/>
        <w:numPr>
          <w:ilvl w:val="0"/>
          <w:numId w:val="1119"/>
        </w:numPr>
      </w:pPr>
      <w:r>
        <w:t xml:space="preserve">Test by performing the action as a normal user and confirming the step-up</w:t>
      </w:r>
      <w:r>
        <w:t xml:space="preserve"> </w:t>
      </w:r>
      <w:r>
        <w:t xml:space="preserve">prompt appears.</w:t>
      </w:r>
    </w:p>
    <w:p>
      <w:pPr>
        <w:pStyle w:val="FirstParagraph"/>
      </w:pPr>
      <w:r>
        <w:t xml:space="preserve">Out-of-order configuration produces confusing symptoms, most commonly</w:t>
      </w:r>
      <w:r>
        <w:t xml:space="preserve"> </w:t>
      </w:r>
      <w:r>
        <w:t xml:space="preserve">repeated reauthentication prompts that never satisfy the policy.</w:t>
      </w:r>
    </w:p>
    <w:p>
      <w:pPr>
        <w:pStyle w:val="BodyText"/>
      </w:pPr>
      <w:r>
        <w:rPr>
          <w:b/>
          <w:bCs/>
        </w:rPr>
        <w:t xml:space="preserve">Azure PowerShell fails against protected actions</w:t>
      </w:r>
    </w:p>
    <w:p>
      <w:pPr>
        <w:pStyle w:val="BodyText"/>
      </w:pPr>
      <w:r>
        <w:t xml:space="preserve">Step-up authentication for protected actions is supported by the Microsoft</w:t>
      </w:r>
      <w:r>
        <w:t xml:space="preserve"> </w:t>
      </w:r>
      <w:r>
        <w:t xml:space="preserve">Entra admin center,</w:t>
      </w:r>
      <w:r>
        <w:t xml:space="preserve"> </w:t>
      </w:r>
      <w:r>
        <w:rPr>
          <w:b/>
          <w:bCs/>
        </w:rPr>
        <w:t xml:space="preserve">Microsoft Graph PowerShell</w:t>
      </w:r>
      <w:r>
        <w:t xml:space="preserve">, and Graph Explorer.</w:t>
      </w:r>
      <w:r>
        <w:t xml:space="preserve"> </w:t>
      </w:r>
      <w:r>
        <w:rPr>
          <w:b/>
          <w:bCs/>
        </w:rPr>
        <w:t xml:space="preserve">Azure PowerShell will fail</w:t>
      </w:r>
      <w:r>
        <w:t xml:space="preserve"> </w:t>
      </w:r>
      <w:r>
        <w:t xml:space="preserve">if it attempts a protected action, as will</w:t>
      </w:r>
      <w:r>
        <w:t xml:space="preserve"> </w:t>
      </w:r>
      <w:r>
        <w:t xml:space="preserve">creating a new terms-of-use page or custom control in the admin center</w:t>
      </w:r>
      <w:r>
        <w:t xml:space="preserve"> </w:t>
      </w:r>
      <w:r>
        <w:t xml:space="preserve">(those register with Conditional Access and are therefore themselves subject</w:t>
      </w:r>
      <w:r>
        <w:t xml:space="preserve"> </w:t>
      </w:r>
      <w:r>
        <w:t xml:space="preserve">to the CA create/update/delete protected actions).</w:t>
      </w:r>
    </w:p>
    <w:p>
      <w:pPr>
        <w:pStyle w:val="BodyText"/>
      </w:pPr>
      <w:r>
        <w:t xml:space="preserve">Inventory any automation that touches these permissions</w:t>
      </w:r>
      <w:r>
        <w:t xml:space="preserve"> </w:t>
      </w:r>
      <w:r>
        <w:rPr>
          <w:i/>
          <w:iCs/>
        </w:rPr>
        <w:t xml:space="preserve">before</w:t>
      </w:r>
      <w:r>
        <w:t xml:space="preserve"> </w:t>
      </w:r>
      <w:r>
        <w:t xml:space="preserve">enabling</w:t>
      </w:r>
      <w:r>
        <w:t xml:space="preserve"> </w:t>
      </w:r>
      <w:r>
        <w:t xml:space="preserve">protected actions, or a scheduled job will start failing with an error that</w:t>
      </w:r>
      <w:r>
        <w:t xml:space="preserve"> </w:t>
      </w:r>
      <w:r>
        <w:t xml:space="preserve">looks nothing like a policy problem. Protected actions require Microsoft</w:t>
      </w:r>
      <w:r>
        <w:t xml:space="preserve"> </w:t>
      </w:r>
      <w:r>
        <w:t xml:space="preserve">Entra ID</w:t>
      </w:r>
      <w:r>
        <w:t xml:space="preserve"> </w:t>
      </w:r>
      <w:r>
        <w:rPr>
          <w:b/>
          <w:bCs/>
        </w:rPr>
        <w:t xml:space="preserve">P1</w:t>
      </w:r>
      <w:r>
        <w:t xml:space="preserve">.</w:t>
      </w:r>
    </w:p>
    <w:p>
      <w:pPr>
        <w:pStyle w:val="BodyText"/>
      </w:pPr>
      <w:r>
        <w:rPr>
          <w:b/>
          <w:bCs/>
        </w:rPr>
        <w:t xml:space="preserve">You can lock yourself out of Conditional Access with this</w:t>
      </w:r>
    </w:p>
    <w:p>
      <w:pPr>
        <w:pStyle w:val="BodyText"/>
      </w:pPr>
      <w:r>
        <w:t xml:space="preserve">The failure mode is circular and worth rehearsing before you enable it:</w:t>
      </w:r>
      <w:r>
        <w:t xml:space="preserve"> </w:t>
      </w:r>
      <w:r>
        <w:t xml:space="preserve">protect CA-policy editing with a policy that is Off or Report-only, and</w:t>
      </w:r>
      <w:r>
        <w:t xml:space="preserve"> </w:t>
      </w:r>
      <w:r>
        <w:t xml:space="preserve">editing that policy now requires a step-up that can never be satisfied —</w:t>
      </w:r>
      <w:r>
        <w:t xml:space="preserve"> </w:t>
      </w:r>
      <w:r>
        <w:t xml:space="preserve">including the editing needed to fix it.</w:t>
      </w:r>
    </w:p>
    <w:p>
      <w:pPr>
        <w:pStyle w:val="BodyText"/>
      </w:pPr>
      <w:r>
        <w:t xml:space="preserve">Microsoft publishes a recovery entry point for exactly this:</w:t>
      </w:r>
      <w:r>
        <w:t xml:space="preserve"> </w:t>
      </w:r>
      <w:r>
        <w:rPr>
          <w:rStyle w:val="VerbatimChar"/>
          <w:b/>
          <w:bCs/>
        </w:rPr>
        <w:t xml:space="preserve">aka.ms/MSALProtectedActions</w:t>
      </w:r>
      <w:r>
        <w:t xml:space="preserve"> </w:t>
      </w:r>
      <w:r>
        <w:t xml:space="preserve">opens the Conditional Access page</w:t>
      </w:r>
      <w:r>
        <w:t xml:space="preserve"> </w:t>
      </w:r>
      <w:r>
        <w:t xml:space="preserve">when the protected action would otherwise block you from reaching it. Record</w:t>
      </w:r>
      <w:r>
        <w:t xml:space="preserve"> </w:t>
      </w:r>
      <w:r>
        <w:t xml:space="preserve">it in the agency’s break-glass runbook alongside the Step 0 emergency access</w:t>
      </w:r>
      <w:r>
        <w:t xml:space="preserve"> </w:t>
      </w:r>
      <w:r>
        <w:t xml:space="preserve">accounts, because the moment you need it is the moment you cannot look it up</w:t>
      </w:r>
      <w:r>
        <w:t xml:space="preserve"> </w:t>
      </w:r>
      <w:r>
        <w:t xml:space="preserve">through the portal.</w:t>
      </w:r>
    </w:p>
    <w:p>
      <w:pPr>
        <w:pStyle w:val="BodyText"/>
      </w:pPr>
      <w:r>
        <w:t xml:space="preserve">(Written as a bare host and path, not a link: it redirects into an</w:t>
      </w:r>
      <w:r>
        <w:t xml:space="preserve"> </w:t>
      </w:r>
      <w:r>
        <w:t xml:space="preserve">authenticated portal surface, so it is meant to be typed into a browser you</w:t>
      </w:r>
      <w:r>
        <w:t xml:space="preserve"> </w:t>
      </w:r>
      <w:r>
        <w:t xml:space="preserve">are already signed in to — the same form this corpus already uses for</w:t>
      </w:r>
      <w:r>
        <w:t xml:space="preserve"> </w:t>
      </w:r>
      <w:r>
        <w:rPr>
          <w:rStyle w:val="VerbatimChar"/>
        </w:rPr>
        <w:t xml:space="preserve">aka.ms/mysecurityinfo</w:t>
      </w:r>
      <w:r>
        <w:t xml:space="preserve"> </w:t>
      </w:r>
      <w:r>
        <w:t xml:space="preserve">and</w:t>
      </w:r>
      <w:r>
        <w:t xml:space="preserve"> </w:t>
      </w:r>
      <w:r>
        <w:rPr>
          <w:rStyle w:val="VerbatimChar"/>
        </w:rPr>
        <w:t xml:space="preserve">aka.ms/mysignins</w:t>
      </w:r>
      <w:r>
        <w:t xml:space="preserve">.)</w:t>
      </w:r>
    </w:p>
    <w:p>
      <w:pPr>
        <w:pStyle w:val="BodyText"/>
      </w:pPr>
      <w:r>
        <w:t xml:space="preserve">One design rule from Microsoft worth repeating, because it is easy to get</w:t>
      </w:r>
      <w:r>
        <w:t xml:space="preserve"> </w:t>
      </w:r>
      <w:r>
        <w:t xml:space="preserve">backwards:</w:t>
      </w:r>
      <w:r>
        <w:t xml:space="preserve"> </w:t>
      </w:r>
      <w:r>
        <w:rPr>
          <w:b/>
          <w:bCs/>
        </w:rPr>
        <w:t xml:space="preserve">do not use protected actions to block access based on identity</w:t>
      </w:r>
      <w:r>
        <w:rPr>
          <w:b/>
          <w:bCs/>
        </w:rPr>
        <w:t xml:space="preserve"> </w:t>
      </w:r>
      <w:r>
        <w:rPr>
          <w:b/>
          <w:bCs/>
        </w:rPr>
        <w:t xml:space="preserve">or group membership.</w:t>
      </w:r>
      <w:r>
        <w:t xml:space="preserve"> </w:t>
      </w:r>
      <w:r>
        <w:t xml:space="preserve">They impose an</w:t>
      </w:r>
      <w:r>
        <w:t xml:space="preserve"> </w:t>
      </w:r>
      <w:r>
        <w:rPr>
          <w:i/>
          <w:iCs/>
        </w:rPr>
        <w:t xml:space="preserve">access requirement</w:t>
      </w:r>
      <w:r>
        <w:t xml:space="preserve"> </w:t>
      </w:r>
      <w:r>
        <w:t xml:space="preserve">on performing an</w:t>
      </w:r>
      <w:r>
        <w:t xml:space="preserve"> </w:t>
      </w:r>
      <w:r>
        <w:t xml:space="preserve">action. Who may hold the permission at all is an authorization decision, and</w:t>
      </w:r>
      <w:r>
        <w:t xml:space="preserve"> </w:t>
      </w:r>
      <w:r>
        <w:t xml:space="preserve">that belongs to role assignment — which is what the rest of this guide</w:t>
      </w:r>
      <w:r>
        <w:t xml:space="preserve"> </w:t>
      </w:r>
      <w:r>
        <w:t xml:space="preserve">builds.</w:t>
      </w:r>
    </w:p>
    <w:bookmarkEnd w:id="184"/>
    <w:bookmarkStart w:id="185" w:name="step-6-notifications-and-pim-alerts"/>
    <w:p>
      <w:pPr>
        <w:pStyle w:val="Heading3"/>
      </w:pPr>
      <w:r>
        <w:t xml:space="preserve">Step 6 — Notifications and PIM alerts</w:t>
      </w:r>
    </w:p>
    <w:p>
      <w:pPr>
        <w:pStyle w:val="FirstParagraph"/>
      </w:pPr>
      <w:r>
        <w:rPr>
          <w:b/>
          <w:bCs/>
        </w:rPr>
        <w:t xml:space="preserve">Per-role notifications</w:t>
      </w:r>
      <w:r>
        <w:t xml:space="preserve"> </w:t>
      </w:r>
      <w:r>
        <w:t xml:space="preserve">are configured on the</w:t>
      </w:r>
      <w:r>
        <w:t xml:space="preserve"> </w:t>
      </w:r>
      <w:r>
        <w:rPr>
          <w:b/>
          <w:bCs/>
        </w:rPr>
        <w:t xml:space="preserve">Notifications</w:t>
      </w:r>
      <w:r>
        <w:t xml:space="preserve"> </w:t>
      </w:r>
      <w:r>
        <w:t xml:space="preserve">tab of each</w:t>
      </w:r>
      <w:r>
        <w:t xml:space="preserve"> </w:t>
      </w:r>
      <w:r>
        <w:t xml:space="preserve">role’s settings. PIM allows per-recipient, per-event-type control: turn an</w:t>
      </w:r>
      <w:r>
        <w:t xml:space="preserve"> </w:t>
      </w:r>
      <w:r>
        <w:t xml:space="preserve">email off, redirect it to a named distribution list, send to both defaults and</w:t>
      </w:r>
      <w:r>
        <w:t xml:space="preserve"> </w:t>
      </w:r>
      <w:r>
        <w:t xml:space="preserve">additions, or restrict to</w:t>
      </w:r>
      <w:r>
        <w:t xml:space="preserve"> </w:t>
      </w:r>
      <w:r>
        <w:rPr>
          <w:b/>
          <w:bCs/>
        </w:rPr>
        <w:t xml:space="preserve">critical emails only</w:t>
      </w:r>
      <w:r>
        <w:t xml:space="preserve"> </w:t>
      </w:r>
      <w:r>
        <w:t xml:space="preserve">— which suppresses</w:t>
      </w:r>
      <w:r>
        <w:t xml:space="preserve"> </w:t>
      </w:r>
      <w:r>
        <w:t xml:space="preserve">informational mail (such as</w:t>
      </w:r>
      <w:r>
        <w:t xml:space="preserve"> </w:t>
      </w:r>
      <w:r>
        <w:t xml:space="preserve">“extend your assignment”</w:t>
      </w:r>
      <w:r>
        <w:t xml:space="preserve">) while preserving mail</w:t>
      </w:r>
      <w:r>
        <w:t xml:space="preserve"> </w:t>
      </w:r>
      <w:r>
        <w:t xml:space="preserve">that requires action (such as an approval request).</w:t>
      </w:r>
    </w:p>
    <w:p>
      <w:pPr>
        <w:pStyle w:val="BodyText"/>
      </w:pPr>
      <w:r>
        <w:t xml:space="preserve">Route approval-request and activation notifications to the approver group and</w:t>
      </w:r>
      <w:r>
        <w:t xml:space="preserve"> </w:t>
      </w:r>
      <w:r>
        <w:t xml:space="preserve">to the security operations mailbox. One PIM event can notify assignees,</w:t>
      </w:r>
      <w:r>
        <w:t xml:space="preserve"> </w:t>
      </w:r>
      <w:r>
        <w:t xml:space="preserve">approvers, and administrators; the</w:t>
      </w:r>
      <w:r>
        <w:t xml:space="preserve"> </w:t>
      </w:r>
      <w:r>
        <w:rPr>
          <w:b/>
          <w:bCs/>
        </w:rPr>
        <w:t xml:space="preserve">maximum is 1000 notifications per</w:t>
      </w:r>
      <w:r>
        <w:rPr>
          <w:b/>
          <w:bCs/>
        </w:rPr>
        <w:t xml:space="preserve"> </w:t>
      </w:r>
      <w:r>
        <w:rPr>
          <w:b/>
          <w:bCs/>
        </w:rPr>
        <w:t xml:space="preserve">event</w:t>
      </w:r>
      <w:r>
        <w:t xml:space="preserve">, after which further recipients are not mailed — which is only a</w:t>
      </w:r>
      <w:r>
        <w:t xml:space="preserve"> </w:t>
      </w:r>
      <w:r>
        <w:t xml:space="preserve">constraint if approver groups are allowed to grow large. Keep them small,</w:t>
      </w:r>
      <w:r>
        <w:t xml:space="preserve"> </w:t>
      </w:r>
      <w:r>
        <w:t xml:space="preserve">which the separation-of-duties design wants anyway.</w:t>
      </w:r>
    </w:p>
    <w:p>
      <w:pPr>
        <w:pStyle w:val="BodyText"/>
      </w:pPr>
      <w:r>
        <w:rPr>
          <w:b/>
          <w:bCs/>
        </w:rPr>
        <w:t xml:space="preserve">PIM security alerts</w:t>
      </w:r>
      <w:r>
        <w:t xml:space="preserve"> </w:t>
      </w:r>
      <w:r>
        <w:t xml:space="preserve">are the second signal. Readable by Global</w:t>
      </w:r>
      <w:r>
        <w:t xml:space="preserve"> </w:t>
      </w:r>
      <w:r>
        <w:t xml:space="preserve">Administrator, Privileged Role Administrator, Global Reader, Security</w:t>
      </w:r>
      <w:r>
        <w:t xml:space="preserve"> </w:t>
      </w:r>
      <w:r>
        <w:t xml:space="preserve">Administrator, and Security Reader, and configurable under</w:t>
      </w:r>
      <w:r>
        <w:t xml:space="preserve"> </w:t>
      </w:r>
      <w:r>
        <w:rPr>
          <w:b/>
          <w:bCs/>
        </w:rPr>
        <w:t xml:space="preserve">Microsoft Entra roles</w:t>
      </w:r>
      <w:r>
        <w:t xml:space="preserve"> </w:t>
      </w:r>
      <w:r>
        <w:t xml:space="preserve">&gt;</w:t>
      </w:r>
      <w:r>
        <w:t xml:space="preserve"> </w:t>
      </w:r>
      <w:r>
        <w:rPr>
          <w:b/>
          <w:bCs/>
        </w:rPr>
        <w:t xml:space="preserve">Alerts</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Alert</w:t>
            </w:r>
          </w:p>
        </w:tc>
        <w:tc>
          <w:tcPr/>
          <w:p>
            <w:pPr>
              <w:pStyle w:val="Compact"/>
            </w:pPr>
            <w:r>
              <w:t xml:space="preserve">Why it matters to this build</w:t>
            </w:r>
          </w:p>
        </w:tc>
      </w:tr>
      <w:tr>
        <w:tc>
          <w:tcPr/>
          <w:p>
            <w:pPr>
              <w:pStyle w:val="Compact"/>
            </w:pPr>
            <w:r>
              <w:rPr>
                <w:b/>
                <w:bCs/>
              </w:rPr>
              <w:t xml:space="preserve">Roles are being assigned outside of Privileged Identity Management</w:t>
            </w:r>
          </w:p>
        </w:tc>
        <w:tc>
          <w:tcPr/>
          <w:p>
            <w:pPr>
              <w:pStyle w:val="Compact"/>
            </w:pPr>
            <w:r>
              <w:t xml:space="preserve">The direct bypass signal. An assignment made outside PIM is an assignment that never met the approval gate. Treat every occurrence as an incident until proven otherwise.</w:t>
            </w:r>
          </w:p>
        </w:tc>
      </w:tr>
      <w:tr>
        <w:tc>
          <w:tcPr/>
          <w:p>
            <w:pPr>
              <w:pStyle w:val="Compact"/>
            </w:pPr>
            <w:r>
              <w:rPr>
                <w:b/>
                <w:bCs/>
              </w:rPr>
              <w:t xml:space="preserve">Roles don’t require multifactor authentication for activation</w:t>
            </w:r>
          </w:p>
        </w:tc>
        <w:tc>
          <w:tcPr/>
          <w:p>
            <w:pPr>
              <w:pStyle w:val="Compact"/>
            </w:pPr>
            <w:r>
              <w:t xml:space="preserve">Detects a role whose policy drifted off the baseline.</w:t>
            </w:r>
          </w:p>
        </w:tc>
      </w:tr>
      <w:tr>
        <w:tc>
          <w:tcPr/>
          <w:p>
            <w:pPr>
              <w:pStyle w:val="Compact"/>
            </w:pPr>
            <w:r>
              <w:rPr>
                <w:b/>
                <w:bCs/>
              </w:rPr>
              <w:t xml:space="preserve">There are too many Global Administrators</w:t>
            </w:r>
          </w:p>
        </w:tc>
        <w:tc>
          <w:tcPr/>
          <w:p>
            <w:pPr>
              <w:pStyle w:val="Compact"/>
            </w:pPr>
            <w:r>
              <w:t xml:space="preserve">Tune the two thresholds — minimum count and percentage of total assignments — to the agency’s own posture.</w:t>
            </w:r>
          </w:p>
        </w:tc>
      </w:tr>
      <w:tr>
        <w:tc>
          <w:tcPr/>
          <w:p>
            <w:pPr>
              <w:pStyle w:val="Compact"/>
            </w:pPr>
            <w:r>
              <w:rPr>
                <w:b/>
                <w:bCs/>
              </w:rPr>
              <w:t xml:space="preserve">Roles are being activated too frequently</w:t>
            </w:r>
          </w:p>
        </w:tc>
        <w:tc>
          <w:tcPr/>
          <w:p>
            <w:pPr>
              <w:pStyle w:val="Compact"/>
            </w:pPr>
            <w:r>
              <w:t xml:space="preserve">Distinguishes a role that is genuinely just-in-time from one that is standing privilege wearing a JIT costume.</w:t>
            </w:r>
          </w:p>
        </w:tc>
      </w:tr>
      <w:tr>
        <w:tc>
          <w:tcPr/>
          <w:p>
            <w:pPr>
              <w:pStyle w:val="Compact"/>
            </w:pPr>
            <w:r>
              <w:rPr>
                <w:b/>
                <w:bCs/>
              </w:rPr>
              <w:t xml:space="preserve">Administrators aren’t using their privileged roles</w:t>
            </w:r>
          </w:p>
        </w:tc>
        <w:tc>
          <w:tcPr/>
          <w:p>
            <w:pPr>
              <w:pStyle w:val="Compact"/>
            </w:pPr>
            <w:r>
              <w:t xml:space="preserve">Feeds access-review scoping: eligibility that is never activated is eligibility to remove. Configurable 0–100 days.</w:t>
            </w:r>
          </w:p>
        </w:tc>
      </w:tr>
      <w:tr>
        <w:tc>
          <w:tcPr/>
          <w:p>
            <w:pPr>
              <w:pStyle w:val="Compact"/>
            </w:pPr>
            <w:r>
              <w:rPr>
                <w:b/>
                <w:bCs/>
              </w:rPr>
              <w:t xml:space="preserve">Potential stale accounts in a privileged role</w:t>
            </w:r>
          </w:p>
        </w:tc>
        <w:tc>
          <w:tcPr/>
          <w:p>
            <w:pPr>
              <w:pStyle w:val="Compact"/>
            </w:pPr>
            <w:r>
              <w:t xml:space="preserve">Accounts in a privileged role with no sign-in in</w:t>
            </w:r>
            <w:r>
              <w:t xml:space="preserve"> </w:t>
            </w:r>
            <w:r>
              <w:rPr>
                <w:i/>
                <w:iCs/>
              </w:rPr>
              <w:t xml:space="preserve">n</w:t>
            </w:r>
            <w:r>
              <w:t xml:space="preserve"> </w:t>
            </w:r>
            <w:r>
              <w:t xml:space="preserve">days (1–365) — typically shared or service accounts that need review and credential rotation.</w:t>
            </w:r>
          </w:p>
        </w:tc>
      </w:tr>
    </w:tbl>
    <w:bookmarkEnd w:id="185"/>
    <w:bookmarkStart w:id="186" w:name="step-7-access-reviews-on-eligibility"/>
    <w:p>
      <w:pPr>
        <w:pStyle w:val="Heading3"/>
      </w:pPr>
      <w:r>
        <w:t xml:space="preserve">Step 7 — Access reviews on eligibility</w:t>
      </w:r>
    </w:p>
    <w:p>
      <w:pPr>
        <w:pStyle w:val="FirstParagraph"/>
      </w:pPr>
      <w:r>
        <w:t xml:space="preserve">The approval gate controls</w:t>
      </w:r>
      <w:r>
        <w:t xml:space="preserve"> </w:t>
      </w:r>
      <w:r>
        <w:rPr>
          <w:i/>
          <w:iCs/>
        </w:rPr>
        <w:t xml:space="preserve">use</w:t>
      </w:r>
      <w:r>
        <w:t xml:space="preserve"> </w:t>
      </w:r>
      <w:r>
        <w:t xml:space="preserve">of privilege. Access reviews control</w:t>
      </w:r>
      <w:r>
        <w:t xml:space="preserve"> </w:t>
      </w:r>
      <w:r>
        <w:rPr>
          <w:i/>
          <w:iCs/>
        </w:rPr>
        <w:t xml:space="preserve">possession</w:t>
      </w:r>
      <w:r>
        <w:t xml:space="preserve"> </w:t>
      </w:r>
      <w:r>
        <w:t xml:space="preserve">of eligibility. Both are needed: without reviews, the eligible</w:t>
      </w:r>
      <w:r>
        <w:t xml:space="preserve"> </w:t>
      </w:r>
      <w:r>
        <w:t xml:space="preserve">population only grows.</w:t>
      </w:r>
    </w:p>
    <w:p>
      <w:pPr>
        <w:pStyle w:val="BodyText"/>
      </w:pPr>
      <w:r>
        <w:t xml:space="preserve">Configure recurring PIM access reviews over Microsoft Entra roles — scoped to</w:t>
      </w:r>
      <w:r>
        <w:t xml:space="preserve"> </w:t>
      </w:r>
      <w:r>
        <w:t xml:space="preserve">the eligible assignments for each tier, on a cadence at least as frequent as</w:t>
      </w:r>
      <w:r>
        <w:t xml:space="preserve"> </w:t>
      </w:r>
      <w:r>
        <w:t xml:space="preserve">the tier’s eligibility-expiry window, with reviewers who are the role owners</w:t>
      </w:r>
      <w:r>
        <w:t xml:space="preserve"> </w:t>
      </w:r>
      <w:r>
        <w:t xml:space="preserve">or the approver group rather than the assignees themselves. Set the</w:t>
      </w:r>
      <w:r>
        <w:t xml:space="preserve"> </w:t>
      </w:r>
      <w:r>
        <w:rPr>
          <w:b/>
          <w:bCs/>
        </w:rPr>
        <w:t xml:space="preserve">upon-completion</w:t>
      </w:r>
      <w:r>
        <w:t xml:space="preserve"> </w:t>
      </w:r>
      <w:r>
        <w:t xml:space="preserve">action to remove access automatically on denial, so a</w:t>
      </w:r>
      <w:r>
        <w:t xml:space="preserve"> </w:t>
      </w:r>
      <w:r>
        <w:t xml:space="preserve">review that finds unneeded eligibility actually removes it.</w:t>
      </w:r>
    </w:p>
    <w:p>
      <w:pPr>
        <w:pStyle w:val="BodyText"/>
      </w:pPr>
      <w:r>
        <w:rPr>
          <w:b/>
          <w:bCs/>
        </w:rPr>
        <w:t xml:space="preserve">Groups assigned to roles</w:t>
      </w:r>
    </w:p>
    <w:p>
      <w:pPr>
        <w:pStyle w:val="BodyText"/>
      </w:pPr>
      <w:r>
        <w:t xml:space="preserve">Where a</w:t>
      </w:r>
      <w:r>
        <w:t xml:space="preserve"> </w:t>
      </w:r>
      <w:r>
        <w:rPr>
          <w:b/>
          <w:bCs/>
        </w:rPr>
        <w:t xml:space="preserve">group</w:t>
      </w:r>
      <w:r>
        <w:t xml:space="preserve"> </w:t>
      </w:r>
      <w:r>
        <w:t xml:space="preserve">is assigned to a directory role, the review acts on the</w:t>
      </w:r>
      <w:r>
        <w:t xml:space="preserve"> </w:t>
      </w:r>
      <w:r>
        <w:t xml:space="preserve">group’s assignment, not on individual membership. If the agency uses</w:t>
      </w:r>
      <w:r>
        <w:t xml:space="preserve"> </w:t>
      </w:r>
      <w:r>
        <w:t xml:space="preserve">role-assignable groups (the PAG pattern described in the</w:t>
      </w:r>
      <w:r>
        <w:t xml:space="preserve"> </w:t>
      </w:r>
      <w:r>
        <w:t xml:space="preserve">Help Desk Administrative Responsibilities Guide),</w:t>
      </w:r>
      <w:r>
        <w:t xml:space="preserve"> </w:t>
      </w:r>
      <w:r>
        <w:t xml:space="preserve">pair the role review with a membership review of the group itself — otherwise</w:t>
      </w:r>
      <w:r>
        <w:t xml:space="preserve"> </w:t>
      </w:r>
      <w:r>
        <w:t xml:space="preserve">membership drift is invisible to the role review.</w:t>
      </w:r>
    </w:p>
    <w:bookmarkEnd w:id="186"/>
    <w:bookmarkStart w:id="187" w:name="X5fdc1b1e631de87959cc3be1c08521b2c1db66f"/>
    <w:p>
      <w:pPr>
        <w:pStyle w:val="Heading3"/>
      </w:pPr>
      <w:r>
        <w:t xml:space="preserve">Step 8 — Export audit records for retention</w:t>
      </w:r>
    </w:p>
    <w:p>
      <w:pPr>
        <w:pStyle w:val="FirstParagraph"/>
      </w:pPr>
      <w:r>
        <w:t xml:space="preserve">This is the step most often missed, and it is a control failure when it is.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Surface</w:t>
            </w:r>
          </w:p>
        </w:tc>
        <w:tc>
          <w:tcPr/>
          <w:p>
            <w:pPr>
              <w:pStyle w:val="Compact"/>
            </w:pPr>
            <w:r>
              <w:t xml:space="preserve">Native retention</w:t>
            </w:r>
          </w:p>
        </w:tc>
      </w:tr>
      <w:tr>
        <w:tc>
          <w:tcPr/>
          <w:p>
            <w:pPr>
              <w:pStyle w:val="Compact"/>
            </w:pPr>
            <w:r>
              <w:t xml:space="preserve">PIM audit history (</w:t>
            </w:r>
            <w:r>
              <w:rPr>
                <w:b/>
                <w:bCs/>
              </w:rPr>
              <w:t xml:space="preserve">Resource audit</w:t>
            </w:r>
            <w:r>
              <w:t xml:space="preserve">,</w:t>
            </w:r>
            <w:r>
              <w:t xml:space="preserve"> </w:t>
            </w:r>
            <w:r>
              <w:rPr>
                <w:b/>
                <w:bCs/>
              </w:rPr>
              <w:t xml:space="preserve">My audit</w:t>
            </w:r>
            <w:r>
              <w:t xml:space="preserve">)</w:t>
            </w:r>
          </w:p>
        </w:tc>
        <w:tc>
          <w:tcPr/>
          <w:p>
            <w:pPr>
              <w:pStyle w:val="Compact"/>
            </w:pPr>
            <w:r>
              <w:rPr>
                <w:b/>
                <w:bCs/>
              </w:rPr>
              <w:t xml:space="preserve">30 days</w:t>
            </w:r>
          </w:p>
        </w:tc>
      </w:tr>
      <w:tr>
        <w:tc>
          <w:tcPr/>
          <w:p>
            <w:pPr>
              <w:pStyle w:val="Compact"/>
            </w:pPr>
            <w:r>
              <w:t xml:space="preserve">Microsoft Entra audit logs (P1 / P2)</w:t>
            </w:r>
          </w:p>
        </w:tc>
        <w:tc>
          <w:tcPr/>
          <w:p>
            <w:pPr>
              <w:pStyle w:val="Compact"/>
            </w:pPr>
            <w:r>
              <w:rPr>
                <w:b/>
                <w:bCs/>
              </w:rPr>
              <w:t xml:space="preserve">30 days</w:t>
            </w:r>
          </w:p>
        </w:tc>
      </w:tr>
      <w:tr>
        <w:tc>
          <w:tcPr/>
          <w:p>
            <w:pPr>
              <w:pStyle w:val="Compact"/>
            </w:pPr>
            <w:r>
              <w:t xml:space="preserve">Microsoft Entra sign-in logs (P1 / P2)</w:t>
            </w:r>
          </w:p>
        </w:tc>
        <w:tc>
          <w:tcPr/>
          <w:p>
            <w:pPr>
              <w:pStyle w:val="Compact"/>
            </w:pPr>
            <w:r>
              <w:rPr>
                <w:b/>
                <w:bCs/>
              </w:rPr>
              <w:t xml:space="preserve">30 days</w:t>
            </w:r>
          </w:p>
        </w:tc>
      </w:tr>
    </w:tbl>
    <w:p>
      <w:pPr>
        <w:pStyle w:val="BodyText"/>
      </w:pPr>
      <w:r>
        <w:t xml:space="preserve">Thirty days does not satisfy an AU-11 retention parameter under any federal</w:t>
      </w:r>
      <w:r>
        <w:t xml:space="preserve"> </w:t>
      </w:r>
      <w:r>
        <w:t xml:space="preserve">baseline the authors are aware of. Route Microsoft Entra audit and sign-in</w:t>
      </w:r>
      <w:r>
        <w:t xml:space="preserve"> </w:t>
      </w:r>
      <w:r>
        <w:t xml:space="preserve">logs to an</w:t>
      </w:r>
      <w:r>
        <w:t xml:space="preserve"> </w:t>
      </w:r>
      <w:r>
        <w:rPr>
          <w:b/>
          <w:bCs/>
        </w:rPr>
        <w:t xml:space="preserve">Azure storage account</w:t>
      </w:r>
      <w:r>
        <w:t xml:space="preserve"> </w:t>
      </w:r>
      <w:r>
        <w:t xml:space="preserve">and/or a</w:t>
      </w:r>
      <w:r>
        <w:t xml:space="preserve"> </w:t>
      </w:r>
      <w:r>
        <w:rPr>
          <w:b/>
          <w:bCs/>
        </w:rPr>
        <w:t xml:space="preserve">Log Analytics workspace</w:t>
      </w:r>
      <w:r>
        <w:t xml:space="preserve"> </w:t>
      </w:r>
      <w:r>
        <w:t xml:space="preserve">via</w:t>
      </w:r>
      <w:r>
        <w:t xml:space="preserve"> </w:t>
      </w:r>
      <w:r>
        <w:t xml:space="preserve">Azure Monitor diagnostic settings, inside the authorization boundary, with</w:t>
      </w:r>
      <w:r>
        <w:t xml:space="preserve"> </w:t>
      </w:r>
      <w:r>
        <w:t xml:space="preserve">retention configured to the agency’s authorized AU-11 value.</w:t>
      </w:r>
    </w:p>
    <w:p>
      <w:pPr>
        <w:pStyle w:val="BodyText"/>
      </w:pPr>
      <w:r>
        <w:t xml:space="preserve">Two notes:</w:t>
      </w:r>
    </w:p>
    <w:p>
      <w:pPr>
        <w:pStyle w:val="Compact"/>
        <w:numPr>
          <w:ilvl w:val="0"/>
          <w:numId w:val="1120"/>
        </w:numPr>
      </w:pPr>
      <w:r>
        <w:rPr>
          <w:b/>
          <w:bCs/>
        </w:rPr>
        <w:t xml:space="preserve">Retention changes are not retroactive.</w:t>
      </w:r>
      <w:r>
        <w:t xml:space="preserve"> </w:t>
      </w:r>
      <w:r>
        <w:t xml:space="preserve">Data that has already aged out</w:t>
      </w:r>
      <w:r>
        <w:t xml:space="preserve"> </w:t>
      </w:r>
      <w:r>
        <w:t xml:space="preserve">cannot be recovered unless it was previously archived. Configure the export</w:t>
      </w:r>
      <w:r>
        <w:t xml:space="preserve"> </w:t>
      </w:r>
      <w:r>
        <w:rPr>
          <w:i/>
          <w:iCs/>
        </w:rPr>
        <w:t xml:space="preserve">before</w:t>
      </w:r>
      <w:r>
        <w:t xml:space="preserve"> </w:t>
      </w:r>
      <w:r>
        <w:t xml:space="preserve">go-live, not after the first assessment finding.</w:t>
      </w:r>
    </w:p>
    <w:p>
      <w:pPr>
        <w:pStyle w:val="Compact"/>
        <w:numPr>
          <w:ilvl w:val="0"/>
          <w:numId w:val="1120"/>
        </w:numPr>
      </w:pPr>
      <w:r>
        <w:t xml:space="preserve">Microsoft Entra audit logs are</w:t>
      </w:r>
      <w:r>
        <w:t xml:space="preserve"> </w:t>
      </w:r>
      <w:r>
        <w:rPr>
          <w:b/>
          <w:bCs/>
        </w:rPr>
        <w:t xml:space="preserve">separate</w:t>
      </w:r>
      <w:r>
        <w:t xml:space="preserve"> </w:t>
      </w:r>
      <w:r>
        <w:t xml:space="preserve">from the Microsoft 365 Unified</w:t>
      </w:r>
      <w:r>
        <w:t xml:space="preserve"> </w:t>
      </w:r>
      <w:r>
        <w:t xml:space="preserve">Audit Log; UAL retention is managed through Microsoft Purview Audit and is</w:t>
      </w:r>
      <w:r>
        <w:t xml:space="preserve"> </w:t>
      </w:r>
      <w:r>
        <w:t xml:space="preserve">not affected by Entra licensing. If the SSP claims UAL as the audit record</w:t>
      </w:r>
      <w:r>
        <w:t xml:space="preserve"> </w:t>
      </w:r>
      <w:r>
        <w:t xml:space="preserve">store, that is a different pipeline with a different retention setting.</w:t>
      </w:r>
    </w:p>
    <w:bookmarkEnd w:id="187"/>
    <w:bookmarkEnd w:id="188"/>
    <w:bookmarkStart w:id="193" w:name="operating-the-workflow"/>
    <w:p>
      <w:pPr>
        <w:pStyle w:val="Heading2"/>
      </w:pPr>
      <w:r>
        <w:t xml:space="preserve">Operating the workflow</w:t>
      </w:r>
    </w:p>
    <w:bookmarkStart w:id="189" w:name="the-requesters-path"/>
    <w:p>
      <w:pPr>
        <w:pStyle w:val="Heading3"/>
      </w:pPr>
      <w:r>
        <w:t xml:space="preserve">The requester’s path</w:t>
      </w:r>
    </w:p>
    <w:p>
      <w:pPr>
        <w:pStyle w:val="Compact"/>
        <w:numPr>
          <w:ilvl w:val="0"/>
          <w:numId w:val="1121"/>
        </w:numPr>
      </w:pPr>
      <w:r>
        <w:t xml:space="preserve">Browse to</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My roles</w:t>
      </w:r>
      <w:r>
        <w:t xml:space="preserve">, and select the eligible role.</w:t>
      </w:r>
    </w:p>
    <w:p>
      <w:pPr>
        <w:pStyle w:val="Compact"/>
        <w:numPr>
          <w:ilvl w:val="0"/>
          <w:numId w:val="1121"/>
        </w:numPr>
      </w:pPr>
      <w:r>
        <w:t xml:space="preserve">Submit an activation request with the required</w:t>
      </w:r>
      <w:r>
        <w:t xml:space="preserve"> </w:t>
      </w:r>
      <w:r>
        <w:rPr>
          <w:b/>
          <w:bCs/>
        </w:rPr>
        <w:t xml:space="preserve">justification</w:t>
      </w:r>
      <w:r>
        <w:t xml:space="preserve">, the</w:t>
      </w:r>
      <w:r>
        <w:t xml:space="preserve"> </w:t>
      </w:r>
      <w:r>
        <w:rPr>
          <w:b/>
          <w:bCs/>
        </w:rPr>
        <w:t xml:space="preserve">ticket number</w:t>
      </w:r>
      <w:r>
        <w:t xml:space="preserve"> </w:t>
      </w:r>
      <w:r>
        <w:t xml:space="preserve">if required, and a requested duration bounded by the</w:t>
      </w:r>
      <w:r>
        <w:t xml:space="preserve"> </w:t>
      </w:r>
      <w:r>
        <w:t xml:space="preserve">role’s maximum.</w:t>
      </w:r>
    </w:p>
    <w:p>
      <w:pPr>
        <w:pStyle w:val="Compact"/>
        <w:numPr>
          <w:ilvl w:val="0"/>
          <w:numId w:val="1121"/>
        </w:numPr>
      </w:pPr>
      <w:r>
        <w:t xml:space="preserve">Satisfy</w:t>
      </w:r>
      <w:r>
        <w:t xml:space="preserve"> </w:t>
      </w:r>
      <w:r>
        <w:rPr>
          <w:b/>
          <w:bCs/>
        </w:rPr>
        <w:t xml:space="preserve">MFA</w:t>
      </w:r>
      <w:r>
        <w:t xml:space="preserve"> </w:t>
      </w:r>
      <w:r>
        <w:t xml:space="preserve">or the</w:t>
      </w:r>
      <w:r>
        <w:t xml:space="preserve"> </w:t>
      </w:r>
      <w:r>
        <w:rPr>
          <w:b/>
          <w:bCs/>
        </w:rPr>
        <w:t xml:space="preserve">authentication context</w:t>
      </w:r>
      <w:r>
        <w:t xml:space="preserve"> </w:t>
      </w:r>
      <w:r>
        <w:t xml:space="preserve">challenge. Where</w:t>
      </w:r>
      <w:r>
        <w:t xml:space="preserve"> </w:t>
      </w:r>
      <w:r>
        <w:t xml:space="preserve">authentication context applies, the request page shows a banner —</w:t>
      </w:r>
      <w:r>
        <w:t xml:space="preserve"> </w:t>
      </w:r>
      <w:r>
        <w:rPr>
          <w:i/>
          <w:iCs/>
        </w:rPr>
        <w:t xml:space="preserve">“A Conditional Access policy is enabled and may require additional</w:t>
      </w:r>
      <w:r>
        <w:rPr>
          <w:i/>
          <w:iCs/>
        </w:rPr>
        <w:t xml:space="preserve"> </w:t>
      </w:r>
      <w:r>
        <w:rPr>
          <w:i/>
          <w:iCs/>
        </w:rPr>
        <w:t xml:space="preserve">verification”</w:t>
      </w:r>
      <w:r>
        <w:t xml:space="preserve"> </w:t>
      </w:r>
      <w:r>
        <w:t xml:space="preserve">— and redirects to complete reauthentication.</w:t>
      </w:r>
    </w:p>
    <w:p>
      <w:pPr>
        <w:pStyle w:val="Compact"/>
        <w:numPr>
          <w:ilvl w:val="0"/>
          <w:numId w:val="1121"/>
        </w:numPr>
      </w:pPr>
      <w:r>
        <w:t xml:space="preserve">Wait for approval. Track it under</w:t>
      </w:r>
      <w:r>
        <w:t xml:space="preserve"> </w:t>
      </w:r>
      <w:r>
        <w:rPr>
          <w:b/>
          <w:bCs/>
        </w:rPr>
        <w:t xml:space="preserve">My requests</w:t>
      </w:r>
      <w:r>
        <w:t xml:space="preserve">.</w:t>
      </w:r>
    </w:p>
    <w:p>
      <w:pPr>
        <w:pStyle w:val="Compact"/>
        <w:numPr>
          <w:ilvl w:val="0"/>
          <w:numId w:val="1121"/>
        </w:numPr>
      </w:pPr>
      <w:r>
        <w:t xml:space="preserve">On approval, the role becomes active for the requested window and</w:t>
      </w:r>
      <w:r>
        <w:t xml:space="preserve"> </w:t>
      </w:r>
      <w:r>
        <w:t xml:space="preserve">deactivates automatically at expiry. No action is needed to release it.</w:t>
      </w:r>
    </w:p>
    <w:bookmarkEnd w:id="189"/>
    <w:bookmarkStart w:id="190" w:name="the-approvers-path"/>
    <w:p>
      <w:pPr>
        <w:pStyle w:val="Heading3"/>
      </w:pPr>
      <w:r>
        <w:t xml:space="preserve">The approver’s path</w:t>
      </w:r>
    </w:p>
    <w:p>
      <w:pPr>
        <w:pStyle w:val="Compact"/>
        <w:numPr>
          <w:ilvl w:val="0"/>
          <w:numId w:val="1122"/>
        </w:numPr>
      </w:pPr>
      <w:r>
        <w:t xml:space="preserve">An email notification arrives; pending requests are listed under</w:t>
      </w:r>
      <w:r>
        <w:t xml:space="preserve"> </w:t>
      </w:r>
      <w:r>
        <w:rPr>
          <w:b/>
          <w:bCs/>
        </w:rPr>
        <w:t xml:space="preserve">ID Governance</w:t>
      </w:r>
      <w:r>
        <w:t xml:space="preserve"> </w:t>
      </w:r>
      <w:r>
        <w:t xml:space="preserve">&gt;</w:t>
      </w:r>
      <w:r>
        <w:t xml:space="preserve"> </w:t>
      </w:r>
      <w:r>
        <w:rPr>
          <w:b/>
          <w:bCs/>
        </w:rPr>
        <w:t xml:space="preserve">Privileged Identity Management</w:t>
      </w:r>
      <w:r>
        <w:t xml:space="preserve"> </w:t>
      </w:r>
      <w:r>
        <w:t xml:space="preserve">&gt;</w:t>
      </w:r>
      <w:r>
        <w:t xml:space="preserve"> </w:t>
      </w:r>
      <w:r>
        <w:rPr>
          <w:b/>
          <w:bCs/>
        </w:rPr>
        <w:t xml:space="preserve">Approve requests</w:t>
      </w:r>
      <w:r>
        <w:t xml:space="preserve">, in</w:t>
      </w:r>
      <w:r>
        <w:t xml:space="preserve"> </w:t>
      </w:r>
      <w:r>
        <w:rPr>
          <w:b/>
          <w:bCs/>
        </w:rPr>
        <w:t xml:space="preserve">Requests for role activations</w:t>
      </w:r>
      <w:r>
        <w:t xml:space="preserve">.</w:t>
      </w:r>
    </w:p>
    <w:p>
      <w:pPr>
        <w:pStyle w:val="Compact"/>
        <w:numPr>
          <w:ilvl w:val="0"/>
          <w:numId w:val="1122"/>
        </w:numPr>
      </w:pPr>
      <w:r>
        <w:t xml:space="preserve">Select the request, enter the</w:t>
      </w:r>
      <w:r>
        <w:t xml:space="preserve"> </w:t>
      </w:r>
      <w:r>
        <w:rPr>
          <w:b/>
          <w:bCs/>
        </w:rPr>
        <w:t xml:space="preserve">justification</w:t>
      </w:r>
      <w:r>
        <w:t xml:space="preserve"> </w:t>
      </w:r>
      <w:r>
        <w:t xml:space="preserve">for the decision, and</w:t>
      </w:r>
      <w:r>
        <w:t xml:space="preserve"> </w:t>
      </w:r>
      <w:r>
        <w:rPr>
          <w:b/>
          <w:bCs/>
        </w:rPr>
        <w:t xml:space="preserve">Submit</w:t>
      </w:r>
      <w:r>
        <w:t xml:space="preserve">.</w:t>
      </w:r>
    </w:p>
    <w:p>
      <w:pPr>
        <w:pStyle w:val="FirstParagraph"/>
      </w:pPr>
      <w:r>
        <w:t xml:space="preserve">Programmatically:</w:t>
      </w:r>
    </w:p>
    <w:p>
      <w:pPr>
        <w:pStyle w:val="SourceCode"/>
      </w:pPr>
      <w:r>
        <w:rPr>
          <w:rStyle w:val="VerbatimChar"/>
        </w:rPr>
        <w:t xml:space="preserve">GET https://graph.microsoft.com/v1.0/roleManagement/directory/roleAssignmentScheduleRequests</w:t>
      </w:r>
      <w:r>
        <w:br/>
      </w:r>
      <w:r>
        <w:rPr>
          <w:rStyle w:val="VerbatimChar"/>
        </w:rPr>
        <w:t xml:space="preserve">    /filterByCurrentUser(on='approver')?$filter=status eq 'PendingApproval'</w:t>
      </w:r>
    </w:p>
    <w:p>
      <w:pPr>
        <w:pStyle w:val="FirstParagraph"/>
      </w:pPr>
      <w:r>
        <w:t xml:space="preserve">then approve or deny the step:</w:t>
      </w:r>
    </w:p>
    <w:p>
      <w:pPr>
        <w:pStyle w:val="SourceCode"/>
      </w:pPr>
      <w:r>
        <w:rPr>
          <w:rStyle w:val="VerbatimChar"/>
        </w:rPr>
        <w:t xml:space="preserve">PATCH https://graph.microsoft.com/beta/roleManagement/directory/roleAssignmentApprovals/{requestId}/steps/{stepId}</w:t>
      </w:r>
      <w:r>
        <w:br/>
      </w:r>
      <w:r>
        <w:rPr>
          <w:rStyle w:val="VerbatimChar"/>
        </w:rPr>
        <w:t xml:space="preserve">Content-Type: application/json</w:t>
      </w:r>
      <w:r>
        <w:br/>
      </w:r>
      <w:r>
        <w:br/>
      </w:r>
      <w:r>
        <w:rPr>
          <w:rStyle w:val="VerbatimChar"/>
        </w:rPr>
        <w:t xml:space="preserve">{ "reviewResult": "Approve" }</w:t>
      </w:r>
    </w:p>
    <w:bookmarkEnd w:id="190"/>
    <w:bookmarkStart w:id="191" w:name="the-24-hour-window"/>
    <w:p>
      <w:pPr>
        <w:pStyle w:val="Heading3"/>
      </w:pPr>
      <w:r>
        <w:t xml:space="preserve">The 24-hour window</w:t>
      </w:r>
    </w:p>
    <w:p>
      <w:pPr>
        <w:pStyle w:val="FirstParagraph"/>
      </w:pPr>
      <w:r>
        <w:t xml:space="preserve">Delegated approvers have</w:t>
      </w:r>
      <w:r>
        <w:t xml:space="preserve"> </w:t>
      </w:r>
      <w:r>
        <w:rPr>
          <w:b/>
          <w:bCs/>
        </w:rPr>
        <w:t xml:space="preserve">24 hours</w:t>
      </w:r>
      <w:r>
        <w:t xml:space="preserve"> </w:t>
      </w:r>
      <w:r>
        <w:t xml:space="preserve">to act. A request not approved within</w:t>
      </w:r>
      <w:r>
        <w:t xml:space="preserve"> </w:t>
      </w:r>
      <w:r>
        <w:t xml:space="preserve">24 hours expires, and the eligible user must submit a new one.</w:t>
      </w:r>
      <w:r>
        <w:t xml:space="preserve"> </w:t>
      </w:r>
      <w:r>
        <w:rPr>
          <w:b/>
          <w:bCs/>
        </w:rPr>
        <w:t xml:space="preserve">The 24-hour</w:t>
      </w:r>
      <w:r>
        <w:rPr>
          <w:b/>
          <w:bCs/>
        </w:rPr>
        <w:t xml:space="preserve"> </w:t>
      </w:r>
      <w:r>
        <w:rPr>
          <w:b/>
          <w:bCs/>
        </w:rPr>
        <w:t xml:space="preserve">window is not configurable.</w:t>
      </w:r>
    </w:p>
    <w:p>
      <w:pPr>
        <w:pStyle w:val="BodyText"/>
      </w:pPr>
      <w:r>
        <w:t xml:space="preserve">This is a real operational constraint, not a footnote: a Tier 0 approval path</w:t>
      </w:r>
      <w:r>
        <w:t xml:space="preserve"> </w:t>
      </w:r>
      <w:r>
        <w:t xml:space="preserve">staffed by two people in one time zone will strand out-of-hours requests. Size</w:t>
      </w:r>
      <w:r>
        <w:t xml:space="preserve"> </w:t>
      </w:r>
      <w:r>
        <w:t xml:space="preserve">the approver group for the agency’s actual operating hours, and make the</w:t>
      </w:r>
      <w:r>
        <w:t xml:space="preserve"> </w:t>
      </w:r>
      <w:r>
        <w:t xml:space="preserve">emergency access procedure from Step 0 — not an unapproved request — the</w:t>
      </w:r>
      <w:r>
        <w:t xml:space="preserve"> </w:t>
      </w:r>
      <w:r>
        <w:t xml:space="preserve">documented answer to</w:t>
      </w:r>
      <w:r>
        <w:t xml:space="preserve"> </w:t>
      </w:r>
      <w:r>
        <w:t xml:space="preserve">“the approvers are asleep and production is down.”</w:t>
      </w:r>
    </w:p>
    <w:bookmarkEnd w:id="191"/>
    <w:bookmarkStart w:id="192" w:name="approver-design-and-separation-of-duties"/>
    <w:p>
      <w:pPr>
        <w:pStyle w:val="Heading3"/>
      </w:pPr>
      <w:r>
        <w:t xml:space="preserve">Approver design and separation of duties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Rule</w:t>
            </w:r>
          </w:p>
        </w:tc>
        <w:tc>
          <w:tcPr/>
          <w:p>
            <w:pPr>
              <w:pStyle w:val="Compact"/>
            </w:pPr>
            <w:r>
              <w:t xml:space="preserve">Why</w:t>
            </w:r>
          </w:p>
        </w:tc>
      </w:tr>
      <w:tr>
        <w:tc>
          <w:tcPr/>
          <w:p>
            <w:pPr>
              <w:pStyle w:val="Compact"/>
            </w:pPr>
            <w:r>
              <w:t xml:space="preserve">Approvers for a tier are</w:t>
            </w:r>
            <w:r>
              <w:t xml:space="preserve"> </w:t>
            </w:r>
            <w:r>
              <w:rPr>
                <w:b/>
                <w:bCs/>
              </w:rPr>
              <w:t xml:space="preserve">not</w:t>
            </w:r>
            <w:r>
              <w:t xml:space="preserve"> </w:t>
            </w:r>
            <w:r>
              <w:t xml:space="preserve">members of that tier’s eligible population</w:t>
            </w:r>
          </w:p>
        </w:tc>
        <w:tc>
          <w:tcPr/>
          <w:p>
            <w:pPr>
              <w:pStyle w:val="Compact"/>
            </w:pPr>
            <w:r>
              <w:t xml:space="preserve">Otherwise the approval group and the requester population are the same set, and approval degrades to mutual back-scratching. Platform-blocked self-approval prevents the degenerate case; group design prevents the collusive one.</w:t>
            </w:r>
          </w:p>
        </w:tc>
      </w:tr>
      <w:tr>
        <w:tc>
          <w:tcPr/>
          <w:p>
            <w:pPr>
              <w:pStyle w:val="Compact"/>
            </w:pPr>
            <w:r>
              <w:t xml:space="preserve">Minimum</w:t>
            </w:r>
            <w:r>
              <w:t xml:space="preserve"> </w:t>
            </w:r>
            <w:r>
              <w:rPr>
                <w:b/>
                <w:bCs/>
              </w:rPr>
              <w:t xml:space="preserve">two</w:t>
            </w:r>
            <w:r>
              <w:t xml:space="preserve"> </w:t>
            </w:r>
            <w:r>
              <w:t xml:space="preserve">approvers per tier</w:t>
            </w:r>
          </w:p>
        </w:tc>
        <w:tc>
          <w:tcPr/>
          <w:p>
            <w:pPr>
              <w:pStyle w:val="Compact"/>
            </w:pPr>
            <w:r>
              <w:t xml:space="preserve">Microsoft’s recommendation, and the minimum that survives one person being unavailable.</w:t>
            </w:r>
          </w:p>
        </w:tc>
      </w:tr>
      <w:tr>
        <w:tc>
          <w:tcPr/>
          <w:p>
            <w:pPr>
              <w:pStyle w:val="Compact"/>
            </w:pPr>
            <w:r>
              <w:t xml:space="preserve">Approvers are</w:t>
            </w:r>
            <w:r>
              <w:t xml:space="preserve"> </w:t>
            </w:r>
            <w:r>
              <w:rPr>
                <w:b/>
                <w:bCs/>
              </w:rPr>
              <w:t xml:space="preserve">groups</w:t>
            </w:r>
            <w:r>
              <w:t xml:space="preserve">, membership managed as a governed object</w:t>
            </w:r>
          </w:p>
        </w:tc>
        <w:tc>
          <w:tcPr/>
          <w:p>
            <w:pPr>
              <w:pStyle w:val="Compact"/>
            </w:pPr>
            <w:r>
              <w:t xml:space="preserve">Named individuals break when people leave.</w:t>
            </w:r>
          </w:p>
        </w:tc>
      </w:tr>
      <w:tr>
        <w:tc>
          <w:tcPr/>
          <w:p>
            <w:pPr>
              <w:pStyle w:val="Compact"/>
            </w:pPr>
            <w:r>
              <w:t xml:space="preserve">Approver</w:t>
            </w:r>
            <w:r>
              <w:t xml:space="preserve"> </w:t>
            </w:r>
            <w:r>
              <w:rPr>
                <w:b/>
                <w:bCs/>
              </w:rPr>
              <w:t xml:space="preserve">justification required</w:t>
            </w:r>
          </w:p>
        </w:tc>
        <w:tc>
          <w:tcPr/>
          <w:p>
            <w:pPr>
              <w:pStyle w:val="Compact"/>
            </w:pPr>
            <w:r>
              <w:t xml:space="preserve">The decision, not just the outcome, must be in the record.</w:t>
            </w:r>
          </w:p>
        </w:tc>
      </w:tr>
      <w:tr>
        <w:tc>
          <w:tcPr/>
          <w:p>
            <w:pPr>
              <w:pStyle w:val="Compact"/>
            </w:pPr>
            <w:r>
              <w:t xml:space="preserve">Approver group membership is itself reviewed</w:t>
            </w:r>
          </w:p>
        </w:tc>
        <w:tc>
          <w:tcPr/>
          <w:p>
            <w:pPr>
              <w:pStyle w:val="Compact"/>
            </w:pPr>
            <w:r>
              <w:t xml:space="preserve">The approver group is a privileged object even though it holds no role.</w:t>
            </w:r>
          </w:p>
        </w:tc>
      </w:tr>
      <w:tr>
        <w:tc>
          <w:tcPr/>
          <w:p>
            <w:pPr>
              <w:pStyle w:val="Compact"/>
            </w:pPr>
            <w:r>
              <w:t xml:space="preserve">Tier 0 approvers sit</w:t>
            </w:r>
            <w:r>
              <w:t xml:space="preserve"> </w:t>
            </w:r>
            <w:r>
              <w:rPr>
                <w:b/>
                <w:bCs/>
              </w:rPr>
              <w:t xml:space="preserve">outside</w:t>
            </w:r>
            <w:r>
              <w:t xml:space="preserve"> </w:t>
            </w:r>
            <w:r>
              <w:t xml:space="preserve">the Tier 0 role population — for example, the security or governance function</w:t>
            </w:r>
          </w:p>
        </w:tc>
        <w:tc>
          <w:tcPr/>
          <w:p>
            <w:pPr>
              <w:pStyle w:val="Compact"/>
            </w:pPr>
            <w:r>
              <w:t xml:space="preserve">Separation of duties, at the point where it matters most.</w:t>
            </w:r>
          </w:p>
        </w:tc>
      </w:tr>
    </w:tbl>
    <w:bookmarkEnd w:id="192"/>
    <w:bookmarkEnd w:id="193"/>
    <w:bookmarkStart w:id="194" w:name="assessment-evidence"/>
    <w:p>
      <w:pPr>
        <w:pStyle w:val="Heading2"/>
      </w:pPr>
      <w:r>
        <w:t xml:space="preserve">Assessment evidence</w:t>
      </w:r>
    </w:p>
    <w:p>
      <w:pPr>
        <w:pStyle w:val="FirstParagraph"/>
      </w:pPr>
      <w:r>
        <w:t xml:space="preserve">What a 3PAO will ask for, and where it comes from: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Evidence</w:t>
            </w:r>
          </w:p>
        </w:tc>
        <w:tc>
          <w:tcPr/>
          <w:p>
            <w:pPr>
              <w:pStyle w:val="Compact"/>
            </w:pPr>
            <w:r>
              <w:t xml:space="preserve">Source</w:t>
            </w:r>
          </w:p>
        </w:tc>
        <w:tc>
          <w:tcPr/>
          <w:p>
            <w:pPr>
              <w:pStyle w:val="Compact"/>
            </w:pPr>
            <w:r>
              <w:t xml:space="preserve">Cadence</w:t>
            </w:r>
          </w:p>
        </w:tc>
      </w:tr>
      <w:tr>
        <w:tc>
          <w:tcPr/>
          <w:p>
            <w:pPr>
              <w:pStyle w:val="Compact"/>
            </w:pPr>
            <w:r>
              <w:t xml:space="preserve">PIM role settings per role (approval on, approvers named, MFA/justification, max duration)</w:t>
            </w:r>
          </w:p>
        </w:tc>
        <w:tc>
          <w:tcPr/>
          <w:p>
            <w:pPr>
              <w:pStyle w:val="Compact"/>
            </w:pPr>
            <w:r>
              <w:rPr>
                <w:rStyle w:val="VerbatimChar"/>
              </w:rPr>
              <w:t xml:space="preserve">GET /policies/roleManagementPolicies/{id}?$expand=rules</w:t>
            </w:r>
            <w:r>
              <w:t xml:space="preserve">, or the</w:t>
            </w:r>
            <w:r>
              <w:t xml:space="preserve"> </w:t>
            </w:r>
            <w:r>
              <w:rPr>
                <w:b/>
                <w:bCs/>
              </w:rPr>
              <w:t xml:space="preserve">Role settings</w:t>
            </w:r>
            <w:r>
              <w:t xml:space="preserve"> </w:t>
            </w:r>
            <w:r>
              <w:t xml:space="preserve">page</w:t>
            </w:r>
          </w:p>
        </w:tc>
        <w:tc>
          <w:tcPr/>
          <w:p>
            <w:pPr>
              <w:pStyle w:val="Compact"/>
            </w:pPr>
            <w:r>
              <w:t xml:space="preserve">On change; snapshot at assessment</w:t>
            </w:r>
          </w:p>
        </w:tc>
      </w:tr>
      <w:tr>
        <w:tc>
          <w:tcPr/>
          <w:p>
            <w:pPr>
              <w:pStyle w:val="Compact"/>
            </w:pPr>
            <w:r>
              <w:t xml:space="preserve">Eligible vs active assignment inventory</w:t>
            </w:r>
          </w:p>
        </w:tc>
        <w:tc>
          <w:tcPr/>
          <w:p>
            <w:pPr>
              <w:pStyle w:val="Compact"/>
            </w:pPr>
            <w:r>
              <w:rPr>
                <w:rStyle w:val="VerbatimChar"/>
              </w:rPr>
              <w:t xml:space="preserve">GET /roleManagement/directory/roleEligibilitySchedules</w:t>
            </w:r>
            <w:r>
              <w:t xml:space="preserve"> </w:t>
            </w:r>
            <w:r>
              <w:t xml:space="preserve">and</w:t>
            </w:r>
            <w:r>
              <w:t xml:space="preserve"> </w:t>
            </w:r>
            <w:r>
              <w:rPr>
                <w:rStyle w:val="VerbatimChar"/>
              </w:rPr>
              <w:t xml:space="preserve">roleAssignmentSchedules</w:t>
            </w:r>
          </w:p>
        </w:tc>
        <w:tc>
          <w:tcPr/>
          <w:p>
            <w:pPr>
              <w:pStyle w:val="Compact"/>
            </w:pPr>
            <w:r>
              <w:t xml:space="preserve">Monthly</w:t>
            </w:r>
          </w:p>
        </w:tc>
      </w:tr>
      <w:tr>
        <w:tc>
          <w:tcPr/>
          <w:p>
            <w:pPr>
              <w:pStyle w:val="Compact"/>
            </w:pPr>
            <w:r>
              <w:t xml:space="preserve">Activation requests with justification, approver, decision, and timestamps</w:t>
            </w:r>
          </w:p>
        </w:tc>
        <w:tc>
          <w:tcPr/>
          <w:p>
            <w:pPr>
              <w:pStyle w:val="Compact"/>
            </w:pPr>
            <w:r>
              <w:t xml:space="preserve">PIM</w:t>
            </w:r>
            <w:r>
              <w:t xml:space="preserve"> </w:t>
            </w:r>
            <w:r>
              <w:rPr>
                <w:b/>
                <w:bCs/>
              </w:rPr>
              <w:t xml:space="preserve">Resource audit</w:t>
            </w:r>
            <w:r>
              <w:t xml:space="preserve">; Microsoft Entra audit logs</w:t>
            </w:r>
          </w:p>
        </w:tc>
        <w:tc>
          <w:tcPr/>
          <w:p>
            <w:pPr>
              <w:pStyle w:val="Compact"/>
            </w:pPr>
            <w:r>
              <w:t xml:space="preserve">Continuous, exported</w:t>
            </w:r>
          </w:p>
        </w:tc>
      </w:tr>
      <w:tr>
        <w:tc>
          <w:tcPr/>
          <w:p>
            <w:pPr>
              <w:pStyle w:val="Compact"/>
            </w:pPr>
            <w:r>
              <w:t xml:space="preserve">Approver group membership and its review history</w:t>
            </w:r>
          </w:p>
        </w:tc>
        <w:tc>
          <w:tcPr/>
          <w:p>
            <w:pPr>
              <w:pStyle w:val="Compact"/>
            </w:pPr>
            <w:r>
              <w:t xml:space="preserve">Group object; access review results</w:t>
            </w:r>
          </w:p>
        </w:tc>
        <w:tc>
          <w:tcPr/>
          <w:p>
            <w:pPr>
              <w:pStyle w:val="Compact"/>
            </w:pPr>
            <w:r>
              <w:t xml:space="preserve">Per review cycle</w:t>
            </w:r>
          </w:p>
        </w:tc>
      </w:tr>
      <w:tr>
        <w:tc>
          <w:tcPr/>
          <w:p>
            <w:pPr>
              <w:pStyle w:val="Compact"/>
            </w:pPr>
            <w:r>
              <w:t xml:space="preserve">Access review campaigns, outcomes, and removals</w:t>
            </w:r>
          </w:p>
        </w:tc>
        <w:tc>
          <w:tcPr/>
          <w:p>
            <w:pPr>
              <w:pStyle w:val="Compact"/>
            </w:pPr>
            <w:r>
              <w:t xml:space="preserve">PIM access review results</w:t>
            </w:r>
          </w:p>
        </w:tc>
        <w:tc>
          <w:tcPr/>
          <w:p>
            <w:pPr>
              <w:pStyle w:val="Compact"/>
            </w:pPr>
            <w:r>
              <w:t xml:space="preserve">Per review cycle</w:t>
            </w:r>
          </w:p>
        </w:tc>
      </w:tr>
      <w:tr>
        <w:tc>
          <w:tcPr/>
          <w:p>
            <w:pPr>
              <w:pStyle w:val="Compact"/>
            </w:pPr>
            <w:r>
              <w:t xml:space="preserve">PIM alert state, especially</w:t>
            </w:r>
            <w:r>
              <w:t xml:space="preserve"> </w:t>
            </w:r>
            <w:r>
              <w:t xml:space="preserve">“assigned outside PIM”</w:t>
            </w:r>
          </w:p>
        </w:tc>
        <w:tc>
          <w:tcPr/>
          <w:p>
            <w:pPr>
              <w:pStyle w:val="Compact"/>
            </w:pPr>
            <w:r>
              <w:rPr>
                <w:b/>
                <w:bCs/>
              </w:rPr>
              <w:t xml:space="preserve">Microsoft Entra roles</w:t>
            </w:r>
            <w:r>
              <w:t xml:space="preserve"> </w:t>
            </w:r>
            <w:r>
              <w:t xml:space="preserve">&gt;</w:t>
            </w:r>
            <w:r>
              <w:t xml:space="preserve"> </w:t>
            </w:r>
            <w:r>
              <w:rPr>
                <w:b/>
                <w:bCs/>
              </w:rPr>
              <w:t xml:space="preserve">Alerts</w:t>
            </w:r>
          </w:p>
        </w:tc>
        <w:tc>
          <w:tcPr/>
          <w:p>
            <w:pPr>
              <w:pStyle w:val="Compact"/>
            </w:pPr>
            <w:r>
              <w:t xml:space="preserve">Continuous</w:t>
            </w:r>
          </w:p>
        </w:tc>
      </w:tr>
      <w:tr>
        <w:tc>
          <w:tcPr/>
          <w:p>
            <w:pPr>
              <w:pStyle w:val="Compact"/>
            </w:pPr>
            <w:r>
              <w:t xml:space="preserve">Emergency access account inventory, exclusions, credential custody, and use log</w:t>
            </w:r>
          </w:p>
        </w:tc>
        <w:tc>
          <w:tcPr/>
          <w:p>
            <w:pPr>
              <w:pStyle w:val="Compact"/>
            </w:pPr>
            <w:r>
              <w:t xml:space="preserve">Tenant configuration; alert rule; post-mortem records</w:t>
            </w:r>
          </w:p>
        </w:tc>
        <w:tc>
          <w:tcPr/>
          <w:p>
            <w:pPr>
              <w:pStyle w:val="Compact"/>
            </w:pPr>
            <w:r>
              <w:t xml:space="preserve">Quarterly validation</w:t>
            </w:r>
          </w:p>
        </w:tc>
      </w:tr>
      <w:tr>
        <w:tc>
          <w:tcPr/>
          <w:p>
            <w:pPr>
              <w:pStyle w:val="Compact"/>
            </w:pPr>
            <w:r>
              <w:t xml:space="preserve">Audit log export configuration and retention setting</w:t>
            </w:r>
          </w:p>
        </w:tc>
        <w:tc>
          <w:tcPr/>
          <w:p>
            <w:pPr>
              <w:pStyle w:val="Compact"/>
            </w:pPr>
            <w:r>
              <w:t xml:space="preserve">Azure Monitor diagnostic settings</w:t>
            </w:r>
          </w:p>
        </w:tc>
        <w:tc>
          <w:tcPr/>
          <w:p>
            <w:pPr>
              <w:pStyle w:val="Compact"/>
            </w:pPr>
            <w:r>
              <w:t xml:space="preserve">On change</w:t>
            </w:r>
          </w:p>
        </w:tc>
      </w:tr>
    </w:tbl>
    <w:p>
      <w:pPr>
        <w:pStyle w:val="BodyText"/>
      </w:pPr>
      <w:r>
        <w:rPr>
          <w:b/>
          <w:bCs/>
        </w:rPr>
        <w:t xml:space="preserve">Keep tenant artifacts out of this repository</w:t>
      </w:r>
    </w:p>
    <w:p>
      <w:pPr>
        <w:pStyle w:val="BodyText"/>
      </w:pPr>
      <w:r>
        <w:t xml:space="preserve">The rows above describe</w:t>
      </w:r>
      <w:r>
        <w:t xml:space="preserve"> </w:t>
      </w:r>
      <w:r>
        <w:rPr>
          <w:i/>
          <w:iCs/>
        </w:rPr>
        <w:t xml:space="preserve">where evidence comes from</w:t>
      </w:r>
      <w:r>
        <w:t xml:space="preserve">, not content to commit</w:t>
      </w:r>
      <w:r>
        <w:t xml:space="preserve"> </w:t>
      </w:r>
      <w:r>
        <w:t xml:space="preserve">here. Real tenant exports, request records, and review results belong in the</w:t>
      </w:r>
      <w:r>
        <w:t xml:space="preserve"> </w:t>
      </w:r>
      <w:r>
        <w:t xml:space="preserve">agency’s evidence store under its own handling rules — the</w:t>
      </w:r>
      <w:r>
        <w:t xml:space="preserve"> </w:t>
      </w:r>
      <w:r>
        <w:rPr>
          <w:rStyle w:val="VerbatimChar"/>
        </w:rPr>
        <w:t xml:space="preserve">evidence/</w:t>
      </w:r>
      <w:r>
        <w:t xml:space="preserve"> </w:t>
      </w:r>
      <w:r>
        <w:t xml:space="preserve">tree</w:t>
      </w:r>
      <w:r>
        <w:t xml:space="preserve"> </w:t>
      </w:r>
      <w:r>
        <w:t xml:space="preserve">convention, not the published documentation surface.</w:t>
      </w:r>
    </w:p>
    <w:bookmarkEnd w:id="194"/>
    <w:bookmarkStart w:id="195" w:name="validation-test-plan"/>
    <w:p>
      <w:pPr>
        <w:pStyle w:val="Heading2"/>
      </w:pPr>
      <w:r>
        <w:t xml:space="preserve">Validation test plan</w:t>
      </w:r>
    </w:p>
    <w:p>
      <w:pPr>
        <w:pStyle w:val="FirstParagraph"/>
      </w:pPr>
      <w:r>
        <w:t xml:space="preserve">Run these after the build and after any change to PIM settings, Conditional</w:t>
      </w:r>
      <w:r>
        <w:t xml:space="preserve"> </w:t>
      </w:r>
      <w:r>
        <w:t xml:space="preserve">Access, or approver group 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Test</w:t>
            </w:r>
          </w:p>
        </w:tc>
        <w:tc>
          <w:tcPr/>
          <w:p>
            <w:pPr>
              <w:pStyle w:val="Compact"/>
            </w:pPr>
            <w:r>
              <w:t xml:space="preserve">Expected result</w:t>
            </w:r>
          </w:p>
        </w:tc>
      </w:tr>
      <w:tr>
        <w:tc>
          <w:tcPr/>
          <w:p>
            <w:pPr>
              <w:pStyle w:val="Compact"/>
            </w:pPr>
            <w:r>
              <w:t xml:space="preserve">1</w:t>
            </w:r>
          </w:p>
        </w:tc>
        <w:tc>
          <w:tcPr/>
          <w:p>
            <w:pPr>
              <w:pStyle w:val="Compact"/>
            </w:pPr>
            <w:r>
              <w:t xml:space="preserve">Eligible user activates a Tier 0 role</w:t>
            </w:r>
          </w:p>
        </w:tc>
        <w:tc>
          <w:tcPr/>
          <w:p>
            <w:pPr>
              <w:pStyle w:val="Compact"/>
            </w:pPr>
            <w:r>
              <w:t xml:space="preserve">Prompted for justification and ticket; challenged per authentication context; request enters</w:t>
            </w:r>
            <w:r>
              <w:t xml:space="preserve"> </w:t>
            </w:r>
            <w:r>
              <w:rPr>
                <w:b/>
                <w:bCs/>
              </w:rPr>
              <w:t xml:space="preserve">PendingApproval</w:t>
            </w:r>
            <w:r>
              <w:t xml:space="preserve"> </w:t>
            </w:r>
            <w:r>
              <w:t xml:space="preserve">— role does</w:t>
            </w:r>
            <w:r>
              <w:t xml:space="preserve"> </w:t>
            </w:r>
            <w:r>
              <w:rPr>
                <w:b/>
                <w:bCs/>
              </w:rPr>
              <w:t xml:space="preserve">not</w:t>
            </w:r>
            <w:r>
              <w:t xml:space="preserve"> </w:t>
            </w:r>
            <w:r>
              <w:t xml:space="preserve">become active</w:t>
            </w:r>
          </w:p>
        </w:tc>
      </w:tr>
      <w:tr>
        <w:tc>
          <w:tcPr/>
          <w:p>
            <w:pPr>
              <w:pStyle w:val="Compact"/>
            </w:pPr>
            <w:r>
              <w:t xml:space="preserve">2</w:t>
            </w:r>
          </w:p>
        </w:tc>
        <w:tc>
          <w:tcPr/>
          <w:p>
            <w:pPr>
              <w:pStyle w:val="Compact"/>
            </w:pPr>
            <w:r>
              <w:t xml:space="preserve">Approver approves</w:t>
            </w:r>
          </w:p>
        </w:tc>
        <w:tc>
          <w:tcPr/>
          <w:p>
            <w:pPr>
              <w:pStyle w:val="Compact"/>
            </w:pPr>
            <w:r>
              <w:t xml:space="preserve">Role becomes active for the requested duration; both justifications recorded in the audit log</w:t>
            </w:r>
          </w:p>
        </w:tc>
      </w:tr>
      <w:tr>
        <w:tc>
          <w:tcPr/>
          <w:p>
            <w:pPr>
              <w:pStyle w:val="Compact"/>
            </w:pPr>
            <w:r>
              <w:t xml:space="preserve">3</w:t>
            </w:r>
          </w:p>
        </w:tc>
        <w:tc>
          <w:tcPr/>
          <w:p>
            <w:pPr>
              <w:pStyle w:val="Compact"/>
            </w:pPr>
            <w:r>
              <w:t xml:space="preserve">Approver denies</w:t>
            </w:r>
          </w:p>
        </w:tc>
        <w:tc>
          <w:tcPr/>
          <w:p>
            <w:pPr>
              <w:pStyle w:val="Compact"/>
            </w:pPr>
            <w:r>
              <w:t xml:space="preserve">Role remains eligible-only; denial and approver justification recorded</w:t>
            </w:r>
          </w:p>
        </w:tc>
      </w:tr>
      <w:tr>
        <w:tc>
          <w:tcPr/>
          <w:p>
            <w:pPr>
              <w:pStyle w:val="Compact"/>
            </w:pPr>
            <w:r>
              <w:t xml:space="preserve">4</w:t>
            </w:r>
          </w:p>
        </w:tc>
        <w:tc>
          <w:tcPr/>
          <w:p>
            <w:pPr>
              <w:pStyle w:val="Compact"/>
            </w:pPr>
            <w:r>
              <w:t xml:space="preserve">Requester attempts to approve their own request</w:t>
            </w:r>
          </w:p>
        </w:tc>
        <w:tc>
          <w:tcPr/>
          <w:p>
            <w:pPr>
              <w:pStyle w:val="Compact"/>
            </w:pPr>
            <w:r>
              <w:t xml:space="preserve">Blocked by the platform</w:t>
            </w:r>
          </w:p>
        </w:tc>
      </w:tr>
      <w:tr>
        <w:tc>
          <w:tcPr/>
          <w:p>
            <w:pPr>
              <w:pStyle w:val="Compact"/>
            </w:pPr>
            <w:r>
              <w:t xml:space="preserve">5</w:t>
            </w:r>
          </w:p>
        </w:tc>
        <w:tc>
          <w:tcPr/>
          <w:p>
            <w:pPr>
              <w:pStyle w:val="Compact"/>
            </w:pPr>
            <w:r>
              <w:t xml:space="preserve">Request left unactioned for 24 hours</w:t>
            </w:r>
          </w:p>
        </w:tc>
        <w:tc>
          <w:tcPr/>
          <w:p>
            <w:pPr>
              <w:pStyle w:val="Compact"/>
            </w:pPr>
            <w:r>
              <w:t xml:space="preserve">Request expires; user must resubmit</w:t>
            </w:r>
          </w:p>
        </w:tc>
      </w:tr>
      <w:tr>
        <w:tc>
          <w:tcPr/>
          <w:p>
            <w:pPr>
              <w:pStyle w:val="Compact"/>
            </w:pPr>
            <w:r>
              <w:t xml:space="preserve">6</w:t>
            </w:r>
          </w:p>
        </w:tc>
        <w:tc>
          <w:tcPr/>
          <w:p>
            <w:pPr>
              <w:pStyle w:val="Compact"/>
            </w:pPr>
            <w:r>
              <w:t xml:space="preserve">Activation window elapses</w:t>
            </w:r>
          </w:p>
        </w:tc>
        <w:tc>
          <w:tcPr/>
          <w:p>
            <w:pPr>
              <w:pStyle w:val="Compact"/>
            </w:pPr>
            <w:r>
              <w:t xml:space="preserve">Role deactivates automatically with no user action; deactivation appears in the audit log</w:t>
            </w:r>
          </w:p>
        </w:tc>
      </w:tr>
      <w:tr>
        <w:tc>
          <w:tcPr/>
          <w:p>
            <w:pPr>
              <w:pStyle w:val="Compact"/>
            </w:pPr>
            <w:r>
              <w:t xml:space="preserve">7</w:t>
            </w:r>
          </w:p>
        </w:tc>
        <w:tc>
          <w:tcPr/>
          <w:p>
            <w:pPr>
              <w:pStyle w:val="Compact"/>
            </w:pPr>
            <w:r>
              <w:t xml:space="preserve">A user not in the eligible population attempts activation</w:t>
            </w:r>
          </w:p>
        </w:tc>
        <w:tc>
          <w:tcPr/>
          <w:p>
            <w:pPr>
              <w:pStyle w:val="Compact"/>
            </w:pPr>
            <w:r>
              <w:t xml:space="preserve">No eligible assignment presented</w:t>
            </w:r>
          </w:p>
        </w:tc>
      </w:tr>
      <w:tr>
        <w:tc>
          <w:tcPr/>
          <w:p>
            <w:pPr>
              <w:pStyle w:val="Compact"/>
            </w:pPr>
            <w:r>
              <w:t xml:space="preserve">8</w:t>
            </w:r>
          </w:p>
        </w:tc>
        <w:tc>
          <w:tcPr/>
          <w:p>
            <w:pPr>
              <w:pStyle w:val="Compact"/>
            </w:pPr>
            <w:r>
              <w:t xml:space="preserve">Tier 0 role assigned directly, outside PIM</w:t>
            </w:r>
          </w:p>
        </w:tc>
        <w:tc>
          <w:tcPr/>
          <w:p>
            <w:pPr>
              <w:pStyle w:val="Compact"/>
            </w:pPr>
            <w:r>
              <w:rPr>
                <w:b/>
                <w:bCs/>
              </w:rPr>
              <w:t xml:space="preserve">“Roles are being assigned outside of Privileged Identity Management”</w:t>
            </w:r>
            <w:r>
              <w:t xml:space="preserve"> </w:t>
            </w:r>
            <w:r>
              <w:t xml:space="preserve">alert fires</w:t>
            </w:r>
          </w:p>
        </w:tc>
      </w:tr>
      <w:tr>
        <w:tc>
          <w:tcPr/>
          <w:p>
            <w:pPr>
              <w:pStyle w:val="Compact"/>
            </w:pPr>
            <w:r>
              <w:t xml:space="preserve">9</w:t>
            </w:r>
          </w:p>
        </w:tc>
        <w:tc>
          <w:tcPr/>
          <w:p>
            <w:pPr>
              <w:pStyle w:val="Compact"/>
            </w:pPr>
            <w:r>
              <w:t xml:space="preserve">Emergency access account signs in and uses Global Administrator</w:t>
            </w:r>
          </w:p>
        </w:tc>
        <w:tc>
          <w:tcPr/>
          <w:p>
            <w:pPr>
              <w:pStyle w:val="Compact"/>
            </w:pPr>
            <w:r>
              <w:t xml:space="preserve">Sign-in succeeds with no activation ceremony; alert fires to the post-mortem team</w:t>
            </w:r>
          </w:p>
        </w:tc>
      </w:tr>
      <w:tr>
        <w:tc>
          <w:tcPr/>
          <w:p>
            <w:pPr>
              <w:pStyle w:val="Compact"/>
            </w:pPr>
            <w:r>
              <w:t xml:space="preserve">10</w:t>
            </w:r>
          </w:p>
        </w:tc>
        <w:tc>
          <w:tcPr/>
          <w:p>
            <w:pPr>
              <w:pStyle w:val="Compact"/>
            </w:pPr>
            <w:r>
              <w:t xml:space="preserve">Activation event queried in the log destination</w:t>
            </w:r>
          </w:p>
        </w:tc>
        <w:tc>
          <w:tcPr/>
          <w:p>
            <w:pPr>
              <w:pStyle w:val="Compact"/>
            </w:pPr>
            <w:r>
              <w:t xml:space="preserve">Event present in Log Analytics / storage, not only in the 30-day PIM view</w:t>
            </w:r>
          </w:p>
        </w:tc>
      </w:tr>
      <w:tr>
        <w:tc>
          <w:tcPr/>
          <w:p>
            <w:pPr>
              <w:pStyle w:val="Compact"/>
            </w:pPr>
            <w:r>
              <w:t xml:space="preserve">11</w:t>
            </w:r>
          </w:p>
        </w:tc>
        <w:tc>
          <w:tcPr/>
          <w:p>
            <w:pPr>
              <w:pStyle w:val="Compact"/>
            </w:pPr>
            <w:r>
              <w:t xml:space="preserve">Conditional Access policy for the authentication context disabled</w:t>
            </w:r>
          </w:p>
        </w:tc>
        <w:tc>
          <w:tcPr/>
          <w:p>
            <w:pPr>
              <w:pStyle w:val="Compact"/>
            </w:pPr>
            <w:r>
              <w:t xml:space="preserve">Activation still requires authentication context — confirm the fallback is</w:t>
            </w:r>
            <w:r>
              <w:t xml:space="preserve"> </w:t>
            </w:r>
            <w:r>
              <w:rPr>
                <w:b/>
                <w:bCs/>
              </w:rPr>
              <w:t xml:space="preserve">not</w:t>
            </w:r>
            <w:r>
              <w:t xml:space="preserve"> </w:t>
            </w:r>
            <w:r>
              <w:t xml:space="preserve">silently relaxing the requirement (it does not trigger for disabled or report-only policies)</w:t>
            </w:r>
          </w:p>
        </w:tc>
      </w:tr>
      <w:tr>
        <w:tc>
          <w:tcPr/>
          <w:p>
            <w:pPr>
              <w:pStyle w:val="Compact"/>
            </w:pPr>
            <w:r>
              <w:t xml:space="preserve">12</w:t>
            </w:r>
          </w:p>
        </w:tc>
        <w:tc>
          <w:tcPr/>
          <w:p>
            <w:pPr>
              <w:pStyle w:val="Compact"/>
            </w:pPr>
            <w:r>
              <w:t xml:space="preserve">Eligible assignment reaches its expiry</w:t>
            </w:r>
          </w:p>
        </w:tc>
        <w:tc>
          <w:tcPr/>
          <w:p>
            <w:pPr>
              <w:pStyle w:val="Compact"/>
            </w:pPr>
            <w:r>
              <w:t xml:space="preserve">Assignment removed, except a last-remaining Global Administrator assignment, which Entra retains by design</w:t>
            </w:r>
          </w:p>
        </w:tc>
      </w:tr>
    </w:tbl>
    <w:bookmarkEnd w:id="195"/>
    <w:bookmarkStart w:id="197" w:name="control-mapping-fedramp-moderate"/>
    <w:p>
      <w:pPr>
        <w:pStyle w:val="Heading2"/>
      </w:pPr>
      <w:r>
        <w:t xml:space="preserve">Control mapping — FedRAMP Moderate</w:t>
      </w:r>
    </w:p>
    <w:p>
      <w:pPr>
        <w:pStyle w:val="FirstParagraph"/>
      </w:pPr>
      <w:r>
        <w:rPr>
          <w:b/>
          <w:bCs/>
        </w:rPr>
        <w:t xml:space="preserve">How to read this mapping</w:t>
      </w:r>
    </w:p>
    <w:p>
      <w:pPr>
        <w:pStyle w:val="BodyText"/>
      </w:pPr>
      <w:r>
        <w:t xml:space="preserve">FedRAMP Rev 5 baselines are derived from</w:t>
      </w:r>
      <w:r>
        <w:t xml:space="preserve"> </w:t>
      </w:r>
      <w:r>
        <w:rPr>
          <w:b/>
          <w:bCs/>
        </w:rPr>
        <w:t xml:space="preserve">NIST SP 800-53 Rev 5</w:t>
      </w:r>
      <w:r>
        <w:t xml:space="preserve">, with</w:t>
      </w:r>
      <w:r>
        <w:t xml:space="preserve"> </w:t>
      </w:r>
      <w:r>
        <w:t xml:space="preserve">FedRAMP-specific control additions and organization-defined parameter values</w:t>
      </w:r>
      <w:r>
        <w:t xml:space="preserve"> </w:t>
      </w:r>
      <w:r>
        <w:t xml:space="preserve">on top. Every control below was verified as present in the</w:t>
      </w:r>
      <w:r>
        <w:t xml:space="preserve"> </w:t>
      </w:r>
      <w:r>
        <w:rPr>
          <w:b/>
          <w:bCs/>
        </w:rPr>
        <w:t xml:space="preserve">NIST SP 800-53</w:t>
      </w:r>
      <w:r>
        <w:rPr>
          <w:b/>
          <w:bCs/>
        </w:rPr>
        <w:t xml:space="preserve"> </w:t>
      </w:r>
      <w:r>
        <w:rPr>
          <w:b/>
          <w:bCs/>
        </w:rPr>
        <w:t xml:space="preserve">Rev 5 Moderate baseline</w:t>
      </w:r>
      <w:r>
        <w:t xml:space="preserve"> </w:t>
      </w:r>
      <w:r>
        <w:t xml:space="preserve">(</w:t>
      </w:r>
      <w:r>
        <w:rPr>
          <w:rStyle w:val="VerbatimChar"/>
        </w:rPr>
        <w:t xml:space="preserve">usnistgov/oscal-content</w:t>
      </w:r>
      <w:r>
        <w:t xml:space="preserve">, resolved-profile</w:t>
      </w:r>
      <w:r>
        <w:t xml:space="preserve"> </w:t>
      </w:r>
      <w:r>
        <w:t xml:space="preserve">catalog), which FedRAMP Moderate inherits. Before using this table in an SSP,</w:t>
      </w:r>
      <w:r>
        <w:t xml:space="preserve"> </w:t>
      </w:r>
      <w:r>
        <w:t xml:space="preserve">confirm control selection and parameter values against</w:t>
      </w:r>
      <w:r>
        <w:t xml:space="preserve"> </w:t>
      </w:r>
      <w:r>
        <w:rPr>
          <w:b/>
          <w:bCs/>
        </w:rPr>
        <w:t xml:space="preserve">the agency’s current</w:t>
      </w:r>
      <w:r>
        <w:rPr>
          <w:b/>
          <w:bCs/>
        </w:rPr>
        <w:t xml:space="preserve"> </w:t>
      </w:r>
      <w:r>
        <w:rPr>
          <w:b/>
          <w:bCs/>
        </w:rPr>
        <w:t xml:space="preserve">authorized FedRAMP Moderate baseline</w:t>
      </w:r>
      <w:r>
        <w:t xml:space="preserve"> </w:t>
      </w:r>
      <w:r>
        <w:t xml:space="preserve">— in particular the AU-11 retention</w:t>
      </w:r>
      <w:r>
        <w:t xml:space="preserve"> </w:t>
      </w:r>
      <w:r>
        <w:t xml:space="preserve">period and the AC-6(7) review frequency, which are parameters, not constants.</w:t>
      </w:r>
    </w:p>
    <w:p>
      <w:pPr>
        <w:pStyle w:val="BodyText"/>
      </w:pPr>
      <w:r>
        <w:t xml:space="preserve">This is a</w:t>
      </w:r>
      <w:r>
        <w:t xml:space="preserve"> </w:t>
      </w:r>
      <w:r>
        <w:rPr>
          <w:b/>
          <w:bCs/>
        </w:rPr>
        <w:t xml:space="preserve">design-intent mapping</w:t>
      </w:r>
      <w:r>
        <w:t xml:space="preserve">: it says which build steps bear on which</w:t>
      </w:r>
      <w:r>
        <w:t xml:space="preserve"> </w:t>
      </w:r>
      <w:r>
        <w:t xml:space="preserve">controls. It is not an implementation statement and not an assessment result.</w:t>
      </w:r>
      <w:r>
        <w:t xml:space="preserve"> </w:t>
      </w:r>
      <w:r>
        <w:t xml:space="preserve">The system owner authors the implementation statements; the 3PAO decides</w:t>
      </w:r>
      <w:r>
        <w:t xml:space="preserve"> </w:t>
      </w:r>
      <w:r>
        <w:t xml:space="preserve">whether they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build bears on it</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 approval before privileged role activation is an enforced approval step; (g) PIM audit and alerts monitor privileged account use; (j) access reviews (Step 7) provide the periodic compliance review</w:t>
            </w:r>
          </w:p>
        </w:tc>
      </w:tr>
      <w:tr>
        <w:tc>
          <w:tcPr/>
          <w:p>
            <w:pPr>
              <w:pStyle w:val="Compact"/>
            </w:pPr>
            <w:r>
              <w:rPr>
                <w:b/>
                <w:bCs/>
              </w:rPr>
              <w:t xml:space="preserve">AC-2(1)</w:t>
            </w:r>
          </w:p>
        </w:tc>
        <w:tc>
          <w:tcPr/>
          <w:p>
            <w:pPr>
              <w:pStyle w:val="Compact"/>
            </w:pPr>
            <w:r>
              <w:t xml:space="preserve">Automated System Account Management</w:t>
            </w:r>
          </w:p>
        </w:tc>
        <w:tc>
          <w:tcPr/>
          <w:p>
            <w:pPr>
              <w:pStyle w:val="Compact"/>
            </w:pPr>
            <w:r>
              <w:t xml:space="preserve">PIM automates activation, expiry, and automatic deactivation of privileged role assignments — no manual deprovisioning step at the end of an elevation</w:t>
            </w:r>
          </w:p>
        </w:tc>
      </w:tr>
      <w:tr>
        <w:tc>
          <w:tcPr/>
          <w:p>
            <w:pPr>
              <w:pStyle w:val="Compact"/>
            </w:pPr>
            <w:r>
              <w:rPr>
                <w:b/>
                <w:bCs/>
              </w:rPr>
              <w:t xml:space="preserve">AC-2(13)</w:t>
            </w:r>
          </w:p>
        </w:tc>
        <w:tc>
          <w:tcPr/>
          <w:p>
            <w:pPr>
              <w:pStyle w:val="Compact"/>
            </w:pPr>
            <w:r>
              <w:t xml:space="preserve">Disable Accounts for High-risk Individuals</w:t>
            </w:r>
          </w:p>
        </w:tc>
        <w:tc>
          <w:tcPr/>
          <w:p>
            <w:pPr>
              <w:pStyle w:val="Compact"/>
            </w:pPr>
            <w:r>
              <w:t xml:space="preserve">Removing an eligible assignment removes the ability to elevate without touching the underlying account; PIM alerts surface stale privileged accounts as review candidates</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Entra enforces the activation requirements — approval, MFA, justification — before issuing the active role; enforcement is platform-side, not procedural</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Approvers are drawn from a population distinct from the requesting tier (Step 1); the platform blocks self-approval and prohibits service principals from approving</w:t>
            </w:r>
          </w:p>
        </w:tc>
      </w:tr>
      <w:tr>
        <w:tc>
          <w:tcPr/>
          <w:p>
            <w:pPr>
              <w:pStyle w:val="Compact"/>
            </w:pPr>
            <w:r>
              <w:rPr>
                <w:b/>
                <w:bCs/>
              </w:rPr>
              <w:t xml:space="preserve">AC-6</w:t>
            </w:r>
          </w:p>
        </w:tc>
        <w:tc>
          <w:tcPr/>
          <w:p>
            <w:pPr>
              <w:pStyle w:val="Compact"/>
            </w:pPr>
            <w:r>
              <w:t xml:space="preserve">Least Privilege</w:t>
            </w:r>
          </w:p>
        </w:tc>
        <w:tc>
          <w:tcPr/>
          <w:p>
            <w:pPr>
              <w:pStyle w:val="Compact"/>
            </w:pPr>
            <w:r>
              <w:t xml:space="preserve">Eligible-not-active is the least-privilege default: between activations the administrator holds no administrative scope</w:t>
            </w:r>
          </w:p>
        </w:tc>
      </w:tr>
      <w:tr>
        <w:tc>
          <w:tcPr/>
          <w:p>
            <w:pPr>
              <w:pStyle w:val="Compact"/>
            </w:pPr>
            <w:r>
              <w:rPr>
                <w:b/>
                <w:bCs/>
              </w:rPr>
              <w:t xml:space="preserve">AC-6(1)</w:t>
            </w:r>
          </w:p>
        </w:tc>
        <w:tc>
          <w:tcPr/>
          <w:p>
            <w:pPr>
              <w:pStyle w:val="Compact"/>
            </w:pPr>
            <w:r>
              <w:t xml:space="preserve">Authorize Access to Security Functions</w:t>
            </w:r>
          </w:p>
        </w:tc>
        <w:tc>
          <w:tcPr/>
          <w:p>
            <w:pPr>
              <w:pStyle w:val="Compact"/>
            </w:pPr>
            <w:r>
              <w:t xml:space="preserve">The eligible-assignment inventory is the explicit, enumerable authorization list for security-function access; tiering (Step 3) records which functions carry which gate</w:t>
            </w:r>
          </w:p>
        </w:tc>
      </w:tr>
      <w:tr>
        <w:tc>
          <w:tcPr/>
          <w:p>
            <w:pPr>
              <w:pStyle w:val="Compact"/>
            </w:pPr>
            <w:r>
              <w:rPr>
                <w:b/>
                <w:bCs/>
              </w:rPr>
              <w:t xml:space="preserve">AC-6(2)</w:t>
            </w:r>
          </w:p>
        </w:tc>
        <w:tc>
          <w:tcPr/>
          <w:p>
            <w:pPr>
              <w:pStyle w:val="Compact"/>
            </w:pPr>
            <w:r>
              <w:t xml:space="preserve">Non-privileged Access for Nonsecurity Functions</w:t>
            </w:r>
          </w:p>
        </w:tc>
        <w:tc>
          <w:tcPr/>
          <w:p>
            <w:pPr>
              <w:pStyle w:val="Compact"/>
            </w:pPr>
            <w:r>
              <w:t xml:space="preserve">Administrators operate under their standard account for nonsecurity work and elevate only for the task; no standing admin session</w:t>
            </w:r>
          </w:p>
        </w:tc>
      </w:tr>
      <w:tr>
        <w:tc>
          <w:tcPr/>
          <w:p>
            <w:pPr>
              <w:pStyle w:val="Compact"/>
            </w:pPr>
            <w:r>
              <w:rPr>
                <w:b/>
                <w:bCs/>
              </w:rPr>
              <w:t xml:space="preserve">AC-6(5)</w:t>
            </w:r>
          </w:p>
        </w:tc>
        <w:tc>
          <w:tcPr/>
          <w:p>
            <w:pPr>
              <w:pStyle w:val="Compact"/>
            </w:pPr>
            <w:r>
              <w:t xml:space="preserve">Privileged Accounts</w:t>
            </w:r>
          </w:p>
        </w:tc>
        <w:tc>
          <w:tcPr/>
          <w:p>
            <w:pPr>
              <w:pStyle w:val="Compact"/>
            </w:pPr>
            <w:r>
              <w:t xml:space="preserve">Privileged roles are restricted to the enumerated eligible population, with active assignments limited to emergency access accounts and service principals, each documented with rationale</w:t>
            </w:r>
          </w:p>
        </w:tc>
      </w:tr>
      <w:tr>
        <w:tc>
          <w:tcPr/>
          <w:p>
            <w:pPr>
              <w:pStyle w:val="Compact"/>
            </w:pPr>
            <w:r>
              <w:rPr>
                <w:b/>
                <w:bCs/>
              </w:rPr>
              <w:t xml:space="preserve">AC-6(7)</w:t>
            </w:r>
          </w:p>
        </w:tc>
        <w:tc>
          <w:tcPr/>
          <w:p>
            <w:pPr>
              <w:pStyle w:val="Compact"/>
            </w:pPr>
            <w:r>
              <w:t xml:space="preserve">Review of User Privileges</w:t>
            </w:r>
          </w:p>
        </w:tc>
        <w:tc>
          <w:tcPr/>
          <w:p>
            <w:pPr>
              <w:pStyle w:val="Compact"/>
            </w:pPr>
            <w:r>
              <w:t xml:space="preserve">Recurring PIM access reviews over eligible assignments (Step 7), with automatic removal on denial</w:t>
            </w:r>
          </w:p>
        </w:tc>
      </w:tr>
      <w:tr>
        <w:tc>
          <w:tcPr/>
          <w:p>
            <w:pPr>
              <w:pStyle w:val="Compact"/>
            </w:pPr>
            <w:r>
              <w:rPr>
                <w:b/>
                <w:bCs/>
              </w:rPr>
              <w:t xml:space="preserve">AC-6(9)</w:t>
            </w:r>
          </w:p>
        </w:tc>
        <w:tc>
          <w:tcPr/>
          <w:p>
            <w:pPr>
              <w:pStyle w:val="Compact"/>
            </w:pPr>
            <w:r>
              <w:t xml:space="preserve">Log Use of Privileged Functions</w:t>
            </w:r>
          </w:p>
        </w:tc>
        <w:tc>
          <w:tcPr/>
          <w:p>
            <w:pPr>
              <w:pStyle w:val="Compact"/>
            </w:pPr>
            <w:r>
              <w:t xml:space="preserve">PIM logs request, approval, activation, and deactivation; Entra audit logs carry the corresponding events (Step 8)</w:t>
            </w:r>
          </w:p>
        </w:tc>
      </w:tr>
      <w:tr>
        <w:tc>
          <w:tcPr/>
          <w:p>
            <w:pPr>
              <w:pStyle w:val="Compact"/>
            </w:pPr>
            <w:r>
              <w:rPr>
                <w:b/>
                <w:bCs/>
              </w:rPr>
              <w:t xml:space="preserve">AC-6(10)</w:t>
            </w:r>
          </w:p>
        </w:tc>
        <w:tc>
          <w:tcPr/>
          <w:p>
            <w:pPr>
              <w:pStyle w:val="Compact"/>
            </w:pPr>
            <w:r>
              <w:t xml:space="preserve">Prohibit Non-privileged Users from Executing Privileged Functions</w:t>
            </w:r>
          </w:p>
        </w:tc>
        <w:tc>
          <w:tcPr/>
          <w:p>
            <w:pPr>
              <w:pStyle w:val="Compact"/>
            </w:pPr>
            <w:r>
              <w:t xml:space="preserve">A user with no activated role is a non-privileged user; the privileged function is unreachable until the gate is passed</w:t>
            </w:r>
          </w:p>
        </w:tc>
      </w:tr>
      <w:tr>
        <w:tc>
          <w:tcPr/>
          <w:p>
            <w:pPr>
              <w:pStyle w:val="Compact"/>
            </w:pPr>
            <w:r>
              <w:rPr>
                <w:b/>
                <w:bCs/>
              </w:rPr>
              <w:t xml:space="preserve">AC-17(4)</w:t>
            </w:r>
          </w:p>
        </w:tc>
        <w:tc>
          <w:tcPr/>
          <w:p>
            <w:pPr>
              <w:pStyle w:val="Compact"/>
            </w:pPr>
            <w:r>
              <w:t xml:space="preserve">Privileged Commands and Access</w:t>
            </w:r>
          </w:p>
        </w:tc>
        <w:tc>
          <w:tcPr/>
          <w:p>
            <w:pPr>
              <w:pStyle w:val="Compact"/>
            </w:pPr>
            <w:r>
              <w:t xml:space="preserve">Elevation performed remotely produces assessable evidence — requester justification, approver identity, approver justification, timestamps, and duration</w:t>
            </w:r>
          </w:p>
        </w:tc>
      </w:tr>
      <w:tr>
        <w:tc>
          <w:tcPr/>
          <w:p>
            <w:pPr>
              <w:pStyle w:val="Compact"/>
            </w:pPr>
            <w:r>
              <w:rPr>
                <w:b/>
                <w:bCs/>
              </w:rPr>
              <w:t xml:space="preserve">AU-2</w:t>
            </w:r>
          </w:p>
        </w:tc>
        <w:tc>
          <w:tcPr/>
          <w:p>
            <w:pPr>
              <w:pStyle w:val="Compact"/>
            </w:pPr>
            <w:r>
              <w:t xml:space="preserve">Event Logging</w:t>
            </w:r>
          </w:p>
        </w:tc>
        <w:tc>
          <w:tcPr/>
          <w:p>
            <w:pPr>
              <w:pStyle w:val="Compact"/>
            </w:pPr>
            <w:r>
              <w:t xml:space="preserve">Request, approval, denial, activation, deactivation, and policy-change events are the PIM event types selected for logging</w:t>
            </w:r>
          </w:p>
        </w:tc>
      </w:tr>
      <w:tr>
        <w:tc>
          <w:tcPr/>
          <w:p>
            <w:pPr>
              <w:pStyle w:val="Compact"/>
            </w:pPr>
            <w:r>
              <w:rPr>
                <w:b/>
                <w:bCs/>
              </w:rPr>
              <w:t xml:space="preserve">AU-6</w:t>
            </w:r>
          </w:p>
        </w:tc>
        <w:tc>
          <w:tcPr/>
          <w:p>
            <w:pPr>
              <w:pStyle w:val="Compact"/>
            </w:pPr>
            <w:r>
              <w:t xml:space="preserve">Audit Record Review, Analysis, and Reporting</w:t>
            </w:r>
          </w:p>
        </w:tc>
        <w:tc>
          <w:tcPr/>
          <w:p>
            <w:pPr>
              <w:pStyle w:val="Compact"/>
            </w:pPr>
            <w:r>
              <w:t xml:space="preserve">Exported records are reviewed in the SIEM; PIM alerts (Step 6) provide the automated review triggers, notably assignment made outside PIM</w:t>
            </w:r>
          </w:p>
        </w:tc>
      </w:tr>
      <w:tr>
        <w:tc>
          <w:tcPr/>
          <w:p>
            <w:pPr>
              <w:pStyle w:val="Compact"/>
            </w:pPr>
            <w:r>
              <w:rPr>
                <w:b/>
                <w:bCs/>
              </w:rPr>
              <w:t xml:space="preserve">AU-11</w:t>
            </w:r>
          </w:p>
        </w:tc>
        <w:tc>
          <w:tcPr/>
          <w:p>
            <w:pPr>
              <w:pStyle w:val="Compact"/>
            </w:pPr>
            <w:r>
              <w:t xml:space="preserve">Audit Record Retention</w:t>
            </w:r>
          </w:p>
        </w:tc>
        <w:tc>
          <w:tcPr/>
          <w:p>
            <w:pPr>
              <w:pStyle w:val="Compact"/>
            </w:pPr>
            <w:r>
              <w:rPr>
                <w:b/>
                <w:bCs/>
              </w:rPr>
              <w:t xml:space="preserve">Native 30-day retention is insufficient.</w:t>
            </w:r>
            <w:r>
              <w:t xml:space="preserve"> </w:t>
            </w:r>
            <w:r>
              <w:t xml:space="preserve">Satisfied only by the Step 8 export to storage / Log Analytics at the baseline’s retention parameter</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Entra generates the audit records for every PIM event without additional instrumentation</w:t>
            </w:r>
          </w:p>
        </w:tc>
      </w:tr>
      <w:tr>
        <w:tc>
          <w:tcPr/>
          <w:p>
            <w:pPr>
              <w:pStyle w:val="Compact"/>
            </w:pPr>
            <w:r>
              <w:rPr>
                <w:b/>
                <w:bCs/>
              </w:rPr>
              <w:t xml:space="preserve">IA-2(1)</w:t>
            </w:r>
          </w:p>
        </w:tc>
        <w:tc>
          <w:tcPr/>
          <w:p>
            <w:pPr>
              <w:pStyle w:val="Compact"/>
            </w:pPr>
            <w:r>
              <w:t xml:space="preserve">MFA to Privileged Accounts</w:t>
            </w:r>
          </w:p>
        </w:tc>
        <w:tc>
          <w:tcPr/>
          <w:p>
            <w:pPr>
              <w:pStyle w:val="Compact"/>
            </w:pPr>
            <w:r>
              <w:t xml:space="preserve">MFA required at activation; for Tier 0, authentication context with phishing-resistant strength and sign-in frequency</w:t>
            </w:r>
            <w:r>
              <w:t xml:space="preserve"> </w:t>
            </w:r>
            <w:r>
              <w:rPr>
                <w:i/>
                <w:iCs/>
              </w:rPr>
              <w:t xml:space="preserve">Every time</w:t>
            </w:r>
            <w:r>
              <w:t xml:space="preserve"> </w:t>
            </w:r>
            <w:r>
              <w:t xml:space="preserve">forces a fresh proof rather than reusing a session claim</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Roles that can change the system are held eligible-only and released through the approval gate, making the approval the enforced logical access restriction on change; protected actions (</w:t>
            </w:r>
            <w:hyperlink w:anchor="Xb96a6a41d2116b951f6b7d440e0cdd31514962c">
              <w:r>
                <w:rPr>
                  <w:rStyle w:val="Hyperlink"/>
                </w:rPr>
                <w:t xml:space="preserve">Step 5a</w:t>
              </w:r>
            </w:hyperlink>
            <w:r>
              <w:t xml:space="preserve">) extend the restriction to the specific permissions that can alter the gate itself, independent of role</w:t>
            </w:r>
          </w:p>
        </w:tc>
      </w:tr>
      <w:tr>
        <w:tc>
          <w:tcPr/>
          <w:p>
            <w:pPr>
              <w:pStyle w:val="Compact"/>
            </w:pPr>
            <w:r>
              <w:rPr>
                <w:b/>
                <w:bCs/>
              </w:rPr>
              <w:t xml:space="preserve">PS-4 / PS-5</w:t>
            </w:r>
          </w:p>
        </w:tc>
        <w:tc>
          <w:tcPr/>
          <w:p>
            <w:pPr>
              <w:pStyle w:val="Compact"/>
            </w:pPr>
            <w:r>
              <w:t xml:space="preserve">Personnel Termination / Transfer</w:t>
            </w:r>
          </w:p>
        </w:tc>
        <w:tc>
          <w:tcPr/>
          <w:p>
            <w:pPr>
              <w:pStyle w:val="Compact"/>
            </w:pPr>
            <w:r>
              <w:t xml:space="preserve">Eligibility removal is a single revocation point covering every role the individual could elevate into; access reviews catch what offboarding misses</w:t>
            </w:r>
          </w:p>
        </w:tc>
      </w:tr>
    </w:tbl>
    <w:bookmarkStart w:id="196" w:name="where-this-build-alone-is-not-sufficient"/>
    <w:p>
      <w:pPr>
        <w:pStyle w:val="Heading3"/>
      </w:pPr>
      <w:r>
        <w:t xml:space="preserve">Where this build alone is not sufficient</w:t>
      </w:r>
    </w:p>
    <w:p>
      <w:pPr>
        <w:pStyle w:val="FirstParagraph"/>
      </w:pPr>
      <w:r>
        <w:t xml:space="preserve">Stating the gaps is part of the mapping.</w:t>
      </w:r>
    </w:p>
    <w:p>
      <w:pPr>
        <w:pStyle w:val="Compact"/>
        <w:numPr>
          <w:ilvl w:val="0"/>
          <w:numId w:val="1123"/>
        </w:numPr>
      </w:pPr>
      <w:r>
        <w:rPr>
          <w:b/>
          <w:bCs/>
        </w:rPr>
        <w:t xml:space="preserve">AU-11</w:t>
      </w:r>
      <w:r>
        <w:t xml:space="preserve"> </w:t>
      </w:r>
      <w:r>
        <w:t xml:space="preserve">is not met by the PIM configuration at all — only by the export in</w:t>
      </w:r>
      <w:r>
        <w:t xml:space="preserve"> </w:t>
      </w:r>
      <w:r>
        <w:t xml:space="preserve">Step 8. A build that skips Step 8 has a control failure, not a</w:t>
      </w:r>
      <w:r>
        <w:t xml:space="preserve"> </w:t>
      </w:r>
      <w:r>
        <w:t xml:space="preserve">documentation gap.</w:t>
      </w:r>
    </w:p>
    <w:p>
      <w:pPr>
        <w:pStyle w:val="Compact"/>
        <w:numPr>
          <w:ilvl w:val="0"/>
          <w:numId w:val="1123"/>
        </w:numPr>
      </w:pPr>
      <w:r>
        <w:rPr>
          <w:b/>
          <w:bCs/>
        </w:rPr>
        <w:t xml:space="preserve">Ticket information is not enforced.</w:t>
      </w:r>
      <w:r>
        <w:t xml:space="preserve"> </w:t>
      </w:r>
      <w:r>
        <w:t xml:space="preserve">If an implementation statement</w:t>
      </w:r>
      <w:r>
        <w:t xml:space="preserve"> </w:t>
      </w:r>
      <w:r>
        <w:t xml:space="preserve">claims ticket correlation, the enforcing control is in the ITSM or SIEM, not</w:t>
      </w:r>
      <w:r>
        <w:t xml:space="preserve"> </w:t>
      </w:r>
      <w:r>
        <w:t xml:space="preserve">in Entra.</w:t>
      </w:r>
    </w:p>
    <w:p>
      <w:pPr>
        <w:pStyle w:val="Compact"/>
        <w:numPr>
          <w:ilvl w:val="0"/>
          <w:numId w:val="1123"/>
        </w:numPr>
      </w:pPr>
      <w:r>
        <w:rPr>
          <w:b/>
          <w:bCs/>
        </w:rPr>
        <w:t xml:space="preserve">AC-5 depends on group design.</w:t>
      </w:r>
      <w:r>
        <w:t xml:space="preserve"> </w:t>
      </w:r>
      <w:r>
        <w:t xml:space="preserve">The platform blocks self-approval; it does</w:t>
      </w:r>
      <w:r>
        <w:t xml:space="preserve"> </w:t>
      </w:r>
      <w:r>
        <w:t xml:space="preserve">not stop an agency from making the approver group and the eligible</w:t>
      </w:r>
      <w:r>
        <w:t xml:space="preserve"> </w:t>
      </w:r>
      <w:r>
        <w:t xml:space="preserve">population identical. That separation is a design decision the SSP must</w:t>
      </w:r>
      <w:r>
        <w:t xml:space="preserve"> </w:t>
      </w:r>
      <w:r>
        <w:t xml:space="preserve">describe and the assessor will test.</w:t>
      </w:r>
    </w:p>
    <w:p>
      <w:pPr>
        <w:pStyle w:val="Compact"/>
        <w:numPr>
          <w:ilvl w:val="0"/>
          <w:numId w:val="1123"/>
        </w:numPr>
      </w:pPr>
      <w:r>
        <w:rPr>
          <w:b/>
          <w:bCs/>
        </w:rPr>
        <w:t xml:space="preserve">The approval gate protects activation, not assignment.</w:t>
      </w:r>
      <w:r>
        <w:t xml:space="preserve"> </w:t>
      </w:r>
      <w:r>
        <w:t xml:space="preserve">Direct role</w:t>
      </w:r>
      <w:r>
        <w:t xml:space="preserve"> </w:t>
      </w:r>
      <w:r>
        <w:t xml:space="preserve">assignment outside PIM bypasses it entirely. The compensating detection is</w:t>
      </w:r>
      <w:r>
        <w:t xml:space="preserve"> </w:t>
      </w:r>
      <w:r>
        <w:t xml:space="preserve">the</w:t>
      </w:r>
      <w:r>
        <w:t xml:space="preserve"> </w:t>
      </w:r>
      <w:r>
        <w:t xml:space="preserve">“assigned outside PIM”</w:t>
      </w:r>
      <w:r>
        <w:t xml:space="preserve"> </w:t>
      </w:r>
      <w:r>
        <w:t xml:space="preserve">alert, and it is a detection, not a prevention.</w:t>
      </w:r>
    </w:p>
    <w:p>
      <w:pPr>
        <w:pStyle w:val="Compact"/>
        <w:numPr>
          <w:ilvl w:val="0"/>
          <w:numId w:val="1123"/>
        </w:numPr>
      </w:pPr>
      <w:r>
        <w:rPr>
          <w:b/>
          <w:bCs/>
        </w:rPr>
        <w:t xml:space="preserve">Conditional Access administrators can weaken the gate</w:t>
      </w:r>
      <w:r>
        <w:t xml:space="preserve"> </w:t>
      </w:r>
      <w:r>
        <w:t xml:space="preserve">once</w:t>
      </w:r>
      <w:r>
        <w:t xml:space="preserve"> </w:t>
      </w:r>
      <w:r>
        <w:t xml:space="preserve">authentication context is in play (Step 5). Two controls close this, and</w:t>
      </w:r>
      <w:r>
        <w:t xml:space="preserve"> </w:t>
      </w:r>
      <w:r>
        <w:t xml:space="preserve">both are needed: their inclusion in Tier 0 (who holds the role) and</w:t>
      </w:r>
      <w:r>
        <w:t xml:space="preserve"> </w:t>
      </w:r>
      <w:r>
        <w:t xml:space="preserve">protected actions on the CA-policy permissions</w:t>
      </w:r>
      <w:r>
        <w:t xml:space="preserve"> </w:t>
      </w:r>
      <w:r>
        <w:t xml:space="preserve">(</w:t>
      </w:r>
      <w:hyperlink w:anchor="Xb96a6a41d2116b951f6b7d440e0cdd31514962c">
        <w:r>
          <w:rPr>
            <w:rStyle w:val="Hyperlink"/>
          </w:rPr>
          <w:t xml:space="preserve">Step 5a</w:t>
        </w:r>
      </w:hyperlink>
      <w:r>
        <w:t xml:space="preserve"> </w:t>
      </w:r>
      <w:r>
        <w:t xml:space="preserve">— what they must</w:t>
      </w:r>
      <w:r>
        <w:t xml:space="preserve"> </w:t>
      </w:r>
      <w:r>
        <w:t xml:space="preserve">prove to use it). Tier 0 gating alone leaves the permission reachable by</w:t>
      </w:r>
      <w:r>
        <w:t xml:space="preserve"> </w:t>
      </w:r>
      <w:r>
        <w:t xml:space="preserve">any other route that grants it.</w:t>
      </w:r>
    </w:p>
    <w:bookmarkEnd w:id="196"/>
    <w:bookmarkEnd w:id="197"/>
    <w:bookmarkStart w:id="198" w:name="known-constraints"/>
    <w:p>
      <w:pPr>
        <w:pStyle w:val="Heading2"/>
      </w:pPr>
      <w:r>
        <w:t xml:space="preserve">Known constraints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Constraint</w:t>
            </w:r>
          </w:p>
        </w:tc>
        <w:tc>
          <w:tcPr/>
          <w:p>
            <w:pPr>
              <w:pStyle w:val="Compact"/>
            </w:pPr>
            <w:r>
              <w:t xml:space="preserve">Impact</w:t>
            </w:r>
          </w:p>
        </w:tc>
      </w:tr>
      <w:tr>
        <w:tc>
          <w:tcPr/>
          <w:p>
            <w:pPr>
              <w:pStyle w:val="Compact"/>
            </w:pPr>
            <w:r>
              <w:t xml:space="preserve">Approval window is</w:t>
            </w:r>
            <w:r>
              <w:t xml:space="preserve"> </w:t>
            </w:r>
            <w:r>
              <w:rPr>
                <w:b/>
                <w:bCs/>
              </w:rPr>
              <w:t xml:space="preserve">24 hours, not configurable</w:t>
            </w:r>
          </w:p>
        </w:tc>
        <w:tc>
          <w:tcPr/>
          <w:p>
            <w:pPr>
              <w:pStyle w:val="Compact"/>
            </w:pPr>
            <w:r>
              <w:t xml:space="preserve">Out-of-hours requests expire; size approver groups for real operating hours</w:t>
            </w:r>
          </w:p>
        </w:tc>
      </w:tr>
      <w:tr>
        <w:tc>
          <w:tcPr/>
          <w:p>
            <w:pPr>
              <w:pStyle w:val="Compact"/>
            </w:pPr>
            <w:r>
              <w:rPr>
                <w:b/>
                <w:bCs/>
              </w:rPr>
              <w:t xml:space="preserve">Multi-step approvals are not supported</w:t>
            </w:r>
          </w:p>
        </w:tc>
        <w:tc>
          <w:tcPr/>
          <w:p>
            <w:pPr>
              <w:pStyle w:val="Compact"/>
            </w:pPr>
            <w:r>
              <w:t xml:space="preserve">A two-level approval chain cannot be expressed in one policy</w:t>
            </w:r>
          </w:p>
        </w:tc>
      </w:tr>
      <w:tr>
        <w:tc>
          <w:tcPr/>
          <w:p>
            <w:pPr>
              <w:pStyle w:val="Compact"/>
            </w:pPr>
            <w:r>
              <w:rPr>
                <w:b/>
                <w:bCs/>
              </w:rPr>
              <w:t xml:space="preserve">Extend / renew approval is not supported by the Graph API</w:t>
            </w:r>
          </w:p>
        </w:tc>
        <w:tc>
          <w:tcPr/>
          <w:p>
            <w:pPr>
              <w:pStyle w:val="Compact"/>
            </w:pPr>
            <w:r>
              <w:t xml:space="preserve">Automate initial approvals; extensions are portal-driven</w:t>
            </w:r>
          </w:p>
        </w:tc>
      </w:tr>
      <w:tr>
        <w:tc>
          <w:tcPr/>
          <w:p>
            <w:pPr>
              <w:pStyle w:val="Compact"/>
            </w:pPr>
            <w:r>
              <w:rPr>
                <w:b/>
                <w:bCs/>
              </w:rPr>
              <w:t xml:space="preserve">Extend / renew requests are approved by a Global Administrator or Privileged Role Administrator</w:t>
            </w:r>
          </w:p>
        </w:tc>
        <w:tc>
          <w:tcPr/>
          <w:p>
            <w:pPr>
              <w:pStyle w:val="Compact"/>
            </w:pPr>
            <w:r>
              <w:t xml:space="preserve">Not by the approver group configured for the role — a second, separate approval path the SSP must describe</w:t>
            </w:r>
          </w:p>
        </w:tc>
      </w:tr>
      <w:tr>
        <w:tc>
          <w:tcPr/>
          <w:p>
            <w:pPr>
              <w:pStyle w:val="Compact"/>
            </w:pPr>
            <w:r>
              <w:t xml:space="preserve">Activation maximum duration is bounded to</w:t>
            </w:r>
            <w:r>
              <w:t xml:space="preserve"> </w:t>
            </w:r>
            <w:r>
              <w:rPr>
                <w:b/>
                <w:bCs/>
              </w:rPr>
              <w:t xml:space="preserve">1–24 hours</w:t>
            </w:r>
          </w:p>
        </w:tc>
        <w:tc>
          <w:tcPr/>
          <w:p>
            <w:pPr>
              <w:pStyle w:val="Compact"/>
            </w:pPr>
            <w:r>
              <w:t xml:space="preserve">Longer windows require a documented risk acceptance and a different mechanism</w:t>
            </w:r>
          </w:p>
        </w:tc>
      </w:tr>
      <w:tr>
        <w:tc>
          <w:tcPr/>
          <w:p>
            <w:pPr>
              <w:pStyle w:val="Compact"/>
            </w:pPr>
            <w:r>
              <w:t xml:space="preserve">Assignments</w:t>
            </w:r>
            <w:r>
              <w:t xml:space="preserve"> </w:t>
            </w:r>
            <w:r>
              <w:rPr>
                <w:b/>
                <w:bCs/>
              </w:rPr>
              <w:t xml:space="preserve">cannot be shorter than five minutes</w:t>
            </w:r>
            <w:r>
              <w:t xml:space="preserve">, nor removed within five minutes of creation</w:t>
            </w:r>
          </w:p>
        </w:tc>
        <w:tc>
          <w:tcPr/>
          <w:p>
            <w:pPr>
              <w:pStyle w:val="Compact"/>
            </w:pPr>
            <w:r>
              <w:t xml:space="preserve">Affects bulk conversion tooling and rollback timing</w:t>
            </w:r>
          </w:p>
        </w:tc>
      </w:tr>
      <w:tr>
        <w:tc>
          <w:tcPr/>
          <w:p>
            <w:pPr>
              <w:pStyle w:val="Compact"/>
            </w:pPr>
            <w:r>
              <w:rPr>
                <w:b/>
                <w:bCs/>
              </w:rPr>
              <w:t xml:space="preserve">Last active Global Administrator / Privileged Role Administrator assignment cannot be removed</w:t>
            </w:r>
          </w:p>
        </w:tc>
        <w:tc>
          <w:tcPr/>
          <w:p>
            <w:pPr>
              <w:pStyle w:val="Compact"/>
            </w:pPr>
            <w:r>
              <w:t xml:space="preserve">PIM deliberately prevents removal of the last active assignment for either role, and a last-remaining time-bound Global Administrator assignment is not removed at expiry; do not read either as failure</w:t>
            </w:r>
          </w:p>
        </w:tc>
      </w:tr>
      <w:tr>
        <w:tc>
          <w:tcPr/>
          <w:p>
            <w:pPr>
              <w:pStyle w:val="Compact"/>
            </w:pPr>
            <w:r>
              <w:t xml:space="preserve">MFA at activation</w:t>
            </w:r>
            <w:r>
              <w:t xml:space="preserve"> </w:t>
            </w:r>
            <w:r>
              <w:rPr>
                <w:b/>
                <w:bCs/>
              </w:rPr>
              <w:t xml:space="preserve">may not reprompt</w:t>
            </w:r>
            <w:r>
              <w:t xml:space="preserve"> </w:t>
            </w:r>
            <w:r>
              <w:t xml:space="preserve">within a session</w:t>
            </w:r>
          </w:p>
        </w:tc>
        <w:tc>
          <w:tcPr/>
          <w:p>
            <w:pPr>
              <w:pStyle w:val="Compact"/>
            </w:pPr>
            <w:r>
              <w:t xml:space="preserve">Use authentication context where fresh proof is the control objective</w:t>
            </w:r>
          </w:p>
        </w:tc>
      </w:tr>
      <w:tr>
        <w:tc>
          <w:tcPr/>
          <w:p>
            <w:pPr>
              <w:pStyle w:val="Compact"/>
            </w:pPr>
            <w:r>
              <w:rPr>
                <w:b/>
                <w:bCs/>
              </w:rPr>
              <w:t xml:space="preserve">10-minute reauthentication window</w:t>
            </w:r>
            <w:r>
              <w:t xml:space="preserve"> </w:t>
            </w:r>
            <w:r>
              <w:t xml:space="preserve">spans Entra roles, Azure resource roles, and PIM for Groups</w:t>
            </w:r>
          </w:p>
        </w:tc>
        <w:tc>
          <w:tcPr/>
          <w:p>
            <w:pPr>
              <w:pStyle w:val="Compact"/>
            </w:pPr>
            <w:r>
              <w:t xml:space="preserve">A second activation inside the window inherits the first proof</w:t>
            </w:r>
          </w:p>
        </w:tc>
      </w:tr>
      <w:tr>
        <w:tc>
          <w:tcPr/>
          <w:p>
            <w:pPr>
              <w:pStyle w:val="Compact"/>
            </w:pPr>
            <w:r>
              <w:t xml:space="preserve">PIM audit history and Entra audit logs retain</w:t>
            </w:r>
            <w:r>
              <w:t xml:space="preserve"> </w:t>
            </w:r>
            <w:r>
              <w:rPr>
                <w:b/>
                <w:bCs/>
              </w:rPr>
              <w:t xml:space="preserve">30 days</w:t>
            </w:r>
          </w:p>
        </w:tc>
        <w:tc>
          <w:tcPr/>
          <w:p>
            <w:pPr>
              <w:pStyle w:val="Compact"/>
            </w:pPr>
            <w:r>
              <w:t xml:space="preserve">Export is mandatory for federal retention</w:t>
            </w:r>
          </w:p>
        </w:tc>
      </w:tr>
      <w:tr>
        <w:tc>
          <w:tcPr/>
          <w:p>
            <w:pPr>
              <w:pStyle w:val="Compact"/>
            </w:pPr>
            <w:r>
              <w:rPr>
                <w:b/>
                <w:bCs/>
              </w:rPr>
              <w:t xml:space="preserve">1000 notification recipients per event</w:t>
            </w:r>
          </w:p>
        </w:tc>
        <w:tc>
          <w:tcPr/>
          <w:p>
            <w:pPr>
              <w:pStyle w:val="Compact"/>
            </w:pPr>
            <w:r>
              <w:t xml:space="preserve">Keep approver and notification groups small</w:t>
            </w:r>
          </w:p>
        </w:tc>
      </w:tr>
      <w:tr>
        <w:tc>
          <w:tcPr/>
          <w:p>
            <w:pPr>
              <w:pStyle w:val="Compact"/>
            </w:pPr>
            <w:r>
              <w:t xml:space="preserve">Licence lapse</w:t>
            </w:r>
            <w:r>
              <w:t xml:space="preserve"> </w:t>
            </w:r>
            <w:r>
              <w:rPr>
                <w:b/>
                <w:bCs/>
              </w:rPr>
              <w:t xml:space="preserve">removes PIM configuration settings</w:t>
            </w:r>
          </w:p>
        </w:tc>
        <w:tc>
          <w:tcPr/>
          <w:p>
            <w:pPr>
              <w:pStyle w:val="Compact"/>
            </w:pPr>
            <w:r>
              <w:t xml:space="preserve">Subscription continuity is a control dependency</w:t>
            </w:r>
          </w:p>
        </w:tc>
      </w:tr>
      <w:tr>
        <w:tc>
          <w:tcPr/>
          <w:p>
            <w:pPr>
              <w:pStyle w:val="Compact"/>
            </w:pPr>
            <w:r>
              <w:rPr>
                <w:b/>
                <w:bCs/>
              </w:rPr>
              <w:t xml:space="preserve">Azure PowerShell cannot perform protected actions</w:t>
            </w:r>
          </w:p>
        </w:tc>
        <w:tc>
          <w:tcPr/>
          <w:p>
            <w:pPr>
              <w:pStyle w:val="Compact"/>
            </w:pPr>
            <w:r>
              <w:t xml:space="preserve">Use Microsoft Graph PowerShell; audit existing automation before enabling protected actions (</w:t>
            </w:r>
            <w:hyperlink w:anchor="Xb96a6a41d2116b951f6b7d440e0cdd31514962c">
              <w:r>
                <w:rPr>
                  <w:rStyle w:val="Hyperlink"/>
                </w:rPr>
                <w:t xml:space="preserve">Step 5a</w:t>
              </w:r>
            </w:hyperlink>
            <w:r>
              <w:t xml:space="preserve">)</w:t>
            </w:r>
          </w:p>
        </w:tc>
      </w:tr>
      <w:tr>
        <w:tc>
          <w:tcPr/>
          <w:p>
            <w:pPr>
              <w:pStyle w:val="Compact"/>
            </w:pPr>
            <w:r>
              <w:rPr>
                <w:b/>
                <w:bCs/>
              </w:rPr>
              <w:t xml:space="preserve">A protected action whose CA policy is Off or Report-only can never be satisfied</w:t>
            </w:r>
          </w:p>
        </w:tc>
        <w:tc>
          <w:tcPr/>
          <w:p>
            <w:pPr>
              <w:pStyle w:val="Compact"/>
            </w:pPr>
            <w:r>
              <w:t xml:space="preserve">Recover via</w:t>
            </w:r>
            <w:r>
              <w:t xml:space="preserve"> </w:t>
            </w:r>
            <w:r>
              <w:rPr>
                <w:rStyle w:val="VerbatimChar"/>
              </w:rPr>
              <w:t xml:space="preserve">aka.ms/MSALProtectedActions</w:t>
            </w:r>
            <w:r>
              <w:t xml:space="preserve">; keep it in the break-glass runbook</w:t>
            </w:r>
          </w:p>
        </w:tc>
      </w:tr>
    </w:tbl>
    <w:bookmarkEnd w:id="198"/>
    <w:bookmarkStart w:id="226" w:name="sources"/>
    <w:p>
      <w:pPr>
        <w:pStyle w:val="Heading2"/>
      </w:pPr>
      <w:r>
        <w:t xml:space="preserve">Sources</w:t>
      </w:r>
    </w:p>
    <w:p>
      <w:pPr>
        <w:pStyle w:val="FirstParagraph"/>
      </w:pPr>
      <w:r>
        <w:t xml:space="preserve">All Microsoft product behaviour above is drawn from current Microsoft Learn</w:t>
      </w:r>
      <w:r>
        <w:t xml:space="preserve"> </w:t>
      </w:r>
      <w:r>
        <w:t xml:space="preserve">documentation. Control text and Moderate-baseline membership are drawn from</w:t>
      </w:r>
      <w:r>
        <w:t xml:space="preserve"> </w:t>
      </w:r>
      <w:r>
        <w:t xml:space="preserve">the NIST OSCAL publication of SP 800-53 Rev 5.</w:t>
      </w:r>
    </w:p>
    <w:p>
      <w:pPr>
        <w:pStyle w:val="BodyText"/>
      </w:pPr>
      <w:r>
        <w:rPr>
          <w:b/>
          <w:bCs/>
        </w:rPr>
        <w:t xml:space="preserve">Microsoft Entra PIM</w:t>
      </w:r>
    </w:p>
    <w:p>
      <w:pPr>
        <w:pStyle w:val="Compact"/>
        <w:numPr>
          <w:ilvl w:val="0"/>
          <w:numId w:val="1124"/>
        </w:numPr>
      </w:pPr>
      <w:hyperlink r:id="rId199">
        <w:r>
          <w:rPr>
            <w:rStyle w:val="Hyperlink"/>
          </w:rPr>
          <w:t xml:space="preserve">Configure Microsoft Entra role settings in Privileged Identity Management</w:t>
        </w:r>
      </w:hyperlink>
    </w:p>
    <w:p>
      <w:pPr>
        <w:pStyle w:val="Compact"/>
        <w:numPr>
          <w:ilvl w:val="0"/>
          <w:numId w:val="1124"/>
        </w:numPr>
      </w:pPr>
      <w:hyperlink r:id="rId200">
        <w:r>
          <w:rPr>
            <w:rStyle w:val="Hyperlink"/>
          </w:rPr>
          <w:t xml:space="preserve">Approve or deny requests for Microsoft Entra roles in Privileged Identity Management</w:t>
        </w:r>
      </w:hyperlink>
    </w:p>
    <w:p>
      <w:pPr>
        <w:pStyle w:val="Compact"/>
        <w:numPr>
          <w:ilvl w:val="0"/>
          <w:numId w:val="1124"/>
        </w:numPr>
      </w:pPr>
      <w:hyperlink r:id="rId201">
        <w:r>
          <w:rPr>
            <w:rStyle w:val="Hyperlink"/>
          </w:rPr>
          <w:t xml:space="preserve">Assign Microsoft Entra roles in Privileged Identity Management</w:t>
        </w:r>
      </w:hyperlink>
    </w:p>
    <w:p>
      <w:pPr>
        <w:pStyle w:val="Compact"/>
        <w:numPr>
          <w:ilvl w:val="0"/>
          <w:numId w:val="1124"/>
        </w:numPr>
      </w:pPr>
      <w:hyperlink r:id="rId202">
        <w:r>
          <w:rPr>
            <w:rStyle w:val="Hyperlink"/>
          </w:rPr>
          <w:t xml:space="preserve">Start using Privileged Identity Management</w:t>
        </w:r>
      </w:hyperlink>
    </w:p>
    <w:p>
      <w:pPr>
        <w:pStyle w:val="Compact"/>
        <w:numPr>
          <w:ilvl w:val="0"/>
          <w:numId w:val="1124"/>
        </w:numPr>
      </w:pPr>
      <w:hyperlink r:id="rId203">
        <w:r>
          <w:rPr>
            <w:rStyle w:val="Hyperlink"/>
          </w:rPr>
          <w:t xml:space="preserve">Plan a Privileged Identity Management deployment</w:t>
        </w:r>
      </w:hyperlink>
    </w:p>
    <w:p>
      <w:pPr>
        <w:pStyle w:val="Compact"/>
        <w:numPr>
          <w:ilvl w:val="0"/>
          <w:numId w:val="1124"/>
        </w:numPr>
      </w:pPr>
      <w:hyperlink r:id="rId204">
        <w:r>
          <w:rPr>
            <w:rStyle w:val="Hyperlink"/>
          </w:rPr>
          <w:t xml:space="preserve">View audit history for Microsoft Entra roles in Privileged Identity Management</w:t>
        </w:r>
      </w:hyperlink>
    </w:p>
    <w:p>
      <w:pPr>
        <w:pStyle w:val="Compact"/>
        <w:numPr>
          <w:ilvl w:val="0"/>
          <w:numId w:val="1124"/>
        </w:numPr>
      </w:pPr>
      <w:hyperlink r:id="rId205">
        <w:r>
          <w:rPr>
            <w:rStyle w:val="Hyperlink"/>
          </w:rPr>
          <w:t xml:space="preserve">Configure security alerts for Microsoft Entra roles in Privileged Identity Management</w:t>
        </w:r>
      </w:hyperlink>
    </w:p>
    <w:p>
      <w:pPr>
        <w:pStyle w:val="Compact"/>
        <w:numPr>
          <w:ilvl w:val="0"/>
          <w:numId w:val="1124"/>
        </w:numPr>
      </w:pPr>
      <w:hyperlink r:id="rId206">
        <w:r>
          <w:rPr>
            <w:rStyle w:val="Hyperlink"/>
          </w:rPr>
          <w:t xml:space="preserve">Create an access review of Microsoft Entra roles in Privileged Identity Management</w:t>
        </w:r>
      </w:hyperlink>
    </w:p>
    <w:p>
      <w:pPr>
        <w:pStyle w:val="Compact"/>
        <w:numPr>
          <w:ilvl w:val="0"/>
          <w:numId w:val="1124"/>
        </w:numPr>
      </w:pPr>
      <w:hyperlink r:id="rId207">
        <w:r>
          <w:rPr>
            <w:rStyle w:val="Hyperlink"/>
          </w:rPr>
          <w:t xml:space="preserve">Email notifications in Privileged Identity Management</w:t>
        </w:r>
      </w:hyperlink>
    </w:p>
    <w:p>
      <w:pPr>
        <w:pStyle w:val="Compact"/>
        <w:numPr>
          <w:ilvl w:val="0"/>
          <w:numId w:val="1124"/>
        </w:numPr>
      </w:pPr>
      <w:hyperlink r:id="rId208">
        <w:r>
          <w:rPr>
            <w:rStyle w:val="Hyperlink"/>
          </w:rPr>
          <w:t xml:space="preserve">Microsoft Entra ID Governance licensing fundamentals</w:t>
        </w:r>
      </w:hyperlink>
    </w:p>
    <w:p>
      <w:pPr>
        <w:pStyle w:val="FirstParagraph"/>
      </w:pPr>
      <w:r>
        <w:rPr>
          <w:b/>
          <w:bCs/>
        </w:rPr>
        <w:t xml:space="preserve">Microsoft Graph</w:t>
      </w:r>
    </w:p>
    <w:p>
      <w:pPr>
        <w:pStyle w:val="Compact"/>
        <w:numPr>
          <w:ilvl w:val="0"/>
          <w:numId w:val="1125"/>
        </w:numPr>
      </w:pPr>
      <w:hyperlink r:id="rId209">
        <w:r>
          <w:rPr>
            <w:rStyle w:val="Hyperlink"/>
          </w:rPr>
          <w:t xml:space="preserve">Update rules in PIM by using Microsoft Graph</w:t>
        </w:r>
      </w:hyperlink>
    </w:p>
    <w:p>
      <w:pPr>
        <w:pStyle w:val="Compact"/>
        <w:numPr>
          <w:ilvl w:val="0"/>
          <w:numId w:val="1125"/>
        </w:numPr>
      </w:pPr>
      <w:hyperlink r:id="rId210">
        <w:r>
          <w:rPr>
            <w:rStyle w:val="Hyperlink"/>
          </w:rPr>
          <w:t xml:space="preserve">unifiedRoleManagementPolicyRule resource type</w:t>
        </w:r>
      </w:hyperlink>
    </w:p>
    <w:p>
      <w:pPr>
        <w:pStyle w:val="Compact"/>
        <w:numPr>
          <w:ilvl w:val="0"/>
          <w:numId w:val="1125"/>
        </w:numPr>
      </w:pPr>
      <w:hyperlink r:id="rId211">
        <w:r>
          <w:rPr>
            <w:rStyle w:val="Hyperlink"/>
          </w:rPr>
          <w:t xml:space="preserve">Overview of role management through the PIM API</w:t>
        </w:r>
      </w:hyperlink>
    </w:p>
    <w:p>
      <w:pPr>
        <w:pStyle w:val="FirstParagraph"/>
      </w:pPr>
      <w:r>
        <w:rPr>
          <w:b/>
          <w:bCs/>
        </w:rPr>
        <w:t xml:space="preserve">Microsoft Entra identity and access</w:t>
      </w:r>
    </w:p>
    <w:p>
      <w:pPr>
        <w:pStyle w:val="Compact"/>
        <w:numPr>
          <w:ilvl w:val="0"/>
          <w:numId w:val="1126"/>
        </w:numPr>
      </w:pPr>
      <w:hyperlink r:id="rId212">
        <w:r>
          <w:rPr>
            <w:rStyle w:val="Hyperlink"/>
          </w:rPr>
          <w:t xml:space="preserve">Microsoft Entra built-in roles</w:t>
        </w:r>
      </w:hyperlink>
      <w:r>
        <w:t xml:space="preserve"> </w:t>
      </w:r>
      <w:r>
        <w:t xml:space="preserve">— role template IDs</w:t>
      </w:r>
    </w:p>
    <w:p>
      <w:pPr>
        <w:pStyle w:val="Compact"/>
        <w:numPr>
          <w:ilvl w:val="0"/>
          <w:numId w:val="1126"/>
        </w:numPr>
      </w:pPr>
      <w:hyperlink r:id="rId213">
        <w:r>
          <w:rPr>
            <w:rStyle w:val="Hyperlink"/>
          </w:rPr>
          <w:t xml:space="preserve">Manage emergency access accounts in Microsoft Entra ID</w:t>
        </w:r>
      </w:hyperlink>
    </w:p>
    <w:p>
      <w:pPr>
        <w:pStyle w:val="Compact"/>
        <w:numPr>
          <w:ilvl w:val="0"/>
          <w:numId w:val="1126"/>
        </w:numPr>
      </w:pPr>
      <w:hyperlink r:id="rId214">
        <w:r>
          <w:rPr>
            <w:rStyle w:val="Hyperlink"/>
          </w:rPr>
          <w:t xml:space="preserve">What are protected actions in Microsoft Entra ID?</w:t>
        </w:r>
      </w:hyperlink>
    </w:p>
    <w:p>
      <w:pPr>
        <w:pStyle w:val="Compact"/>
        <w:numPr>
          <w:ilvl w:val="0"/>
          <w:numId w:val="1126"/>
        </w:numPr>
      </w:pPr>
      <w:hyperlink r:id="rId215">
        <w:r>
          <w:rPr>
            <w:rStyle w:val="Hyperlink"/>
          </w:rPr>
          <w:t xml:space="preserve">Add protected actions in Microsoft Entra ID</w:t>
        </w:r>
      </w:hyperlink>
    </w:p>
    <w:p>
      <w:pPr>
        <w:pStyle w:val="Compact"/>
        <w:numPr>
          <w:ilvl w:val="0"/>
          <w:numId w:val="1126"/>
        </w:numPr>
      </w:pPr>
      <w:hyperlink r:id="rId163">
        <w:r>
          <w:rPr>
            <w:rStyle w:val="Hyperlink"/>
          </w:rPr>
          <w:t xml:space="preserve">Microsoft Entra feature availability</w:t>
        </w:r>
      </w:hyperlink>
      <w:r>
        <w:t xml:space="preserve"> </w:t>
      </w:r>
      <w:r>
        <w:t xml:space="preserve">— GCC / GCC High / DoD</w:t>
      </w:r>
    </w:p>
    <w:p>
      <w:pPr>
        <w:pStyle w:val="Compact"/>
        <w:numPr>
          <w:ilvl w:val="0"/>
          <w:numId w:val="1126"/>
        </w:numPr>
      </w:pPr>
      <w:hyperlink r:id="rId216">
        <w:r>
          <w:rPr>
            <w:rStyle w:val="Hyperlink"/>
          </w:rPr>
          <w:t xml:space="preserve">Securing privileged access for hybrid and cloud deployments in Microsoft Entra ID</w:t>
        </w:r>
      </w:hyperlink>
    </w:p>
    <w:p>
      <w:pPr>
        <w:pStyle w:val="Compact"/>
        <w:numPr>
          <w:ilvl w:val="0"/>
          <w:numId w:val="1126"/>
        </w:numPr>
      </w:pPr>
      <w:hyperlink r:id="rId217">
        <w:r>
          <w:rPr>
            <w:rStyle w:val="Hyperlink"/>
          </w:rPr>
          <w:t xml:space="preserve">Conditional Access: Cloud apps, actions, and authentication context</w:t>
        </w:r>
      </w:hyperlink>
    </w:p>
    <w:p>
      <w:pPr>
        <w:pStyle w:val="Compact"/>
        <w:numPr>
          <w:ilvl w:val="0"/>
          <w:numId w:val="1126"/>
        </w:numPr>
      </w:pPr>
      <w:hyperlink r:id="rId218">
        <w:r>
          <w:rPr>
            <w:rStyle w:val="Hyperlink"/>
          </w:rPr>
          <w:t xml:space="preserve">Microsoft Entra data retention</w:t>
        </w:r>
      </w:hyperlink>
    </w:p>
    <w:p>
      <w:pPr>
        <w:pStyle w:val="Compact"/>
        <w:numPr>
          <w:ilvl w:val="0"/>
          <w:numId w:val="1126"/>
        </w:numPr>
      </w:pPr>
      <w:hyperlink r:id="rId219">
        <w:r>
          <w:rPr>
            <w:rStyle w:val="Hyperlink"/>
          </w:rPr>
          <w:t xml:space="preserve">Archive Microsoft Entra logs to an Azure storage account</w:t>
        </w:r>
      </w:hyperlink>
    </w:p>
    <w:p>
      <w:pPr>
        <w:pStyle w:val="FirstParagraph"/>
      </w:pPr>
      <w:r>
        <w:rPr>
          <w:b/>
          <w:bCs/>
        </w:rPr>
        <w:t xml:space="preserve">Federal guidance</w:t>
      </w:r>
    </w:p>
    <w:p>
      <w:pPr>
        <w:pStyle w:val="Compact"/>
        <w:numPr>
          <w:ilvl w:val="0"/>
          <w:numId w:val="1127"/>
        </w:numPr>
      </w:pPr>
      <w:hyperlink r:id="rId220">
        <w:r>
          <w:rPr>
            <w:rStyle w:val="Hyperlink"/>
          </w:rPr>
          <w:t xml:space="preserve">DoD Zero Trust Strategy for the user pillar</w:t>
        </w:r>
      </w:hyperlink>
      <w:r>
        <w:t xml:space="preserve"> </w:t>
      </w:r>
      <w:r>
        <w:t xml:space="preserve">— §1.4 Privileged access management maps PIM approval configuration to DoD ZT activities 1.4.2 and 1.4.3</w:t>
      </w:r>
    </w:p>
    <w:p>
      <w:pPr>
        <w:pStyle w:val="Compact"/>
        <w:numPr>
          <w:ilvl w:val="0"/>
          <w:numId w:val="1127"/>
        </w:numPr>
      </w:pPr>
      <w:hyperlink r:id="rId221">
        <w:r>
          <w:rPr>
            <w:rStyle w:val="Hyperlink"/>
          </w:rPr>
          <w:t xml:space="preserve">Microsoft Entra ID Governance deployment guide to govern privileged identities</w:t>
        </w:r>
      </w:hyperlink>
    </w:p>
    <w:p>
      <w:pPr>
        <w:pStyle w:val="Compact"/>
        <w:numPr>
          <w:ilvl w:val="0"/>
          <w:numId w:val="1127"/>
        </w:numPr>
      </w:pPr>
      <w:hyperlink r:id="rId222">
        <w:r>
          <w:rPr>
            <w:rStyle w:val="Hyperlink"/>
          </w:rPr>
          <w:t xml:space="preserve">Microsoft Entra ID Governance operations reference guide</w:t>
        </w:r>
      </w:hyperlink>
    </w:p>
    <w:p>
      <w:pPr>
        <w:pStyle w:val="FirstParagraph"/>
      </w:pPr>
      <w:r>
        <w:rPr>
          <w:b/>
          <w:bCs/>
        </w:rPr>
        <w:t xml:space="preserve">Controls</w:t>
      </w:r>
    </w:p>
    <w:p>
      <w:pPr>
        <w:pStyle w:val="Compact"/>
        <w:numPr>
          <w:ilvl w:val="0"/>
          <w:numId w:val="1128"/>
        </w:numPr>
      </w:pPr>
      <w:r>
        <w:t xml:space="preserve">NIST SP 800-53 Rev 5,</w:t>
      </w:r>
      <w:r>
        <w:t xml:space="preserve"> </w:t>
      </w:r>
      <w:r>
        <w:rPr>
          <w:i/>
          <w:iCs/>
        </w:rPr>
        <w:t xml:space="preserve">Security and Privacy Controls for Information Systems and Organizations</w:t>
      </w:r>
      <w:r>
        <w:t xml:space="preserve"> </w:t>
      </w:r>
      <w:r>
        <w:t xml:space="preserve">—</w:t>
      </w:r>
      <w:r>
        <w:t xml:space="preserve"> </w:t>
      </w:r>
      <w:hyperlink r:id="rId223">
        <w:r>
          <w:rPr>
            <w:rStyle w:val="Hyperlink"/>
          </w:rPr>
          <w:t xml:space="preserve">DOI 10.6028/NIST.SP.800-53r5</w:t>
        </w:r>
      </w:hyperlink>
    </w:p>
    <w:p>
      <w:pPr>
        <w:pStyle w:val="Compact"/>
        <w:numPr>
          <w:ilvl w:val="0"/>
          <w:numId w:val="1128"/>
        </w:numPr>
      </w:pPr>
      <w:r>
        <w:t xml:space="preserve">NIST SP 800-53B Moderate baseline, OSCAL resolved profile —</w:t>
      </w:r>
      <w:r>
        <w:t xml:space="preserve"> </w:t>
      </w:r>
      <w:hyperlink r:id="rId224">
        <w:r>
          <w:rPr>
            <w:rStyle w:val="VerbatimChar"/>
          </w:rPr>
          <w:t xml:space="preserve">usnistgov/oscal-content</w:t>
        </w:r>
      </w:hyperlink>
    </w:p>
    <w:p>
      <w:pPr>
        <w:pStyle w:val="Compact"/>
        <w:numPr>
          <w:ilvl w:val="0"/>
          <w:numId w:val="1128"/>
        </w:numPr>
      </w:pPr>
      <w:hyperlink r:id="rId225">
        <w:r>
          <w:rPr>
            <w:rStyle w:val="Hyperlink"/>
          </w:rPr>
          <w:t xml:space="preserve">FedRAMP</w:t>
        </w:r>
      </w:hyperlink>
      <w:r>
        <w:t xml:space="preserve"> </w:t>
      </w:r>
      <w:r>
        <w:t xml:space="preserve">— for the current authorized Moderate baseline and its parameter values</w:t>
      </w:r>
    </w:p>
    <w:bookmarkEnd w:id="226"/>
    <w:bookmarkStart w:id="227" w:name="X0534759b30a0ba19999679a8826b4ce799b7754"/>
    <w:p>
      <w:pPr>
        <w:pStyle w:val="Heading2"/>
      </w:pPr>
      <w:r>
        <w:t xml:space="preserve">Related the Federal Modernization Program documents</w:t>
      </w:r>
    </w:p>
    <w:p>
      <w:pPr>
        <w:pStyle w:val="Compact"/>
        <w:numPr>
          <w:ilvl w:val="0"/>
          <w:numId w:val="1129"/>
        </w:numPr>
      </w:pPr>
      <w:r>
        <w:t xml:space="preserve">Privileged Access Management — Entra PIM, JIT Access, and PAWs — the whole-estate PAM programme this guide sits inside</w:t>
      </w:r>
    </w:p>
    <w:p>
      <w:pPr>
        <w:pStyle w:val="Compact"/>
        <w:numPr>
          <w:ilvl w:val="0"/>
          <w:numId w:val="1129"/>
        </w:numPr>
      </w:pPr>
      <w:r>
        <w:t xml:space="preserve">Conditional Access Library — where the Step 5 policies belong</w:t>
      </w:r>
    </w:p>
    <w:p>
      <w:pPr>
        <w:pStyle w:val="Compact"/>
        <w:numPr>
          <w:ilvl w:val="0"/>
          <w:numId w:val="1129"/>
        </w:numPr>
      </w:pPr>
      <w:r>
        <w:t xml:space="preserve">Help Desk Administrative Responsibilities Guide — the PAG / eligible-not-active model for delegated operations</w:t>
      </w:r>
    </w:p>
    <w:p>
      <w:pPr>
        <w:pStyle w:val="Compact"/>
        <w:numPr>
          <w:ilvl w:val="0"/>
          <w:numId w:val="1129"/>
        </w:numPr>
      </w:pPr>
      <w:r>
        <w:t xml:space="preserve">Entra ID Governance adapter spec — how PIM state is read into the substrate as conformance evidence</w:t>
      </w:r>
    </w:p>
    <w:bookmarkEnd w:id="227"/>
    <w:bookmarkEnd w:id="228"/>
    <w:bookmarkStart w:id="233" w:name="federal-ai-identity-governance"/>
    <w:p>
      <w:pPr>
        <w:pStyle w:val="Heading1"/>
      </w:pPr>
      <w:r>
        <w:t xml:space="preserve">Federal AI Identity Governance</w:t>
      </w:r>
    </w:p>
    <w:p>
      <w:pPr>
        <w:pStyle w:val="FirstParagraph"/>
      </w:pPr>
      <w:r>
        <w:t xml:space="preserve">Federal agencies have deployed over 1,800 AI systems under OMB M-25-21 — and</w:t>
      </w:r>
      <w:r>
        <w:t xml:space="preserve"> </w:t>
      </w:r>
      <w:r>
        <w:t xml:space="preserve">almost none of those systems are governed at the identity layer. No</w:t>
      </w:r>
      <w:r>
        <w:t xml:space="preserve"> </w:t>
      </w:r>
      <w:r>
        <w:t xml:space="preserve">organizational placement. No owned credential. No lifecycle process. This kit</w:t>
      </w:r>
      <w:r>
        <w:t xml:space="preserve"> </w:t>
      </w:r>
      <w:r>
        <w:t xml:space="preserve">closes that gap.</w:t>
      </w:r>
    </w:p>
    <w:p>
      <w:pPr>
        <w:pStyle w:val="BodyText"/>
      </w:pPr>
      <w:r>
        <w:t xml:space="preserve">It is runnable</w:t>
      </w:r>
      <w:r>
        <w:t xml:space="preserve"> </w:t>
      </w:r>
      <w:r>
        <w:rPr>
          <w:b/>
          <w:bCs/>
        </w:rPr>
        <w:t xml:space="preserve">two ways</w:t>
      </w:r>
      <w:r>
        <w:t xml:space="preserve">:</w:t>
      </w:r>
    </w:p>
    <w:p>
      <w:pPr>
        <w:pStyle w:val="Compact"/>
        <w:numPr>
          <w:ilvl w:val="0"/>
          <w:numId w:val="1130"/>
        </w:numPr>
      </w:pPr>
      <w:r>
        <w:t xml:space="preserve">a</w:t>
      </w:r>
      <w:r>
        <w:t xml:space="preserve"> </w:t>
      </w:r>
      <w:r>
        <w:rPr>
          <w:b/>
          <w:bCs/>
        </w:rPr>
        <w:t xml:space="preserve">manual path</w:t>
      </w:r>
      <w:r>
        <w:t xml:space="preserve"> </w:t>
      </w:r>
      <w:r>
        <w:t xml:space="preserve">— a standalone agency runbook that</w:t>
      </w:r>
      <w:r>
        <w:t xml:space="preserve"> </w:t>
      </w:r>
      <w:r>
        <w:t xml:space="preserve">applies M-25-21 identity governance without any external control plane; and</w:t>
      </w:r>
    </w:p>
    <w:p>
      <w:pPr>
        <w:pStyle w:val="Compact"/>
        <w:numPr>
          <w:ilvl w:val="0"/>
          <w:numId w:val="1130"/>
        </w:numPr>
      </w:pPr>
      <w:r>
        <w:t xml:space="preserve">a</w:t>
      </w:r>
      <w:r>
        <w:t xml:space="preserve"> </w:t>
      </w:r>
      <w:r>
        <w:rPr>
          <w:b/>
          <w:bCs/>
        </w:rPr>
        <w:t xml:space="preserve">the Federal Modernization Program-governed path</w:t>
      </w:r>
      <w:r>
        <w:t xml:space="preserve"> </w:t>
      </w:r>
      <w:r>
        <w:t xml:space="preserve">— the same outcome,</w:t>
      </w:r>
      <w:r>
        <w:t xml:space="preserve"> </w:t>
      </w:r>
      <w:r>
        <w:t xml:space="preserve">with every AI system’s identity record bound to the drift engine</w:t>
      </w:r>
      <w:r>
        <w:t xml:space="preserve"> </w:t>
      </w:r>
      <w:r>
        <w:t xml:space="preserve">and the ATO reciprocity model.</w:t>
      </w:r>
    </w:p>
    <w:p>
      <w:pPr>
        <w:pStyle w:val="FirstParagraph"/>
      </w:pPr>
      <w:r>
        <w:rPr>
          <w:b/>
          <w:bCs/>
        </w:rPr>
        <w:t xml:space="preserve">Invoke-AIInventoryScan.ps1</w:t>
      </w:r>
      <w:r>
        <w:t xml:space="preserve"> </w:t>
      </w:r>
      <w:r>
        <w:t xml:space="preserve">scans</w:t>
      </w:r>
      <w:r>
        <w:t xml:space="preserve"> </w:t>
      </w:r>
      <w:r>
        <w:t xml:space="preserve">your agency’s OMB inventory extract for identity governance gaps and produces a</w:t>
      </w:r>
      <w:r>
        <w:t xml:space="preserve"> </w:t>
      </w:r>
      <w:r>
        <w:t xml:space="preserve">prioritized findings report. No external dependencies; runs anywhere</w:t>
      </w:r>
      <w:r>
        <w:t xml:space="preserve"> </w:t>
      </w:r>
      <w:r>
        <w:t xml:space="preserve">PowerShell 7 is available.</w:t>
      </w:r>
    </w:p>
    <w:p>
      <w:pPr>
        <w:pStyle w:val="BodyText"/>
      </w:pPr>
      <w:r>
        <w:rPr>
          <w:b/>
          <w:bCs/>
        </w:rPr>
        <w:t xml:space="preserve">The problem this kit solves</w:t>
      </w:r>
    </w:p>
    <w:p>
      <w:pPr>
        <w:pStyle w:val="BodyText"/>
      </w:pPr>
      <w:r>
        <w:t xml:space="preserve">The OMB 2025 Federal AI Use Case Inventory has no fields for identity</w:t>
      </w:r>
      <w:r>
        <w:t xml:space="preserve"> </w:t>
      </w:r>
      <w:r>
        <w:t xml:space="preserve">governance: no service account, no credential tier, no owner, no organizational</w:t>
      </w:r>
      <w:r>
        <w:t xml:space="preserve"> </w:t>
      </w:r>
      <w:r>
        <w:t xml:space="preserve">placement. This kit adds that layer — making the invisible identity surface</w:t>
      </w:r>
      <w:r>
        <w:t xml:space="preserve"> </w:t>
      </w:r>
      <w:r>
        <w:t xml:space="preserve">visible before it becomes a breach surface.</w:t>
      </w:r>
    </w:p>
    <w:bookmarkStart w:id="229" w:name="what-the-kit-does"/>
    <w:p>
      <w:pPr>
        <w:pStyle w:val="Heading2"/>
      </w:pPr>
      <w:r>
        <w:t xml:space="preserve">What the kit does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What runs</w:t>
            </w:r>
          </w:p>
        </w:tc>
        <w:tc>
          <w:tcPr/>
          <w:p>
            <w:pPr>
              <w:pStyle w:val="Compact"/>
            </w:pPr>
            <w:r>
              <w:t xml:space="preserve">Output</w:t>
            </w:r>
          </w:p>
        </w:tc>
      </w:tr>
      <w:tr>
        <w:tc>
          <w:tcPr/>
          <w:p>
            <w:pPr>
              <w:pStyle w:val="Compact"/>
            </w:pPr>
            <w:r>
              <w:t xml:space="preserve">1 — Inventory</w:t>
            </w:r>
          </w:p>
        </w:tc>
        <w:tc>
          <w:tcPr/>
          <w:p>
            <w:pPr>
              <w:pStyle w:val="Compact"/>
            </w:pPr>
            <w:r>
              <w:t xml:space="preserve">Download or load OMB CSV; parse all deployed and pilot entries</w:t>
            </w:r>
          </w:p>
        </w:tc>
        <w:tc>
          <w:tcPr/>
          <w:p>
            <w:pPr>
              <w:pStyle w:val="Compact"/>
            </w:pPr>
            <w:r>
              <w:t xml:space="preserve">Structured record set</w:t>
            </w:r>
          </w:p>
        </w:tc>
      </w:tr>
      <w:tr>
        <w:tc>
          <w:tcPr/>
          <w:p>
            <w:pPr>
              <w:pStyle w:val="Compact"/>
            </w:pPr>
            <w:r>
              <w:t xml:space="preserve">2 — Scan</w:t>
            </w:r>
          </w:p>
        </w:tc>
        <w:tc>
          <w:tcPr/>
          <w:p>
            <w:pPr>
              <w:pStyle w:val="Compact"/>
            </w:pPr>
            <w:r>
              <w:t xml:space="preserve">Detect six identity governance gaps per M-25-21 obligations</w:t>
            </w:r>
          </w:p>
        </w:tc>
        <w:tc>
          <w:tcPr/>
          <w:p>
            <w:pPr>
              <w:pStyle w:val="Compact"/>
            </w:pPr>
            <w:r>
              <w:t xml:space="preserve">Findings list with severity (P1 / P2) and drift class</w:t>
            </w:r>
          </w:p>
        </w:tc>
      </w:tr>
      <w:tr>
        <w:tc>
          <w:tcPr/>
          <w:p>
            <w:pPr>
              <w:pStyle w:val="Compact"/>
            </w:pPr>
            <w:r>
              <w:t xml:space="preserve">3 — Report</w:t>
            </w:r>
          </w:p>
        </w:tc>
        <w:tc>
          <w:tcPr/>
          <w:p>
            <w:pPr>
              <w:pStyle w:val="Compact"/>
            </w:pPr>
            <w:r>
              <w:t xml:space="preserve">Produce a prioritized HTML or CSV findings report</w:t>
            </w:r>
          </w:p>
        </w:tc>
        <w:tc>
          <w:tcPr/>
          <w:p>
            <w:pPr>
              <w:pStyle w:val="Compact"/>
            </w:pPr>
            <w:r>
              <w:t xml:space="preserve">Actionable gap list, ATO cross-walk, shadow AI candidates</w:t>
            </w:r>
          </w:p>
        </w:tc>
      </w:tr>
      <w:tr>
        <w:tc>
          <w:tcPr/>
          <w:p>
            <w:pPr>
              <w:pStyle w:val="Compact"/>
            </w:pPr>
            <w:r>
              <w:t xml:space="preserve">4 — Remediate (governed)</w:t>
            </w:r>
          </w:p>
        </w:tc>
        <w:tc>
          <w:tcPr/>
          <w:p>
            <w:pPr>
              <w:pStyle w:val="Compact"/>
            </w:pPr>
            <w:r>
              <w:t xml:space="preserve">Owner assignment, ATO reciprocity lookup</w:t>
            </w:r>
          </w:p>
        </w:tc>
        <w:tc>
          <w:tcPr/>
          <w:p>
            <w:pPr>
              <w:pStyle w:val="Compact"/>
            </w:pPr>
            <w:r>
              <w:t xml:space="preserve">Updated identity records in the Federal Modernization Program registry</w:t>
            </w:r>
          </w:p>
        </w:tc>
      </w:tr>
    </w:tbl>
    <w:bookmarkEnd w:id="229"/>
    <w:bookmarkStart w:id="230" w:name="who-this-is-for"/>
    <w:p>
      <w:pPr>
        <w:pStyle w:val="Heading2"/>
      </w:pPr>
      <w:r>
        <w:t xml:space="preserve">Who this is for</w:t>
      </w:r>
    </w:p>
    <w:p>
      <w:pPr>
        <w:pStyle w:val="FirstParagraph"/>
      </w:pPr>
      <w:r>
        <w:rPr>
          <w:b/>
          <w:bCs/>
        </w:rPr>
        <w:t xml:space="preserve">Agency identity governance teams</w:t>
      </w:r>
      <w:r>
        <w:t xml:space="preserve"> </w:t>
      </w:r>
      <w:r>
        <w:t xml:space="preserve">running a M-25-21 compliance program who</w:t>
      </w:r>
      <w:r>
        <w:t xml:space="preserve"> </w:t>
      </w:r>
      <w:r>
        <w:t xml:space="preserve">need to verify that their inventoried AI systems have identity governance coverage.</w:t>
      </w:r>
    </w:p>
    <w:p>
      <w:pPr>
        <w:pStyle w:val="BodyText"/>
      </w:pPr>
      <w:r>
        <w:rPr>
          <w:b/>
          <w:bCs/>
        </w:rPr>
        <w:t xml:space="preserve">Federal ISSO/AO staff</w:t>
      </w:r>
      <w:r>
        <w:t xml:space="preserve"> </w:t>
      </w:r>
      <w:r>
        <w:t xml:space="preserve">reviewing ATO packages for AI systems who need to</w:t>
      </w:r>
      <w:r>
        <w:t xml:space="preserve"> </w:t>
      </w:r>
      <w:r>
        <w:t xml:space="preserve">confirm that the credential lifecycle is documented.</w:t>
      </w:r>
    </w:p>
    <w:p>
      <w:pPr>
        <w:pStyle w:val="BodyText"/>
      </w:pPr>
      <w:r>
        <w:rPr>
          <w:b/>
          <w:bCs/>
        </w:rPr>
        <w:t xml:space="preserve">OMB/OFCIO program staff</w:t>
      </w:r>
      <w:r>
        <w:t xml:space="preserve"> </w:t>
      </w:r>
      <w:r>
        <w:t xml:space="preserve">evaluating whether the 2026 inventory schema should</w:t>
      </w:r>
      <w:r>
        <w:t xml:space="preserve"> </w:t>
      </w:r>
      <w:r>
        <w:t xml:space="preserve">add identity governance fields. This kit demonstrates what those fields would</w:t>
      </w:r>
      <w:r>
        <w:t xml:space="preserve"> </w:t>
      </w:r>
      <w:r>
        <w:t xml:space="preserve">enable.</w:t>
      </w:r>
    </w:p>
    <w:bookmarkEnd w:id="230"/>
    <w:bookmarkStart w:id="231" w:name="background-reading"/>
    <w:p>
      <w:pPr>
        <w:pStyle w:val="Heading2"/>
      </w:pPr>
      <w:r>
        <w:t xml:space="preserve">Background reading</w:t>
      </w:r>
    </w:p>
    <w:p>
      <w:pPr>
        <w:pStyle w:val="FirstParagraph"/>
      </w:pPr>
      <w:r>
        <w:t xml:space="preserve">The</w:t>
      </w:r>
      <w:r>
        <w:t xml:space="preserve"> </w:t>
      </w:r>
      <w:r>
        <w:t xml:space="preserve">Federal AI Governance — Submission Readiness</w:t>
      </w:r>
      <w:r>
        <w:t xml:space="preserve"> </w:t>
      </w:r>
      <w:r>
        <w:t xml:space="preserve">Brief names</w:t>
      </w:r>
      <w:r>
        <w:t xml:space="preserve"> </w:t>
      </w:r>
      <w:r>
        <w:t xml:space="preserve">this kit as the path to operationalizing the</w:t>
      </w:r>
      <w:r>
        <w:t xml:space="preserve"> </w:t>
      </w:r>
      <w:r>
        <w:rPr>
          <w:rStyle w:val="VerbatimChar"/>
        </w:rPr>
        <w:t xml:space="preserve">DRIFT-COMPLIANCE::ai-agentic-ungoverned</w:t>
      </w:r>
      <w:r>
        <w:t xml:space="preserve"> </w:t>
      </w:r>
      <w:r>
        <w:t xml:space="preserve">P1 finding.</w:t>
      </w:r>
    </w:p>
    <w:p>
      <w:pPr>
        <w:pStyle w:val="BodyText"/>
      </w:pPr>
      <w:r>
        <w:t xml:space="preserve">The normative specifications are:</w:t>
      </w:r>
    </w:p>
    <w:p>
      <w:pPr>
        <w:pStyle w:val="Compact"/>
        <w:numPr>
          <w:ilvl w:val="0"/>
          <w:numId w:val="1131"/>
        </w:numPr>
      </w:pPr>
      <w:r>
        <w:t xml:space="preserve">the program decision — Federal AI Use Case Governance</w:t>
      </w:r>
    </w:p>
    <w:p>
      <w:pPr>
        <w:pStyle w:val="Compact"/>
        <w:numPr>
          <w:ilvl w:val="0"/>
          <w:numId w:val="1131"/>
        </w:numPr>
      </w:pPr>
      <w:r>
        <w:t xml:space="preserve">FMP_196 — AI System Identity Record</w:t>
      </w:r>
    </w:p>
    <w:bookmarkEnd w:id="231"/>
    <w:bookmarkStart w:id="232" w:name="deployment-options"/>
    <w:p>
      <w:pPr>
        <w:pStyle w:val="Heading2"/>
      </w:pPr>
      <w:r>
        <w:t xml:space="preserve">Deployment options</w:t>
      </w:r>
    </w:p>
    <w:p>
      <w:pPr>
        <w:pStyle w:val="FirstParagraph"/>
      </w:pPr>
      <w:r>
        <w:t xml:space="preserve">The kit ships as open-source Python and PowerShell. No managed service or</w:t>
      </w:r>
      <w:r>
        <w:t xml:space="preserve"> </w:t>
      </w:r>
      <w:r>
        <w:t xml:space="preserve">external control plane is required to run it.</w:t>
      </w:r>
    </w:p>
    <w:p>
      <w:pPr>
        <w:pStyle w:val="BodyText"/>
      </w:pPr>
      <w:r>
        <w:rPr>
          <w:b/>
          <w:bCs/>
        </w:rPr>
        <w:t xml:space="preserve">Standalone (any agency, no the Federal Modernization Program dependency):</w:t>
      </w:r>
      <w:r>
        <w:t xml:space="preserve"> </w:t>
      </w:r>
      <w:r>
        <w:t xml:space="preserve">Run</w:t>
      </w:r>
      <w:r>
        <w:t xml:space="preserve"> </w:t>
      </w:r>
      <w:r>
        <w:rPr>
          <w:rStyle w:val="VerbatimChar"/>
        </w:rPr>
        <w:t xml:space="preserve">Invoke-AIInventoryScan.ps1</w:t>
      </w:r>
      <w:r>
        <w:t xml:space="preserve"> </w:t>
      </w:r>
      <w:r>
        <w:t xml:space="preserve">against your OMB inventory extract. All six</w:t>
      </w:r>
      <w:r>
        <w:t xml:space="preserve"> </w:t>
      </w:r>
      <w:r>
        <w:t xml:space="preserve">finding types are produced without connecting to any external system.</w:t>
      </w:r>
    </w:p>
    <w:p>
      <w:pPr>
        <w:pStyle w:val="BodyText"/>
      </w:pPr>
      <w:r>
        <w:rPr>
          <w:b/>
          <w:bCs/>
        </w:rPr>
        <w:t xml:space="preserve">Governed (the Federal Modernization Program adopters):</w:t>
      </w:r>
      <w:r>
        <w:t xml:space="preserve"> </w:t>
      </w:r>
      <w:r>
        <w:t xml:space="preserve">The</w:t>
      </w:r>
      <w:r>
        <w:t xml:space="preserve"> </w:t>
      </w:r>
      <w:r>
        <w:rPr>
          <w:rStyle w:val="VerbatimChar"/>
        </w:rPr>
        <w:t xml:space="preserve">ai-inventory-governance</w:t>
      </w:r>
      <w:r>
        <w:t xml:space="preserve"> </w:t>
      </w:r>
      <w:r>
        <w:t xml:space="preserve">adapter</w:t>
      </w:r>
      <w:r>
        <w:t xml:space="preserve"> </w:t>
      </w:r>
      <w:r>
        <w:t xml:space="preserve">slot (</w:t>
      </w:r>
      <w:r>
        <w:rPr>
          <w:rStyle w:val="VerbatimChar"/>
        </w:rPr>
        <w:t xml:space="preserve">adapter-registry.yaml</w:t>
      </w:r>
      <w:r>
        <w:t xml:space="preserve">) binds scanner output to the drift</w:t>
      </w:r>
      <w:r>
        <w:t xml:space="preserve"> </w:t>
      </w:r>
      <w:r>
        <w:t xml:space="preserve">engine and the the program decision ATO reciprocity model. See</w:t>
      </w:r>
      <w:r>
        <w:t xml:space="preserve"> </w:t>
      </w:r>
      <w:r>
        <w:t xml:space="preserve">governed path for activation steps.</w:t>
      </w:r>
    </w:p>
    <w:bookmarkEnd w:id="232"/>
    <w:bookmarkEnd w:id="233"/>
    <w:bookmarkStart w:id="243" w:name="X9f11d6308029ecea7accd59c2ceaf23b125d0be"/>
    <w:p>
      <w:pPr>
        <w:pStyle w:val="Heading1"/>
      </w:pPr>
      <w:r>
        <w:t xml:space="preserve">Federal AI Identity Governance — Centralized OFCIO Deployment Model</w:t>
      </w:r>
    </w:p>
    <w:p>
      <w:pPr>
        <w:pStyle w:val="FirstParagraph"/>
      </w:pPr>
      <w:r>
        <w:t xml:space="preserve">The</w:t>
      </w:r>
      <w:r>
        <w:t xml:space="preserve"> </w:t>
      </w:r>
      <w:r>
        <w:rPr>
          <w:rStyle w:val="VerbatimChar"/>
        </w:rPr>
        <w:t xml:space="preserve">Invoke-AIInventoryScan.ps1</w:t>
      </w:r>
      <w:r>
        <w:t xml:space="preserve"> </w:t>
      </w:r>
      <w:r>
        <w:t xml:space="preserve">scanner and its Python counterpart run against</w:t>
      </w:r>
      <w:r>
        <w:t xml:space="preserve"> </w:t>
      </w:r>
      <w:r>
        <w:t xml:space="preserve">the</w:t>
      </w:r>
      <w:r>
        <w:t xml:space="preserve"> </w:t>
      </w:r>
      <w:r>
        <w:rPr>
          <w:b/>
          <w:bCs/>
        </w:rPr>
        <w:t xml:space="preserve">public</w:t>
      </w:r>
      <w:r>
        <w:t xml:space="preserve"> </w:t>
      </w:r>
      <w:r>
        <w:t xml:space="preserve">OMB inventory CSV. They require no agency-side infrastructure.</w:t>
      </w:r>
      <w:r>
        <w:t xml:space="preserve"> </w:t>
      </w:r>
      <w:r>
        <w:t xml:space="preserve">That property makes a centralized deployment model possible: OFCIO runs the</w:t>
      </w:r>
      <w:r>
        <w:t xml:space="preserve"> </w:t>
      </w:r>
      <w:r>
        <w:t xml:space="preserve">scanner once for all 56 agencies, produces structured findings per agency, and</w:t>
      </w:r>
      <w:r>
        <w:t xml:space="preserve"> </w:t>
      </w:r>
      <w:r>
        <w:t xml:space="preserve">delivers them to each agency CISO — the same pattern the Continuous Diagnostics</w:t>
      </w:r>
      <w:r>
        <w:t xml:space="preserve"> </w:t>
      </w:r>
      <w:r>
        <w:t xml:space="preserve">and Mitigation (CDM) program uses for device and software asset enumeration.</w:t>
      </w:r>
    </w:p>
    <w:p>
      <w:pPr>
        <w:pStyle w:val="BodyText"/>
      </w:pPr>
      <w:r>
        <w:t xml:space="preserve">This page documents that model: who runs what, what each agency receives, and</w:t>
      </w:r>
      <w:r>
        <w:t xml:space="preserve"> </w:t>
      </w:r>
      <w:r>
        <w:t xml:space="preserve">how per-agency remediation flows from the central findings.</w:t>
      </w:r>
    </w:p>
    <w:p>
      <w:pPr>
        <w:pStyle w:val="BodyText"/>
      </w:pPr>
      <w:r>
        <w:rPr>
          <w:b/>
          <w:bCs/>
        </w:rPr>
        <w:t xml:space="preserve">Relationship to other paths</w:t>
      </w:r>
    </w:p>
    <w:p>
      <w:pPr>
        <w:pStyle w:val="BodyText"/>
      </w:pPr>
      <w:r>
        <w:t xml:space="preserve">This page describes the OFCIO-central operational model. If your agency is</w:t>
      </w:r>
      <w:r>
        <w:t xml:space="preserve"> </w:t>
      </w:r>
      <w:r>
        <w:t xml:space="preserve">running the scanner independently, see the manual path. If</w:t>
      </w:r>
      <w:r>
        <w:t xml:space="preserve"> </w:t>
      </w:r>
      <w:r>
        <w:t xml:space="preserve">your agency has deployed the Federal Modernization Program, see the governed path.</w:t>
      </w:r>
    </w:p>
    <w:bookmarkStart w:id="234" w:name="the-cdm-analogy"/>
    <w:p>
      <w:pPr>
        <w:pStyle w:val="Heading2"/>
      </w:pPr>
      <w:r>
        <w:t xml:space="preserve">The CDM analogy</w:t>
      </w:r>
    </w:p>
    <w:p>
      <w:pPr>
        <w:pStyle w:val="FirstParagraph"/>
      </w:pPr>
      <w:r>
        <w:t xml:space="preserve">CDM did not require each agency to build its own vulnerability scanner. DHS/CISA</w:t>
      </w:r>
      <w:r>
        <w:t xml:space="preserve"> </w:t>
      </w:r>
      <w:r>
        <w:t xml:space="preserve">ran discovery centrally against agency-provided data and pushed structured</w:t>
      </w:r>
      <w:r>
        <w:t xml:space="preserve"> </w:t>
      </w:r>
      <w:r>
        <w:t xml:space="preserve">findings to each agency CISO for remediation. The CDM pattern separates</w:t>
      </w:r>
      <w:r>
        <w:t xml:space="preserve"> </w:t>
      </w:r>
      <w:r>
        <w:rPr>
          <w:b/>
          <w:bCs/>
        </w:rPr>
        <w:t xml:space="preserve">discovery</w:t>
      </w:r>
      <w:r>
        <w:t xml:space="preserve"> </w:t>
      </w:r>
      <w:r>
        <w:t xml:space="preserve">(who has visibility into the data) from</w:t>
      </w:r>
      <w:r>
        <w:t xml:space="preserve"> </w:t>
      </w:r>
      <w:r>
        <w:rPr>
          <w:b/>
          <w:bCs/>
        </w:rPr>
        <w:t xml:space="preserve">remediation</w:t>
      </w:r>
      <w:r>
        <w:t xml:space="preserve"> </w:t>
      </w:r>
      <w:r>
        <w:t xml:space="preserve">(who</w:t>
      </w:r>
      <w:r>
        <w:t xml:space="preserve"> </w:t>
      </w:r>
      <w:r>
        <w:t xml:space="preserve">must act on the findings).</w:t>
      </w:r>
    </w:p>
    <w:p>
      <w:pPr>
        <w:pStyle w:val="BodyText"/>
      </w:pPr>
      <w:r>
        <w:t xml:space="preserve">Federal AI identity governance has the same structure: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CDM component</w:t>
            </w:r>
          </w:p>
        </w:tc>
        <w:tc>
          <w:tcPr/>
          <w:p>
            <w:pPr>
              <w:pStyle w:val="Compact"/>
            </w:pPr>
            <w:r>
              <w:t xml:space="preserve">AI identity governance equivalent</w:t>
            </w:r>
          </w:p>
        </w:tc>
      </w:tr>
      <w:tr>
        <w:tc>
          <w:tcPr/>
          <w:p>
            <w:pPr>
              <w:pStyle w:val="Compact"/>
            </w:pPr>
            <w:r>
              <w:t xml:space="preserve">Asset discovery feed</w:t>
            </w:r>
          </w:p>
        </w:tc>
        <w:tc>
          <w:tcPr/>
          <w:p>
            <w:pPr>
              <w:pStyle w:val="Compact"/>
            </w:pPr>
            <w:r>
              <w:t xml:space="preserve">OMB Annual AI Use Case Inventory (public CSV)</w:t>
            </w:r>
          </w:p>
        </w:tc>
      </w:tr>
      <w:tr>
        <w:tc>
          <w:tcPr/>
          <w:p>
            <w:pPr>
              <w:pStyle w:val="Compact"/>
            </w:pPr>
            <w:r>
              <w:t xml:space="preserve">Central scanner operator</w:t>
            </w:r>
          </w:p>
        </w:tc>
        <w:tc>
          <w:tcPr/>
          <w:p>
            <w:pPr>
              <w:pStyle w:val="Compact"/>
            </w:pPr>
            <w:r>
              <w:t xml:space="preserve">OFCIO (one scan covers all 56 agencies)</w:t>
            </w:r>
          </w:p>
        </w:tc>
      </w:tr>
      <w:tr>
        <w:tc>
          <w:tcPr/>
          <w:p>
            <w:pPr>
              <w:pStyle w:val="Compact"/>
            </w:pPr>
            <w:r>
              <w:t xml:space="preserve">Agency-level finding delivery</w:t>
            </w:r>
          </w:p>
        </w:tc>
        <w:tc>
          <w:tcPr/>
          <w:p>
            <w:pPr>
              <w:pStyle w:val="Compact"/>
            </w:pPr>
            <w:r>
              <w:t xml:space="preserve">Structured report per agency, scoped to their inventory subset</w:t>
            </w:r>
          </w:p>
        </w:tc>
      </w:tr>
      <w:tr>
        <w:tc>
          <w:tcPr/>
          <w:p>
            <w:pPr>
              <w:pStyle w:val="Compact"/>
            </w:pPr>
            <w:r>
              <w:t xml:space="preserve">Remediation actor</w:t>
            </w:r>
          </w:p>
        </w:tc>
        <w:tc>
          <w:tcPr/>
          <w:p>
            <w:pPr>
              <w:pStyle w:val="Compact"/>
            </w:pPr>
            <w:r>
              <w:t xml:space="preserve">Agency CISO and bureau governance contacts</w:t>
            </w:r>
          </w:p>
        </w:tc>
      </w:tr>
      <w:tr>
        <w:tc>
          <w:tcPr/>
          <w:p>
            <w:pPr>
              <w:pStyle w:val="Compact"/>
            </w:pPr>
            <w:r>
              <w:t xml:space="preserve">Enforcement mechanism</w:t>
            </w:r>
          </w:p>
        </w:tc>
        <w:tc>
          <w:tcPr/>
          <w:p>
            <w:pPr>
              <w:pStyle w:val="Compact"/>
            </w:pPr>
            <w:r>
              <w:t xml:space="preserve">The agency’s own authorization policy, enumerated through the OMB inventory (M-25-21 imposes no AI-specific ATO gate)</w:t>
            </w:r>
          </w:p>
        </w:tc>
      </w:tr>
    </w:tbl>
    <w:p>
      <w:pPr>
        <w:pStyle w:val="BodyText"/>
      </w:pPr>
      <w:r>
        <w:t xml:space="preserve">The OMB inventory is the CDM feed for the AI identity surface. It is already</w:t>
      </w:r>
      <w:r>
        <w:t xml:space="preserve"> </w:t>
      </w:r>
      <w:r>
        <w:t xml:space="preserve">published, already public, and already structured. The scanner already runs</w:t>
      </w:r>
      <w:r>
        <w:t xml:space="preserve"> </w:t>
      </w:r>
      <w:r>
        <w:t xml:space="preserve">against it in under two minutes for all 1,480 live systems. The only gap is</w:t>
      </w:r>
      <w:r>
        <w:t xml:space="preserve"> </w:t>
      </w:r>
      <w:r>
        <w:t xml:space="preserve">operationalizing the central scan and the finding-delivery workflow.</w:t>
      </w:r>
    </w:p>
    <w:bookmarkEnd w:id="234"/>
    <w:bookmarkStart w:id="235" w:name="the-four-tier-model"/>
    <w:p>
      <w:pPr>
        <w:pStyle w:val="Heading2"/>
      </w:pPr>
      <w:r>
        <w:t xml:space="preserve">The four-tier model</w:t>
      </w:r>
    </w:p>
    <w:p>
      <w:pPr>
        <w:pStyle w:val="FirstParagraph"/>
      </w:pPr>
      <w:r>
        <w:t xml:space="preserve">Tier 3 is not required for the central scan to deliver value. Tiers 0–2 are</w:t>
      </w:r>
      <w:r>
        <w:t xml:space="preserve"> </w:t>
      </w:r>
      <w:r>
        <w:t xml:space="preserve">fully operational with the existing open-source scanner.</w:t>
      </w:r>
    </w:p>
    <w:bookmarkEnd w:id="235"/>
    <w:bookmarkStart w:id="236" w:name="tier-0-the-central-scan"/>
    <w:p>
      <w:pPr>
        <w:pStyle w:val="Heading2"/>
      </w:pPr>
      <w:r>
        <w:t xml:space="preserve">Tier 0: The central scan</w:t>
      </w:r>
    </w:p>
    <w:p>
      <w:pPr>
        <w:pStyle w:val="FirstParagraph"/>
      </w:pPr>
      <w:r>
        <w:rPr>
          <w:b/>
          <w:bCs/>
        </w:rPr>
        <w:t xml:space="preserve">Input:</w:t>
      </w:r>
      <w:r>
        <w:t xml:space="preserve"> </w:t>
      </w:r>
      <w:r>
        <w:t xml:space="preserve">OMB Annual AI Use Case Inventory CSV (public,</w:t>
      </w:r>
      <w:r>
        <w:t xml:space="preserve"> </w:t>
      </w:r>
      <w:r>
        <w:t xml:space="preserve">data.gov / ai.gov). No agency data sharing agreement required.</w:t>
      </w:r>
    </w:p>
    <w:p>
      <w:pPr>
        <w:pStyle w:val="BodyText"/>
      </w:pPr>
      <w:r>
        <w:rPr>
          <w:b/>
          <w:bCs/>
        </w:rPr>
        <w:t xml:space="preserve">Scanner:</w:t>
      </w:r>
      <w:r>
        <w:t xml:space="preserve"> </w:t>
      </w:r>
      <w:r>
        <w:rPr>
          <w:rStyle w:val="VerbatimChar"/>
        </w:rPr>
        <w:t xml:space="preserve">python -m fmp.governance.ai_inventory.scanner --input omb_inventory.csv --output findings/</w:t>
      </w:r>
      <w:r>
        <w:t xml:space="preserve"> </w:t>
      </w:r>
      <w:r>
        <w:t xml:space="preserve">or</w:t>
      </w:r>
      <w:r>
        <w:t xml:space="preserve"> </w:t>
      </w:r>
      <w:r>
        <w:rPr>
          <w:rStyle w:val="VerbatimChar"/>
        </w:rPr>
        <w:t xml:space="preserve">Invoke-AIInventoryScan.ps1 -InventoryPath omb_inventory.csv -OutputPath findings/</w:t>
      </w:r>
    </w:p>
    <w:p>
      <w:pPr>
        <w:pStyle w:val="BodyText"/>
      </w:pPr>
      <w:r>
        <w:rPr>
          <w:b/>
          <w:bCs/>
        </w:rPr>
        <w:t xml:space="preserve">Output per run:</w:t>
      </w:r>
      <w:r>
        <w:t xml:space="preserve"> </w:t>
      </w:r>
      <w:r>
        <w:t xml:space="preserve">-</w:t>
      </w:r>
      <w:r>
        <w:t xml:space="preserve"> </w:t>
      </w:r>
      <w:r>
        <w:rPr>
          <w:rStyle w:val="VerbatimChar"/>
        </w:rPr>
        <w:t xml:space="preserve">findings_summary.json</w:t>
      </w:r>
      <w:r>
        <w:t xml:space="preserve"> </w:t>
      </w:r>
      <w:r>
        <w:t xml:space="preserve">— aggregate counts across all agencies</w:t>
      </w:r>
      <w:r>
        <w:t xml:space="preserve"> </w:t>
      </w:r>
      <w:r>
        <w:t xml:space="preserve">-</w:t>
      </w:r>
      <w:r>
        <w:t xml:space="preserve"> </w:t>
      </w:r>
      <w:r>
        <w:rPr>
          <w:rStyle w:val="VerbatimChar"/>
        </w:rPr>
        <w:t xml:space="preserve">findings_by_agency/DOD.json</w:t>
      </w:r>
      <w:r>
        <w:t xml:space="preserve">,</w:t>
      </w:r>
      <w:r>
        <w:t xml:space="preserve"> </w:t>
      </w:r>
      <w:r>
        <w:rPr>
          <w:rStyle w:val="VerbatimChar"/>
        </w:rPr>
        <w:t xml:space="preserve">findings_by_agency/HHS.json</w:t>
      </w:r>
      <w:r>
        <w:t xml:space="preserve">, … — one</w:t>
      </w:r>
      <w:r>
        <w:t xml:space="preserve"> </w:t>
      </w:r>
      <w:r>
        <w:t xml:space="preserve">structured file per agency, scoped to that agency’s inventory subset</w:t>
      </w:r>
      <w:r>
        <w:t xml:space="preserve"> </w:t>
      </w:r>
      <w:r>
        <w:t xml:space="preserve">-</w:t>
      </w:r>
      <w:r>
        <w:t xml:space="preserve"> </w:t>
      </w:r>
      <w:r>
        <w:rPr>
          <w:rStyle w:val="VerbatimChar"/>
        </w:rPr>
        <w:t xml:space="preserve">p1_gate_halt.json</w:t>
      </w:r>
      <w:r>
        <w:t xml:space="preserve"> </w:t>
      </w:r>
      <w:r>
        <w:t xml:space="preserve">— all Priority 1 findings (agentic AI without ATO),</w:t>
      </w:r>
      <w:r>
        <w:t xml:space="preserve"> </w:t>
      </w:r>
      <w:r>
        <w:t xml:space="preserve">flagged for immediate action</w:t>
      </w:r>
    </w:p>
    <w:p>
      <w:pPr>
        <w:pStyle w:val="BodyText"/>
      </w:pPr>
      <w:r>
        <w:rPr>
          <w:b/>
          <w:bCs/>
        </w:rPr>
        <w:t xml:space="preserve">Finding types produced: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Code</w:t>
            </w:r>
          </w:p>
        </w:tc>
        <w:tc>
          <w:tcPr/>
          <w:p>
            <w:pPr>
              <w:pStyle w:val="Compact"/>
            </w:pPr>
            <w:r>
              <w:t xml:space="preserve">Severity</w:t>
            </w:r>
          </w:p>
        </w:tc>
        <w:tc>
          <w:tcPr/>
          <w:p>
            <w:pPr>
              <w:pStyle w:val="Compact"/>
            </w:pPr>
            <w:r>
              <w:t xml:space="preserve">Trigger</w:t>
            </w:r>
          </w:p>
        </w:tc>
      </w:tr>
      <w:tr>
        <w:tc>
          <w:tcPr/>
          <w:p>
            <w:pPr>
              <w:pStyle w:val="Compact"/>
            </w:pPr>
            <w:r>
              <w:rPr>
                <w:rStyle w:val="VerbatimChar"/>
              </w:rPr>
              <w:t xml:space="preserve">DRIFT-COMPLIANCE::ai-agentic-ungoverned</w:t>
            </w:r>
          </w:p>
        </w:tc>
        <w:tc>
          <w:tcPr/>
          <w:p>
            <w:pPr>
              <w:pStyle w:val="Compact"/>
            </w:pPr>
            <w:r>
              <w:t xml:space="preserve">P1</w:t>
            </w:r>
          </w:p>
        </w:tc>
        <w:tc>
          <w:tcPr/>
          <w:p>
            <w:pPr>
              <w:pStyle w:val="Compact"/>
            </w:pPr>
            <w:r>
              <w:t xml:space="preserve">Agentic AI, no ATO</w:t>
            </w:r>
          </w:p>
        </w:tc>
      </w:tr>
      <w:tr>
        <w:tc>
          <w:tcPr/>
          <w:p>
            <w:pPr>
              <w:pStyle w:val="Compact"/>
            </w:pPr>
            <w:r>
              <w:rPr>
                <w:rStyle w:val="VerbatimChar"/>
              </w:rPr>
              <w:t xml:space="preserve">DRIFT-IDENTITY::ai-shadow</w:t>
            </w:r>
          </w:p>
        </w:tc>
        <w:tc>
          <w:tcPr/>
          <w:p>
            <w:pPr>
              <w:pStyle w:val="Compact"/>
            </w:pPr>
            <w:r>
              <w:t xml:space="preserve">P1</w:t>
            </w:r>
          </w:p>
        </w:tc>
        <w:tc>
          <w:tcPr/>
          <w:p>
            <w:pPr>
              <w:pStyle w:val="Compact"/>
            </w:pPr>
            <w:r>
              <w:t xml:space="preserve">the Federal Modernization Program registry entry absent from OMB inventory</w:t>
            </w:r>
          </w:p>
        </w:tc>
      </w:tr>
      <w:tr>
        <w:tc>
          <w:tcPr/>
          <w:p>
            <w:pPr>
              <w:pStyle w:val="Compact"/>
            </w:pPr>
            <w:r>
              <w:rPr>
                <w:rStyle w:val="VerbatimChar"/>
              </w:rPr>
              <w:t xml:space="preserve">DRIFT-COMPLIANCE::ai-ato-gap</w:t>
            </w:r>
          </w:p>
        </w:tc>
        <w:tc>
          <w:tcPr/>
          <w:p>
            <w:pPr>
              <w:pStyle w:val="Compact"/>
            </w:pPr>
            <w:r>
              <w:t xml:space="preserve">P2</w:t>
            </w:r>
          </w:p>
        </w:tc>
        <w:tc>
          <w:tcPr/>
          <w:p>
            <w:pPr>
              <w:pStyle w:val="Compact"/>
            </w:pPr>
            <w:r>
              <w:t xml:space="preserve">Deployed/pilot system,</w:t>
            </w:r>
            <w:r>
              <w:t xml:space="preserve"> </w:t>
            </w:r>
            <w:r>
              <w:rPr>
                <w:rStyle w:val="VerbatimChar"/>
              </w:rPr>
              <w:t xml:space="preserve">have_ato ≠ Yes</w:t>
            </w:r>
          </w:p>
        </w:tc>
      </w:tr>
      <w:tr>
        <w:tc>
          <w:tcPr/>
          <w:p>
            <w:pPr>
              <w:pStyle w:val="Compact"/>
            </w:pPr>
            <w:r>
              <w:rPr>
                <w:rStyle w:val="VerbatimChar"/>
              </w:rPr>
              <w:t xml:space="preserve">DRIFT-IDENTITY::ai-no-agency-bureau</w:t>
            </w:r>
          </w:p>
        </w:tc>
        <w:tc>
          <w:tcPr/>
          <w:p>
            <w:pPr>
              <w:pStyle w:val="Compact"/>
            </w:pPr>
            <w:r>
              <w:t xml:space="preserve">P2</w:t>
            </w:r>
          </w:p>
        </w:tc>
        <w:tc>
          <w:tcPr/>
          <w:p>
            <w:pPr>
              <w:pStyle w:val="Compact"/>
            </w:pPr>
            <w:r>
              <w:t xml:space="preserve">Blank or unresolvable</w:t>
            </w:r>
            <w:r>
              <w:t xml:space="preserve"> </w:t>
            </w:r>
            <w:r>
              <w:rPr>
                <w:rStyle w:val="VerbatimChar"/>
              </w:rPr>
              <w:t xml:space="preserve">agency_bureau</w:t>
            </w:r>
          </w:p>
        </w:tc>
      </w:tr>
      <w:tr>
        <w:tc>
          <w:tcPr/>
          <w:p>
            <w:pPr>
              <w:pStyle w:val="Compact"/>
            </w:pPr>
            <w:r>
              <w:rPr>
                <w:rStyle w:val="VerbatimChar"/>
              </w:rPr>
              <w:t xml:space="preserve">DRIFT-IDENTITY::ai-unowned</w:t>
            </w:r>
          </w:p>
        </w:tc>
        <w:tc>
          <w:tcPr/>
          <w:p>
            <w:pPr>
              <w:pStyle w:val="Compact"/>
            </w:pPr>
            <w:r>
              <w:t xml:space="preserve">P2</w:t>
            </w:r>
          </w:p>
        </w:tc>
        <w:tc>
          <w:tcPr/>
          <w:p>
            <w:pPr>
              <w:pStyle w:val="Compact"/>
            </w:pPr>
            <w:r>
              <w:t xml:space="preserve">Blank</w:t>
            </w:r>
            <w:r>
              <w:t xml:space="preserve"> </w:t>
            </w:r>
            <w:r>
              <w:rPr>
                <w:rStyle w:val="VerbatimChar"/>
              </w:rPr>
              <w:t xml:space="preserve">contact_email</w:t>
            </w:r>
          </w:p>
        </w:tc>
      </w:tr>
      <w:tr>
        <w:tc>
          <w:tcPr/>
          <w:p>
            <w:pPr>
              <w:pStyle w:val="Compact"/>
            </w:pPr>
            <w:r>
              <w:rPr>
                <w:rStyle w:val="VerbatimChar"/>
              </w:rPr>
              <w:t xml:space="preserve">DRIFT-COMPLIANCE::ai-pii-no-pia</w:t>
            </w:r>
          </w:p>
        </w:tc>
        <w:tc>
          <w:tcPr/>
          <w:p>
            <w:pPr>
              <w:pStyle w:val="Compact"/>
            </w:pPr>
            <w:r>
              <w:t xml:space="preserve">P2</w:t>
            </w:r>
          </w:p>
        </w:tc>
        <w:tc>
          <w:tcPr/>
          <w:p>
            <w:pPr>
              <w:pStyle w:val="Compact"/>
            </w:pPr>
            <w:r>
              <w:rPr>
                <w:rStyle w:val="VerbatimChar"/>
              </w:rPr>
              <w:t xml:space="preserve">has_pii = Yes</w:t>
            </w:r>
            <w:r>
              <w:t xml:space="preserve">, no</w:t>
            </w:r>
            <w:r>
              <w:t xml:space="preserve"> </w:t>
            </w:r>
            <w:r>
              <w:rPr>
                <w:rStyle w:val="VerbatimChar"/>
              </w:rPr>
              <w:t xml:space="preserve">pia_url</w:t>
            </w:r>
          </w:p>
        </w:tc>
      </w:tr>
    </w:tbl>
    <w:p>
      <w:pPr>
        <w:pStyle w:val="BodyText"/>
      </w:pPr>
      <w:r>
        <w:rPr>
          <w:b/>
          <w:bCs/>
        </w:rPr>
        <w:t xml:space="preserve">2025 inventory results (1,480 live systems):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Finding</w:t>
            </w:r>
          </w:p>
        </w:tc>
        <w:tc>
          <w:tcPr/>
          <w:p>
            <w:pPr>
              <w:pStyle w:val="Compact"/>
            </w:pPr>
            <w:r>
              <w:t xml:space="preserve">Count</w:t>
            </w:r>
          </w:p>
        </w:tc>
        <w:tc>
          <w:tcPr/>
          <w:p>
            <w:pPr>
              <w:pStyle w:val="Compact"/>
            </w:pPr>
            <w:r>
              <w:t xml:space="preserve">Share</w:t>
            </w:r>
          </w:p>
        </w:tc>
      </w:tr>
      <w:tr>
        <w:tc>
          <w:tcPr/>
          <w:p>
            <w:pPr>
              <w:pStyle w:val="Compact"/>
            </w:pPr>
            <w:r>
              <w:rPr>
                <w:rStyle w:val="VerbatimChar"/>
              </w:rPr>
              <w:t xml:space="preserve">ai-agentic-ungoverned</w:t>
            </w:r>
            <w:r>
              <w:t xml:space="preserve"> </w:t>
            </w:r>
            <w:r>
              <w:t xml:space="preserve">(P1)</w:t>
            </w:r>
          </w:p>
        </w:tc>
        <w:tc>
          <w:tcPr/>
          <w:p>
            <w:pPr>
              <w:pStyle w:val="Compact"/>
            </w:pPr>
            <w:r>
              <w:t xml:space="preserve">14</w:t>
            </w:r>
          </w:p>
        </w:tc>
        <w:tc>
          <w:tcPr/>
          <w:p>
            <w:pPr>
              <w:pStyle w:val="Compact"/>
            </w:pPr>
            <w:r>
              <w:t xml:space="preserve">&lt;1%</w:t>
            </w:r>
          </w:p>
        </w:tc>
      </w:tr>
      <w:tr>
        <w:tc>
          <w:tcPr/>
          <w:p>
            <w:pPr>
              <w:pStyle w:val="Compact"/>
            </w:pPr>
            <w:r>
              <w:rPr>
                <w:rStyle w:val="VerbatimChar"/>
              </w:rPr>
              <w:t xml:space="preserve">ai-ato-gap</w:t>
            </w:r>
          </w:p>
        </w:tc>
        <w:tc>
          <w:tcPr/>
          <w:p>
            <w:pPr>
              <w:pStyle w:val="Compact"/>
            </w:pPr>
            <w:r>
              <w:t xml:space="preserve">596</w:t>
            </w:r>
          </w:p>
        </w:tc>
        <w:tc>
          <w:tcPr/>
          <w:p>
            <w:pPr>
              <w:pStyle w:val="Compact"/>
            </w:pPr>
            <w:r>
              <w:t xml:space="preserve">40%</w:t>
            </w:r>
          </w:p>
        </w:tc>
      </w:tr>
      <w:tr>
        <w:tc>
          <w:tcPr/>
          <w:p>
            <w:pPr>
              <w:pStyle w:val="Compact"/>
            </w:pPr>
            <w:r>
              <w:rPr>
                <w:rStyle w:val="VerbatimChar"/>
              </w:rPr>
              <w:t xml:space="preserve">ai-unowned</w:t>
            </w:r>
          </w:p>
        </w:tc>
        <w:tc>
          <w:tcPr/>
          <w:p>
            <w:pPr>
              <w:pStyle w:val="Compact"/>
            </w:pPr>
            <w:r>
              <w:t xml:space="preserve">488</w:t>
            </w:r>
          </w:p>
        </w:tc>
        <w:tc>
          <w:tcPr/>
          <w:p>
            <w:pPr>
              <w:pStyle w:val="Compact"/>
            </w:pPr>
            <w:r>
              <w:t xml:space="preserve">33%</w:t>
            </w:r>
          </w:p>
        </w:tc>
      </w:tr>
      <w:tr>
        <w:tc>
          <w:tcPr/>
          <w:p>
            <w:pPr>
              <w:pStyle w:val="Compact"/>
            </w:pPr>
            <w:r>
              <w:rPr>
                <w:rStyle w:val="VerbatimChar"/>
              </w:rPr>
              <w:t xml:space="preserve">ai-pii-no-pia</w:t>
            </w:r>
          </w:p>
        </w:tc>
        <w:tc>
          <w:tcPr/>
          <w:p>
            <w:pPr>
              <w:pStyle w:val="Compact"/>
            </w:pPr>
            <w:r>
              <w:t xml:space="preserve">248</w:t>
            </w:r>
          </w:p>
        </w:tc>
        <w:tc>
          <w:tcPr/>
          <w:p>
            <w:pPr>
              <w:pStyle w:val="Compact"/>
            </w:pPr>
            <w:r>
              <w:t xml:space="preserve">17%</w:t>
            </w:r>
          </w:p>
        </w:tc>
      </w:tr>
      <w:tr>
        <w:tc>
          <w:tcPr/>
          <w:p>
            <w:pPr>
              <w:pStyle w:val="Compact"/>
            </w:pPr>
            <w:r>
              <w:rPr>
                <w:b/>
                <w:bCs/>
              </w:rPr>
              <w:t xml:space="preserve">Total findings</w:t>
            </w:r>
          </w:p>
        </w:tc>
        <w:tc>
          <w:tcPr/>
          <w:p>
            <w:pPr>
              <w:pStyle w:val="Compact"/>
            </w:pPr>
            <w:r>
              <w:rPr>
                <w:b/>
                <w:bCs/>
              </w:rPr>
              <w:t xml:space="preserve">1,346</w:t>
            </w:r>
          </w:p>
        </w:tc>
        <w:tc>
          <w:tcPr/>
          <w:p>
            <w:pPr>
              <w:pStyle w:val="Compact"/>
            </w:pPr>
            <w:r>
              <w:t xml:space="preserve">—</w:t>
            </w:r>
          </w:p>
        </w:tc>
      </w:tr>
    </w:tbl>
    <w:bookmarkEnd w:id="236"/>
    <w:bookmarkStart w:id="237" w:name="tier-1-agency-ciso-notification"/>
    <w:p>
      <w:pPr>
        <w:pStyle w:val="Heading2"/>
      </w:pPr>
      <w:r>
        <w:t xml:space="preserve">Tier 1: Agency CISO notification</w:t>
      </w:r>
    </w:p>
    <w:p>
      <w:pPr>
        <w:pStyle w:val="FirstParagraph"/>
      </w:pPr>
      <w:r>
        <w:t xml:space="preserve">Each agency’s finding file contains only that agency’s systems. The delivery</w:t>
      </w:r>
      <w:r>
        <w:t xml:space="preserve"> </w:t>
      </w:r>
      <w:r>
        <w:t xml:space="preserve">format is structured JSON, renderable as a prioritized HTML report via the</w:t>
      </w:r>
      <w:r>
        <w:t xml:space="preserve"> </w:t>
      </w:r>
      <w:r>
        <w:t xml:space="preserve">included</w:t>
      </w:r>
      <w:r>
        <w:t xml:space="preserve"> </w:t>
      </w:r>
      <w:r>
        <w:rPr>
          <w:rStyle w:val="VerbatimChar"/>
        </w:rPr>
        <w:t xml:space="preserve">--format html</w:t>
      </w:r>
      <w:r>
        <w:t xml:space="preserve"> </w:t>
      </w:r>
      <w:r>
        <w:t xml:space="preserve">flag.</w:t>
      </w:r>
    </w:p>
    <w:p>
      <w:pPr>
        <w:pStyle w:val="BodyText"/>
      </w:pPr>
      <w:r>
        <w:rPr>
          <w:b/>
          <w:bCs/>
        </w:rPr>
        <w:t xml:space="preserve">P1 findings (agentic AI without ATO) — 72-hour action window:</w:t>
      </w:r>
    </w:p>
    <w:p>
      <w:pPr>
        <w:pStyle w:val="BodyText"/>
      </w:pPr>
      <w:r>
        <w:t xml:space="preserve">OFCIO delivers P1 findings directly to the agency CISO and the bureau-level</w:t>
      </w:r>
      <w:r>
        <w:t xml:space="preserve"> </w:t>
      </w:r>
      <w:r>
        <w:t xml:space="preserve">governance contact identified in the</w:t>
      </w:r>
      <w:r>
        <w:t xml:space="preserve"> </w:t>
      </w:r>
      <w:r>
        <w:rPr>
          <w:rStyle w:val="VerbatimChar"/>
        </w:rPr>
        <w:t xml:space="preserve">contact_email</w:t>
      </w:r>
      <w:r>
        <w:t xml:space="preserve"> </w:t>
      </w:r>
      <w:r>
        <w:t xml:space="preserve">field (where present).</w:t>
      </w:r>
      <w:r>
        <w:t xml:space="preserve"> </w:t>
      </w:r>
      <w:r>
        <w:t xml:space="preserve">P1 systems are autonomous actors inside the federal identity substrate without</w:t>
      </w:r>
      <w:r>
        <w:t xml:space="preserve"> </w:t>
      </w:r>
      <w:r>
        <w:t xml:space="preserve">a governing authorization — post the April 15, 2026 compliance deadline, these</w:t>
      </w:r>
      <w:r>
        <w:t xml:space="preserve"> </w:t>
      </w:r>
      <w:r>
        <w:t xml:space="preserve">are documented failures, not pending risks.</w:t>
      </w:r>
    </w:p>
    <w:p>
      <w:pPr>
        <w:pStyle w:val="BodyText"/>
      </w:pPr>
      <w:r>
        <w:rPr>
          <w:b/>
          <w:bCs/>
        </w:rPr>
        <w:t xml:space="preserve">P2 findings — 30-day action window:</w:t>
      </w:r>
    </w:p>
    <w:p>
      <w:pPr>
        <w:pStyle w:val="BodyText"/>
      </w:pPr>
      <w:r>
        <w:t xml:space="preserve">The agency CISO distributes P2 findings to bureau governance contacts for</w:t>
      </w:r>
      <w:r>
        <w:t xml:space="preserve"> </w:t>
      </w:r>
      <w:r>
        <w:t xml:space="preserve">remediation tracking. Each P2 finding includes:</w:t>
      </w:r>
      <w:r>
        <w:t xml:space="preserve"> </w:t>
      </w:r>
      <w:r>
        <w:t xml:space="preserve">- The system name and inventory use-case ID</w:t>
      </w:r>
      <w:r>
        <w:t xml:space="preserve"> </w:t>
      </w:r>
      <w:r>
        <w:t xml:space="preserve">- The specific governance obligation not met (ATO, owner, PIA)</w:t>
      </w:r>
      <w:r>
        <w:t xml:space="preserve"> </w:t>
      </w:r>
      <w:r>
        <w:t xml:space="preserve">- The remediation action required (assert owner, initiate ATO, author PIA)</w:t>
      </w:r>
      <w:r>
        <w:t xml:space="preserve"> </w:t>
      </w:r>
      <w:r>
        <w:t xml:space="preserve">- The NIST control(s) the gap affects</w:t>
      </w:r>
    </w:p>
    <w:bookmarkEnd w:id="237"/>
    <w:bookmarkStart w:id="238" w:name="tier-2-per-agency-remediation"/>
    <w:p>
      <w:pPr>
        <w:pStyle w:val="Heading2"/>
      </w:pPr>
      <w:r>
        <w:t xml:space="preserve">Tier 2: Per-agency remediation</w:t>
      </w:r>
    </w:p>
    <w:p>
      <w:pPr>
        <w:pStyle w:val="FirstParagraph"/>
      </w:pPr>
      <w:r>
        <w:t xml:space="preserve">Remediation at Tier 2 requires no new tooling. Agencies use their existing</w:t>
      </w:r>
      <w:r>
        <w:t xml:space="preserve"> </w:t>
      </w:r>
      <w:r>
        <w:t xml:space="preserve">Identity Governance and Administration (IGA) platform to:</w:t>
      </w:r>
    </w:p>
    <w:p>
      <w:pPr>
        <w:pStyle w:val="Compact"/>
        <w:numPr>
          <w:ilvl w:val="0"/>
          <w:numId w:val="1132"/>
        </w:numPr>
      </w:pPr>
      <w:r>
        <w:rPr>
          <w:b/>
          <w:bCs/>
        </w:rPr>
        <w:t xml:space="preserve">Assign credential owners</w:t>
      </w:r>
      <w:r>
        <w:t xml:space="preserve"> </w:t>
      </w:r>
      <w:r>
        <w:t xml:space="preserve">— assert a bureau governance contact for each</w:t>
      </w:r>
      <w:r>
        <w:t xml:space="preserve"> </w:t>
      </w:r>
      <w:r>
        <w:t xml:space="preserve">system flagged</w:t>
      </w:r>
      <w:r>
        <w:t xml:space="preserve"> </w:t>
      </w:r>
      <w:r>
        <w:rPr>
          <w:rStyle w:val="VerbatimChar"/>
        </w:rPr>
        <w:t xml:space="preserve">ai-unowned</w:t>
      </w:r>
      <w:r>
        <w:t xml:space="preserve">; record in the OMB inventory</w:t>
      </w:r>
      <w:r>
        <w:t xml:space="preserve"> </w:t>
      </w:r>
      <w:r>
        <w:rPr>
          <w:rStyle w:val="VerbatimChar"/>
        </w:rPr>
        <w:t xml:space="preserve">contact_email</w:t>
      </w:r>
      <w:r>
        <w:t xml:space="preserve"> </w:t>
      </w:r>
      <w:r>
        <w:t xml:space="preserve">field and in the agency IGA system</w:t>
      </w:r>
    </w:p>
    <w:p>
      <w:pPr>
        <w:pStyle w:val="Compact"/>
        <w:numPr>
          <w:ilvl w:val="0"/>
          <w:numId w:val="1132"/>
        </w:numPr>
      </w:pPr>
      <w:r>
        <w:rPr>
          <w:b/>
          <w:bCs/>
        </w:rPr>
        <w:t xml:space="preserve">Initiate ATO process</w:t>
      </w:r>
      <w:r>
        <w:t xml:space="preserve"> </w:t>
      </w:r>
      <w:r>
        <w:t xml:space="preserve">— for each system flagged</w:t>
      </w:r>
      <w:r>
        <w:t xml:space="preserve"> </w:t>
      </w:r>
      <w:r>
        <w:rPr>
          <w:rStyle w:val="VerbatimChar"/>
        </w:rPr>
        <w:t xml:space="preserve">ai-ato-gap</w:t>
      </w:r>
      <w:r>
        <w:t xml:space="preserve">, engage the</w:t>
      </w:r>
      <w:r>
        <w:t xml:space="preserve"> </w:t>
      </w:r>
      <w:r>
        <w:t xml:space="preserve">Authorizing Official to begin or expedite the ATO package</w:t>
      </w:r>
    </w:p>
    <w:p>
      <w:pPr>
        <w:pStyle w:val="Compact"/>
        <w:numPr>
          <w:ilvl w:val="0"/>
          <w:numId w:val="1132"/>
        </w:numPr>
      </w:pPr>
      <w:r>
        <w:rPr>
          <w:b/>
          <w:bCs/>
        </w:rPr>
        <w:t xml:space="preserve">Author Privacy Impact Assessments</w:t>
      </w:r>
      <w:r>
        <w:t xml:space="preserve"> </w:t>
      </w:r>
      <w:r>
        <w:t xml:space="preserve">— for each system flagged</w:t>
      </w:r>
      <w:r>
        <w:t xml:space="preserve"> </w:t>
      </w:r>
      <w:r>
        <w:rPr>
          <w:rStyle w:val="VerbatimChar"/>
        </w:rPr>
        <w:t xml:space="preserve">ai-pii-no-pia</w:t>
      </w:r>
      <w:r>
        <w:t xml:space="preserve">, engage the agency Privacy Officer to author and publish a</w:t>
      </w:r>
      <w:r>
        <w:t xml:space="preserve"> </w:t>
      </w:r>
      <w:r>
        <w:t xml:space="preserve">PIA and record the URL in the inventory</w:t>
      </w:r>
    </w:p>
    <w:p>
      <w:pPr>
        <w:pStyle w:val="Compact"/>
        <w:numPr>
          <w:ilvl w:val="0"/>
          <w:numId w:val="1132"/>
        </w:numPr>
      </w:pPr>
      <w:r>
        <w:rPr>
          <w:b/>
          <w:bCs/>
        </w:rPr>
        <w:t xml:space="preserve">Confirm agentic system governance</w:t>
      </w:r>
      <w:r>
        <w:t xml:space="preserve"> </w:t>
      </w:r>
      <w:r>
        <w:t xml:space="preserve">— for each P1 system, confirm or</w:t>
      </w:r>
      <w:r>
        <w:t xml:space="preserve"> </w:t>
      </w:r>
      <w:r>
        <w:t xml:space="preserve">initiate an ATO specific to agentic operation; document the governance mode</w:t>
      </w:r>
      <w:r>
        <w:t xml:space="preserve"> </w:t>
      </w:r>
      <w:r>
        <w:t xml:space="preserve">(L1–L3 per the program decision)</w:t>
      </w:r>
    </w:p>
    <w:p>
      <w:pPr>
        <w:pStyle w:val="FirstParagraph"/>
      </w:pPr>
      <w:r>
        <w:t xml:space="preserve">OFCIO receives remediation confirmation by the agency updating the OMB</w:t>
      </w:r>
      <w:r>
        <w:t xml:space="preserve"> </w:t>
      </w:r>
      <w:r>
        <w:t xml:space="preserve">inventory record. The next annual vintage scan produces a new findings set that</w:t>
      </w:r>
      <w:r>
        <w:t xml:space="preserve"> </w:t>
      </w:r>
      <w:r>
        <w:t xml:space="preserve">reflects the remediation — closing the loop without requiring direct OFCIO</w:t>
      </w:r>
      <w:r>
        <w:t xml:space="preserve"> </w:t>
      </w:r>
      <w:r>
        <w:t xml:space="preserve">visibility into agency internal systems.</w:t>
      </w:r>
    </w:p>
    <w:bookmarkEnd w:id="238"/>
    <w:bookmarkStart w:id="239" w:name="what-is-not-required-at-tiers-02"/>
    <w:p>
      <w:pPr>
        <w:pStyle w:val="Heading2"/>
      </w:pPr>
      <w:r>
        <w:t xml:space="preserve">What is not required at Tiers 0–2</w:t>
      </w:r>
    </w:p>
    <w:p>
      <w:pPr>
        <w:pStyle w:val="Compact"/>
        <w:numPr>
          <w:ilvl w:val="0"/>
          <w:numId w:val="1133"/>
        </w:numPr>
      </w:pPr>
      <w:r>
        <w:t xml:space="preserve">No agency-side the Federal Modernization Program deployment</w:t>
      </w:r>
    </w:p>
    <w:p>
      <w:pPr>
        <w:pStyle w:val="Compact"/>
        <w:numPr>
          <w:ilvl w:val="0"/>
          <w:numId w:val="1133"/>
        </w:numPr>
      </w:pPr>
      <w:r>
        <w:t xml:space="preserve">No SailPoint or IGA platform integration</w:t>
      </w:r>
    </w:p>
    <w:p>
      <w:pPr>
        <w:pStyle w:val="Compact"/>
        <w:numPr>
          <w:ilvl w:val="0"/>
          <w:numId w:val="1133"/>
        </w:numPr>
      </w:pPr>
      <w:r>
        <w:t xml:space="preserve">No data sharing agreement (the OMB inventory is public)</w:t>
      </w:r>
    </w:p>
    <w:p>
      <w:pPr>
        <w:pStyle w:val="Compact"/>
        <w:numPr>
          <w:ilvl w:val="0"/>
          <w:numId w:val="1133"/>
        </w:numPr>
      </w:pPr>
      <w:r>
        <w:t xml:space="preserve">No new compliance reporting — remediation is recorded by updating the</w:t>
      </w:r>
      <w:r>
        <w:t xml:space="preserve"> </w:t>
      </w:r>
      <w:r>
        <w:t xml:space="preserve">existing OMB inventory fields the agency already manages</w:t>
      </w:r>
    </w:p>
    <w:p>
      <w:pPr>
        <w:pStyle w:val="FirstParagraph"/>
      </w:pPr>
      <w:r>
        <w:t xml:space="preserve">The central scan works against the data agencies have already published. The</w:t>
      </w:r>
      <w:r>
        <w:t xml:space="preserve"> </w:t>
      </w:r>
      <w:r>
        <w:t xml:space="preserve">findings are derived, not asserted — OFCIO is not making claims about agency</w:t>
      </w:r>
      <w:r>
        <w:t xml:space="preserve"> </w:t>
      </w:r>
      <w:r>
        <w:t xml:space="preserve">systems beyond what the agencies themselves reported.</w:t>
      </w:r>
    </w:p>
    <w:bookmarkEnd w:id="239"/>
    <w:bookmarkStart w:id="240" w:name="the-gap-the-central-scan-cannot-close"/>
    <w:p>
      <w:pPr>
        <w:pStyle w:val="Heading2"/>
      </w:pPr>
      <w:r>
        <w:t xml:space="preserve">The gap the central scan cannot close</w:t>
      </w:r>
    </w:p>
    <w:p>
      <w:pPr>
        <w:pStyle w:val="FirstParagraph"/>
      </w:pPr>
      <w:r>
        <w:t xml:space="preserve">The central scan operates on the inventory record, not on the credential itself.</w:t>
      </w:r>
      <w:r>
        <w:t xml:space="preserve"> </w:t>
      </w:r>
      <w:r>
        <w:t xml:space="preserve">It can identify that a system has no documented owner (</w:t>
      </w:r>
      <w:r>
        <w:rPr>
          <w:rStyle w:val="VerbatimChar"/>
        </w:rPr>
        <w:t xml:space="preserve">contact_email</w:t>
      </w:r>
      <w:r>
        <w:t xml:space="preserve"> </w:t>
      </w:r>
      <w:r>
        <w:t xml:space="preserve">blank)</w:t>
      </w:r>
      <w:r>
        <w:t xml:space="preserve"> </w:t>
      </w:r>
      <w:r>
        <w:t xml:space="preserve">but cannot verify whether the credential was actually rotated on schedule or</w:t>
      </w:r>
      <w:r>
        <w:t xml:space="preserve"> </w:t>
      </w:r>
      <w:r>
        <w:t xml:space="preserve">whether the credential was revoked when the system retired.</w:t>
      </w:r>
    </w:p>
    <w:p>
      <w:pPr>
        <w:pStyle w:val="BodyText"/>
      </w:pPr>
      <w:r>
        <w:t xml:space="preserve">That gap — between what the inventory records and what the credential surface</w:t>
      </w:r>
      <w:r>
        <w:t xml:space="preserve"> </w:t>
      </w:r>
      <w:r>
        <w:t xml:space="preserve">actually is — is the Tier 3 problem. It requires per-agency deployment of</w:t>
      </w:r>
      <w:r>
        <w:t xml:space="preserve"> </w:t>
      </w:r>
      <w:r>
        <w:t xml:space="preserve">credential lifecycle tooling (the</w:t>
      </w:r>
      <w:r>
        <w:t xml:space="preserve"> </w:t>
      </w:r>
      <w:r>
        <w:rPr>
          <w:rStyle w:val="VerbatimChar"/>
        </w:rPr>
        <w:t xml:space="preserve">sailpoint-machine-identity</w:t>
      </w:r>
      <w:r>
        <w:t xml:space="preserve"> </w:t>
      </w:r>
      <w:r>
        <w:t xml:space="preserve">adapter in the</w:t>
      </w:r>
      <w:r>
        <w:t xml:space="preserve"> </w:t>
      </w:r>
      <w:r>
        <w:t xml:space="preserve">target architecture) that can observe and govern the credential directly, not</w:t>
      </w:r>
      <w:r>
        <w:t xml:space="preserve"> </w:t>
      </w:r>
      <w:r>
        <w:t xml:space="preserve">just the inventory record that references it.</w:t>
      </w:r>
    </w:p>
    <w:p>
      <w:pPr>
        <w:pStyle w:val="BodyText"/>
      </w:pPr>
      <w:r>
        <w:t xml:space="preserve">The Tier 3 path is described in Governed Path and in</w:t>
      </w:r>
      <w:r>
        <w:t xml:space="preserve"> </w:t>
      </w:r>
      <w:r>
        <w:t xml:space="preserve">Book 21, Chapter 8 — The Machine-Identity Lifecycle.</w:t>
      </w:r>
    </w:p>
    <w:bookmarkEnd w:id="240"/>
    <w:bookmarkStart w:id="241" w:name="the-missing-enforcement-mechanism"/>
    <w:p>
      <w:pPr>
        <w:pStyle w:val="Heading2"/>
      </w:pPr>
      <w:r>
        <w:t xml:space="preserve">The missing enforcement mechanism</w:t>
      </w:r>
    </w:p>
    <w:p>
      <w:pPr>
        <w:pStyle w:val="FirstParagraph"/>
      </w:pPr>
      <w:r>
        <w:t xml:space="preserve">M-25-21 creates the inventory transparency obligation but has no enforcement</w:t>
      </w:r>
      <w:r>
        <w:t xml:space="preserve"> </w:t>
      </w:r>
      <w:r>
        <w:t xml:space="preserve">mechanism for credential governance post-ATO. CISA BOD 23-01 covers</w:t>
      </w:r>
      <w:r>
        <w:t xml:space="preserve"> </w:t>
      </w:r>
      <w:r>
        <w:t xml:space="preserve">device and software asset enumeration — not AI system credentials.</w:t>
      </w:r>
    </w:p>
    <w:p>
      <w:pPr>
        <w:pStyle w:val="BodyText"/>
      </w:pPr>
      <w:r>
        <w:t xml:space="preserve">The central scan model described here is technically available today. The</w:t>
      </w:r>
      <w:r>
        <w:t xml:space="preserve"> </w:t>
      </w:r>
      <w:r>
        <w:t xml:space="preserve">operational and policy question is whether OFCIO formalizes it — whether the</w:t>
      </w:r>
      <w:r>
        <w:t xml:space="preserve"> </w:t>
      </w:r>
      <w:r>
        <w:t xml:space="preserve">finding delivery to agency CISOs becomes a structured program with defined</w:t>
      </w:r>
      <w:r>
        <w:t xml:space="preserve"> </w:t>
      </w:r>
      <w:r>
        <w:t xml:space="preserve">response timelines, analogous to the BOD 23-01 asset enumeration cycle.</w:t>
      </w:r>
    </w:p>
    <w:p>
      <w:pPr>
        <w:pStyle w:val="BodyText"/>
      </w:pPr>
      <w:r>
        <w:t xml:space="preserve">A concept paper for a future Binding Operational Directive covering AI system</w:t>
      </w:r>
      <w:r>
        <w:t xml:space="preserve"> </w:t>
      </w:r>
      <w:r>
        <w:t xml:space="preserve">credential enumeration and lifecycle is tracked in GitHub Issue</w:t>
      </w:r>
      <w:r>
        <w:t xml:space="preserve"> </w:t>
      </w:r>
      <w:r>
        <w:t xml:space="preserve">[#978].</w:t>
      </w:r>
    </w:p>
    <w:bookmarkEnd w:id="241"/>
    <w:bookmarkStart w:id="242" w:name="running-the-central-scan"/>
    <w:p>
      <w:pPr>
        <w:pStyle w:val="Heading2"/>
      </w:pPr>
      <w:r>
        <w:t xml:space="preserve">Running the central scan</w:t>
      </w:r>
    </w:p>
    <w:p>
      <w:pPr>
        <w:pStyle w:val="SourceCode"/>
      </w:pPr>
      <w:r>
        <w:rPr>
          <w:rStyle w:val="CommentTok"/>
        </w:rPr>
        <w:t xml:space="preserve"># Download the 2025 OMB inventory</w:t>
      </w:r>
      <w:r>
        <w:br/>
      </w:r>
      <w:r>
        <w:rPr>
          <w:rStyle w:val="CommentTok"/>
        </w:rPr>
        <w:t xml:space="preserve"># Published annually by OMB (URL varies by fiscal year):</w:t>
      </w:r>
      <w:r>
        <w:br/>
      </w:r>
      <w:r>
        <w:rPr>
          <w:rStyle w:val="CommentTok"/>
        </w:rPr>
        <w:t xml:space="preserve"># https://github.com/ombegov/2025-Federal-Agency-AI-Use-Case-Inventory</w:t>
      </w:r>
      <w:r>
        <w:br/>
      </w:r>
      <w:r>
        <w:rPr>
          <w:rStyle w:val="FunctionTok"/>
        </w:rPr>
        <w:t xml:space="preserve">Invoke-WebRequest</w:t>
      </w:r>
      <w:r>
        <w:rPr>
          <w:rStyle w:val="NormalTok"/>
        </w:rPr>
        <w:t xml:space="preserve"> </w:t>
      </w:r>
      <w:r>
        <w:rPr>
          <w:rStyle w:val="OperatorTok"/>
        </w:rPr>
        <w:t xml:space="preserve">-</w:t>
      </w:r>
      <w:r>
        <w:rPr>
          <w:rStyle w:val="NormalTok"/>
        </w:rPr>
        <w:t xml:space="preserve">Uri </w:t>
      </w:r>
      <w:r>
        <w:rPr>
          <w:rStyle w:val="StringTok"/>
        </w:rPr>
        <w:t xml:space="preserve">"&lt;OMB-inventory-download-url&gt;"</w:t>
      </w:r>
      <w:r>
        <w:rPr>
          <w:rStyle w:val="NormalTok"/>
        </w:rPr>
        <w:t xml:space="preserve"> `</w:t>
      </w:r>
      <w:r>
        <w:br/>
      </w:r>
      <w:r>
        <w:rPr>
          <w:rStyle w:val="NormalTok"/>
        </w:rPr>
        <w:t xml:space="preserve">  </w:t>
      </w:r>
      <w:r>
        <w:rPr>
          <w:rStyle w:val="OperatorTok"/>
        </w:rPr>
        <w:t xml:space="preserve">-</w:t>
      </w:r>
      <w:r>
        <w:rPr>
          <w:rStyle w:val="NormalTok"/>
        </w:rPr>
        <w:t xml:space="preserve">OutFile omb_inventory_2025</w:t>
      </w:r>
      <w:r>
        <w:rPr>
          <w:rStyle w:val="OperatorTok"/>
        </w:rPr>
        <w:t xml:space="preserve">.</w:t>
      </w:r>
      <w:r>
        <w:rPr>
          <w:rStyle w:val="FunctionTok"/>
        </w:rPr>
        <w:t xml:space="preserve">csv</w:t>
      </w:r>
      <w:r>
        <w:br/>
      </w:r>
      <w:r>
        <w:br/>
      </w:r>
      <w:r>
        <w:rPr>
          <w:rStyle w:val="CommentTok"/>
        </w:rPr>
        <w:t xml:space="preserve"># Run the scanner (produces per-agency finding files)</w:t>
      </w:r>
      <w:r>
        <w:br/>
      </w:r>
      <w:r>
        <w:rPr>
          <w:rStyle w:val="OperatorTok"/>
        </w:rPr>
        <w:t xml:space="preserve">.</w:t>
      </w:r>
      <w:r>
        <w:rPr>
          <w:rStyle w:val="NormalTok"/>
        </w:rPr>
        <w:t xml:space="preserve">\Invoke-AIInventoryScan</w:t>
      </w:r>
      <w:r>
        <w:rPr>
          <w:rStyle w:val="OperatorTok"/>
        </w:rPr>
        <w:t xml:space="preserve">.</w:t>
      </w:r>
      <w:r>
        <w:rPr>
          <w:rStyle w:val="FunctionTok"/>
        </w:rPr>
        <w:t xml:space="preserve">ps1</w:t>
      </w:r>
      <w:r>
        <w:rPr>
          <w:rStyle w:val="NormalTok"/>
        </w:rPr>
        <w:t xml:space="preserve"> `</w:t>
      </w:r>
      <w:r>
        <w:br/>
      </w:r>
      <w:r>
        <w:rPr>
          <w:rStyle w:val="NormalTok"/>
        </w:rPr>
        <w:t xml:space="preserve">  </w:t>
      </w:r>
      <w:r>
        <w:rPr>
          <w:rStyle w:val="OperatorTok"/>
        </w:rPr>
        <w:t xml:space="preserve">-</w:t>
      </w:r>
      <w:r>
        <w:rPr>
          <w:rStyle w:val="NormalTok"/>
        </w:rPr>
        <w:t xml:space="preserve">InventoryPath omb_inventory_2025</w:t>
      </w:r>
      <w:r>
        <w:rPr>
          <w:rStyle w:val="OperatorTok"/>
        </w:rPr>
        <w:t xml:space="preserve">.</w:t>
      </w:r>
      <w:r>
        <w:rPr>
          <w:rStyle w:val="FunctionTok"/>
        </w:rPr>
        <w:t xml:space="preserve">csv</w:t>
      </w:r>
      <w:r>
        <w:rPr>
          <w:rStyle w:val="NormalTok"/>
        </w:rPr>
        <w:t xml:space="preserve"> `</w:t>
      </w:r>
      <w:r>
        <w:br/>
      </w:r>
      <w:r>
        <w:rPr>
          <w:rStyle w:val="NormalTok"/>
        </w:rPr>
        <w:t xml:space="preserve">  </w:t>
      </w:r>
      <w:r>
        <w:rPr>
          <w:rStyle w:val="OperatorTok"/>
        </w:rPr>
        <w:t xml:space="preserve">-</w:t>
      </w:r>
      <w:r>
        <w:rPr>
          <w:rStyle w:val="NormalTok"/>
        </w:rPr>
        <w:t xml:space="preserve">OutputPath findings</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Format html `</w:t>
      </w:r>
      <w:r>
        <w:br/>
      </w:r>
      <w:r>
        <w:rPr>
          <w:rStyle w:val="NormalTok"/>
        </w:rPr>
        <w:t xml:space="preserve">  </w:t>
      </w:r>
      <w:r>
        <w:rPr>
          <w:rStyle w:val="OperatorTok"/>
        </w:rPr>
        <w:t xml:space="preserve">-</w:t>
      </w:r>
      <w:r>
        <w:rPr>
          <w:rStyle w:val="NormalTok"/>
        </w:rPr>
        <w:t xml:space="preserve">SplitByAgency</w:t>
      </w:r>
    </w:p>
    <w:p>
      <w:pPr>
        <w:pStyle w:val="FirstParagraph"/>
      </w:pPr>
      <w:r>
        <w:t xml:space="preserve">For the Python scanner:</w:t>
      </w:r>
    </w:p>
    <w:p>
      <w:pPr>
        <w:pStyle w:val="SourceCode"/>
      </w:pPr>
      <w:r>
        <w:rPr>
          <w:rStyle w:val="ExtensionTok"/>
        </w:rPr>
        <w:t xml:space="preserve">python</w:t>
      </w:r>
      <w:r>
        <w:rPr>
          <w:rStyle w:val="NormalTok"/>
        </w:rPr>
        <w:t xml:space="preserve"> </w:t>
      </w:r>
      <w:r>
        <w:rPr>
          <w:rStyle w:val="AttributeTok"/>
        </w:rPr>
        <w:t xml:space="preserve">-m</w:t>
      </w:r>
      <w:r>
        <w:rPr>
          <w:rStyle w:val="NormalTok"/>
        </w:rPr>
        <w:t xml:space="preserve"> fmp.governance.ai_inventory.scanner </w:t>
      </w:r>
      <w:r>
        <w:rPr>
          <w:rStyle w:val="DataTypeTok"/>
        </w:rPr>
        <w:t xml:space="preserve">\</w:t>
      </w:r>
      <w:r>
        <w:br/>
      </w:r>
      <w:r>
        <w:rPr>
          <w:rStyle w:val="NormalTok"/>
        </w:rPr>
        <w:t xml:space="preserve">  </w:t>
      </w:r>
      <w:r>
        <w:rPr>
          <w:rStyle w:val="AttributeTok"/>
        </w:rPr>
        <w:t xml:space="preserve">--input</w:t>
      </w:r>
      <w:r>
        <w:rPr>
          <w:rStyle w:val="NormalTok"/>
        </w:rPr>
        <w:t xml:space="preserve"> omb_inventory_2025.csv </w:t>
      </w:r>
      <w:r>
        <w:rPr>
          <w:rStyle w:val="DataTypeTok"/>
        </w:rPr>
        <w:t xml:space="preserve">\</w:t>
      </w:r>
      <w:r>
        <w:br/>
      </w:r>
      <w:r>
        <w:rPr>
          <w:rStyle w:val="NormalTok"/>
        </w:rPr>
        <w:t xml:space="preserve">  </w:t>
      </w:r>
      <w:r>
        <w:rPr>
          <w:rStyle w:val="AttributeTok"/>
        </w:rPr>
        <w:t xml:space="preserve">--output</w:t>
      </w:r>
      <w:r>
        <w:rPr>
          <w:rStyle w:val="NormalTok"/>
        </w:rPr>
        <w:t xml:space="preserve"> findings/ </w:t>
      </w:r>
      <w:r>
        <w:rPr>
          <w:rStyle w:val="DataTypeTok"/>
        </w:rPr>
        <w:t xml:space="preserve">\</w:t>
      </w:r>
      <w:r>
        <w:br/>
      </w:r>
      <w:r>
        <w:rPr>
          <w:rStyle w:val="NormalTok"/>
        </w:rPr>
        <w:t xml:space="preserve">  </w:t>
      </w:r>
      <w:r>
        <w:rPr>
          <w:rStyle w:val="AttributeTok"/>
        </w:rPr>
        <w:t xml:space="preserve">--split-by-agency</w:t>
      </w:r>
      <w:r>
        <w:rPr>
          <w:rStyle w:val="NormalTok"/>
        </w:rPr>
        <w:t xml:space="preserve"> </w:t>
      </w:r>
      <w:r>
        <w:rPr>
          <w:rStyle w:val="DataTypeTok"/>
        </w:rPr>
        <w:t xml:space="preserve">\</w:t>
      </w:r>
      <w:r>
        <w:br/>
      </w:r>
      <w:r>
        <w:rPr>
          <w:rStyle w:val="NormalTok"/>
        </w:rPr>
        <w:t xml:space="preserve">  </w:t>
      </w:r>
      <w:r>
        <w:rPr>
          <w:rStyle w:val="AttributeTok"/>
        </w:rPr>
        <w:t xml:space="preserve">--format</w:t>
      </w:r>
      <w:r>
        <w:rPr>
          <w:rStyle w:val="NormalTok"/>
        </w:rPr>
        <w:t xml:space="preserve"> html</w:t>
      </w:r>
    </w:p>
    <w:p>
      <w:pPr>
        <w:pStyle w:val="FirstParagraph"/>
      </w:pPr>
      <w:r>
        <w:t xml:space="preserve">Output structure:</w:t>
      </w:r>
    </w:p>
    <w:p>
      <w:pPr>
        <w:pStyle w:val="SourceCode"/>
      </w:pPr>
      <w:r>
        <w:rPr>
          <w:rStyle w:val="VerbatimChar"/>
        </w:rPr>
        <w:t xml:space="preserve">findings/</w:t>
      </w:r>
      <w:r>
        <w:br/>
      </w:r>
      <w:r>
        <w:rPr>
          <w:rStyle w:val="VerbatimChar"/>
        </w:rPr>
        <w:t xml:space="preserve">  summary.json              # aggregate counts</w:t>
      </w:r>
      <w:r>
        <w:br/>
      </w:r>
      <w:r>
        <w:rPr>
          <w:rStyle w:val="VerbatimChar"/>
        </w:rPr>
        <w:t xml:space="preserve">  gate_halt_p1.json         # all P1 findings — immediate action</w:t>
      </w:r>
      <w:r>
        <w:br/>
      </w:r>
      <w:r>
        <w:rPr>
          <w:rStyle w:val="VerbatimChar"/>
        </w:rPr>
        <w:t xml:space="preserve">  by_agency/</w:t>
      </w:r>
      <w:r>
        <w:br/>
      </w:r>
      <w:r>
        <w:rPr>
          <w:rStyle w:val="VerbatimChar"/>
        </w:rPr>
        <w:t xml:space="preserve">    DOD.json</w:t>
      </w:r>
      <w:r>
        <w:br/>
      </w:r>
      <w:r>
        <w:rPr>
          <w:rStyle w:val="VerbatimChar"/>
        </w:rPr>
        <w:t xml:space="preserve">    HHS.json</w:t>
      </w:r>
      <w:r>
        <w:br/>
      </w:r>
      <w:r>
        <w:rPr>
          <w:rStyle w:val="VerbatimChar"/>
        </w:rPr>
        <w:t xml:space="preserve">    DOJ.json</w:t>
      </w:r>
      <w:r>
        <w:br/>
      </w:r>
      <w:r>
        <w:rPr>
          <w:rStyle w:val="VerbatimChar"/>
        </w:rPr>
        <w:t xml:space="preserve">    …                       # one file per agency with live systems</w:t>
      </w:r>
      <w:r>
        <w:br/>
      </w:r>
      <w:r>
        <w:rPr>
          <w:rStyle w:val="VerbatimChar"/>
        </w:rPr>
        <w:t xml:space="preserve">  report/</w:t>
      </w:r>
      <w:r>
        <w:br/>
      </w:r>
      <w:r>
        <w:rPr>
          <w:rStyle w:val="VerbatimChar"/>
        </w:rPr>
        <w:t xml:space="preserve">    index.html              # full findings report</w:t>
      </w:r>
      <w:r>
        <w:br/>
      </w:r>
      <w:r>
        <w:rPr>
          <w:rStyle w:val="VerbatimChar"/>
        </w:rPr>
        <w:t xml:space="preserve">    DOD.html</w:t>
      </w:r>
      <w:r>
        <w:br/>
      </w:r>
      <w:r>
        <w:rPr>
          <w:rStyle w:val="VerbatimChar"/>
        </w:rPr>
        <w:t xml:space="preserve">    HHS.html</w:t>
      </w:r>
      <w:r>
        <w:br/>
      </w:r>
      <w:r>
        <w:rPr>
          <w:rStyle w:val="VerbatimChar"/>
        </w:rPr>
        <w:t xml:space="preserve">    …</w:t>
      </w:r>
    </w:p>
    <w:p>
      <w:r>
        <w:pict>
          <v:rect style="width:0;height:1.5pt" o:hralign="center" o:hrstd="t" o:hr="t"/>
        </w:pict>
      </w:r>
    </w:p>
    <w:p>
      <w:pPr>
        <w:pStyle w:val="FirstParagraph"/>
      </w:pPr>
      <w:r>
        <w:rPr>
          <w:i/>
          <w:iCs/>
        </w:rPr>
        <w:t xml:space="preserve">For background on the identity governance gap this scan addresses, see</w:t>
      </w:r>
      <w:r>
        <w:rPr>
          <w:i/>
          <w:iCs/>
        </w:rPr>
        <w:t xml:space="preserve"> </w:t>
      </w:r>
      <w:r>
        <w:rPr>
          <w:i/>
          <w:iCs/>
        </w:rPr>
        <w:t xml:space="preserve">Book 21 — The Invisible Identity Surface.</w:t>
      </w:r>
      <w:r>
        <w:rPr>
          <w:i/>
          <w:iCs/>
        </w:rPr>
        <w:t xml:space="preserve"> </w:t>
      </w:r>
      <w:r>
        <w:rPr>
          <w:i/>
          <w:iCs/>
        </w:rPr>
        <w:t xml:space="preserve">For the manual agency path, see Manual Path. For the</w:t>
      </w:r>
      <w:r>
        <w:rPr>
          <w:i/>
          <w:iCs/>
        </w:rPr>
        <w:t xml:space="preserve"> </w:t>
      </w:r>
      <w:r>
        <w:rPr>
          <w:i/>
          <w:iCs/>
        </w:rPr>
        <w:t xml:space="preserve">full the Federal Modernization Program governed path, see Governed Path.</w:t>
      </w:r>
    </w:p>
    <w:bookmarkEnd w:id="242"/>
    <w:bookmarkEnd w:id="243"/>
    <w:bookmarkStart w:id="254" w:name="Xd21b3363a7788659d853e615778ee09b10778da"/>
    <w:p>
      <w:pPr>
        <w:pStyle w:val="Heading1"/>
      </w:pPr>
      <w:r>
        <w:t xml:space="preserve">Federal AI Identity Governance — Governed Path</w:t>
      </w:r>
    </w:p>
    <w:p>
      <w:pPr>
        <w:pStyle w:val="FirstParagraph"/>
      </w:pPr>
      <w:r>
        <w:t xml:space="preserve">This path extends the manual path with the Federal Modernization Program’s</w:t>
      </w:r>
      <w:r>
        <w:t xml:space="preserve"> </w:t>
      </w:r>
      <w:r>
        <w:t xml:space="preserve">governance substrate. The same scripts run; the same findings are produced.</w:t>
      </w:r>
      <w:r>
        <w:t xml:space="preserve"> </w:t>
      </w:r>
      <w:r>
        <w:t xml:space="preserve">What changes is that each finding is routed</w:t>
      </w:r>
      <w:r>
        <w:t xml:space="preserve"> </w:t>
      </w:r>
      <w:r>
        <w:t xml:space="preserve">through the drift engine (the program decision), and reconciled against the ATO reciprocity</w:t>
      </w:r>
      <w:r>
        <w:t xml:space="preserve"> </w:t>
      </w:r>
      <w:r>
        <w:t xml:space="preserve">model (the program decision). The result is a continuous governance loop, not an annual</w:t>
      </w:r>
      <w:r>
        <w:t xml:space="preserve"> </w:t>
      </w:r>
      <w:r>
        <w:t xml:space="preserve">manual exercise.</w:t>
      </w:r>
    </w:p>
    <w:p>
      <w:pPr>
        <w:pStyle w:val="BodyText"/>
      </w:pPr>
      <w:r>
        <w:t xml:space="preserve">The manual path is not a prerequisite. You can activate the governed path</w:t>
      </w:r>
      <w:r>
        <w:t xml:space="preserve"> </w:t>
      </w:r>
      <w:r>
        <w:t xml:space="preserve">directly. However, the manual path is a useful baseline read if this is the</w:t>
      </w:r>
      <w:r>
        <w:t xml:space="preserve"> </w:t>
      </w:r>
      <w:r>
        <w:t xml:space="preserve">first time your agency has applied identity governance to its AI inventory.</w:t>
      </w:r>
    </w:p>
    <w:p>
      <w:r>
        <w:pict>
          <v:rect style="width:0;height:1.5pt" o:hralign="center" o:hrstd="t" o:hr="t"/>
        </w:pict>
      </w:r>
    </w:p>
    <w:bookmarkStart w:id="244" w:name="prerequisites-1"/>
    <w:p>
      <w:pPr>
        <w:pStyle w:val="Heading2"/>
      </w:pPr>
      <w:r>
        <w:t xml:space="preserve">Prerequisites</w:t>
      </w:r>
    </w:p>
    <w:p>
      <w:pPr>
        <w:pStyle w:val="FirstParagraph"/>
      </w:pPr>
      <w:r>
        <w:t xml:space="preserve">In addition to the manual path prerequisites:</w:t>
      </w:r>
    </w:p>
    <w:p>
      <w:pPr>
        <w:pStyle w:val="Compact"/>
        <w:numPr>
          <w:ilvl w:val="0"/>
          <w:numId w:val="1134"/>
        </w:numPr>
      </w:pPr>
      <w:r>
        <w:t xml:space="preserve">The Federal Modernization Program substrate deployed with the</w:t>
      </w:r>
      <w:r>
        <w:t xml:space="preserve"> </w:t>
      </w:r>
      <w:r>
        <w:rPr>
          <w:rStyle w:val="VerbatimChar"/>
        </w:rPr>
        <w:t xml:space="preserve">ai-inventory-governance</w:t>
      </w:r>
      <w:r>
        <w:t xml:space="preserve"> </w:t>
      </w:r>
      <w:r>
        <w:t xml:space="preserve">SaaS adapter</w:t>
      </w:r>
      <w:r>
        <w:t xml:space="preserve"> </w:t>
      </w:r>
      <w:r>
        <w:t xml:space="preserve">activated (see §Activation below),</w:t>
      </w:r>
      <w:r>
        <w:t xml:space="preserve"> </w:t>
      </w:r>
      <w:r>
        <w:rPr>
          <w:b/>
          <w:bCs/>
        </w:rPr>
        <w:t xml:space="preserve">or</w:t>
      </w:r>
      <w:r>
        <w:t xml:space="preserve"> </w:t>
      </w:r>
      <w:r>
        <w:t xml:space="preserve">the Federal Modernization Program installed locally with</w:t>
      </w:r>
      <w:r>
        <w:t xml:space="preserve"> </w:t>
      </w:r>
      <w:r>
        <w:rPr>
          <w:rStyle w:val="VerbatimChar"/>
        </w:rPr>
        <w:t xml:space="preserve">src/fmp/governance/ai_inventory/</w:t>
      </w:r>
      <w:r>
        <w:t xml:space="preserve"> </w:t>
      </w:r>
      <w:r>
        <w:t xml:space="preserve">package</w:t>
      </w:r>
    </w:p>
    <w:p>
      <w:pPr>
        <w:pStyle w:val="Compact"/>
        <w:numPr>
          <w:ilvl w:val="0"/>
          <w:numId w:val="1134"/>
        </w:numPr>
      </w:pPr>
      <w:r>
        <w:rPr>
          <w:rStyle w:val="VerbatimChar"/>
        </w:rPr>
        <w:t xml:space="preserve">sailpoint-machine-identity</w:t>
      </w:r>
      <w:r>
        <w:t xml:space="preserve"> </w:t>
      </w:r>
      <w:r>
        <w:t xml:space="preserve">adapter slot promoted from</w:t>
      </w:r>
      <w:r>
        <w:t xml:space="preserve"> </w:t>
      </w:r>
      <w:r>
        <w:rPr>
          <w:rStyle w:val="VerbatimChar"/>
        </w:rPr>
        <w:t xml:space="preserve">reserved</w:t>
      </w:r>
      <w:r>
        <w:t xml:space="preserve"> </w:t>
      </w:r>
      <w:r>
        <w:t xml:space="preserve">to</w:t>
      </w:r>
      <w:r>
        <w:t xml:space="preserve"> </w:t>
      </w:r>
      <w:r>
        <w:rPr>
          <w:rStyle w:val="VerbatimChar"/>
        </w:rPr>
        <w:t xml:space="preserve">active</w:t>
      </w:r>
      <w:r>
        <w:t xml:space="preserve"> </w:t>
      </w:r>
      <w:r>
        <w:t xml:space="preserve">if SailPoint ISC is in scope (the program decision Option B)</w:t>
      </w:r>
    </w:p>
    <w:p>
      <w:r>
        <w:pict>
          <v:rect style="width:0;height:1.5pt" o:hralign="center" o:hrstd="t" o:hr="t"/>
        </w:pict>
      </w:r>
    </w:p>
    <w:bookmarkEnd w:id="244"/>
    <w:bookmarkStart w:id="245" w:name="what-the-governed-path-adds"/>
    <w:p>
      <w:pPr>
        <w:pStyle w:val="Heading2"/>
      </w:pPr>
      <w:r>
        <w:t xml:space="preserve">What the governed path adds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Manual path</w:t>
            </w:r>
          </w:p>
        </w:tc>
        <w:tc>
          <w:tcPr/>
          <w:p>
            <w:pPr>
              <w:pStyle w:val="Compact"/>
            </w:pPr>
            <w:r>
              <w:t xml:space="preserve">Governed path addition</w:t>
            </w:r>
          </w:p>
        </w:tc>
      </w:tr>
      <w:tr>
        <w:tc>
          <w:tcPr/>
          <w:p>
            <w:pPr>
              <w:pStyle w:val="Compact"/>
            </w:pPr>
            <w:r>
              <w:t xml:space="preserve">CSV scan → findings report</w:t>
            </w:r>
          </w:p>
        </w:tc>
        <w:tc>
          <w:tcPr/>
          <w:p>
            <w:pPr>
              <w:pStyle w:val="Compact"/>
            </w:pPr>
            <w:r>
              <w:t xml:space="preserve">Findings ingested as</w:t>
            </w:r>
            <w:r>
              <w:t xml:space="preserve"> </w:t>
            </w:r>
            <w:r>
              <w:rPr>
                <w:rStyle w:val="VerbatimChar"/>
              </w:rPr>
              <w:t xml:space="preserve">Finding</w:t>
            </w:r>
            <w:r>
              <w:t xml:space="preserve"> </w:t>
            </w:r>
            <w:r>
              <w:t xml:space="preserve">objects into the Federal Modernization Program drift engine</w:t>
            </w:r>
          </w:p>
        </w:tc>
      </w:tr>
      <w:tr>
        <w:tc>
          <w:tcPr/>
          <w:p>
            <w:pPr>
              <w:pStyle w:val="Compact"/>
            </w:pPr>
            <w:r>
              <w:t xml:space="preserve">ATO gap flagged in report</w:t>
            </w:r>
          </w:p>
        </w:tc>
        <w:tc>
          <w:tcPr/>
          <w:p>
            <w:pPr>
              <w:pStyle w:val="Compact"/>
            </w:pPr>
            <w:r>
              <w:t xml:space="preserve">ATO gap cross-walked against the program decision reciprocity records; finding routed to AO</w:t>
            </w:r>
          </w:p>
        </w:tc>
      </w:tr>
      <w:tr>
        <w:tc>
          <w:tcPr/>
          <w:p>
            <w:pPr>
              <w:pStyle w:val="Compact"/>
            </w:pPr>
            <w:r>
              <w:t xml:space="preserve">Unowned system listed</w:t>
            </w:r>
          </w:p>
        </w:tc>
        <w:tc>
          <w:tcPr/>
          <w:p>
            <w:pPr>
              <w:pStyle w:val="Compact"/>
            </w:pPr>
            <w:r>
              <w:t xml:space="preserve">Owner assignment workflow triggered via the program decision governance review queue</w:t>
            </w:r>
          </w:p>
        </w:tc>
      </w:tr>
      <w:tr>
        <w:tc>
          <w:tcPr/>
          <w:p>
            <w:pPr>
              <w:pStyle w:val="Compact"/>
            </w:pPr>
            <w:r>
              <w:t xml:space="preserve">Annual manual re-scan</w:t>
            </w:r>
          </w:p>
        </w:tc>
        <w:tc>
          <w:tcPr/>
          <w:p>
            <w:pPr>
              <w:pStyle w:val="Compact"/>
            </w:pPr>
            <w:r>
              <w:t xml:space="preserve">Annual inventory vintage triggers automatic re-scan; delta findings surfaced</w:t>
            </w:r>
          </w:p>
        </w:tc>
      </w:tr>
      <w:tr>
        <w:tc>
          <w:tcPr/>
          <w:p>
            <w:pPr>
              <w:pStyle w:val="Compact"/>
            </w:pPr>
            <w:r>
              <w:t xml:space="preserve">Shadow AI: manual lookup</w:t>
            </w:r>
          </w:p>
        </w:tc>
        <w:tc>
          <w:tcPr/>
          <w:p>
            <w:pPr>
              <w:pStyle w:val="Compact"/>
            </w:pPr>
            <w:r>
              <w:t xml:space="preserve">Shadow AI compared against the Federal Modernization Program machine-identity registry automatically</w:t>
            </w:r>
          </w:p>
        </w:tc>
      </w:tr>
    </w:tbl>
    <w:p>
      <w:r>
        <w:pict>
          <v:rect style="width:0;height:1.5pt" o:hralign="center" o:hrstd="t" o:hr="t"/>
        </w:pict>
      </w:r>
    </w:p>
    <w:bookmarkEnd w:id="245"/>
    <w:bookmarkStart w:id="248" w:name="activation"/>
    <w:p>
      <w:pPr>
        <w:pStyle w:val="Heading2"/>
      </w:pPr>
      <w:r>
        <w:t xml:space="preserve">Activation</w:t>
      </w:r>
    </w:p>
    <w:bookmarkStart w:id="246" w:name="X583390e12e4a81c35b527749dd6a800f221bc59"/>
    <w:p>
      <w:pPr>
        <w:pStyle w:val="Heading3"/>
      </w:pPr>
      <w:r>
        <w:t xml:space="preserve">Option A — the Federal Modernization Program adapter (recommended for the Federal Modernization Program deployers)</w:t>
      </w:r>
    </w:p>
    <w:p>
      <w:pPr>
        <w:pStyle w:val="FirstParagraph"/>
      </w:pPr>
      <w:r>
        <w:t xml:space="preserve">The</w:t>
      </w:r>
      <w:r>
        <w:t xml:space="preserve"> </w:t>
      </w:r>
      <w:r>
        <w:rPr>
          <w:rStyle w:val="VerbatimChar"/>
        </w:rPr>
        <w:t xml:space="preserve">ai-inventory-governance</w:t>
      </w:r>
      <w:r>
        <w:t xml:space="preserve"> </w:t>
      </w:r>
      <w:r>
        <w:t xml:space="preserve">conformance adapter in</w:t>
      </w:r>
      <w:r>
        <w:t xml:space="preserve"> </w:t>
      </w:r>
      <w:r>
        <w:rPr>
          <w:rStyle w:val="VerbatimChar"/>
        </w:rPr>
        <w:t xml:space="preserve">adapter-registry.yaml</w:t>
      </w:r>
      <w:r>
        <w:t xml:space="preserve"> </w:t>
      </w:r>
      <w:r>
        <w:t xml:space="preserve">binds the scanner to the Federal Modernization Program governance substrate. To activate:</w:t>
      </w:r>
    </w:p>
    <w:p>
      <w:pPr>
        <w:pStyle w:val="Compact"/>
        <w:numPr>
          <w:ilvl w:val="0"/>
          <w:numId w:val="1135"/>
        </w:numPr>
      </w:pPr>
      <w:r>
        <w:t xml:space="preserve">Submit a governance-board request to promote the slot from</w:t>
      </w:r>
      <w:r>
        <w:t xml:space="preserve"> </w:t>
      </w:r>
      <w:r>
        <w:rPr>
          <w:rStyle w:val="VerbatimChar"/>
        </w:rPr>
        <w:t xml:space="preserve">reserved</w:t>
      </w:r>
      <w:r>
        <w:t xml:space="preserve"> </w:t>
      </w:r>
      <w:r>
        <w:t xml:space="preserve">to</w:t>
      </w:r>
      <w:r>
        <w:t xml:space="preserve"> </w:t>
      </w:r>
      <w:r>
        <w:rPr>
          <w:rStyle w:val="VerbatimChar"/>
        </w:rPr>
        <w:t xml:space="preserve">active</w:t>
      </w:r>
      <w:r>
        <w:t xml:space="preserve"> </w:t>
      </w:r>
      <w:r>
        <w:t xml:space="preserve">(follow the program decision adapter activation lifecycle).</w:t>
      </w:r>
    </w:p>
    <w:p>
      <w:pPr>
        <w:pStyle w:val="Compact"/>
        <w:numPr>
          <w:ilvl w:val="0"/>
          <w:numId w:val="1135"/>
        </w:numPr>
      </w:pPr>
      <w:r>
        <w:t xml:space="preserve">Configure the OMB inventory URL or supply the CSV path in the adapter config.</w:t>
      </w:r>
    </w:p>
    <w:p>
      <w:pPr>
        <w:pStyle w:val="Compact"/>
        <w:numPr>
          <w:ilvl w:val="0"/>
          <w:numId w:val="1135"/>
        </w:numPr>
      </w:pPr>
      <w:r>
        <w:t xml:space="preserve">Set the</w:t>
      </w:r>
      <w:r>
        <w:t xml:space="preserve"> </w:t>
      </w:r>
      <w:r>
        <w:rPr>
          <w:rStyle w:val="VerbatimChar"/>
        </w:rPr>
        <w:t xml:space="preserve">agency_filter</w:t>
      </w:r>
      <w:r>
        <w:t xml:space="preserve"> </w:t>
      </w:r>
      <w:r>
        <w:t xml:space="preserve">list to your agency abbreviation(s).</w:t>
      </w:r>
    </w:p>
    <w:p>
      <w:pPr>
        <w:pStyle w:val="Compact"/>
        <w:numPr>
          <w:ilvl w:val="0"/>
          <w:numId w:val="1135"/>
        </w:numPr>
      </w:pPr>
      <w:r>
        <w:t xml:space="preserve">The adapter runs annually on OMB inventory publication, and on-demand via</w:t>
      </w:r>
      <w:r>
        <w:t xml:space="preserve"> </w:t>
      </w:r>
      <w:r>
        <w:t xml:space="preserve">the Federal Modernization Program CLI:</w:t>
      </w:r>
    </w:p>
    <w:p>
      <w:pPr>
        <w:pStyle w:val="SourceCode"/>
      </w:pPr>
      <w:r>
        <w:rPr>
          <w:rStyle w:val="ExtensionTok"/>
        </w:rPr>
        <w:t xml:space="preserve">fmp</w:t>
      </w:r>
      <w:r>
        <w:rPr>
          <w:rStyle w:val="NormalTok"/>
        </w:rPr>
        <w:t xml:space="preserve"> ai-inventory scan </w:t>
      </w:r>
      <w:r>
        <w:rPr>
          <w:rStyle w:val="DataTypeTok"/>
        </w:rPr>
        <w:t xml:space="preserve">\</w:t>
      </w:r>
      <w:r>
        <w:br/>
      </w:r>
      <w:r>
        <w:rPr>
          <w:rStyle w:val="NormalTok"/>
        </w:rPr>
        <w:t xml:space="preserve">    </w:t>
      </w:r>
      <w:r>
        <w:rPr>
          <w:rStyle w:val="AttributeTok"/>
        </w:rPr>
        <w:t xml:space="preserve">--csv</w:t>
      </w:r>
      <w:r>
        <w:rPr>
          <w:rStyle w:val="NormalTok"/>
        </w:rPr>
        <w:t xml:space="preserve"> data/2025_individually_reported_AI_use_cases.csv </w:t>
      </w:r>
      <w:r>
        <w:rPr>
          <w:rStyle w:val="DataTypeTok"/>
        </w:rPr>
        <w:t xml:space="preserve">\</w:t>
      </w:r>
      <w:r>
        <w:br/>
      </w:r>
      <w:r>
        <w:rPr>
          <w:rStyle w:val="NormalTok"/>
        </w:rPr>
        <w:t xml:space="preserve">    </w:t>
      </w:r>
      <w:r>
        <w:rPr>
          <w:rStyle w:val="AttributeTok"/>
        </w:rPr>
        <w:t xml:space="preserve">--agency</w:t>
      </w:r>
      <w:r>
        <w:rPr>
          <w:rStyle w:val="NormalTok"/>
        </w:rPr>
        <w:t xml:space="preserve"> GSA </w:t>
      </w:r>
      <w:r>
        <w:rPr>
          <w:rStyle w:val="DataTypeTok"/>
        </w:rPr>
        <w:t xml:space="preserve">\</w:t>
      </w:r>
      <w:r>
        <w:br/>
      </w:r>
      <w:r>
        <w:rPr>
          <w:rStyle w:val="NormalTok"/>
        </w:rPr>
        <w:t xml:space="preserve">    </w:t>
      </w:r>
      <w:r>
        <w:rPr>
          <w:rStyle w:val="AttributeTok"/>
        </w:rPr>
        <w:t xml:space="preserve">--output</w:t>
      </w:r>
      <w:r>
        <w:rPr>
          <w:rStyle w:val="NormalTok"/>
        </w:rPr>
        <w:t xml:space="preserve"> findings.json</w:t>
      </w:r>
    </w:p>
    <w:bookmarkEnd w:id="246"/>
    <w:bookmarkStart w:id="247" w:name="option-b-local-python-package"/>
    <w:p>
      <w:pPr>
        <w:pStyle w:val="Heading3"/>
      </w:pPr>
      <w:r>
        <w:t xml:space="preserve">Option B — Local Python package</w:t>
      </w:r>
    </w:p>
    <w:p>
      <w:pPr>
        <w:pStyle w:val="SourceCode"/>
      </w:pPr>
      <w:r>
        <w:rPr>
          <w:rStyle w:val="ImportTok"/>
        </w:rPr>
        <w:t xml:space="preserve">from</w:t>
      </w:r>
      <w:r>
        <w:rPr>
          <w:rStyle w:val="NormalTok"/>
        </w:rPr>
        <w:t xml:space="preserve"> fmp.governance.ai_inventory </w:t>
      </w:r>
      <w:r>
        <w:rPr>
          <w:rStyle w:val="ImportTok"/>
        </w:rPr>
        <w:t xml:space="preserve">import</w:t>
      </w:r>
      <w:r>
        <w:rPr>
          <w:rStyle w:val="NormalTok"/>
        </w:rPr>
        <w:t xml:space="preserve"> scan_inventory</w:t>
      </w:r>
      <w:r>
        <w:br/>
      </w:r>
      <w:r>
        <w:br/>
      </w:r>
      <w:r>
        <w:rPr>
          <w:rStyle w:val="NormalTok"/>
        </w:rPr>
        <w:t xml:space="preserve">result </w:t>
      </w:r>
      <w:r>
        <w:rPr>
          <w:rStyle w:val="OperatorTok"/>
        </w:rPr>
        <w:t xml:space="preserve">=</w:t>
      </w:r>
      <w:r>
        <w:rPr>
          <w:rStyle w:val="NormalTok"/>
        </w:rPr>
        <w:t xml:space="preserve"> scan_inventory(</w:t>
      </w:r>
      <w:r>
        <w:br/>
      </w:r>
      <w:r>
        <w:rPr>
          <w:rStyle w:val="NormalTok"/>
        </w:rPr>
        <w:t xml:space="preserve">    </w:t>
      </w:r>
      <w:r>
        <w:rPr>
          <w:rStyle w:val="StringTok"/>
        </w:rPr>
        <w:t xml:space="preserve">"data/2025_individually_reported_AI_use_cases.csv"</w:t>
      </w:r>
      <w:r>
        <w:rPr>
          <w:rStyle w:val="NormalTok"/>
        </w:rPr>
        <w:t xml:space="preserve">,</w:t>
      </w:r>
      <w:r>
        <w:br/>
      </w:r>
      <w:r>
        <w:rPr>
          <w:rStyle w:val="NormalTok"/>
        </w:rPr>
        <w:t xml:space="preserve">    known_registry_ids</w:t>
      </w:r>
      <w:r>
        <w:rPr>
          <w:rStyle w:val="OperatorTok"/>
        </w:rPr>
        <w:t xml:space="preserve">=</w:t>
      </w:r>
      <w:r>
        <w:rPr>
          <w:rStyle w:val="NormalTok"/>
        </w:rPr>
        <w:t xml:space="preserve">{</w:t>
      </w:r>
      <w:r>
        <w:rPr>
          <w:rStyle w:val="StringTok"/>
        </w:rPr>
        <w:t xml:space="preserve">"ACAS"</w:t>
      </w:r>
      <w:r>
        <w:rPr>
          <w:rStyle w:val="NormalTok"/>
        </w:rPr>
        <w:t xml:space="preserve">, </w:t>
      </w:r>
      <w:r>
        <w:rPr>
          <w:rStyle w:val="StringTok"/>
        </w:rPr>
        <w:t xml:space="preserve">"ADVANA"</w:t>
      </w:r>
      <w:r>
        <w:rPr>
          <w:rStyle w:val="NormalTok"/>
        </w:rPr>
        <w:t xml:space="preserve">},</w:t>
      </w:r>
      <w:r>
        <w:br/>
      </w:r>
      <w:r>
        <w:rPr>
          <w:rStyle w:val="NormalTok"/>
        </w:rPr>
        <w:t xml:space="preserve">)</w:t>
      </w:r>
      <w:r>
        <w:br/>
      </w:r>
      <w:r>
        <w:rPr>
          <w:rStyle w:val="BuiltInTok"/>
        </w:rPr>
        <w:t xml:space="preserve">print</w:t>
      </w:r>
      <w:r>
        <w:rPr>
          <w:rStyle w:val="NormalTok"/>
        </w:rPr>
        <w:t xml:space="preserve">(result.summary)</w:t>
      </w:r>
      <w:r>
        <w:br/>
      </w:r>
      <w:r>
        <w:rPr>
          <w:rStyle w:val="CommentTok"/>
        </w:rPr>
        <w:t xml:space="preserve"># Route findings to drift engine</w:t>
      </w:r>
      <w:r>
        <w:br/>
      </w:r>
      <w:r>
        <w:rPr>
          <w:rStyle w:val="ImportTok"/>
        </w:rPr>
        <w:t xml:space="preserve">from</w:t>
      </w:r>
      <w:r>
        <w:rPr>
          <w:rStyle w:val="NormalTok"/>
        </w:rPr>
        <w:t xml:space="preserve"> fmp.governance.drift_core </w:t>
      </w:r>
      <w:r>
        <w:rPr>
          <w:rStyle w:val="ImportTok"/>
        </w:rPr>
        <w:t xml:space="preserve">import</w:t>
      </w:r>
      <w:r>
        <w:rPr>
          <w:rStyle w:val="NormalTok"/>
        </w:rPr>
        <w:t xml:space="preserve"> gate</w:t>
      </w:r>
      <w:r>
        <w:br/>
      </w:r>
      <w:r>
        <w:rPr>
          <w:rStyle w:val="NormalTok"/>
        </w:rPr>
        <w:t xml:space="preserve">decision </w:t>
      </w:r>
      <w:r>
        <w:rPr>
          <w:rStyle w:val="OperatorTok"/>
        </w:rPr>
        <w:t xml:space="preserve">=</w:t>
      </w:r>
      <w:r>
        <w:rPr>
          <w:rStyle w:val="NormalTok"/>
        </w:rPr>
        <w:t xml:space="preserve"> gate(result.findings)</w:t>
      </w:r>
    </w:p>
    <w:p>
      <w:r>
        <w:pict>
          <v:rect style="width:0;height:1.5pt" o:hralign="center" o:hrstd="t" o:hr="t"/>
        </w:pict>
      </w:r>
    </w:p>
    <w:bookmarkEnd w:id="247"/>
    <w:bookmarkEnd w:id="248"/>
    <w:bookmarkStart w:id="249" w:name="drift-engine-integration"/>
    <w:p>
      <w:pPr>
        <w:pStyle w:val="Heading2"/>
      </w:pPr>
      <w:r>
        <w:t xml:space="preserve">Drift engine integration</w:t>
      </w:r>
    </w:p>
    <w:p>
      <w:pPr>
        <w:pStyle w:val="FirstParagraph"/>
      </w:pPr>
      <w:r>
        <w:t xml:space="preserve">Findings from the AI inventory scan are Finding objects (drift_core.py) that</w:t>
      </w:r>
      <w:r>
        <w:t xml:space="preserve"> </w:t>
      </w:r>
      <w:r>
        <w:t xml:space="preserve">pass through the standard drift gate:</w:t>
      </w:r>
    </w:p>
    <w:p>
      <w:pPr>
        <w:pStyle w:val="SourceCode"/>
      </w:pPr>
      <w:r>
        <w:rPr>
          <w:rStyle w:val="VerbatimChar"/>
        </w:rPr>
        <w:t xml:space="preserve">P1 findings → HALT gate → governance review queue (never auto-remediated)</w:t>
      </w:r>
      <w:r>
        <w:br/>
      </w:r>
      <w:r>
        <w:rPr>
          <w:rStyle w:val="VerbatimChar"/>
        </w:rPr>
        <w:t xml:space="preserve">P2 findings → per-policy remediation → bureau identity governance coordinator</w:t>
      </w:r>
    </w:p>
    <w:p>
      <w:pPr>
        <w:pStyle w:val="FirstParagraph"/>
      </w:pPr>
      <w:r>
        <w:t xml:space="preserve">The six AI drift classes extend the the program decision taxonomy: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Drift class</w:t>
            </w:r>
          </w:p>
        </w:tc>
        <w:tc>
          <w:tcPr/>
          <w:p>
            <w:pPr>
              <w:pStyle w:val="Compact"/>
            </w:pPr>
            <w:r>
              <w:t xml:space="preserve">Severity</w:t>
            </w:r>
          </w:p>
        </w:tc>
        <w:tc>
          <w:tcPr/>
          <w:p>
            <w:pPr>
              <w:pStyle w:val="Compact"/>
            </w:pPr>
            <w:r>
              <w:t xml:space="preserve">Auto-remediate</w:t>
            </w:r>
          </w:p>
        </w:tc>
        <w:tc>
          <w:tcPr/>
          <w:p>
            <w:pPr>
              <w:pStyle w:val="Compact"/>
            </w:pPr>
            <w:r>
              <w:t xml:space="preserve">Routes to</w:t>
            </w:r>
          </w:p>
        </w:tc>
      </w:tr>
      <w:tr>
        <w:tc>
          <w:tcPr/>
          <w:p>
            <w:pPr>
              <w:pStyle w:val="Compact"/>
            </w:pPr>
            <w:r>
              <w:rPr>
                <w:rStyle w:val="VerbatimChar"/>
              </w:rPr>
              <w:t xml:space="preserve">DRIFT-COMPLIANCE::ai-agentic-ungoverned</w:t>
            </w:r>
          </w:p>
        </w:tc>
        <w:tc>
          <w:tcPr/>
          <w:p>
            <w:pPr>
              <w:pStyle w:val="Compact"/>
            </w:pPr>
            <w:r>
              <w:t xml:space="preserve">P1</w:t>
            </w:r>
          </w:p>
        </w:tc>
        <w:tc>
          <w:tcPr/>
          <w:p>
            <w:pPr>
              <w:pStyle w:val="Compact"/>
            </w:pPr>
            <w:r>
              <w:t xml:space="preserve">Never</w:t>
            </w:r>
          </w:p>
        </w:tc>
        <w:tc>
          <w:tcPr/>
          <w:p>
            <w:pPr>
              <w:pStyle w:val="Compact"/>
            </w:pPr>
            <w:r>
              <w:t xml:space="preserve">AO + ISSO</w:t>
            </w:r>
          </w:p>
        </w:tc>
      </w:tr>
      <w:tr>
        <w:tc>
          <w:tcPr/>
          <w:p>
            <w:pPr>
              <w:pStyle w:val="Compact"/>
            </w:pPr>
            <w:r>
              <w:rPr>
                <w:rStyle w:val="VerbatimChar"/>
              </w:rPr>
              <w:t xml:space="preserve">DRIFT-IDENTITY::ai-shadow</w:t>
            </w:r>
          </w:p>
        </w:tc>
        <w:tc>
          <w:tcPr/>
          <w:p>
            <w:pPr>
              <w:pStyle w:val="Compact"/>
            </w:pPr>
            <w:r>
              <w:t xml:space="preserve">P1</w:t>
            </w:r>
          </w:p>
        </w:tc>
        <w:tc>
          <w:tcPr/>
          <w:p>
            <w:pPr>
              <w:pStyle w:val="Compact"/>
            </w:pPr>
            <w:r>
              <w:t xml:space="preserve">Never</w:t>
            </w:r>
          </w:p>
        </w:tc>
        <w:tc>
          <w:tcPr/>
          <w:p>
            <w:pPr>
              <w:pStyle w:val="Compact"/>
            </w:pPr>
            <w:r>
              <w:t xml:space="preserve">Security team + AO</w:t>
            </w:r>
          </w:p>
        </w:tc>
      </w:tr>
      <w:tr>
        <w:tc>
          <w:tcPr/>
          <w:p>
            <w:pPr>
              <w:pStyle w:val="Compact"/>
            </w:pPr>
            <w:r>
              <w:rPr>
                <w:rStyle w:val="VerbatimChar"/>
              </w:rPr>
              <w:t xml:space="preserve">DRIFT-COMPLIANCE::ai-ato-gap</w:t>
            </w:r>
          </w:p>
        </w:tc>
        <w:tc>
          <w:tcPr/>
          <w:p>
            <w:pPr>
              <w:pStyle w:val="Compact"/>
            </w:pPr>
            <w:r>
              <w:t xml:space="preserve">P2</w:t>
            </w:r>
          </w:p>
        </w:tc>
        <w:tc>
          <w:tcPr/>
          <w:p>
            <w:pPr>
              <w:pStyle w:val="Compact"/>
            </w:pPr>
            <w:r>
              <w:t xml:space="preserve">Never</w:t>
            </w:r>
          </w:p>
        </w:tc>
        <w:tc>
          <w:tcPr/>
          <w:p>
            <w:pPr>
              <w:pStyle w:val="Compact"/>
            </w:pPr>
            <w:r>
              <w:t xml:space="preserve">AO + bureau ISSO</w:t>
            </w:r>
          </w:p>
        </w:tc>
      </w:tr>
      <w:tr>
        <w:tc>
          <w:tcPr/>
          <w:p>
            <w:pPr>
              <w:pStyle w:val="Compact"/>
            </w:pPr>
            <w:r>
              <w:rPr>
                <w:rStyle w:val="VerbatimChar"/>
              </w:rPr>
              <w:t xml:space="preserve">DRIFT-IDENTITY::ai-no-agency-bureau</w:t>
            </w:r>
          </w:p>
        </w:tc>
        <w:tc>
          <w:tcPr/>
          <w:p>
            <w:pPr>
              <w:pStyle w:val="Compact"/>
            </w:pPr>
            <w:r>
              <w:t xml:space="preserve">P2</w:t>
            </w:r>
          </w:p>
        </w:tc>
        <w:tc>
          <w:tcPr/>
          <w:p>
            <w:pPr>
              <w:pStyle w:val="Compact"/>
            </w:pPr>
            <w:r>
              <w:t xml:space="preserve">Per-policy</w:t>
            </w:r>
          </w:p>
        </w:tc>
        <w:tc>
          <w:tcPr/>
          <w:p>
            <w:pPr>
              <w:pStyle w:val="Compact"/>
            </w:pPr>
            <w:r>
              <w:t xml:space="preserve">Identity workflow</w:t>
            </w:r>
          </w:p>
        </w:tc>
      </w:tr>
      <w:tr>
        <w:tc>
          <w:tcPr/>
          <w:p>
            <w:pPr>
              <w:pStyle w:val="Compact"/>
            </w:pPr>
            <w:r>
              <w:rPr>
                <w:rStyle w:val="VerbatimChar"/>
              </w:rPr>
              <w:t xml:space="preserve">DRIFT-IDENTITY::ai-unowned</w:t>
            </w:r>
          </w:p>
        </w:tc>
        <w:tc>
          <w:tcPr/>
          <w:p>
            <w:pPr>
              <w:pStyle w:val="Compact"/>
            </w:pPr>
            <w:r>
              <w:t xml:space="preserve">P2</w:t>
            </w:r>
          </w:p>
        </w:tc>
        <w:tc>
          <w:tcPr/>
          <w:p>
            <w:pPr>
              <w:pStyle w:val="Compact"/>
            </w:pPr>
            <w:r>
              <w:t xml:space="preserve">Never</w:t>
            </w:r>
          </w:p>
        </w:tc>
        <w:tc>
          <w:tcPr/>
          <w:p>
            <w:pPr>
              <w:pStyle w:val="Compact"/>
            </w:pPr>
            <w:r>
              <w:t xml:space="preserve">Bureau IdM coordinator</w:t>
            </w:r>
          </w:p>
        </w:tc>
      </w:tr>
      <w:tr>
        <w:tc>
          <w:tcPr/>
          <w:p>
            <w:pPr>
              <w:pStyle w:val="Compact"/>
            </w:pPr>
            <w:r>
              <w:rPr>
                <w:rStyle w:val="VerbatimChar"/>
              </w:rPr>
              <w:t xml:space="preserve">DRIFT-COMPLIANCE::ai-pii-no-pia</w:t>
            </w:r>
          </w:p>
        </w:tc>
        <w:tc>
          <w:tcPr/>
          <w:p>
            <w:pPr>
              <w:pStyle w:val="Compact"/>
            </w:pPr>
            <w:r>
              <w:t xml:space="preserve">P2</w:t>
            </w:r>
          </w:p>
        </w:tc>
        <w:tc>
          <w:tcPr/>
          <w:p>
            <w:pPr>
              <w:pStyle w:val="Compact"/>
            </w:pPr>
            <w:r>
              <w:t xml:space="preserve">Never</w:t>
            </w:r>
          </w:p>
        </w:tc>
        <w:tc>
          <w:tcPr/>
          <w:p>
            <w:pPr>
              <w:pStyle w:val="Compact"/>
            </w:pPr>
            <w:r>
              <w:t xml:space="preserve">Privacy officer</w:t>
            </w:r>
          </w:p>
        </w:tc>
      </w:tr>
    </w:tbl>
    <w:p>
      <w:r>
        <w:pict>
          <v:rect style="width:0;height:1.5pt" o:hralign="center" o:hrstd="t" o:hr="t"/>
        </w:pict>
      </w:r>
    </w:p>
    <w:bookmarkEnd w:id="249"/>
    <w:bookmarkStart w:id="250" w:name="X718cb762305a2996c5d800f6b3a84b84861a339"/>
    <w:p>
      <w:pPr>
        <w:pStyle w:val="Heading2"/>
      </w:pPr>
      <w:r>
        <w:t xml:space="preserve">ATO reciprocity cross-walk (the program decision)</w:t>
      </w:r>
    </w:p>
    <w:p>
      <w:pPr>
        <w:pStyle w:val="FirstParagraph"/>
      </w:pPr>
      <w:r>
        <w:t xml:space="preserve">The governed path cross-walks each</w:t>
      </w:r>
      <w:r>
        <w:t xml:space="preserve"> </w:t>
      </w:r>
      <w:r>
        <w:rPr>
          <w:rStyle w:val="VerbatimChar"/>
        </w:rPr>
        <w:t xml:space="preserve">system_name_ato</w:t>
      </w:r>
      <w:r>
        <w:t xml:space="preserve"> </w:t>
      </w:r>
      <w:r>
        <w:t xml:space="preserve">value against the Federal Modernization Program’s ATO</w:t>
      </w:r>
      <w:r>
        <w:t xml:space="preserve"> </w:t>
      </w:r>
      <w:r>
        <w:t xml:space="preserve">reciprocity registry (FMP_140, the program decision):</w:t>
      </w:r>
    </w:p>
    <w:p>
      <w:pPr>
        <w:pStyle w:val="Compact"/>
        <w:numPr>
          <w:ilvl w:val="0"/>
          <w:numId w:val="1136"/>
        </w:numPr>
      </w:pPr>
      <w:r>
        <w:rPr>
          <w:b/>
          <w:bCs/>
        </w:rPr>
        <w:t xml:space="preserve">Match found</w:t>
      </w:r>
      <w:r>
        <w:t xml:space="preserve">: the system inherits the platform ATO; no ATO gap finding</w:t>
      </w:r>
    </w:p>
    <w:p>
      <w:pPr>
        <w:pStyle w:val="Compact"/>
        <w:numPr>
          <w:ilvl w:val="0"/>
          <w:numId w:val="1136"/>
        </w:numPr>
      </w:pPr>
      <w:r>
        <w:rPr>
          <w:b/>
          <w:bCs/>
        </w:rPr>
        <w:t xml:space="preserve">Match not found +</w:t>
      </w:r>
      <w:r>
        <w:rPr>
          <w:b/>
          <w:bCs/>
        </w:rPr>
        <w:t xml:space="preserve"> </w:t>
      </w:r>
      <w:r>
        <w:rPr>
          <w:rStyle w:val="VerbatimChar"/>
          <w:b/>
          <w:bCs/>
        </w:rPr>
        <w:t xml:space="preserve">have_ato = Yes</w:t>
      </w:r>
      <w:r>
        <w:t xml:space="preserve">: candidate for reciprocity registration</w:t>
      </w:r>
    </w:p>
    <w:p>
      <w:pPr>
        <w:pStyle w:val="Compact"/>
        <w:numPr>
          <w:ilvl w:val="0"/>
          <w:numId w:val="1136"/>
        </w:numPr>
      </w:pPr>
      <w:r>
        <w:rPr>
          <w:b/>
          <w:bCs/>
        </w:rPr>
        <w:t xml:space="preserve">No match +</w:t>
      </w:r>
      <w:r>
        <w:rPr>
          <w:b/>
          <w:bCs/>
        </w:rPr>
        <w:t xml:space="preserve"> </w:t>
      </w:r>
      <w:r>
        <w:rPr>
          <w:rStyle w:val="VerbatimChar"/>
          <w:b/>
          <w:bCs/>
        </w:rPr>
        <w:t xml:space="preserve">have_ato = No</w:t>
      </w:r>
      <w:r>
        <w:t xml:space="preserve">:</w:t>
      </w:r>
      <w:r>
        <w:t xml:space="preserve"> </w:t>
      </w:r>
      <w:r>
        <w:rPr>
          <w:rStyle w:val="VerbatimChar"/>
        </w:rPr>
        <w:t xml:space="preserve">DRIFT-COMPLIANCE::ai-ato-gap</w:t>
      </w:r>
      <w:r>
        <w:t xml:space="preserve"> </w:t>
      </w:r>
      <w:r>
        <w:t xml:space="preserve">P2 finding</w:t>
      </w:r>
    </w:p>
    <w:p>
      <w:pPr>
        <w:pStyle w:val="FirstParagraph"/>
      </w:pPr>
      <w:r>
        <w:t xml:space="preserve">For OPM HRIT-platform-hosted AI systems, the single-ATO model from the program decision</w:t>
      </w:r>
      <w:r>
        <w:t xml:space="preserve"> </w:t>
      </w:r>
      <w:r>
        <w:t xml:space="preserve">means most agency deployments inherit the OPM ATO — the number of genuine ATO</w:t>
      </w:r>
      <w:r>
        <w:t xml:space="preserve"> </w:t>
      </w:r>
      <w:r>
        <w:t xml:space="preserve">gaps in that vertical should be close to zero.</w:t>
      </w:r>
    </w:p>
    <w:p>
      <w:r>
        <w:pict>
          <v:rect style="width:0;height:1.5pt" o:hralign="center" o:hrstd="t" o:hr="t"/>
        </w:pict>
      </w:r>
    </w:p>
    <w:bookmarkEnd w:id="250"/>
    <w:bookmarkStart w:id="251" w:name="annual-inventory-refresh-cycle"/>
    <w:p>
      <w:pPr>
        <w:pStyle w:val="Heading2"/>
      </w:pPr>
      <w:r>
        <w:t xml:space="preserve">Annual inventory refresh cycle</w:t>
      </w:r>
    </w:p>
    <w:p>
      <w:pPr>
        <w:pStyle w:val="FirstParagraph"/>
      </w:pPr>
      <w:r>
        <w:t xml:space="preserve">When OMB publishes the next-vintage inventory:</w:t>
      </w:r>
    </w:p>
    <w:p>
      <w:pPr>
        <w:pStyle w:val="Compact"/>
        <w:numPr>
          <w:ilvl w:val="0"/>
          <w:numId w:val="1137"/>
        </w:numPr>
      </w:pPr>
      <w:r>
        <w:t xml:space="preserve">The</w:t>
      </w:r>
      <w:r>
        <w:t xml:space="preserve"> </w:t>
      </w:r>
      <w:r>
        <w:rPr>
          <w:rStyle w:val="VerbatimChar"/>
        </w:rPr>
        <w:t xml:space="preserve">ai-inventory-governance</w:t>
      </w:r>
      <w:r>
        <w:t xml:space="preserve"> </w:t>
      </w:r>
      <w:r>
        <w:t xml:space="preserve">adapter ingests the new CSV automatically</w:t>
      </w:r>
    </w:p>
    <w:p>
      <w:pPr>
        <w:pStyle w:val="Compact"/>
        <w:numPr>
          <w:ilvl w:val="0"/>
          <w:numId w:val="1137"/>
        </w:numPr>
      </w:pPr>
      <w:r>
        <w:t xml:space="preserve">Computes delta vs. prior vintage:</w:t>
      </w:r>
    </w:p>
    <w:p>
      <w:pPr>
        <w:pStyle w:val="Compact"/>
        <w:numPr>
          <w:ilvl w:val="1"/>
          <w:numId w:val="1138"/>
        </w:numPr>
      </w:pPr>
      <w:r>
        <w:t xml:space="preserve">New live entries → new identity-subject records</w:t>
      </w:r>
    </w:p>
    <w:p>
      <w:pPr>
        <w:pStyle w:val="Compact"/>
        <w:numPr>
          <w:ilvl w:val="1"/>
          <w:numId w:val="1138"/>
        </w:numPr>
      </w:pPr>
      <w:r>
        <w:t xml:space="preserve">Retired entries → deprovisioning workflow triggered</w:t>
      </w:r>
    </w:p>
    <w:p>
      <w:pPr>
        <w:pStyle w:val="Compact"/>
        <w:numPr>
          <w:ilvl w:val="1"/>
          <w:numId w:val="1138"/>
        </w:numPr>
      </w:pPr>
      <w:r>
        <w:t xml:space="preserve">ATO status changes → reciprocity registry updated</w:t>
      </w:r>
    </w:p>
    <w:p>
      <w:pPr>
        <w:pStyle w:val="Compact"/>
        <w:numPr>
          <w:ilvl w:val="0"/>
          <w:numId w:val="1137"/>
        </w:numPr>
      </w:pPr>
      <w:r>
        <w:t xml:space="preserve">Net-new P1 findings are surfaced immediately; P2 findings join the next</w:t>
      </w:r>
      <w:r>
        <w:t xml:space="preserve"> </w:t>
      </w:r>
      <w:r>
        <w:t xml:space="preserve">governance review cycle</w:t>
      </w:r>
    </w:p>
    <w:p>
      <w:pPr>
        <w:pStyle w:val="FirstParagraph"/>
      </w:pPr>
      <w:r>
        <w:t xml:space="preserve">The</w:t>
      </w:r>
      <w:r>
        <w:t xml:space="preserve"> </w:t>
      </w:r>
      <w:r>
        <w:rPr>
          <w:rStyle w:val="VerbatimChar"/>
        </w:rPr>
        <w:t xml:space="preserve">inventory_vintage</w:t>
      </w:r>
      <w:r>
        <w:t xml:space="preserve"> </w:t>
      </w:r>
      <w:r>
        <w:t xml:space="preserve">field in</w:t>
      </w:r>
      <w:r>
        <w:t xml:space="preserve"> </w:t>
      </w:r>
      <w:r>
        <w:rPr>
          <w:rStyle w:val="VerbatimChar"/>
        </w:rPr>
        <w:t xml:space="preserve">ScanResult</w:t>
      </w:r>
      <w:r>
        <w:t xml:space="preserve"> </w:t>
      </w:r>
      <w:r>
        <w:t xml:space="preserve">records the year; a staleness</w:t>
      </w:r>
      <w:r>
        <w:t xml:space="preserve"> </w:t>
      </w:r>
      <w:r>
        <w:t xml:space="preserve">warning fires if the vintage is more than 13 months old (FMP_196 §6).</w:t>
      </w:r>
    </w:p>
    <w:p>
      <w:r>
        <w:pict>
          <v:rect style="width:0;height:1.5pt" o:hralign="center" o:hrstd="t" o:hr="t"/>
        </w:pict>
      </w:r>
    </w:p>
    <w:bookmarkEnd w:id="251"/>
    <w:bookmarkStart w:id="252" w:name="oscal-evidence-output"/>
    <w:p>
      <w:pPr>
        <w:pStyle w:val="Heading2"/>
      </w:pPr>
      <w:r>
        <w:t xml:space="preserve">OSCAL evidence output</w:t>
      </w:r>
    </w:p>
    <w:p>
      <w:pPr>
        <w:pStyle w:val="FirstParagraph"/>
      </w:pPr>
      <w:r>
        <w:t xml:space="preserve">The</w:t>
      </w:r>
      <w:r>
        <w:t xml:space="preserve"> </w:t>
      </w:r>
      <w:r>
        <w:rPr>
          <w:rStyle w:val="VerbatimChar"/>
        </w:rPr>
        <w:t xml:space="preserve">to_json</w:t>
      </w:r>
      <w:r>
        <w:t xml:space="preserve"> </w:t>
      </w:r>
      <w:r>
        <w:t xml:space="preserve">method on</w:t>
      </w:r>
      <w:r>
        <w:t xml:space="preserve"> </w:t>
      </w:r>
      <w:r>
        <w:rPr>
          <w:rStyle w:val="VerbatimChar"/>
        </w:rPr>
        <w:t xml:space="preserve">ScanResult</w:t>
      </w:r>
      <w:r>
        <w:t xml:space="preserve"> </w:t>
      </w:r>
      <w:r>
        <w:t xml:space="preserve">produces an ODR-compatible evidence</w:t>
      </w:r>
      <w:r>
        <w:t xml:space="preserve"> </w:t>
      </w:r>
      <w:r>
        <w:t xml:space="preserve">payload. Map to NIST 800-53 Rev 5 controls: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Evidence source</w:t>
            </w:r>
          </w:p>
        </w:tc>
        <w:tc>
          <w:tcPr/>
          <w:p>
            <w:pPr>
              <w:pStyle w:val="Compact"/>
            </w:pPr>
            <w:r>
              <w:t xml:space="preserve">Controls</w:t>
            </w:r>
          </w:p>
        </w:tc>
      </w:tr>
      <w:tr>
        <w:tc>
          <w:tcPr/>
          <w:p>
            <w:pPr>
              <w:pStyle w:val="Compact"/>
            </w:pPr>
            <w:r>
              <w:t xml:space="preserve">ATO gap findings</w:t>
            </w:r>
          </w:p>
        </w:tc>
        <w:tc>
          <w:tcPr/>
          <w:p>
            <w:pPr>
              <w:pStyle w:val="Compact"/>
            </w:pPr>
            <w:r>
              <w:t xml:space="preserve">CA-7 (continuous monitoring), CA-8 (penetration testing prep)</w:t>
            </w:r>
          </w:p>
        </w:tc>
      </w:tr>
      <w:tr>
        <w:tc>
          <w:tcPr/>
          <w:p>
            <w:pPr>
              <w:pStyle w:val="Compact"/>
            </w:pPr>
            <w:r>
              <w:t xml:space="preserve">Unowned findings</w:t>
            </w:r>
          </w:p>
        </w:tc>
        <w:tc>
          <w:tcPr/>
          <w:p>
            <w:pPr>
              <w:pStyle w:val="Compact"/>
            </w:pPr>
            <w:r>
              <w:t xml:space="preserve">IA-4 (identifier management), AC-2 (account management)</w:t>
            </w:r>
          </w:p>
        </w:tc>
      </w:tr>
      <w:tr>
        <w:tc>
          <w:tcPr/>
          <w:p>
            <w:pPr>
              <w:pStyle w:val="Compact"/>
            </w:pPr>
            <w:r>
              <w:t xml:space="preserve">PII/PIA findings</w:t>
            </w:r>
          </w:p>
        </w:tc>
        <w:tc>
          <w:tcPr/>
          <w:p>
            <w:pPr>
              <w:pStyle w:val="Compact"/>
            </w:pPr>
            <w:r>
              <w:t xml:space="preserve">PT-2 (PIA), AR-2 (privacy impact and risk assessment)</w:t>
            </w:r>
          </w:p>
        </w:tc>
      </w:tr>
      <w:tr>
        <w:tc>
          <w:tcPr/>
          <w:p>
            <w:pPr>
              <w:pStyle w:val="Compact"/>
            </w:pPr>
            <w:r>
              <w:t xml:space="preserve">Agentic ungoverned</w:t>
            </w:r>
          </w:p>
        </w:tc>
        <w:tc>
          <w:tcPr/>
          <w:p>
            <w:pPr>
              <w:pStyle w:val="Compact"/>
            </w:pPr>
            <w:r>
              <w:t xml:space="preserve">AC-2, IA-2, SI-7 (software integrity)</w:t>
            </w:r>
          </w:p>
        </w:tc>
      </w:tr>
      <w:tr>
        <w:tc>
          <w:tcPr/>
          <w:p>
            <w:pPr>
              <w:pStyle w:val="Compact"/>
            </w:pPr>
            <w:r>
              <w:t xml:space="preserve">Shadow AI</w:t>
            </w:r>
          </w:p>
        </w:tc>
        <w:tc>
          <w:tcPr/>
          <w:p>
            <w:pPr>
              <w:pStyle w:val="Compact"/>
            </w:pPr>
            <w:r>
              <w:t xml:space="preserve">CM-8 (system component inventory), CA-7</w:t>
            </w:r>
          </w:p>
        </w:tc>
      </w:tr>
      <w:tr>
        <w:tc>
          <w:tcPr/>
          <w:p>
            <w:pPr>
              <w:pStyle w:val="Compact"/>
            </w:pPr>
            <w:r>
              <w:t xml:space="preserve">Agency/bureau gap</w:t>
            </w:r>
          </w:p>
        </w:tc>
        <w:tc>
          <w:tcPr/>
          <w:p>
            <w:pPr>
              <w:pStyle w:val="Compact"/>
            </w:pPr>
            <w:r>
              <w:t xml:space="preserve">IA-4, AC-2</w:t>
            </w:r>
          </w:p>
        </w:tc>
      </w:tr>
    </w:tbl>
    <w:p>
      <w:r>
        <w:pict>
          <v:rect style="width:0;height:1.5pt" o:hralign="center" o:hrstd="t" o:hr="t"/>
        </w:pict>
      </w:r>
    </w:p>
    <w:p>
      <w:pPr>
        <w:pStyle w:val="FirstParagraph"/>
      </w:pPr>
      <w:r>
        <w:rPr>
          <w:b/>
          <w:bCs/>
        </w:rPr>
        <w:t xml:space="preserve">Offering this to OMB / other agencies:</w:t>
      </w:r>
      <w:r>
        <w:t xml:space="preserve"> </w:t>
      </w:r>
      <w:r>
        <w:t xml:space="preserve">The standalone PowerShell script</w:t>
      </w:r>
      <w:r>
        <w:t xml:space="preserve"> </w:t>
      </w:r>
      <w:r>
        <w:t xml:space="preserve">(</w:t>
      </w:r>
      <w:r>
        <w:rPr>
          <w:rStyle w:val="VerbatimChar"/>
        </w:rPr>
        <w:t xml:space="preserve">Invoke-AIInventoryScan.ps1</w:t>
      </w:r>
      <w:r>
        <w:t xml:space="preserve">) is designed to be shared. An agency running</w:t>
      </w:r>
      <w:r>
        <w:t xml:space="preserve"> </w:t>
      </w:r>
      <w:r>
        <w:t xml:space="preserve">only the manual path produces the same findings as the governed path — the</w:t>
      </w:r>
      <w:r>
        <w:t xml:space="preserve"> </w:t>
      </w:r>
      <w:r>
        <w:t xml:space="preserve">difference is what happens next. The governed path automates disposition;</w:t>
      </w:r>
      <w:r>
        <w:t xml:space="preserve"> </w:t>
      </w:r>
      <w:r>
        <w:t xml:space="preserve">the manual path leaves it to the operator. Both are valid starting points.</w:t>
      </w:r>
    </w:p>
    <w:p>
      <w:pPr>
        <w:pStyle w:val="BodyText"/>
      </w:pPr>
      <w:r>
        <w:t xml:space="preserve">See</w:t>
      </w:r>
      <w:r>
        <w:t xml:space="preserve"> </w:t>
      </w:r>
      <w:r>
        <w:rPr>
          <w:rStyle w:val="VerbatimChar"/>
        </w:rPr>
        <w:t xml:space="preserve">inbox/drafts/omb-ai-governance-comment.md</w:t>
      </w:r>
      <w:r>
        <w:t xml:space="preserve"> </w:t>
      </w:r>
      <w:r>
        <w:t xml:space="preserve">for the proposed OMB schema-extension letter that accompanies this kit.</w:t>
      </w:r>
    </w:p>
    <w:p>
      <w:r>
        <w:pict>
          <v:rect style="width:0;height:1.5pt" o:hralign="center" o:hrstd="t" o:hr="t"/>
        </w:pict>
      </w:r>
    </w:p>
    <w:bookmarkEnd w:id="252"/>
    <w:bookmarkStart w:id="253" w:name="normative-references"/>
    <w:p>
      <w:pPr>
        <w:pStyle w:val="Heading2"/>
      </w:pPr>
      <w:r>
        <w:t xml:space="preserve">Normative references</w:t>
      </w:r>
    </w:p>
    <w:p>
      <w:pPr>
        <w:pStyle w:val="Compact"/>
        <w:numPr>
          <w:ilvl w:val="0"/>
          <w:numId w:val="1139"/>
        </w:numPr>
      </w:pPr>
      <w:r>
        <w:rPr>
          <w:rStyle w:val="VerbatimChar"/>
        </w:rPr>
        <w:t xml:space="preserve">src/fmp/canon/specs/Spec4-AI-D1.1-AISystemIdentityRecord.md</w:t>
      </w:r>
      <w:r>
        <w:t xml:space="preserve"> </w:t>
      </w:r>
      <w:r>
        <w:t xml:space="preserve">— FMP_196 AI System Identity Record schema</w:t>
      </w:r>
    </w:p>
    <w:p>
      <w:pPr>
        <w:pStyle w:val="Compact"/>
        <w:numPr>
          <w:ilvl w:val="0"/>
          <w:numId w:val="1139"/>
        </w:numPr>
      </w:pPr>
      <w:r>
        <w:rPr>
          <w:rStyle w:val="VerbatimChar"/>
        </w:rPr>
        <w:t xml:space="preserve">src/fmp/canon/specs/Spec4-AI-D1.2-AISystemJMLLifecycle.md</w:t>
      </w:r>
      <w:r>
        <w:t xml:space="preserve"> </w:t>
      </w:r>
      <w:r>
        <w:t xml:space="preserve">— FMP_197 AI System JML Lifecycle</w:t>
      </w:r>
    </w:p>
    <w:p>
      <w:pPr>
        <w:pStyle w:val="Compact"/>
        <w:numPr>
          <w:ilvl w:val="0"/>
          <w:numId w:val="1139"/>
        </w:numPr>
      </w:pPr>
      <w:r>
        <w:t xml:space="preserve">the program decision — Federal AI Use Case Governance</w:t>
      </w:r>
    </w:p>
    <w:p>
      <w:pPr>
        <w:pStyle w:val="Compact"/>
        <w:numPr>
          <w:ilvl w:val="0"/>
          <w:numId w:val="1139"/>
        </w:numPr>
      </w:pPr>
      <w:r>
        <w:t xml:space="preserve">the program decision — AI System JML Lifecycle</w:t>
      </w:r>
    </w:p>
    <w:bookmarkEnd w:id="253"/>
    <w:bookmarkEnd w:id="254"/>
    <w:bookmarkStart w:id="262" w:name="Xb1e81e52db9fc928fa336774d041128749e7e03"/>
    <w:p>
      <w:pPr>
        <w:pStyle w:val="Heading1"/>
      </w:pPr>
      <w:r>
        <w:t xml:space="preserve">Chapter 00 — The Problem Nobody Talks About</w:t>
      </w:r>
    </w:p>
    <w:p>
      <w:pPr>
        <w:pStyle w:val="FirstParagraph"/>
      </w:pPr>
      <w:r>
        <w:rPr>
          <w:i/>
          <w:iCs/>
        </w:rPr>
        <w:t xml:space="preserve">AD’s Hidden Governance Surface</w:t>
      </w:r>
    </w:p>
    <w:p>
      <w:pPr>
        <w:pStyle w:val="BodyText"/>
      </w:pPr>
      <w:r>
        <w:rPr>
          <w:b/>
          <w:bCs/>
        </w:rPr>
        <w:t xml:space="preserve">The thesis</w:t>
      </w:r>
    </w:p>
    <w:p>
      <w:pPr>
        <w:pStyle w:val="BodyText"/>
      </w:pPr>
      <w:r>
        <w:t xml:space="preserve">Active Directory was never just an identity store. It was the</w:t>
      </w:r>
      <w:r>
        <w:t xml:space="preserve"> </w:t>
      </w:r>
      <w:r>
        <w:rPr>
          <w:b/>
          <w:bCs/>
        </w:rPr>
        <w:t xml:space="preserve">implicit</w:t>
      </w:r>
      <w:r>
        <w:rPr>
          <w:b/>
          <w:bCs/>
        </w:rPr>
        <w:t xml:space="preserve"> </w:t>
      </w:r>
      <w:r>
        <w:rPr>
          <w:b/>
          <w:bCs/>
        </w:rPr>
        <w:t xml:space="preserve">governance model</w:t>
      </w:r>
      <w:r>
        <w:t xml:space="preserve"> </w:t>
      </w:r>
      <w:r>
        <w:t xml:space="preserve">for every network service a federal agency ran. When</w:t>
      </w:r>
      <w:r>
        <w:t xml:space="preserve"> </w:t>
      </w:r>
      <w:r>
        <w:t xml:space="preserve">agencies migrate</w:t>
      </w:r>
      <w:r>
        <w:t xml:space="preserve"> </w:t>
      </w:r>
      <w:r>
        <w:t xml:space="preserve">“AD to Entra ID”</w:t>
      </w:r>
      <w:r>
        <w:t xml:space="preserve"> </w:t>
      </w:r>
      <w:r>
        <w:t xml:space="preserve">and think the project is about users and</w:t>
      </w:r>
      <w:r>
        <w:t xml:space="preserve"> </w:t>
      </w:r>
      <w:r>
        <w:t xml:space="preserve">groups, they retire the directory and silently break the governance. Most</w:t>
      </w:r>
      <w:r>
        <w:t xml:space="preserve"> </w:t>
      </w:r>
      <w:r>
        <w:t xml:space="preserve">of the failures don’t show up for months.</w:t>
      </w:r>
    </w:p>
    <w:p>
      <w:pPr>
        <w:pStyle w:val="BodyText"/>
      </w:pPr>
      <w:r>
        <w:t xml:space="preserve">This series is about not doing that.</w:t>
      </w:r>
    </w:p>
    <w:bookmarkStart w:id="255" w:name="what-microsoft-sold-you-in-1999"/>
    <w:p>
      <w:pPr>
        <w:pStyle w:val="Heading2"/>
      </w:pPr>
      <w:r>
        <w:t xml:space="preserve">What Microsoft sold you in 1999</w:t>
      </w:r>
    </w:p>
    <w:p>
      <w:pPr>
        <w:pStyle w:val="FirstParagraph"/>
      </w:pPr>
      <w:r>
        <w:t xml:space="preserve">When Microsoft shipped Active Directory with Windows 2000, they sold it as</w:t>
      </w:r>
      <w:r>
        <w:t xml:space="preserve"> </w:t>
      </w:r>
      <w:r>
        <w:t xml:space="preserve">an identity directory — a modern, replicated, Kerberos-anchored</w:t>
      </w:r>
      <w:r>
        <w:t xml:space="preserve"> </w:t>
      </w:r>
      <w:r>
        <w:t xml:space="preserve">replacement for NT domains. That framing was true but incomplete.</w:t>
      </w:r>
    </w:p>
    <w:p>
      <w:pPr>
        <w:pStyle w:val="BodyText"/>
      </w:pPr>
      <w:r>
        <w:t xml:space="preserve">Over the next twenty-five years, every Windows-era infrastructure service</w:t>
      </w:r>
      <w:r>
        <w:t xml:space="preserve"> </w:t>
      </w:r>
      <w:r>
        <w:t xml:space="preserve">quietly wired itself into AD. Not because Microsoft planned it that way in</w:t>
      </w:r>
      <w:r>
        <w:t xml:space="preserve"> </w:t>
      </w:r>
      <w:r>
        <w:t xml:space="preserve">one grand design, but because AD was</w:t>
      </w:r>
      <w:r>
        <w:t xml:space="preserve"> </w:t>
      </w:r>
      <w:r>
        <w:rPr>
          <w:i/>
          <w:iCs/>
        </w:rPr>
        <w:t xml:space="preserve">the only enterprise-wide,</w:t>
      </w:r>
      <w:r>
        <w:rPr>
          <w:i/>
          <w:iCs/>
        </w:rPr>
        <w:t xml:space="preserve"> </w:t>
      </w:r>
      <w:r>
        <w:rPr>
          <w:i/>
          <w:iCs/>
        </w:rPr>
        <w:t xml:space="preserve">governed, authenticated, replicated namespace</w:t>
      </w:r>
      <w:r>
        <w:t xml:space="preserve"> </w:t>
      </w:r>
      <w:r>
        <w:t xml:space="preserve">that the Windows ecosystem</w:t>
      </w:r>
      <w:r>
        <w:t xml:space="preserve"> </w:t>
      </w:r>
      <w:r>
        <w:t xml:space="preserve">had. If you needed to know what a server was called, where it lived in</w:t>
      </w:r>
      <w:r>
        <w:t xml:space="preserve"> </w:t>
      </w:r>
      <w:r>
        <w:t xml:space="preserve">the org, who was allowed to manage it, which certificates it should trust,</w:t>
      </w:r>
      <w:r>
        <w:t xml:space="preserve"> </w:t>
      </w:r>
      <w:r>
        <w:t xml:space="preserve">which DHCP scope applied to it, which GPOs configured it, and which</w:t>
      </w:r>
      <w:r>
        <w:t xml:space="preserve"> </w:t>
      </w:r>
      <w:r>
        <w:t xml:space="preserve">accounts had which service principal names bound to it — AD held every</w:t>
      </w:r>
      <w:r>
        <w:t xml:space="preserve"> </w:t>
      </w:r>
      <w:r>
        <w:t xml:space="preserve">one of those answers.</w:t>
      </w:r>
    </w:p>
    <w:p>
      <w:pPr>
        <w:pStyle w:val="BodyText"/>
      </w:pPr>
      <w:r>
        <w:t xml:space="preserve">By the time an agency’s AD forest was ten years old, it had become the</w:t>
      </w:r>
      <w:r>
        <w:t xml:space="preserve"> </w:t>
      </w:r>
      <w:r>
        <w:t xml:space="preserve">single most load-bearing piece of governance infrastructure the agency</w:t>
      </w:r>
      <w:r>
        <w:t xml:space="preserve"> </w:t>
      </w:r>
      <w:r>
        <w:t xml:space="preserve">owned. It was just never written down anywhere as</w:t>
      </w:r>
      <w:r>
        <w:t xml:space="preserve"> </w:t>
      </w:r>
      <w:r>
        <w:t xml:space="preserve">“our governance model.”</w:t>
      </w:r>
    </w:p>
    <w:bookmarkEnd w:id="255"/>
    <w:bookmarkStart w:id="256" w:name="what-breaks-when-ad-goes-away"/>
    <w:p>
      <w:pPr>
        <w:pStyle w:val="Heading2"/>
      </w:pPr>
      <w:r>
        <w:t xml:space="preserve">What breaks when AD goes away</w:t>
      </w:r>
    </w:p>
    <w:p>
      <w:pPr>
        <w:pStyle w:val="FirstParagraph"/>
      </w:pPr>
      <w:r>
        <w:t xml:space="preserve">Microsoft is now deprecating the entire Client/Server stack. Entra ID</w:t>
      </w:r>
      <w:r>
        <w:t xml:space="preserve"> </w:t>
      </w:r>
      <w:r>
        <w:t xml:space="preserve">replaces AD DS. Intune replaces Group Policy. Conditional Access replaces</w:t>
      </w:r>
      <w:r>
        <w:t xml:space="preserve"> </w:t>
      </w:r>
      <w:r>
        <w:t xml:space="preserve">the network perimeter. Azure Arc extends cloud management to on-premises</w:t>
      </w:r>
      <w:r>
        <w:t xml:space="preserve"> </w:t>
      </w:r>
      <w:r>
        <w:t xml:space="preserve">hosts. Entra Certificate-Based Authentication replaces ADCS-anchored</w:t>
      </w:r>
      <w:r>
        <w:t xml:space="preserve"> </w:t>
      </w:r>
      <w:r>
        <w:t xml:space="preserve">smart-card logon. Azure Private Resolver + Private DNS replace</w:t>
      </w:r>
      <w:r>
        <w:t xml:space="preserve"> </w:t>
      </w:r>
      <w:r>
        <w:t xml:space="preserve">AD-integrated DNS zones.</w:t>
      </w:r>
    </w:p>
    <w:p>
      <w:pPr>
        <w:pStyle w:val="BodyText"/>
      </w:pPr>
      <w:r>
        <w:t xml:space="preserve">Every one of those substitutions is a valid target. But Microsoft handed</w:t>
      </w:r>
      <w:r>
        <w:t xml:space="preserve"> </w:t>
      </w:r>
      <w:r>
        <w:t xml:space="preserve">agencies the</w:t>
      </w:r>
      <w:r>
        <w:t xml:space="preserve"> </w:t>
      </w:r>
      <w:r>
        <w:rPr>
          <w:i/>
          <w:iCs/>
        </w:rPr>
        <w:t xml:space="preserve">tools</w:t>
      </w:r>
      <w:r>
        <w:t xml:space="preserve"> </w:t>
      </w:r>
      <w:r>
        <w:t xml:space="preserve">without the</w:t>
      </w:r>
      <w:r>
        <w:t xml:space="preserve"> </w:t>
      </w:r>
      <w:r>
        <w:rPr>
          <w:i/>
          <w:iCs/>
        </w:rPr>
        <w:t xml:space="preserve">framework</w:t>
      </w:r>
      <w:r>
        <w:t xml:space="preserve">. The result is that when</w:t>
      </w:r>
      <w:r>
        <w:t xml:space="preserve"> </w:t>
      </w:r>
      <w:r>
        <w:t xml:space="preserve">agencies migrate user objects into Entra ID’s flat directory and declare</w:t>
      </w:r>
      <w:r>
        <w:t xml:space="preserve"> </w:t>
      </w:r>
      <w:r>
        <w:t xml:space="preserve">victory, they leave behind eleven categories of infrastructure object</w:t>
      </w:r>
      <w:r>
        <w:t xml:space="preserve"> </w:t>
      </w:r>
      <w:r>
        <w:t xml:space="preserve">that AD was silently governing:</w:t>
      </w:r>
    </w:p>
    <w:tbl>
      <w:tblPr>
        <w:tblStyle w:val="Table"/>
        <w:tblW w:type="pct" w:w="5000"/>
        <w:tblLayout w:type="fixed"/>
        <w:tblLook w:firstRow="1" w:lastRow="0" w:firstColumn="0" w:lastColumn="0" w:noHBand="0" w:noVBand="0" w:val="0020"/>
      </w:tblPr>
      <w:tblGrid>
        <w:gridCol w:w="365"/>
        <w:gridCol w:w="1462"/>
        <w:gridCol w:w="2315"/>
        <w:gridCol w:w="3777"/>
      </w:tblGrid>
      <w:tr>
        <w:trPr>
          <w:tblHeader w:val="on"/>
        </w:trPr>
        <w:tc>
          <w:tcPr/>
          <w:p>
            <w:pPr>
              <w:pStyle w:val="Compact"/>
            </w:pPr>
            <w:r>
              <w:t xml:space="preserve">#</w:t>
            </w:r>
          </w:p>
        </w:tc>
        <w:tc>
          <w:tcPr/>
          <w:p>
            <w:pPr>
              <w:pStyle w:val="Compact"/>
            </w:pPr>
            <w:r>
              <w:t xml:space="preserve">Object Type</w:t>
            </w:r>
          </w:p>
        </w:tc>
        <w:tc>
          <w:tcPr/>
          <w:p>
            <w:pPr>
              <w:pStyle w:val="Compact"/>
            </w:pPr>
            <w:r>
              <w:t xml:space="preserve">What AD Was Doing</w:t>
            </w:r>
          </w:p>
        </w:tc>
        <w:tc>
          <w:tcPr/>
          <w:p>
            <w:pPr>
              <w:pStyle w:val="Compact"/>
            </w:pPr>
            <w:r>
              <w:t xml:space="preserve">What Breaks Without Governance</w:t>
            </w:r>
          </w:p>
        </w:tc>
      </w:tr>
      <w:tr>
        <w:tc>
          <w:tcPr/>
          <w:p>
            <w:pPr>
              <w:pStyle w:val="Compact"/>
            </w:pPr>
            <w:r>
              <w:t xml:space="preserve">1</w:t>
            </w:r>
          </w:p>
        </w:tc>
        <w:tc>
          <w:tcPr/>
          <w:p>
            <w:pPr>
              <w:pStyle w:val="Compact"/>
            </w:pPr>
            <w:r>
              <w:rPr>
                <w:b/>
                <w:bCs/>
              </w:rPr>
              <w:t xml:space="preserve">Users</w:t>
            </w:r>
          </w:p>
        </w:tc>
        <w:tc>
          <w:tcPr/>
          <w:p>
            <w:pPr>
              <w:pStyle w:val="Compact"/>
            </w:pPr>
            <w:r>
              <w:t xml:space="preserve">Identity lifecycle, OU placement, attribute authority</w:t>
            </w:r>
          </w:p>
        </w:tc>
        <w:tc>
          <w:tcPr/>
          <w:p>
            <w:pPr>
              <w:pStyle w:val="Compact"/>
            </w:pPr>
            <w:r>
              <w:t xml:space="preserve">Orphaned accounts, privilege drift, compliance gaps</w:t>
            </w:r>
          </w:p>
        </w:tc>
      </w:tr>
      <w:tr>
        <w:tc>
          <w:tcPr/>
          <w:p>
            <w:pPr>
              <w:pStyle w:val="Compact"/>
            </w:pPr>
            <w:r>
              <w:t xml:space="preserve">2</w:t>
            </w:r>
          </w:p>
        </w:tc>
        <w:tc>
          <w:tcPr/>
          <w:p>
            <w:pPr>
              <w:pStyle w:val="Compact"/>
            </w:pPr>
            <w:r>
              <w:rPr>
                <w:b/>
                <w:bCs/>
              </w:rPr>
              <w:t xml:space="preserve">Computers</w:t>
            </w:r>
          </w:p>
        </w:tc>
        <w:tc>
          <w:tcPr/>
          <w:p>
            <w:pPr>
              <w:pStyle w:val="Compact"/>
            </w:pPr>
            <w:r>
              <w:t xml:space="preserve">Domain join, GPO targeting, machine certificates</w:t>
            </w:r>
          </w:p>
        </w:tc>
        <w:tc>
          <w:tcPr/>
          <w:p>
            <w:pPr>
              <w:pStyle w:val="Compact"/>
            </w:pPr>
            <w:r>
              <w:t xml:space="preserve">Unmanaged endpoints, missing patches, security exposure</w:t>
            </w:r>
          </w:p>
        </w:tc>
      </w:tr>
      <w:tr>
        <w:tc>
          <w:tcPr/>
          <w:p>
            <w:pPr>
              <w:pStyle w:val="Compact"/>
            </w:pPr>
            <w:r>
              <w:t xml:space="preserve">3</w:t>
            </w:r>
          </w:p>
        </w:tc>
        <w:tc>
          <w:tcPr/>
          <w:p>
            <w:pPr>
              <w:pStyle w:val="Compact"/>
            </w:pPr>
            <w:r>
              <w:rPr>
                <w:b/>
                <w:bCs/>
              </w:rPr>
              <w:t xml:space="preserve">Service Accounts</w:t>
            </w:r>
          </w:p>
        </w:tc>
        <w:tc>
          <w:tcPr/>
          <w:p>
            <w:pPr>
              <w:pStyle w:val="Compact"/>
            </w:pPr>
            <w:r>
              <w:t xml:space="preserve">SPNs, Kerberos delegation, password management</w:t>
            </w:r>
          </w:p>
        </w:tc>
        <w:tc>
          <w:tcPr/>
          <w:p>
            <w:pPr>
              <w:pStyle w:val="Compact"/>
            </w:pPr>
            <w:r>
              <w:t xml:space="preserve">Application authentication failures, silent service outages</w:t>
            </w:r>
          </w:p>
        </w:tc>
      </w:tr>
      <w:tr>
        <w:tc>
          <w:tcPr/>
          <w:p>
            <w:pPr>
              <w:pStyle w:val="Compact"/>
            </w:pPr>
            <w:r>
              <w:t xml:space="preserve">4</w:t>
            </w:r>
          </w:p>
        </w:tc>
        <w:tc>
          <w:tcPr/>
          <w:p>
            <w:pPr>
              <w:pStyle w:val="Compact"/>
            </w:pPr>
            <w:r>
              <w:rPr>
                <w:b/>
                <w:bCs/>
              </w:rPr>
              <w:t xml:space="preserve">Security Groups</w:t>
            </w:r>
          </w:p>
        </w:tc>
        <w:tc>
          <w:tcPr/>
          <w:p>
            <w:pPr>
              <w:pStyle w:val="Compact"/>
            </w:pPr>
            <w:r>
              <w:t xml:space="preserve">Access control, policy scoping, resource permissions</w:t>
            </w:r>
          </w:p>
        </w:tc>
        <w:tc>
          <w:tcPr/>
          <w:p>
            <w:pPr>
              <w:pStyle w:val="Compact"/>
            </w:pPr>
            <w:r>
              <w:t xml:space="preserve">Permission sprawl, ungoverned access, audit failures</w:t>
            </w:r>
          </w:p>
        </w:tc>
      </w:tr>
      <w:tr>
        <w:tc>
          <w:tcPr/>
          <w:p>
            <w:pPr>
              <w:pStyle w:val="Compact"/>
            </w:pPr>
            <w:r>
              <w:t xml:space="preserve">5</w:t>
            </w:r>
          </w:p>
        </w:tc>
        <w:tc>
          <w:tcPr/>
          <w:p>
            <w:pPr>
              <w:pStyle w:val="Compact"/>
            </w:pPr>
            <w:r>
              <w:rPr>
                <w:b/>
                <w:bCs/>
              </w:rPr>
              <w:t xml:space="preserve">Group Policy Objects</w:t>
            </w:r>
          </w:p>
        </w:tc>
        <w:tc>
          <w:tcPr/>
          <w:p>
            <w:pPr>
              <w:pStyle w:val="Compact"/>
            </w:pPr>
            <w:r>
              <w:t xml:space="preserve">Device configuration, security baselines, software deployment</w:t>
            </w:r>
          </w:p>
        </w:tc>
        <w:tc>
          <w:tcPr/>
          <w:p>
            <w:pPr>
              <w:pStyle w:val="Compact"/>
            </w:pPr>
            <w:r>
              <w:t xml:space="preserve">Configuration drift, inconsistent baselines, compliance gaps</w:t>
            </w:r>
          </w:p>
        </w:tc>
      </w:tr>
      <w:tr>
        <w:tc>
          <w:tcPr/>
          <w:p>
            <w:pPr>
              <w:pStyle w:val="Compact"/>
            </w:pPr>
            <w:r>
              <w:t xml:space="preserve">6</w:t>
            </w:r>
          </w:p>
        </w:tc>
        <w:tc>
          <w:tcPr/>
          <w:p>
            <w:pPr>
              <w:pStyle w:val="Compact"/>
            </w:pPr>
            <w:r>
              <w:rPr>
                <w:b/>
                <w:bCs/>
              </w:rPr>
              <w:t xml:space="preserve">DNS / DHCP</w:t>
            </w:r>
          </w:p>
        </w:tc>
        <w:tc>
          <w:tcPr/>
          <w:p>
            <w:pPr>
              <w:pStyle w:val="Compact"/>
            </w:pPr>
            <w:r>
              <w:t xml:space="preserve">Name resolution, IP allocation, AD-integrated zones</w:t>
            </w:r>
          </w:p>
        </w:tc>
        <w:tc>
          <w:tcPr/>
          <w:p>
            <w:pPr>
              <w:pStyle w:val="Compact"/>
            </w:pPr>
            <w:r>
              <w:t xml:space="preserve">Name resolution failures, IP conflicts, split-brain DNS</w:t>
            </w:r>
          </w:p>
        </w:tc>
      </w:tr>
      <w:tr>
        <w:tc>
          <w:tcPr/>
          <w:p>
            <w:pPr>
              <w:pStyle w:val="Compact"/>
            </w:pPr>
            <w:r>
              <w:t xml:space="preserve">7</w:t>
            </w:r>
          </w:p>
        </w:tc>
        <w:tc>
          <w:tcPr/>
          <w:p>
            <w:pPr>
              <w:pStyle w:val="Compact"/>
            </w:pPr>
            <w:r>
              <w:rPr>
                <w:b/>
                <w:bCs/>
              </w:rPr>
              <w:t xml:space="preserve">PKI / Certificate Services</w:t>
            </w:r>
          </w:p>
        </w:tc>
        <w:tc>
          <w:tcPr/>
          <w:p>
            <w:pPr>
              <w:pStyle w:val="Compact"/>
            </w:pPr>
            <w:r>
              <w:t xml:space="preserve">Certificate issuance, auto-enrollment, CRL distribution</w:t>
            </w:r>
          </w:p>
        </w:tc>
        <w:tc>
          <w:tcPr/>
          <w:p>
            <w:pPr>
              <w:pStyle w:val="Compact"/>
            </w:pPr>
            <w:r>
              <w:t xml:space="preserve">Silent certificate expiration, authentication failures, mTLS breaks</w:t>
            </w:r>
          </w:p>
        </w:tc>
      </w:tr>
      <w:tr>
        <w:tc>
          <w:tcPr/>
          <w:p>
            <w:pPr>
              <w:pStyle w:val="Compact"/>
            </w:pPr>
            <w:r>
              <w:t xml:space="preserve">8</w:t>
            </w:r>
          </w:p>
        </w:tc>
        <w:tc>
          <w:tcPr/>
          <w:p>
            <w:pPr>
              <w:pStyle w:val="Compact"/>
            </w:pPr>
            <w:r>
              <w:rPr>
                <w:b/>
                <w:bCs/>
              </w:rPr>
              <w:t xml:space="preserve">RADIUS / NPS</w:t>
            </w:r>
          </w:p>
        </w:tc>
        <w:tc>
          <w:tcPr/>
          <w:p>
            <w:pPr>
              <w:pStyle w:val="Compact"/>
            </w:pPr>
            <w:r>
              <w:t xml:space="preserve">802.1X network access, VPN authentication, Wi-Fi auth</w:t>
            </w:r>
          </w:p>
        </w:tc>
        <w:tc>
          <w:tcPr/>
          <w:p>
            <w:pPr>
              <w:pStyle w:val="Compact"/>
            </w:pPr>
            <w:r>
              <w:t xml:space="preserve">Network access failures, VPN outages, unauthorized access</w:t>
            </w:r>
          </w:p>
        </w:tc>
      </w:tr>
      <w:tr>
        <w:tc>
          <w:tcPr/>
          <w:p>
            <w:pPr>
              <w:pStyle w:val="Compact"/>
            </w:pPr>
            <w:r>
              <w:t xml:space="preserve">9</w:t>
            </w:r>
          </w:p>
        </w:tc>
        <w:tc>
          <w:tcPr/>
          <w:p>
            <w:pPr>
              <w:pStyle w:val="Compact"/>
            </w:pPr>
            <w:r>
              <w:rPr>
                <w:b/>
                <w:bCs/>
              </w:rPr>
              <w:t xml:space="preserve">LDAP</w:t>
            </w:r>
          </w:p>
        </w:tc>
        <w:tc>
          <w:tcPr/>
          <w:p>
            <w:pPr>
              <w:pStyle w:val="Compact"/>
            </w:pPr>
            <w:r>
              <w:t xml:space="preserve">Application authentication, directory queries, legacy integrations</w:t>
            </w:r>
          </w:p>
        </w:tc>
        <w:tc>
          <w:tcPr/>
          <w:p>
            <w:pPr>
              <w:pStyle w:val="Compact"/>
            </w:pPr>
            <w:r>
              <w:t xml:space="preserve">Application login failures, directory query errors, broken integrations</w:t>
            </w:r>
          </w:p>
        </w:tc>
      </w:tr>
      <w:tr>
        <w:tc>
          <w:tcPr/>
          <w:p>
            <w:pPr>
              <w:pStyle w:val="Compact"/>
            </w:pPr>
            <w:r>
              <w:t xml:space="preserve">10</w:t>
            </w:r>
          </w:p>
        </w:tc>
        <w:tc>
          <w:tcPr/>
          <w:p>
            <w:pPr>
              <w:pStyle w:val="Compact"/>
            </w:pPr>
            <w:r>
              <w:rPr>
                <w:b/>
                <w:bCs/>
              </w:rPr>
              <w:t xml:space="preserve">SPNs / App Registrations</w:t>
            </w:r>
          </w:p>
        </w:tc>
        <w:tc>
          <w:tcPr/>
          <w:p>
            <w:pPr>
              <w:pStyle w:val="Compact"/>
            </w:pPr>
            <w:r>
              <w:t xml:space="preserve">Kerberos service principal names, application identity</w:t>
            </w:r>
          </w:p>
        </w:tc>
        <w:tc>
          <w:tcPr/>
          <w:p>
            <w:pPr>
              <w:pStyle w:val="Compact"/>
            </w:pPr>
            <w:r>
              <w:t xml:space="preserve">Application SSO breaks, delegation failures, service identity loss</w:t>
            </w:r>
          </w:p>
        </w:tc>
      </w:tr>
      <w:tr>
        <w:tc>
          <w:tcPr/>
          <w:p>
            <w:pPr>
              <w:pStyle w:val="Compact"/>
            </w:pPr>
            <w:r>
              <w:t xml:space="preserve">11</w:t>
            </w:r>
          </w:p>
        </w:tc>
        <w:tc>
          <w:tcPr/>
          <w:p>
            <w:pPr>
              <w:pStyle w:val="Compact"/>
            </w:pPr>
            <w:r>
              <w:rPr>
                <w:b/>
                <w:bCs/>
              </w:rPr>
              <w:t xml:space="preserve">Trust Relationships</w:t>
            </w:r>
          </w:p>
        </w:tc>
        <w:tc>
          <w:tcPr/>
          <w:p>
            <w:pPr>
              <w:pStyle w:val="Compact"/>
            </w:pPr>
            <w:r>
              <w:t xml:space="preserve">Cross-domain authentication, forest trusts, selective authentication</w:t>
            </w:r>
          </w:p>
        </w:tc>
        <w:tc>
          <w:tcPr/>
          <w:p>
            <w:pPr>
              <w:pStyle w:val="Compact"/>
            </w:pPr>
            <w:r>
              <w:t xml:space="preserve">Cross-domain access failures, authentication breaks between orgs</w:t>
            </w:r>
          </w:p>
        </w:tc>
      </w:tr>
    </w:tbl>
    <w:p>
      <w:pPr>
        <w:pStyle w:val="BodyText"/>
      </w:pPr>
      <w:r>
        <w:rPr>
          <w:b/>
          <w:bCs/>
        </w:rPr>
        <w:t xml:space="preserve">Silent failure is the real enemy</w:t>
      </w:r>
    </w:p>
    <w:p>
      <w:pPr>
        <w:pStyle w:val="BodyText"/>
      </w:pPr>
      <w:r>
        <w:t xml:space="preserve">Look at the</w:t>
      </w:r>
      <w:r>
        <w:t xml:space="preserve"> </w:t>
      </w:r>
      <w:r>
        <w:t xml:space="preserve">“What Breaks”</w:t>
      </w:r>
      <w:r>
        <w:t xml:space="preserve"> </w:t>
      </w:r>
      <w:r>
        <w:t xml:space="preserve">column. Most of these failures don’t throw</w:t>
      </w:r>
      <w:r>
        <w:t xml:space="preserve"> </w:t>
      </w:r>
      <w:r>
        <w:t xml:space="preserve">errors. A certificate doesn’t renew because the AD enrollment policy was</w:t>
      </w:r>
      <w:r>
        <w:t xml:space="preserve"> </w:t>
      </w:r>
      <w:r>
        <w:t xml:space="preserve">never re-pointed. A RADIUS policy doesn’t authorize a new device because</w:t>
      </w:r>
      <w:r>
        <w:t xml:space="preserve"> </w:t>
      </w:r>
      <w:r>
        <w:t xml:space="preserve">the AD-group lookup returns empty. An LDAP-bound application silently</w:t>
      </w:r>
      <w:r>
        <w:t xml:space="preserve"> </w:t>
      </w:r>
      <w:r>
        <w:t xml:space="preserve">stops querying because the bind account was decommissioned with AD DS.</w:t>
      </w:r>
    </w:p>
    <w:p>
      <w:pPr>
        <w:pStyle w:val="BodyText"/>
      </w:pPr>
      <w:r>
        <w:t xml:space="preserve">There is no log line that says</w:t>
      </w:r>
      <w:r>
        <w:t xml:space="preserve"> </w:t>
      </w:r>
      <w:r>
        <w:t xml:space="preserve">“governance has failed.”</w:t>
      </w:r>
      <w:r>
        <w:t xml:space="preserve"> </w:t>
      </w:r>
      <w:r>
        <w:t xml:space="preserve">There is only</w:t>
      </w:r>
      <w:r>
        <w:t xml:space="preserve"> </w:t>
      </w:r>
      <w:r>
        <w:t xml:space="preserve">a six-month tail of weird, untraceable outages and a compliance audit</w:t>
      </w:r>
      <w:r>
        <w:t xml:space="preserve"> </w:t>
      </w:r>
      <w:r>
        <w:t xml:space="preserve">that finds the agency can’t prove what it should have been doing.</w:t>
      </w:r>
    </w:p>
    <w:bookmarkEnd w:id="256"/>
    <w:bookmarkStart w:id="257" w:name="the-ou-tree-was-the-governance-tree"/>
    <w:p>
      <w:pPr>
        <w:pStyle w:val="Heading2"/>
      </w:pPr>
      <w:r>
        <w:t xml:space="preserve">The OU tree was the governance tree</w:t>
      </w:r>
    </w:p>
    <w:p>
      <w:pPr>
        <w:pStyle w:val="FirstParagraph"/>
      </w:pPr>
      <w:r>
        <w:t xml:space="preserve">The other thing agencies underestimate is that AD’s Organizational Unit</w:t>
      </w:r>
      <w:r>
        <w:t xml:space="preserve"> </w:t>
      </w:r>
      <w:r>
        <w:t xml:space="preserve">tree was not a folder system. It was a</w:t>
      </w:r>
      <w:r>
        <w:t xml:space="preserve"> </w:t>
      </w:r>
      <w:r>
        <w:rPr>
          <w:b/>
          <w:bCs/>
        </w:rPr>
        <w:t xml:space="preserve">delegation graph, a policy</w:t>
      </w:r>
      <w:r>
        <w:rPr>
          <w:b/>
          <w:bCs/>
        </w:rPr>
        <w:t xml:space="preserve"> </w:t>
      </w:r>
      <w:r>
        <w:rPr>
          <w:b/>
          <w:bCs/>
        </w:rPr>
        <w:t xml:space="preserve">inheritance engine, an operational boundary, and a security scope — all</w:t>
      </w:r>
      <w:r>
        <w:rPr>
          <w:b/>
          <w:bCs/>
        </w:rPr>
        <w:t xml:space="preserve"> </w:t>
      </w:r>
      <w:r>
        <w:rPr>
          <w:b/>
          <w:bCs/>
        </w:rPr>
        <w:t xml:space="preserve">in one hierarchical structure</w:t>
      </w:r>
      <w:r>
        <w:t xml:space="preserve">.</w:t>
      </w:r>
    </w:p>
    <w:p>
      <w:pPr>
        <w:pStyle w:val="BodyText"/>
      </w:pPr>
      <w:r>
        <w:t xml:space="preserve">When an administrator placed a user in</w:t>
      </w:r>
      <w:r>
        <w:t xml:space="preserve"> </w:t>
      </w:r>
      <w:r>
        <w:rPr>
          <w:rStyle w:val="VerbatimChar"/>
        </w:rPr>
        <w:t xml:space="preserve">OU=IT,OU=Baltimore,OU=East,DC=contoso</w:t>
      </w:r>
      <w:r>
        <w:t xml:space="preserve">,</w:t>
      </w:r>
      <w:r>
        <w:t xml:space="preserve"> </w:t>
      </w:r>
      <w:r>
        <w:t xml:space="preserve">they were simultaneously:</w:t>
      </w:r>
    </w:p>
    <w:p>
      <w:pPr>
        <w:pStyle w:val="Compact"/>
        <w:numPr>
          <w:ilvl w:val="0"/>
          <w:numId w:val="1140"/>
        </w:numPr>
      </w:pPr>
      <w:r>
        <w:t xml:space="preserve">Saying</w:t>
      </w:r>
      <w:r>
        <w:t xml:space="preserve"> </w:t>
      </w:r>
      <w:r>
        <w:t xml:space="preserve">“this user is managed by the Baltimore IT delegated admins.”</w:t>
      </w:r>
    </w:p>
    <w:p>
      <w:pPr>
        <w:pStyle w:val="Compact"/>
        <w:numPr>
          <w:ilvl w:val="0"/>
          <w:numId w:val="1140"/>
        </w:numPr>
      </w:pPr>
      <w:r>
        <w:t xml:space="preserve">Inheriting every GPO that applied at East → Baltimore → IT.</w:t>
      </w:r>
    </w:p>
    <w:p>
      <w:pPr>
        <w:pStyle w:val="Compact"/>
        <w:numPr>
          <w:ilvl w:val="0"/>
          <w:numId w:val="1140"/>
        </w:numPr>
      </w:pPr>
      <w:r>
        <w:t xml:space="preserve">Scoping the user to security groups that used OU-based rules.</w:t>
      </w:r>
    </w:p>
    <w:p>
      <w:pPr>
        <w:pStyle w:val="Compact"/>
        <w:numPr>
          <w:ilvl w:val="0"/>
          <w:numId w:val="1140"/>
        </w:numPr>
      </w:pPr>
      <w:r>
        <w:t xml:space="preserve">Binding the user’s identity to the delegation authority of that branch.</w:t>
      </w:r>
    </w:p>
    <w:p>
      <w:pPr>
        <w:pStyle w:val="Compact"/>
        <w:numPr>
          <w:ilvl w:val="0"/>
          <w:numId w:val="1140"/>
        </w:numPr>
      </w:pPr>
      <w:r>
        <w:t xml:space="preserve">Stating an operational responsibility boundary for audit purposes.</w:t>
      </w:r>
    </w:p>
    <w:p>
      <w:pPr>
        <w:pStyle w:val="FirstParagraph"/>
      </w:pPr>
      <w:r>
        <w:t xml:space="preserve">Entra ID has none of this. It’s a flat directory. Dynamic groups,</w:t>
      </w:r>
      <w:r>
        <w:t xml:space="preserve"> </w:t>
      </w:r>
      <w:r>
        <w:t xml:space="preserve">Administrative Units, and Conditional Access are powerful tools — but</w:t>
      </w:r>
      <w:r>
        <w:t xml:space="preserve"> </w:t>
      </w:r>
      <w:r>
        <w:t xml:space="preserve">Microsoft did not provide a framework for how to use them together to</w:t>
      </w:r>
      <w:r>
        <w:t xml:space="preserve"> </w:t>
      </w:r>
      <w:r>
        <w:t xml:space="preserve">replace what the OU tree was doing.</w:t>
      </w:r>
    </w:p>
    <w:p>
      <w:pPr>
        <w:pStyle w:val="BodyText"/>
      </w:pPr>
      <w:r>
        <w:t xml:space="preserve">That framework is described in Chapter 04.</w:t>
      </w:r>
      <w:r>
        <w:t xml:space="preserve"> </w:t>
      </w:r>
      <w:r>
        <w:t xml:space="preserve">It encodes the OU hierarchy into user extension attributes, uses</w:t>
      </w:r>
      <w:r>
        <w:t xml:space="preserve"> </w:t>
      </w:r>
      <w:r>
        <w:t xml:space="preserve">dynamic groups to materialise every subtree, uses Administrative Units to</w:t>
      </w:r>
      <w:r>
        <w:t xml:space="preserve"> </w:t>
      </w:r>
      <w:r>
        <w:t xml:space="preserve">scope delegation, and uses Conditional Access to enforce policy. The result</w:t>
      </w:r>
      <w:r>
        <w:t xml:space="preserve"> </w:t>
      </w:r>
      <w:r>
        <w:t xml:space="preserve">is governance that is equivalent to — and in several ways cleaner than —</w:t>
      </w:r>
      <w:r>
        <w:t xml:space="preserve"> </w:t>
      </w:r>
      <w:r>
        <w:t xml:space="preserve">what AD was providing.</w:t>
      </w:r>
    </w:p>
    <w:bookmarkEnd w:id="257"/>
    <w:bookmarkStart w:id="258" w:name="why-naïve-migrations-fail"/>
    <w:p>
      <w:pPr>
        <w:pStyle w:val="Heading2"/>
      </w:pPr>
      <w:r>
        <w:t xml:space="preserve">Why naïve migrations fail</w:t>
      </w:r>
    </w:p>
    <w:p>
      <w:pPr>
        <w:pStyle w:val="FirstParagraph"/>
      </w:pPr>
      <w:r>
        <w:t xml:space="preserve">Almost every</w:t>
      </w:r>
      <w:r>
        <w:t xml:space="preserve"> </w:t>
      </w:r>
      <w:r>
        <w:t xml:space="preserve">“AD to Entra ID”</w:t>
      </w:r>
      <w:r>
        <w:t xml:space="preserve"> </w:t>
      </w:r>
      <w:r>
        <w:t xml:space="preserve">modernization project the industry has run</w:t>
      </w:r>
      <w:r>
        <w:t xml:space="preserve"> </w:t>
      </w:r>
      <w:r>
        <w:t xml:space="preserve">has been scoped around users, groups, and mailboxes. That’s the visible</w:t>
      </w:r>
      <w:r>
        <w:t xml:space="preserve"> </w:t>
      </w:r>
      <w:r>
        <w:t xml:space="preserve">ten percent. The invisible ninety percent is the eleven categories above.</w:t>
      </w:r>
    </w:p>
    <w:p>
      <w:pPr>
        <w:pStyle w:val="BodyText"/>
      </w:pPr>
      <w:r>
        <w:t xml:space="preserve">A successful modernization has to:</w:t>
      </w:r>
    </w:p>
    <w:p>
      <w:pPr>
        <w:pStyle w:val="Compact"/>
        <w:numPr>
          <w:ilvl w:val="0"/>
          <w:numId w:val="1141"/>
        </w:numPr>
      </w:pPr>
      <w:r>
        <w:rPr>
          <w:b/>
          <w:bCs/>
        </w:rPr>
        <w:t xml:space="preserve">Enumerate the hidden dependencies</w:t>
      </w:r>
      <w:r>
        <w:t xml:space="preserve"> </w:t>
      </w:r>
      <w:r>
        <w:t xml:space="preserve">before anything is retired.</w:t>
      </w:r>
    </w:p>
    <w:p>
      <w:pPr>
        <w:pStyle w:val="Compact"/>
        <w:numPr>
          <w:ilvl w:val="0"/>
          <w:numId w:val="1141"/>
        </w:numPr>
      </w:pPr>
      <w:r>
        <w:rPr>
          <w:b/>
          <w:bCs/>
        </w:rPr>
        <w:t xml:space="preserve">Map each dependency to a modern target</w:t>
      </w:r>
      <w:r>
        <w:t xml:space="preserve"> </w:t>
      </w:r>
      <w:r>
        <w:t xml:space="preserve">— not always 1:1.</w:t>
      </w:r>
    </w:p>
    <w:p>
      <w:pPr>
        <w:pStyle w:val="Compact"/>
        <w:numPr>
          <w:ilvl w:val="0"/>
          <w:numId w:val="1141"/>
        </w:numPr>
      </w:pPr>
      <w:r>
        <w:rPr>
          <w:b/>
          <w:bCs/>
        </w:rPr>
        <w:t xml:space="preserve">Preserve governance continuity</w:t>
      </w:r>
      <w:r>
        <w:t xml:space="preserve"> </w:t>
      </w:r>
      <w:r>
        <w:t xml:space="preserve">during the transition (no gaps</w:t>
      </w:r>
      <w:r>
        <w:t xml:space="preserve"> </w:t>
      </w:r>
      <w:r>
        <w:t xml:space="preserve">where nobody owns the delegation).</w:t>
      </w:r>
    </w:p>
    <w:p>
      <w:pPr>
        <w:pStyle w:val="Compact"/>
        <w:numPr>
          <w:ilvl w:val="0"/>
          <w:numId w:val="1141"/>
        </w:numPr>
      </w:pPr>
      <w:r>
        <w:rPr>
          <w:b/>
          <w:bCs/>
        </w:rPr>
        <w:t xml:space="preserve">Deliver the transformed data</w:t>
      </w:r>
      <w:r>
        <w:t xml:space="preserve"> </w:t>
      </w:r>
      <w:r>
        <w:t xml:space="preserve">into the target surface via a</w:t>
      </w:r>
      <w:r>
        <w:t xml:space="preserve"> </w:t>
      </w:r>
      <w:r>
        <w:t xml:space="preserve">deterministic, governed pipeline — not a series of one-off admin</w:t>
      </w:r>
      <w:r>
        <w:t xml:space="preserve"> </w:t>
      </w:r>
      <w:r>
        <w:t xml:space="preserve">actions.</w:t>
      </w:r>
    </w:p>
    <w:p>
      <w:pPr>
        <w:pStyle w:val="Compact"/>
        <w:numPr>
          <w:ilvl w:val="0"/>
          <w:numId w:val="1141"/>
        </w:numPr>
      </w:pPr>
      <w:r>
        <w:rPr>
          <w:b/>
          <w:bCs/>
        </w:rPr>
        <w:t xml:space="preserve">Detect drift</w:t>
      </w:r>
      <w:r>
        <w:t xml:space="preserve"> </w:t>
      </w:r>
      <w:r>
        <w:t xml:space="preserve">between what the plan said should exist and what</w:t>
      </w:r>
      <w:r>
        <w:t xml:space="preserve"> </w:t>
      </w:r>
      <w:r>
        <w:t xml:space="preserve">actually exists, continuously.</w:t>
      </w:r>
    </w:p>
    <w:p>
      <w:pPr>
        <w:pStyle w:val="FirstParagraph"/>
      </w:pPr>
      <w:r>
        <w:t xml:space="preserve">Agencies don’t fail at step 1 because they can’t enumerate. They fail</w:t>
      </w:r>
      <w:r>
        <w:t xml:space="preserve"> </w:t>
      </w:r>
      <w:r>
        <w:t xml:space="preserve">because no one tells them steps 1–5 exist as a discipline. They fail at</w:t>
      </w:r>
      <w:r>
        <w:t xml:space="preserve"> </w:t>
      </w:r>
      <w:r>
        <w:t xml:space="preserve">the conceptual level: the idea that the project is just users and</w:t>
      </w:r>
      <w:r>
        <w:t xml:space="preserve"> </w:t>
      </w:r>
      <w:r>
        <w:t xml:space="preserve">groups.</w:t>
      </w:r>
    </w:p>
    <w:bookmarkEnd w:id="258"/>
    <w:bookmarkStart w:id="259" w:name="X7db4b69a6069a7ce1909b47685a605cfac7f497"/>
    <w:p>
      <w:pPr>
        <w:pStyle w:val="Heading2"/>
      </w:pPr>
      <w:r>
        <w:t xml:space="preserve">What the Federal Modernization Program is</w:t>
      </w:r>
    </w:p>
    <w:p>
      <w:pPr>
        <w:pStyle w:val="FirstParagraph"/>
      </w:pPr>
      <w:r>
        <w:t xml:space="preserve">The Federal Modernization Program — the Unified Identity and Access Orchestrator — is the framework</w:t>
      </w:r>
      <w:r>
        <w:t xml:space="preserve"> </w:t>
      </w:r>
      <w:r>
        <w:t xml:space="preserve">that handles all eleven categories as a single governed surface, with</w:t>
      </w:r>
      <w:r>
        <w:t xml:space="preserve"> </w:t>
      </w:r>
      <w:r>
        <w:t xml:space="preserve">one transformation engine, one canon, one evidentiary pipeline, and one</w:t>
      </w:r>
      <w:r>
        <w:t xml:space="preserve"> </w:t>
      </w:r>
      <w:r>
        <w:t xml:space="preserve">drift detector. Nothing in the Federal Modernization Program is a Microsoft tool substitute. Every</w:t>
      </w:r>
      <w:r>
        <w:t xml:space="preserve"> </w:t>
      </w:r>
      <w:r>
        <w:t xml:space="preserve">The Federal Modernization Program component sits</w:t>
      </w:r>
      <w:r>
        <w:t xml:space="preserve"> </w:t>
      </w:r>
      <w:r>
        <w:rPr>
          <w:i/>
          <w:iCs/>
        </w:rPr>
        <w:t xml:space="preserve">above</w:t>
      </w:r>
      <w:r>
        <w:t xml:space="preserve"> </w:t>
      </w:r>
      <w:r>
        <w:t xml:space="preserve">Microsoft’s (and third-party) tools and</w:t>
      </w:r>
      <w:r>
        <w:t xml:space="preserve"> </w:t>
      </w:r>
      <w:r>
        <w:t xml:space="preserve">orchestrates them into a coherent governance model.</w:t>
      </w:r>
    </w:p>
    <w:p>
      <w:pPr>
        <w:pStyle w:val="BodyText"/>
      </w:pPr>
      <w:r>
        <w:t xml:space="preserve">A single Windows Server 2025 host (documented in</w:t>
      </w:r>
      <w:r>
        <w:t xml:space="preserve"> </w:t>
      </w:r>
      <w:r>
        <w:t xml:space="preserve">Chapter 01) runs:</w:t>
      </w:r>
    </w:p>
    <w:p>
      <w:pPr>
        <w:pStyle w:val="Compact"/>
        <w:numPr>
          <w:ilvl w:val="0"/>
          <w:numId w:val="1142"/>
        </w:numPr>
      </w:pPr>
      <w:r>
        <w:rPr>
          <w:b/>
          <w:bCs/>
        </w:rPr>
        <w:t xml:space="preserve">Gitea</w:t>
      </w:r>
      <w:r>
        <w:t xml:space="preserve"> </w:t>
      </w:r>
      <w:r>
        <w:t xml:space="preserve">as the canonical source of governance truth (every plan and every</w:t>
      </w:r>
      <w:r>
        <w:t xml:space="preserve"> </w:t>
      </w:r>
      <w:r>
        <w:t xml:space="preserve">policy lives there as a versioned artifact).</w:t>
      </w:r>
    </w:p>
    <w:p>
      <w:pPr>
        <w:pStyle w:val="Compact"/>
        <w:numPr>
          <w:ilvl w:val="0"/>
          <w:numId w:val="1142"/>
        </w:numPr>
      </w:pPr>
      <w:r>
        <w:rPr>
          <w:b/>
          <w:bCs/>
        </w:rPr>
        <w:t xml:space="preserve">IIS</w:t>
      </w:r>
      <w:r>
        <w:t xml:space="preserve"> </w:t>
      </w:r>
      <w:r>
        <w:t xml:space="preserve">as the HTTPS reverse proxy and client-certificate terminator.</w:t>
      </w:r>
    </w:p>
    <w:p>
      <w:pPr>
        <w:pStyle w:val="Compact"/>
        <w:numPr>
          <w:ilvl w:val="0"/>
          <w:numId w:val="1142"/>
        </w:numPr>
      </w:pPr>
      <w:r>
        <w:rPr>
          <w:b/>
          <w:bCs/>
        </w:rPr>
        <w:t xml:space="preserve">Kerberos + enterprise PKI</w:t>
      </w:r>
      <w:r>
        <w:t xml:space="preserve"> </w:t>
      </w:r>
      <w:r>
        <w:t xml:space="preserve">bridges that let the server talk to</w:t>
      </w:r>
      <w:r>
        <w:t xml:space="preserve"> </w:t>
      </w:r>
      <w:r>
        <w:t xml:space="preserve">the legacy AD forest it’s migrating away from.</w:t>
      </w:r>
    </w:p>
    <w:p>
      <w:pPr>
        <w:pStyle w:val="Compact"/>
        <w:numPr>
          <w:ilvl w:val="0"/>
          <w:numId w:val="1142"/>
        </w:numPr>
      </w:pPr>
      <w:r>
        <w:rPr>
          <w:b/>
          <w:bCs/>
        </w:rPr>
        <w:t xml:space="preserve">PowerShell, Python, and API-integrator scripts</w:t>
      </w:r>
      <w:r>
        <w:t xml:space="preserve"> </w:t>
      </w:r>
      <w:r>
        <w:t xml:space="preserve">that read the</w:t>
      </w:r>
      <w:r>
        <w:t xml:space="preserve"> </w:t>
      </w:r>
      <w:r>
        <w:t xml:space="preserve">Client/Server estate, compute transformation plans, validate them</w:t>
      </w:r>
      <w:r>
        <w:t xml:space="preserve"> </w:t>
      </w:r>
      <w:r>
        <w:t xml:space="preserve">against the canon, and deliver them into the Hybrid-Cloud target surface.</w:t>
      </w:r>
    </w:p>
    <w:p>
      <w:pPr>
        <w:pStyle w:val="FirstParagraph"/>
      </w:pPr>
      <w:r>
        <w:t xml:space="preserve">The target surface is everything on the right side of the transformation</w:t>
      </w:r>
      <w:r>
        <w:t xml:space="preserve"> </w:t>
      </w:r>
      <w:r>
        <w:t xml:space="preserve">arc: Entra ID, Administrative Units, Intune, Azure Arc, IPAM, DNS, DHCP,</w:t>
      </w:r>
      <w:r>
        <w:t xml:space="preserve"> </w:t>
      </w:r>
      <w:r>
        <w:t xml:space="preserve">SASE, Zero Trust, MFA, Certificate-Based Authentication, and every</w:t>
      </w:r>
      <w:r>
        <w:t xml:space="preserve"> </w:t>
      </w:r>
      <w:r>
        <w:t xml:space="preserve">governed adapter underneath.</w:t>
      </w:r>
    </w:p>
    <w:bookmarkEnd w:id="259"/>
    <w:bookmarkStart w:id="260" w:name="what-this-series-covers"/>
    <w:p>
      <w:pPr>
        <w:pStyle w:val="Heading2"/>
      </w:pPr>
      <w:r>
        <w:t xml:space="preserve">What this series covers</w:t>
      </w:r>
    </w:p>
    <w:p>
      <w:pPr>
        <w:pStyle w:val="FirstParagraph"/>
      </w:pPr>
      <w:r>
        <w:t xml:space="preserve">The chapters that follow walk the full arc: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Chapter</w:t>
            </w:r>
          </w:p>
        </w:tc>
        <w:tc>
          <w:tcPr/>
          <w:p>
            <w:pPr>
              <w:pStyle w:val="Compact"/>
            </w:pPr>
            <w:r>
              <w:t xml:space="preserve">Covers</w:t>
            </w:r>
          </w:p>
        </w:tc>
      </w:tr>
      <w:tr>
        <w:tc>
          <w:tcPr/>
          <w:p>
            <w:pPr>
              <w:pStyle w:val="Compact"/>
            </w:pPr>
            <w:r>
              <w:t xml:space="preserve">01</w:t>
            </w:r>
          </w:p>
        </w:tc>
        <w:tc>
          <w:tcPr/>
          <w:p>
            <w:pPr>
              <w:pStyle w:val="Compact"/>
            </w:pPr>
            <w:r>
              <w:rPr>
                <w:b/>
                <w:bCs/>
              </w:rPr>
              <w:t xml:space="preserve">The Platform.</w:t>
            </w:r>
            <w:r>
              <w:t xml:space="preserve"> </w:t>
            </w:r>
            <w:r>
              <w:t xml:space="preserve">One WS2025 host. What runs on it and why.</w:t>
            </w:r>
          </w:p>
        </w:tc>
      </w:tr>
      <w:tr>
        <w:tc>
          <w:tcPr/>
          <w:p>
            <w:pPr>
              <w:pStyle w:val="Compact"/>
            </w:pPr>
            <w:r>
              <w:t xml:space="preserve">02</w:t>
            </w:r>
          </w:p>
        </w:tc>
        <w:tc>
          <w:tcPr/>
          <w:p>
            <w:pPr>
              <w:pStyle w:val="Compact"/>
            </w:pPr>
            <w:r>
              <w:rPr>
                <w:b/>
                <w:bCs/>
              </w:rPr>
              <w:t xml:space="preserve">Analyzing the legacy.</w:t>
            </w:r>
            <w:r>
              <w:t xml:space="preserve"> </w:t>
            </w:r>
            <w:r>
              <w:t xml:space="preserve">Forest discovery. GPO inventory. DNS/DHCP scraping. Kerberos SPN audit. ADCS analysis.</w:t>
            </w:r>
          </w:p>
        </w:tc>
      </w:tr>
      <w:tr>
        <w:tc>
          <w:tcPr/>
          <w:p>
            <w:pPr>
              <w:pStyle w:val="Compact"/>
            </w:pPr>
            <w:r>
              <w:t xml:space="preserve">03</w:t>
            </w:r>
          </w:p>
        </w:tc>
        <w:tc>
          <w:tcPr/>
          <w:p>
            <w:pPr>
              <w:pStyle w:val="Compact"/>
            </w:pPr>
            <w:r>
              <w:rPr>
                <w:b/>
                <w:bCs/>
              </w:rPr>
              <w:t xml:space="preserve">The engine.</w:t>
            </w:r>
            <w:r>
              <w:t xml:space="preserve"> </w:t>
            </w:r>
            <w:r>
              <w:t xml:space="preserve">How the Federal Modernization Program turns analysis into a plan and a plan into delivered state.</w:t>
            </w:r>
          </w:p>
        </w:tc>
      </w:tr>
      <w:tr>
        <w:tc>
          <w:tcPr/>
          <w:p>
            <w:pPr>
              <w:pStyle w:val="Compact"/>
            </w:pPr>
            <w:r>
              <w:t xml:space="preserve">04</w:t>
            </w:r>
          </w:p>
        </w:tc>
        <w:tc>
          <w:tcPr/>
          <w:p>
            <w:pPr>
              <w:pStyle w:val="Compact"/>
            </w:pPr>
            <w:r>
              <w:rPr>
                <w:b/>
                <w:bCs/>
              </w:rPr>
              <w:t xml:space="preserve">Identity.</w:t>
            </w:r>
            <w:r>
              <w:t xml:space="preserve"> </w:t>
            </w:r>
            <w:r>
              <w:t xml:space="preserve">Dynamic groups, AUs. The OU-tree replacement.</w:t>
            </w:r>
          </w:p>
        </w:tc>
      </w:tr>
      <w:tr>
        <w:tc>
          <w:tcPr/>
          <w:p>
            <w:pPr>
              <w:pStyle w:val="Compact"/>
            </w:pPr>
            <w:r>
              <w:t xml:space="preserve">05</w:t>
            </w:r>
          </w:p>
        </w:tc>
        <w:tc>
          <w:tcPr/>
          <w:p>
            <w:pPr>
              <w:pStyle w:val="Compact"/>
            </w:pPr>
            <w:r>
              <w:rPr>
                <w:b/>
                <w:bCs/>
              </w:rPr>
              <w:t xml:space="preserve">Policy.</w:t>
            </w:r>
            <w:r>
              <w:t xml:space="preserve"> </w:t>
            </w:r>
            <w:r>
              <w:t xml:space="preserve">GPO retirement. Intune compliance. Conditional Access.</w:t>
            </w:r>
          </w:p>
        </w:tc>
      </w:tr>
      <w:tr>
        <w:tc>
          <w:tcPr/>
          <w:p>
            <w:pPr>
              <w:pStyle w:val="Compact"/>
            </w:pPr>
            <w:r>
              <w:t xml:space="preserve">06</w:t>
            </w:r>
          </w:p>
        </w:tc>
        <w:tc>
          <w:tcPr/>
          <w:p>
            <w:pPr>
              <w:pStyle w:val="Compact"/>
            </w:pPr>
            <w:r>
              <w:rPr>
                <w:b/>
                <w:bCs/>
              </w:rPr>
              <w:t xml:space="preserve">Services.</w:t>
            </w:r>
            <w:r>
              <w:t xml:space="preserve"> </w:t>
            </w:r>
            <w:r>
              <w:t xml:space="preserve">DNS + DHCP + IPAM in the Hybrid-Cloud model.</w:t>
            </w:r>
          </w:p>
        </w:tc>
      </w:tr>
      <w:tr>
        <w:tc>
          <w:tcPr/>
          <w:p>
            <w:pPr>
              <w:pStyle w:val="Compact"/>
            </w:pPr>
            <w:r>
              <w:t xml:space="preserve">07</w:t>
            </w:r>
          </w:p>
        </w:tc>
        <w:tc>
          <w:tcPr/>
          <w:p>
            <w:pPr>
              <w:pStyle w:val="Compact"/>
            </w:pPr>
            <w:r>
              <w:rPr>
                <w:b/>
                <w:bCs/>
              </w:rPr>
              <w:t xml:space="preserve">Compute.</w:t>
            </w:r>
            <w:r>
              <w:t xml:space="preserve"> </w:t>
            </w:r>
            <w:r>
              <w:t xml:space="preserve">Device transformation. Domain-joined → Entra + Intune + Arc.</w:t>
            </w:r>
          </w:p>
        </w:tc>
      </w:tr>
      <w:tr>
        <w:tc>
          <w:tcPr/>
          <w:p>
            <w:pPr>
              <w:pStyle w:val="Compact"/>
            </w:pPr>
            <w:r>
              <w:t xml:space="preserve">08</w:t>
            </w:r>
          </w:p>
        </w:tc>
        <w:tc>
          <w:tcPr/>
          <w:p>
            <w:pPr>
              <w:pStyle w:val="Compact"/>
            </w:pPr>
            <w:r>
              <w:rPr>
                <w:b/>
                <w:bCs/>
              </w:rPr>
              <w:t xml:space="preserve">Access plane.</w:t>
            </w:r>
            <w:r>
              <w:t xml:space="preserve"> </w:t>
            </w:r>
            <w:r>
              <w:t xml:space="preserve">MFA. Zero Trust. SASE. CBA.</w:t>
            </w:r>
          </w:p>
        </w:tc>
      </w:tr>
      <w:tr>
        <w:tc>
          <w:tcPr/>
          <w:p>
            <w:pPr>
              <w:pStyle w:val="Compact"/>
            </w:pPr>
            <w:r>
              <w:t xml:space="preserve">09</w:t>
            </w:r>
          </w:p>
        </w:tc>
        <w:tc>
          <w:tcPr/>
          <w:p>
            <w:pPr>
              <w:pStyle w:val="Compact"/>
            </w:pPr>
            <w:r>
              <w:rPr>
                <w:b/>
                <w:bCs/>
              </w:rPr>
              <w:t xml:space="preserve">Roadmap.</w:t>
            </w:r>
            <w:r>
              <w:t xml:space="preserve"> </w:t>
            </w:r>
            <w:r>
              <w:t xml:space="preserve">Phased plan. Gates. Rollback. Cutover.</w:t>
            </w:r>
          </w:p>
        </w:tc>
      </w:tr>
      <w:tr>
        <w:tc>
          <w:tcPr/>
          <w:p>
            <w:pPr>
              <w:pStyle w:val="Compact"/>
            </w:pPr>
            <w:r>
              <w:t xml:space="preserve">10</w:t>
            </w:r>
          </w:p>
        </w:tc>
        <w:tc>
          <w:tcPr/>
          <w:p>
            <w:pPr>
              <w:pStyle w:val="Compact"/>
            </w:pPr>
            <w:r>
              <w:rPr>
                <w:b/>
                <w:bCs/>
              </w:rPr>
              <w:t xml:space="preserve">Leadership takeaway.</w:t>
            </w:r>
            <w:r>
              <w:t xml:space="preserve"> </w:t>
            </w:r>
            <w:r>
              <w:t xml:space="preserve">The</w:t>
            </w:r>
            <w:r>
              <w:t xml:space="preserve"> </w:t>
            </w:r>
            <w:r>
              <w:t xml:space="preserve">“instruments vs. orchestra”</w:t>
            </w:r>
            <w:r>
              <w:t xml:space="preserve"> </w:t>
            </w:r>
            <w:r>
              <w:t xml:space="preserve">framing.</w:t>
            </w:r>
          </w:p>
        </w:tc>
      </w:tr>
    </w:tbl>
    <w:bookmarkEnd w:id="260"/>
    <w:bookmarkStart w:id="261" w:name="the-bottom-line"/>
    <w:p>
      <w:pPr>
        <w:pStyle w:val="Heading2"/>
      </w:pPr>
      <w:r>
        <w:t xml:space="preserve">The bottom line</w:t>
      </w:r>
    </w:p>
    <w:p>
      <w:pPr>
        <w:pStyle w:val="FirstParagraph"/>
      </w:pPr>
      <w:r>
        <w:t xml:space="preserve">AD retirement is not a migration project. It is a</w:t>
      </w:r>
      <w:r>
        <w:t xml:space="preserve"> </w:t>
      </w:r>
      <w:r>
        <w:rPr>
          <w:b/>
          <w:bCs/>
        </w:rPr>
        <w:t xml:space="preserve">governance</w:t>
      </w:r>
      <w:r>
        <w:rPr>
          <w:b/>
          <w:bCs/>
        </w:rPr>
        <w:t xml:space="preserve"> </w:t>
      </w:r>
      <w:r>
        <w:rPr>
          <w:b/>
          <w:bCs/>
        </w:rPr>
        <w:t xml:space="preserve">transformation</w:t>
      </w:r>
      <w:r>
        <w:t xml:space="preserve">. The hard part isn’t the Graph API calls; it’s the</w:t>
      </w:r>
      <w:r>
        <w:t xml:space="preserve"> </w:t>
      </w:r>
      <w:r>
        <w:t xml:space="preserve">framework that decides what the target state looks like, how to prove</w:t>
      </w:r>
      <w:r>
        <w:t xml:space="preserve"> </w:t>
      </w:r>
      <w:r>
        <w:t xml:space="preserve">it’s right, and how to keep it right. The Federal Modernization Program is that framework, and this</w:t>
      </w:r>
      <w:r>
        <w:t xml:space="preserve"> </w:t>
      </w:r>
      <w:r>
        <w:t xml:space="preserve">series is how it works.</w:t>
      </w:r>
    </w:p>
    <w:p>
      <w:r>
        <w:pict>
          <v:rect style="width:0;height:1.5pt" o:hralign="center" o:hrstd="t" o:hr="t"/>
        </w:pict>
      </w:r>
    </w:p>
    <w:p>
      <w:pPr>
        <w:pStyle w:val="FirstParagraph"/>
      </w:pPr>
      <w:r>
        <w:rPr>
          <w:b/>
          <w:bCs/>
        </w:rPr>
        <w:t xml:space="preserve">Next:</w:t>
      </w:r>
      <w:r>
        <w:t xml:space="preserve"> </w:t>
      </w:r>
      <w:r>
        <w:t xml:space="preserve">Chapter 01 — The Federal Modernization Program Platform Server</w:t>
      </w:r>
    </w:p>
    <w:bookmarkEnd w:id="261"/>
    <w:bookmarkEnd w:id="262"/>
    <w:bookmarkStart w:id="276" w:name="Xa82d0ae35103113ca1731cd28615f036cb8f69f"/>
    <w:p>
      <w:pPr>
        <w:pStyle w:val="Heading1"/>
      </w:pPr>
      <w:r>
        <w:t xml:space="preserve">Chapter 01 — The Federal Modernization Program Platform Server</w:t>
      </w:r>
    </w:p>
    <w:p>
      <w:pPr>
        <w:pStyle w:val="FirstParagraph"/>
      </w:pPr>
      <w:r>
        <w:rPr>
          <w:i/>
          <w:iCs/>
        </w:rPr>
        <w:t xml:space="preserve">Windows Server 2025 + IIS + Gitea + Kerberos + enterprise PKI</w:t>
      </w:r>
    </w:p>
    <w:p>
      <w:pPr>
        <w:pStyle w:val="BodyText"/>
      </w:pPr>
      <w:r>
        <w:rPr>
          <w:b/>
          <w:bCs/>
        </w:rPr>
        <w:t xml:space="preserve">The architectural claim</w:t>
      </w:r>
    </w:p>
    <w:p>
      <w:pPr>
        <w:pStyle w:val="BodyText"/>
      </w:pPr>
      <w:r>
        <w:t xml:space="preserve">Everything the Federal Modernization Program does — every analysis, every plan, every delivery, every</w:t>
      </w:r>
      <w:r>
        <w:t xml:space="preserve"> </w:t>
      </w:r>
      <w:r>
        <w:t xml:space="preserve">evidence artifact — runs on one Windows Server 2025 host. Not a cluster,</w:t>
      </w:r>
      <w:r>
        <w:t xml:space="preserve"> </w:t>
      </w:r>
      <w:r>
        <w:t xml:space="preserve">not a microservice mesh, not a cloud-native control plane. One host.</w:t>
      </w:r>
    </w:p>
    <w:p>
      <w:pPr>
        <w:pStyle w:val="BodyText"/>
      </w:pPr>
      <w:r>
        <w:t xml:space="preserve">This is a deliberate, governed choice, not a simplification. This chapter</w:t>
      </w:r>
      <w:r>
        <w:t xml:space="preserve"> </w:t>
      </w:r>
      <w:r>
        <w:t xml:space="preserve">explains why.</w:t>
      </w:r>
    </w:p>
    <w:bookmarkStart w:id="263" w:name="why-one-host"/>
    <w:p>
      <w:pPr>
        <w:pStyle w:val="Heading2"/>
      </w:pPr>
      <w:r>
        <w:t xml:space="preserve">Why one host</w:t>
      </w:r>
    </w:p>
    <w:p>
      <w:pPr>
        <w:pStyle w:val="FirstParagraph"/>
      </w:pPr>
      <w:r>
        <w:t xml:space="preserve">The Federal Modernization Program platform server is a governance substrate, not an application.</w:t>
      </w:r>
      <w:r>
        <w:t xml:space="preserve"> </w:t>
      </w:r>
      <w:r>
        <w:t xml:space="preserve">Governance substrates have properties that application servers don’t:</w:t>
      </w:r>
    </w:p>
    <w:p>
      <w:pPr>
        <w:pStyle w:val="Compact"/>
        <w:numPr>
          <w:ilvl w:val="0"/>
          <w:numId w:val="1143"/>
        </w:numPr>
      </w:pPr>
      <w:r>
        <w:rPr>
          <w:b/>
          <w:bCs/>
        </w:rPr>
        <w:t xml:space="preserve">Single source of truth.</w:t>
      </w:r>
      <w:r>
        <w:t xml:space="preserve"> </w:t>
      </w:r>
      <w:r>
        <w:t xml:space="preserve">There is exactly one Gitea repo that holds</w:t>
      </w:r>
      <w:r>
        <w:t xml:space="preserve"> </w:t>
      </w:r>
      <w:r>
        <w:t xml:space="preserve">the canon. Two hosts can’t both be authoritative; they’d diverge.</w:t>
      </w:r>
      <w:r>
        <w:t xml:space="preserve"> </w:t>
      </w:r>
      <w:r>
        <w:t xml:space="preserve">Replication is for resilience and recovery, not active-active</w:t>
      </w:r>
      <w:r>
        <w:t xml:space="preserve"> </w:t>
      </w:r>
      <w:r>
        <w:t xml:space="preserve">load-sharing — and where high availability is required, a hot-standby</w:t>
      </w:r>
      <w:r>
        <w:t xml:space="preserve"> </w:t>
      </w:r>
      <w:r>
        <w:t xml:space="preserve">replica with automatic, witness-gated failover keeps that single</w:t>
      </w:r>
      <w:r>
        <w:t xml:space="preserve"> </w:t>
      </w:r>
      <w:r>
        <w:t xml:space="preserve">authority continuously available without ever creating a second</w:t>
      </w:r>
      <w:r>
        <w:t xml:space="preserve"> </w:t>
      </w:r>
      <w:r>
        <w:t xml:space="preserve">writer (the program decision).</w:t>
      </w:r>
    </w:p>
    <w:p>
      <w:pPr>
        <w:pStyle w:val="Compact"/>
        <w:numPr>
          <w:ilvl w:val="0"/>
          <w:numId w:val="1143"/>
        </w:numPr>
      </w:pPr>
      <w:r>
        <w:rPr>
          <w:b/>
          <w:bCs/>
        </w:rPr>
        <w:t xml:space="preserve">Deterministic provenance.</w:t>
      </w:r>
      <w:r>
        <w:t xml:space="preserve"> </w:t>
      </w:r>
      <w:r>
        <w:t xml:space="preserve">Every plan, every delivery, every drift</w:t>
      </w:r>
      <w:r>
        <w:t xml:space="preserve"> </w:t>
      </w:r>
      <w:r>
        <w:t xml:space="preserve">report must be traceable to a commit on the canonical repo. A</w:t>
      </w:r>
      <w:r>
        <w:t xml:space="preserve"> </w:t>
      </w:r>
      <w:r>
        <w:t xml:space="preserve">distributed-by-default architecture dilutes provenance; a single-host</w:t>
      </w:r>
      <w:r>
        <w:t xml:space="preserve"> </w:t>
      </w:r>
      <w:r>
        <w:t xml:space="preserve">architecture concentrates it.</w:t>
      </w:r>
    </w:p>
    <w:p>
      <w:pPr>
        <w:pStyle w:val="Compact"/>
        <w:numPr>
          <w:ilvl w:val="0"/>
          <w:numId w:val="1143"/>
        </w:numPr>
      </w:pPr>
      <w:r>
        <w:rPr>
          <w:b/>
          <w:bCs/>
        </w:rPr>
        <w:t xml:space="preserve">Bounded attack surface.</w:t>
      </w:r>
      <w:r>
        <w:t xml:space="preserve"> </w:t>
      </w:r>
      <w:r>
        <w:t xml:space="preserve">Zero-trust federal environments score a</w:t>
      </w:r>
      <w:r>
        <w:t xml:space="preserve"> </w:t>
      </w:r>
      <w:r>
        <w:t xml:space="preserve">single hardened Tier-0 host lower-risk than a fleet of loosely-coupled</w:t>
      </w:r>
      <w:r>
        <w:t xml:space="preserve"> </w:t>
      </w:r>
      <w:r>
        <w:t xml:space="preserve">services. The CIS baseline + AppLocker + WDAC story is cleaner on one</w:t>
      </w:r>
      <w:r>
        <w:t xml:space="preserve"> </w:t>
      </w:r>
      <w:r>
        <w:t xml:space="preserve">host.</w:t>
      </w:r>
    </w:p>
    <w:p>
      <w:pPr>
        <w:pStyle w:val="Compact"/>
        <w:numPr>
          <w:ilvl w:val="0"/>
          <w:numId w:val="1143"/>
        </w:numPr>
      </w:pPr>
      <w:r>
        <w:rPr>
          <w:b/>
          <w:bCs/>
        </w:rPr>
        <w:t xml:space="preserve">Operational simplicity.</w:t>
      </w:r>
      <w:r>
        <w:t xml:space="preserve"> </w:t>
      </w:r>
      <w:r>
        <w:t xml:space="preserve">One host means one patch cadence, one</w:t>
      </w:r>
      <w:r>
        <w:t xml:space="preserve"> </w:t>
      </w:r>
      <w:r>
        <w:t xml:space="preserve">backup policy, one DR playbook, one set of Intune compliance rules,</w:t>
      </w:r>
      <w:r>
        <w:t xml:space="preserve"> </w:t>
      </w:r>
      <w:r>
        <w:t xml:space="preserve">one Arc enrollment, one set of resource tags. Complexity scales badly in</w:t>
      </w:r>
      <w:r>
        <w:t xml:space="preserve"> </w:t>
      </w:r>
      <w:r>
        <w:t xml:space="preserve">governance systems because every extra moving part is an extra source</w:t>
      </w:r>
      <w:r>
        <w:t xml:space="preserve"> </w:t>
      </w:r>
      <w:r>
        <w:t xml:space="preserve">of drift.</w:t>
      </w:r>
    </w:p>
    <w:p>
      <w:pPr>
        <w:pStyle w:val="FirstParagraph"/>
      </w:pPr>
      <w:r>
        <w:t xml:space="preserve">Horizontal scale, when it becomes necessary, is handled at the target</w:t>
      </w:r>
      <w:r>
        <w:t xml:space="preserve"> </w:t>
      </w:r>
      <w:r>
        <w:t xml:space="preserve">surface layer — Entra, Intune, Arc, and vendor APIs scale natively — not</w:t>
      </w:r>
      <w:r>
        <w:t xml:space="preserve"> </w:t>
      </w:r>
      <w:r>
        <w:t xml:space="preserve">by fanning out the governance substrate.</w:t>
      </w:r>
    </w:p>
    <w:bookmarkEnd w:id="263"/>
    <w:bookmarkStart w:id="269" w:name="the-five-roles"/>
    <w:p>
      <w:pPr>
        <w:pStyle w:val="Heading2"/>
      </w:pPr>
      <w:r>
        <w:t xml:space="preserve">The five roles</w:t>
      </w:r>
    </w:p>
    <w:p>
      <w:pPr>
        <w:pStyle w:val="FirstParagraph"/>
      </w:pPr>
      <w:r>
        <w:t xml:space="preserve">A single host plays five distinct roles. Each maps to a specific</w:t>
      </w:r>
      <w:r>
        <w:t xml:space="preserve"> </w:t>
      </w:r>
      <w:r>
        <w:t xml:space="preserve">capability the transformation engine needs.</w:t>
      </w:r>
    </w:p>
    <w:bookmarkStart w:id="264" w:name="canonical-source-of-truth"/>
    <w:p>
      <w:pPr>
        <w:pStyle w:val="Heading3"/>
      </w:pPr>
      <w:r>
        <w:t xml:space="preserve">1. Canonical source of truth</w:t>
      </w:r>
    </w:p>
    <w:p>
      <w:pPr>
        <w:pStyle w:val="FirstParagraph"/>
      </w:pPr>
      <w:r>
        <w:rPr>
          <w:b/>
          <w:bCs/>
        </w:rPr>
        <w:t xml:space="preserve">Gitea.</w:t>
      </w:r>
      <w:r>
        <w:t xml:space="preserve"> </w:t>
      </w:r>
      <w:r>
        <w:t xml:space="preserve">Every governance artifact — dynamic</w:t>
      </w:r>
      <w:r>
        <w:t xml:space="preserve"> </w:t>
      </w:r>
      <w:r>
        <w:t xml:space="preserve">group rules, delegation matrices, transformation plans, policy</w:t>
      </w:r>
      <w:r>
        <w:t xml:space="preserve"> </w:t>
      </w:r>
      <w:r>
        <w:t xml:space="preserve">libraries, adapter manifests, drift reports — lives as a versioned file</w:t>
      </w:r>
      <w:r>
        <w:t xml:space="preserve"> </w:t>
      </w:r>
      <w:r>
        <w:t xml:space="preserve">in the Gitea repo. Nothing is an admin-portal click. Nothing is a</w:t>
      </w:r>
      <w:r>
        <w:t xml:space="preserve"> </w:t>
      </w:r>
      <w:r>
        <w:t xml:space="preserve">verbal assurance. Every change is a commit; every commit is signed;</w:t>
      </w:r>
      <w:r>
        <w:t xml:space="preserve"> </w:t>
      </w:r>
      <w:r>
        <w:t xml:space="preserve">every commit is attributable.</w:t>
      </w:r>
    </w:p>
    <w:p>
      <w:pPr>
        <w:pStyle w:val="BodyText"/>
      </w:pPr>
      <w:r>
        <w:t xml:space="preserve">Gitea is behind IIS (never exposed directly), anchored to enterprise</w:t>
      </w:r>
      <w:r>
        <w:t xml:space="preserve"> </w:t>
      </w:r>
      <w:r>
        <w:t xml:space="preserve">PKI for client-cert + HTTPS, and replicated to a standby. The baseline</w:t>
      </w:r>
      <w:r>
        <w:t xml:space="preserve"> </w:t>
      </w:r>
      <w:r>
        <w:t xml:space="preserve">posture is a cold standby with manual failover and an explicit RPO/RTO</w:t>
      </w:r>
      <w:r>
        <w:t xml:space="preserve"> </w:t>
      </w:r>
      <w:r>
        <w:t xml:space="preserve">target; an HA-enabled deployment uses a hot standby with automatic,</w:t>
      </w:r>
      <w:r>
        <w:t xml:space="preserve"> </w:t>
      </w:r>
      <w:r>
        <w:t xml:space="preserve">witness-gated failover — near-zero RPO, single-digit-minute RTO — per</w:t>
      </w:r>
      <w:r>
        <w:t xml:space="preserve"> </w:t>
      </w:r>
      <w:r>
        <w:t xml:space="preserve">the program decision. Off-premises backup to Azure Blob and the GitHub mirror remain</w:t>
      </w:r>
      <w:r>
        <w:t xml:space="preserve"> </w:t>
      </w:r>
      <w:r>
        <w:t xml:space="preserve">the floor for total-site loss.</w:t>
      </w:r>
    </w:p>
    <w:bookmarkEnd w:id="264"/>
    <w:bookmarkStart w:id="265" w:name="X9d071b32efad26ac5896c1669d3bed628df40f5"/>
    <w:p>
      <w:pPr>
        <w:pStyle w:val="Heading3"/>
      </w:pPr>
      <w:r>
        <w:t xml:space="preserve">2. HTTPS reverse proxy and client-cert terminator</w:t>
      </w:r>
    </w:p>
    <w:p>
      <w:pPr>
        <w:pStyle w:val="FirstParagraph"/>
      </w:pPr>
      <w:r>
        <w:rPr>
          <w:b/>
          <w:bCs/>
        </w:rPr>
        <w:t xml:space="preserve">IIS + URL Rewrite + ARR.</w:t>
      </w:r>
      <w:r>
        <w:t xml:space="preserve"> </w:t>
      </w:r>
      <w:r>
        <w:t xml:space="preserve">Every inbound request lands at IIS. IIS</w:t>
      </w:r>
      <w:r>
        <w:t xml:space="preserve"> </w:t>
      </w:r>
      <w:r>
        <w:t xml:space="preserve">does TLS termination, client-certificate mTLS (for admin access),</w:t>
      </w:r>
      <w:r>
        <w:t xml:space="preserve"> </w:t>
      </w:r>
      <w:r>
        <w:t xml:space="preserve">HSTS, HTTP/2, and forwards to Gitea on loopback port 3000. IIS is</w:t>
      </w:r>
      <w:r>
        <w:t xml:space="preserve"> </w:t>
      </w:r>
      <w:r>
        <w:t xml:space="preserve">also the AD LDAPS-aware auth landing point for Gitea’s</w:t>
      </w:r>
      <w:r>
        <w:t xml:space="preserve"> </w:t>
      </w:r>
      <w:r>
        <w:rPr>
          <w:rStyle w:val="VerbatimChar"/>
        </w:rPr>
        <w:t xml:space="preserve">source-config</w:t>
      </w:r>
      <w:r>
        <w:t xml:space="preserve"> </w:t>
      </w:r>
      <w:r>
        <w:t xml:space="preserve">lookups.</w:t>
      </w:r>
    </w:p>
    <w:p>
      <w:pPr>
        <w:pStyle w:val="BodyText"/>
      </w:pPr>
      <w:r>
        <w:t xml:space="preserve">This is the architecture endorsed by</w:t>
      </w:r>
      <w:r>
        <w:t xml:space="preserve"> </w:t>
      </w:r>
      <w:r>
        <w:rPr>
          <w:b/>
          <w:bCs/>
        </w:rPr>
        <w:t xml:space="preserve">the program decision (the Federal Modernization Program Git Infrastructure)</w:t>
      </w:r>
      <w:r>
        <w:t xml:space="preserve"> </w:t>
      </w:r>
      <w:r>
        <w:t xml:space="preserve">in</w:t>
      </w:r>
      <w:r>
        <w:t xml:space="preserve"> </w:t>
      </w:r>
      <w:r>
        <w:rPr>
          <w:rStyle w:val="VerbatimChar"/>
        </w:rPr>
        <w:t xml:space="preserve">src/fmp/canon/adr/adr-041-fmp-git-infrastructure.md</w:t>
      </w:r>
      <w:r>
        <w:t xml:space="preserve"> </w:t>
      </w:r>
      <w:r>
        <w:t xml:space="preserve">— Gitea behind</w:t>
      </w:r>
      <w:r>
        <w:t xml:space="preserve"> </w:t>
      </w:r>
      <w:r>
        <w:t xml:space="preserve">IIS reverse proxy. Option A (IIS +</w:t>
      </w:r>
      <w:r>
        <w:t xml:space="preserve"> </w:t>
      </w:r>
      <w:r>
        <w:rPr>
          <w:rStyle w:val="VerbatimChar"/>
        </w:rPr>
        <w:t xml:space="preserve">git-http-backend</w:t>
      </w:r>
      <w:r>
        <w:t xml:space="preserve"> </w:t>
      </w:r>
      <w:r>
        <w:t xml:space="preserve">alone) was evaluated</w:t>
      </w:r>
      <w:r>
        <w:t xml:space="preserve"> </w:t>
      </w:r>
      <w:r>
        <w:t xml:space="preserve">and rejected on auth integration + operational complexity grounds; the</w:t>
      </w:r>
      <w:r>
        <w:t xml:space="preserve"> </w:t>
      </w:r>
      <w:r>
        <w:t xml:space="preserve">rejected variant is retained for lab use in</w:t>
      </w:r>
      <w:r>
        <w:t xml:space="preserve"> </w:t>
      </w:r>
      <w:r>
        <w:rPr>
          <w:rStyle w:val="VerbatimChar"/>
        </w:rPr>
        <w:t xml:space="preserve">git-server-implementation.qmd</w:t>
      </w:r>
      <w:r>
        <w:t xml:space="preserve">.</w:t>
      </w:r>
      <w:r>
        <w:t xml:space="preserve"> </w:t>
      </w:r>
      <w:r>
        <w:t xml:space="preserve">(Earlier revisions mis-cited the decision as the program decision; the program decision is the HAADJ</w:t>
      </w:r>
      <w:r>
        <w:t xml:space="preserve"> </w:t>
      </w:r>
      <w:r>
        <w:t xml:space="preserve">deprecation ADR, unrelated to Git infrastructure.)</w:t>
      </w:r>
    </w:p>
    <w:bookmarkEnd w:id="265"/>
    <w:bookmarkStart w:id="266" w:name="legacy-to-modern-auth-bridge"/>
    <w:p>
      <w:pPr>
        <w:pStyle w:val="Heading3"/>
      </w:pPr>
      <w:r>
        <w:t xml:space="preserve">3. Legacy-to-modern auth bridge</w:t>
      </w:r>
    </w:p>
    <w:p>
      <w:pPr>
        <w:pStyle w:val="FirstParagraph"/>
      </w:pPr>
      <w:r>
        <w:rPr>
          <w:b/>
          <w:bCs/>
        </w:rPr>
        <w:t xml:space="preserve">Kerberos + enterprise PKI.</w:t>
      </w:r>
      <w:r>
        <w:t xml:space="preserve"> </w:t>
      </w:r>
      <w:r>
        <w:t xml:space="preserve">The platform server holds simultaneous</w:t>
      </w:r>
      <w:r>
        <w:t xml:space="preserve"> </w:t>
      </w:r>
      <w:r>
        <w:t xml:space="preserve">memberships:</w:t>
      </w:r>
    </w:p>
    <w:p>
      <w:pPr>
        <w:pStyle w:val="Compact"/>
        <w:numPr>
          <w:ilvl w:val="0"/>
          <w:numId w:val="1144"/>
        </w:numPr>
      </w:pPr>
      <w:r>
        <w:t xml:space="preserve">It’s</w:t>
      </w:r>
      <w:r>
        <w:t xml:space="preserve"> </w:t>
      </w:r>
      <w:r>
        <w:rPr>
          <w:b/>
          <w:bCs/>
        </w:rPr>
        <w:t xml:space="preserve">domain-joined</w:t>
      </w:r>
      <w:r>
        <w:t xml:space="preserve"> </w:t>
      </w:r>
      <w:r>
        <w:t xml:space="preserve">to the legacy AD forest (for Kerberos-anchored</w:t>
      </w:r>
      <w:r>
        <w:t xml:space="preserve"> </w:t>
      </w:r>
      <w:r>
        <w:t xml:space="preserve">reads of the forest, GPOs, DNS zones, and ADCS).</w:t>
      </w:r>
    </w:p>
    <w:p>
      <w:pPr>
        <w:pStyle w:val="Compact"/>
        <w:numPr>
          <w:ilvl w:val="0"/>
          <w:numId w:val="1144"/>
        </w:numPr>
      </w:pPr>
      <w:r>
        <w:t xml:space="preserve">It’s</w:t>
      </w:r>
      <w:r>
        <w:t xml:space="preserve"> </w:t>
      </w:r>
      <w:r>
        <w:rPr>
          <w:b/>
          <w:bCs/>
        </w:rPr>
        <w:t xml:space="preserve">Entra-registered</w:t>
      </w:r>
      <w:r>
        <w:t xml:space="preserve"> </w:t>
      </w:r>
      <w:r>
        <w:t xml:space="preserve">(for OAuth2/OIDC inbound auth and Graph</w:t>
      </w:r>
      <w:r>
        <w:t xml:space="preserve"> </w:t>
      </w:r>
      <w:r>
        <w:t xml:space="preserve">API outbound calls).</w:t>
      </w:r>
    </w:p>
    <w:p>
      <w:pPr>
        <w:pStyle w:val="Compact"/>
        <w:numPr>
          <w:ilvl w:val="0"/>
          <w:numId w:val="1144"/>
        </w:numPr>
      </w:pPr>
      <w:r>
        <w:t xml:space="preserve">It holds an</w:t>
      </w:r>
      <w:r>
        <w:t xml:space="preserve"> </w:t>
      </w:r>
      <w:r>
        <w:rPr>
          <w:b/>
          <w:bCs/>
        </w:rPr>
        <w:t xml:space="preserve">enterprise-CA-issued server certificate</w:t>
      </w:r>
      <w:r>
        <w:t xml:space="preserve"> </w:t>
      </w:r>
      <w:r>
        <w:t xml:space="preserve">for IIS TLS</w:t>
      </w:r>
      <w:r>
        <w:t xml:space="preserve"> </w:t>
      </w:r>
      <w:r>
        <w:t xml:space="preserve">and a</w:t>
      </w:r>
      <w:r>
        <w:t xml:space="preserve"> </w:t>
      </w:r>
      <w:r>
        <w:rPr>
          <w:b/>
          <w:bCs/>
        </w:rPr>
        <w:t xml:space="preserve">client certificate</w:t>
      </w:r>
      <w:r>
        <w:t xml:space="preserve"> </w:t>
      </w:r>
      <w:r>
        <w:t xml:space="preserve">for Arc + Intune enrollment.</w:t>
      </w:r>
    </w:p>
    <w:p>
      <w:pPr>
        <w:pStyle w:val="FirstParagraph"/>
      </w:pPr>
      <w:r>
        <w:t xml:space="preserve">The bridges are not redundant. The AD side is read-only by policy (the</w:t>
      </w:r>
      <w:r>
        <w:t xml:space="preserve"> </w:t>
      </w:r>
      <w:r>
        <w:rPr>
          <w:rStyle w:val="VerbatimChar"/>
        </w:rPr>
        <w:t xml:space="preserve">FMPADAssessment</w:t>
      </w:r>
      <w:r>
        <w:t xml:space="preserve"> </w:t>
      </w:r>
      <w:r>
        <w:t xml:space="preserve">PowerShell module runs with a least-privilege</w:t>
      </w:r>
      <w:r>
        <w:t xml:space="preserve"> </w:t>
      </w:r>
      <w:r>
        <w:t xml:space="preserve">account that has only the forest-reader rights it needs). The Entra</w:t>
      </w:r>
      <w:r>
        <w:t xml:space="preserve"> </w:t>
      </w:r>
      <w:r>
        <w:t xml:space="preserve">side is read-write (the transformation engine’s plans land there).</w:t>
      </w:r>
    </w:p>
    <w:bookmarkEnd w:id="266"/>
    <w:bookmarkStart w:id="267" w:name="transformation-engine-host"/>
    <w:p>
      <w:pPr>
        <w:pStyle w:val="Heading3"/>
      </w:pPr>
      <w:r>
        <w:t xml:space="preserve">4. Transformation engine host</w:t>
      </w:r>
    </w:p>
    <w:p>
      <w:pPr>
        <w:pStyle w:val="FirstParagraph"/>
      </w:pPr>
      <w:r>
        <w:rPr>
          <w:b/>
          <w:bCs/>
        </w:rPr>
        <w:t xml:space="preserve">PowerShell + Python + API integrator layer.</w:t>
      </w:r>
      <w:r>
        <w:t xml:space="preserve"> </w:t>
      </w:r>
      <w:r>
        <w:t xml:space="preserve">This is where</w:t>
      </w:r>
      <w:r>
        <w:t xml:space="preserve"> </w:t>
      </w:r>
      <w:r>
        <w:t xml:space="preserve">assessment, planning, and delivery actually happen.</w:t>
      </w:r>
    </w:p>
    <w:p>
      <w:pPr>
        <w:pStyle w:val="Compact"/>
        <w:numPr>
          <w:ilvl w:val="0"/>
          <w:numId w:val="1145"/>
        </w:numPr>
      </w:pPr>
      <w:r>
        <w:rPr>
          <w:b/>
          <w:bCs/>
        </w:rPr>
        <w:t xml:space="preserve">PowerShell</w:t>
      </w:r>
      <w:r>
        <w:t xml:space="preserve"> </w:t>
      </w:r>
      <w:r>
        <w:t xml:space="preserve">(7.4+) handles AD-side reads (ActiveDirectory,</w:t>
      </w:r>
      <w:r>
        <w:t xml:space="preserve"> </w:t>
      </w:r>
      <w:r>
        <w:t xml:space="preserve">GroupPolicy, DnsServer, DhcpServer modules), Gitea API calls,</w:t>
      </w:r>
      <w:r>
        <w:t xml:space="preserve"> </w:t>
      </w:r>
      <w:r>
        <w:t xml:space="preserve">local-file provenance writes, and the Pester test harness.</w:t>
      </w:r>
    </w:p>
    <w:p>
      <w:pPr>
        <w:pStyle w:val="Compact"/>
        <w:numPr>
          <w:ilvl w:val="0"/>
          <w:numId w:val="1145"/>
        </w:numPr>
      </w:pPr>
      <w:r>
        <w:rPr>
          <w:b/>
          <w:bCs/>
        </w:rPr>
        <w:t xml:space="preserve">Python</w:t>
      </w:r>
      <w:r>
        <w:t xml:space="preserve"> </w:t>
      </w:r>
      <w:r>
        <w:t xml:space="preserve">(3.12+) handles graph analysis (networkx for OU trees,</w:t>
      </w:r>
      <w:r>
        <w:t xml:space="preserve"> </w:t>
      </w:r>
      <w:r>
        <w:t xml:space="preserve">dependency graphs), OSCAL authoring, schema validation (FMP_158</w:t>
      </w:r>
      <w:r>
        <w:t xml:space="preserve"> </w:t>
      </w:r>
      <w:r>
        <w:t xml:space="preserve">JSON schema), and anything that benefits from a richer type</w:t>
      </w:r>
      <w:r>
        <w:t xml:space="preserve"> </w:t>
      </w:r>
      <w:r>
        <w:t xml:space="preserve">system or library ecosystem than PowerShell provides.</w:t>
      </w:r>
    </w:p>
    <w:p>
      <w:pPr>
        <w:pStyle w:val="Compact"/>
        <w:numPr>
          <w:ilvl w:val="0"/>
          <w:numId w:val="1145"/>
        </w:numPr>
      </w:pPr>
      <w:r>
        <w:rPr>
          <w:b/>
          <w:bCs/>
        </w:rPr>
        <w:t xml:space="preserve">API integrators</w:t>
      </w:r>
      <w:r>
        <w:t xml:space="preserve"> </w:t>
      </w:r>
      <w:r>
        <w:t xml:space="preserve">wrap vendor APIs — Graph, ARM, Intune</w:t>
      </w:r>
      <w:r>
        <w:t xml:space="preserve"> </w:t>
      </w:r>
      <w:r>
        <w:t xml:space="preserve">management APIs, Infoblox WAPI, ServiceNow REST, CyberArk REST,</w:t>
      </w:r>
      <w:r>
        <w:t xml:space="preserve"> </w:t>
      </w:r>
      <w:r>
        <w:t xml:space="preserve">SCuBA/ScubaGear output ingestion — behind uniform contracts</w:t>
      </w:r>
      <w:r>
        <w:t xml:space="preserve"> </w:t>
      </w:r>
      <w:r>
        <w:t xml:space="preserve">defined in the DM_* adapter specs.</w:t>
      </w:r>
    </w:p>
    <w:p>
      <w:pPr>
        <w:pStyle w:val="FirstParagraph"/>
      </w:pPr>
      <w:r>
        <w:t xml:space="preserve">Both engines are governed: every script is in Gitea; every run</w:t>
      </w:r>
      <w:r>
        <w:t xml:space="preserve"> </w:t>
      </w:r>
      <w:r>
        <w:t xml:space="preserve">produces a signed, provenanced log entry; every API call is logged</w:t>
      </w:r>
      <w:r>
        <w:t xml:space="preserve"> </w:t>
      </w:r>
      <w:r>
        <w:t xml:space="preserve">with correlation IDs that tie back to a plan + commit.</w:t>
      </w:r>
    </w:p>
    <w:bookmarkEnd w:id="267"/>
    <w:bookmarkStart w:id="268" w:name="adapter-dispatcher"/>
    <w:p>
      <w:pPr>
        <w:pStyle w:val="Heading3"/>
      </w:pPr>
      <w:r>
        <w:t xml:space="preserve">5. Adapter dispatcher</w:t>
      </w:r>
    </w:p>
    <w:p>
      <w:pPr>
        <w:pStyle w:val="FirstParagraph"/>
      </w:pPr>
      <w:r>
        <w:rPr>
          <w:b/>
          <w:bCs/>
        </w:rPr>
        <w:t xml:space="preserve">DM_* and FMP_159 glue.</w:t>
      </w:r>
      <w:r>
        <w:t xml:space="preserve"> </w:t>
      </w:r>
      <w:r>
        <w:t xml:space="preserve">When the transformation engine needs to touch</w:t>
      </w:r>
      <w:r>
        <w:t xml:space="preserve"> </w:t>
      </w:r>
      <w:r>
        <w:t xml:space="preserve">a specific AD-dependency category (PKI, RADIUS, LDAP, DHCP, etc.), it</w:t>
      </w:r>
      <w:r>
        <w:t xml:space="preserve"> </w:t>
      </w:r>
      <w:r>
        <w:t xml:space="preserve">dispatches through the DM_* adapter interface. Each adapter</w:t>
      </w:r>
      <w:r>
        <w:t xml:space="preserve"> </w:t>
      </w:r>
      <w:r>
        <w:t xml:space="preserve">implementation (Infoblox, ADCS, Entrust, Cisco ISE, etc.) plugs in</w:t>
      </w:r>
      <w:r>
        <w:t xml:space="preserve"> </w:t>
      </w:r>
      <w:r>
        <w:t xml:space="preserve">behind the adapter interface; the engine never hard-codes vendor</w:t>
      </w:r>
      <w:r>
        <w:t xml:space="preserve"> </w:t>
      </w:r>
      <w:r>
        <w:t xml:space="preserve">specifics.</w:t>
      </w:r>
    </w:p>
    <w:p>
      <w:pPr>
        <w:pStyle w:val="BodyText"/>
      </w:pPr>
      <w:r>
        <w:t xml:space="preserve">The adapter dispatcher is also how the Federal Modernization Program stays vendor-pluggable. A new</w:t>
      </w:r>
      <w:r>
        <w:t xml:space="preserve"> </w:t>
      </w:r>
      <w:r>
        <w:t xml:space="preserve">IPAM vendor slots into DM_010 by implementing the adapter contract —</w:t>
      </w:r>
      <w:r>
        <w:t xml:space="preserve"> </w:t>
      </w:r>
      <w:r>
        <w:t xml:space="preserve">no transformation-engine changes required.</w:t>
      </w:r>
    </w:p>
    <w:bookmarkEnd w:id="268"/>
    <w:bookmarkEnd w:id="269"/>
    <w:bookmarkStart w:id="270" w:name="the-two-brain-split"/>
    <w:p>
      <w:pPr>
        <w:pStyle w:val="Heading2"/>
      </w:pPr>
      <w:r>
        <w:t xml:space="preserve">The Two-Brain split</w:t>
      </w:r>
    </w:p>
    <w:p>
      <w:pPr>
        <w:pStyle w:val="FirstParagraph"/>
      </w:pPr>
      <w:r>
        <w:t xml:space="preserve">A critical architectural principle:</w:t>
      </w:r>
      <w:r>
        <w:t xml:space="preserve"> </w:t>
      </w:r>
      <w:r>
        <w:rPr>
          <w:b/>
          <w:bCs/>
        </w:rPr>
        <w:t xml:space="preserve">governance and execution never</w:t>
      </w:r>
      <w:r>
        <w:rPr>
          <w:b/>
          <w:bCs/>
        </w:rPr>
        <w:t xml:space="preserve"> </w:t>
      </w:r>
      <w:r>
        <w:rPr>
          <w:b/>
          <w:bCs/>
        </w:rPr>
        <w:t xml:space="preserve">co-mingle on the platform server</w:t>
      </w:r>
      <w:r>
        <w:t xml:space="preserve">.</w:t>
      </w:r>
    </w:p>
    <w:p>
      <w:pPr>
        <w:pStyle w:val="Compact"/>
        <w:numPr>
          <w:ilvl w:val="0"/>
          <w:numId w:val="1146"/>
        </w:numPr>
      </w:pPr>
      <w:r>
        <w:rPr>
          <w:b/>
          <w:bCs/>
        </w:rPr>
        <w:t xml:space="preserve">Copilot (governance brain)</w:t>
      </w:r>
      <w:r>
        <w:t xml:space="preserve"> </w:t>
      </w:r>
      <w:r>
        <w:t xml:space="preserve">— the review + authorization layer.</w:t>
      </w:r>
      <w:r>
        <w:t xml:space="preserve"> </w:t>
      </w:r>
      <w:r>
        <w:t xml:space="preserve">Canon validates plans, signs commits, enforces boundary rules,</w:t>
      </w:r>
      <w:r>
        <w:t xml:space="preserve"> </w:t>
      </w:r>
      <w:r>
        <w:t xml:space="preserve">writes audit entries. It does</w:t>
      </w:r>
      <w:r>
        <w:t xml:space="preserve"> </w:t>
      </w:r>
      <w:r>
        <w:rPr>
          <w:b/>
          <w:bCs/>
        </w:rPr>
        <w:t xml:space="preserve">not</w:t>
      </w:r>
      <w:r>
        <w:t xml:space="preserve"> </w:t>
      </w:r>
      <w:r>
        <w:t xml:space="preserve">touch the target surface</w:t>
      </w:r>
      <w:r>
        <w:t xml:space="preserve"> </w:t>
      </w:r>
      <w:r>
        <w:t xml:space="preserve">directly.</w:t>
      </w:r>
    </w:p>
    <w:p>
      <w:pPr>
        <w:pStyle w:val="Compact"/>
        <w:numPr>
          <w:ilvl w:val="0"/>
          <w:numId w:val="1146"/>
        </w:numPr>
      </w:pPr>
      <w:r>
        <w:rPr>
          <w:b/>
          <w:bCs/>
        </w:rPr>
        <w:t xml:space="preserve">Execution Substrate (execution brain)</w:t>
      </w:r>
      <w:r>
        <w:t xml:space="preserve"> </w:t>
      </w:r>
      <w:r>
        <w:t xml:space="preserve">— the delivery layer. It</w:t>
      </w:r>
      <w:r>
        <w:t xml:space="preserve"> </w:t>
      </w:r>
      <w:r>
        <w:t xml:space="preserve">takes an authorized plan, calls the adapter APIs, and writes back a</w:t>
      </w:r>
      <w:r>
        <w:t xml:space="preserve"> </w:t>
      </w:r>
      <w:r>
        <w:t xml:space="preserve">structured result. It does</w:t>
      </w:r>
      <w:r>
        <w:t xml:space="preserve"> </w:t>
      </w:r>
      <w:r>
        <w:rPr>
          <w:b/>
          <w:bCs/>
        </w:rPr>
        <w:t xml:space="preserve">not</w:t>
      </w:r>
      <w:r>
        <w:t xml:space="preserve"> </w:t>
      </w:r>
      <w:r>
        <w:t xml:space="preserve">decide what to do; it executes</w:t>
      </w:r>
      <w:r>
        <w:t xml:space="preserve"> </w:t>
      </w:r>
      <w:r>
        <w:t xml:space="preserve">what the governance brain has already decided.</w:t>
      </w:r>
    </w:p>
    <w:p>
      <w:pPr>
        <w:pStyle w:val="FirstParagraph"/>
      </w:pPr>
      <w:r>
        <w:t xml:space="preserve">This split is documented canonically as</w:t>
      </w:r>
      <w:r>
        <w:t xml:space="preserve"> </w:t>
      </w:r>
      <w:r>
        <w:rPr>
          <w:b/>
          <w:bCs/>
        </w:rPr>
        <w:t xml:space="preserve">the program decision — Two-Brain</w:t>
      </w:r>
      <w:r>
        <w:rPr>
          <w:b/>
          <w:bCs/>
        </w:rPr>
        <w:t xml:space="preserve"> </w:t>
      </w:r>
      <w:r>
        <w:rPr>
          <w:b/>
          <w:bCs/>
        </w:rPr>
        <w:t xml:space="preserve">Execution</w:t>
      </w:r>
      <w:r>
        <w:t xml:space="preserve"> </w:t>
      </w:r>
      <w:r>
        <w:t xml:space="preserve">(to be authored). On the platform server, it manifests as</w:t>
      </w:r>
      <w:r>
        <w:t xml:space="preserve"> </w:t>
      </w:r>
      <w:r>
        <w:t xml:space="preserve">two separate service accounts, two separate credential stores, two</w:t>
      </w:r>
      <w:r>
        <w:t xml:space="preserve"> </w:t>
      </w:r>
      <w:r>
        <w:t xml:space="preserve">separate log streams. Deleting either brain’s access stops the system</w:t>
      </w:r>
      <w:r>
        <w:t xml:space="preserve"> </w:t>
      </w:r>
      <w:r>
        <w:t xml:space="preserve">in a safe state; it doesn’t leave the other brain able to make</w:t>
      </w:r>
      <w:r>
        <w:t xml:space="preserve"> </w:t>
      </w:r>
      <w:r>
        <w:t xml:space="preserve">decisions it shouldn’t.</w:t>
      </w:r>
    </w:p>
    <w:p>
      <w:pPr>
        <w:pStyle w:val="BodyText"/>
      </w:pPr>
      <w:r>
        <w:t xml:space="preserve">The reason: a brain that both decides and acts is a brain that can</w:t>
      </w:r>
      <w:r>
        <w:t xml:space="preserve"> </w:t>
      </w:r>
      <w:r>
        <w:t xml:space="preserve">cover its tracks. Separating them is how we make every change</w:t>
      </w:r>
      <w:r>
        <w:t xml:space="preserve"> </w:t>
      </w:r>
      <w:r>
        <w:t xml:space="preserve">auditable, reversible, and governed.</w:t>
      </w:r>
    </w:p>
    <w:bookmarkEnd w:id="270"/>
    <w:bookmarkStart w:id="271" w:name="integration-surface-map"/>
    <w:p>
      <w:pPr>
        <w:pStyle w:val="Heading2"/>
      </w:pPr>
      <w:r>
        <w:t xml:space="preserve">Integration surface map</w:t>
      </w:r>
    </w:p>
    <w:p>
      <w:pPr>
        <w:pStyle w:val="FirstParagraph"/>
      </w:pPr>
      <w:r>
        <w:t xml:space="preserve">The platform server has clearly-bounded integration points. Each is</w:t>
      </w:r>
      <w:r>
        <w:t xml:space="preserve"> </w:t>
      </w:r>
      <w:r>
        <w:t xml:space="preserve">governed by an adapter spec and a validation suite.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Integration</w:t>
            </w:r>
          </w:p>
        </w:tc>
        <w:tc>
          <w:tcPr/>
          <w:p>
            <w:pPr>
              <w:pStyle w:val="Compact"/>
            </w:pPr>
            <w:r>
              <w:t xml:space="preserve">Direction</w:t>
            </w:r>
          </w:p>
        </w:tc>
        <w:tc>
          <w:tcPr/>
          <w:p>
            <w:pPr>
              <w:pStyle w:val="Compact"/>
            </w:pPr>
            <w:r>
              <w:t xml:space="preserve">Adapter</w:t>
            </w:r>
          </w:p>
        </w:tc>
        <w:tc>
          <w:tcPr/>
          <w:p>
            <w:pPr>
              <w:pStyle w:val="Compact"/>
            </w:pPr>
            <w:r>
              <w:t xml:space="preserve">Purpose</w:t>
            </w:r>
          </w:p>
        </w:tc>
      </w:tr>
      <w:tr>
        <w:tc>
          <w:tcPr/>
          <w:p>
            <w:pPr>
              <w:pStyle w:val="Compact"/>
            </w:pPr>
            <w:r>
              <w:t xml:space="preserve">AD Forest (legacy)</w:t>
            </w:r>
          </w:p>
        </w:tc>
        <w:tc>
          <w:tcPr/>
          <w:p>
            <w:pPr>
              <w:pStyle w:val="Compact"/>
            </w:pPr>
            <w:r>
              <w:t xml:space="preserve">Read-only</w:t>
            </w:r>
          </w:p>
        </w:tc>
        <w:tc>
          <w:tcPr/>
          <w:p>
            <w:pPr>
              <w:pStyle w:val="Compact"/>
            </w:pPr>
            <w:r>
              <w:t xml:space="preserve">FMP_159 + FMPADAssessment</w:t>
            </w:r>
          </w:p>
        </w:tc>
        <w:tc>
          <w:tcPr/>
          <w:p>
            <w:pPr>
              <w:pStyle w:val="Compact"/>
            </w:pPr>
            <w:r>
              <w:t xml:space="preserve">Forest/domain/OU discovery, GPO inventory, DNS/DHCP read, Kerberos SPN audit</w:t>
            </w:r>
          </w:p>
        </w:tc>
      </w:tr>
      <w:tr>
        <w:tc>
          <w:tcPr/>
          <w:p>
            <w:pPr>
              <w:pStyle w:val="Compact"/>
            </w:pPr>
            <w:r>
              <w:t xml:space="preserve">ADCS (legacy PKI)</w:t>
            </w:r>
          </w:p>
        </w:tc>
        <w:tc>
          <w:tcPr/>
          <w:p>
            <w:pPr>
              <w:pStyle w:val="Compact"/>
            </w:pPr>
            <w:r>
              <w:t xml:space="preserve">Read-only</w:t>
            </w:r>
          </w:p>
        </w:tc>
        <w:tc>
          <w:tcPr/>
          <w:p>
            <w:pPr>
              <w:pStyle w:val="Compact"/>
            </w:pPr>
            <w:r>
              <w:t xml:space="preserve">DM_020</w:t>
            </w:r>
          </w:p>
        </w:tc>
        <w:tc>
          <w:tcPr/>
          <w:p>
            <w:pPr>
              <w:pStyle w:val="Compact"/>
            </w:pPr>
            <w:r>
              <w:t xml:space="preserve">Template analysis, ESC1-8 vulnerability check, certificate inventory</w:t>
            </w:r>
          </w:p>
        </w:tc>
      </w:tr>
      <w:tr>
        <w:tc>
          <w:tcPr/>
          <w:p>
            <w:pPr>
              <w:pStyle w:val="Compact"/>
            </w:pPr>
            <w:r>
              <w:t xml:space="preserve">Entra ID</w:t>
            </w:r>
          </w:p>
        </w:tc>
        <w:tc>
          <w:tcPr/>
          <w:p>
            <w:pPr>
              <w:pStyle w:val="Compact"/>
            </w:pPr>
            <w:r>
              <w:t xml:space="preserve">Read-write</w:t>
            </w:r>
          </w:p>
        </w:tc>
        <w:tc>
          <w:tcPr/>
          <w:p>
            <w:pPr>
              <w:pStyle w:val="Compact"/>
            </w:pPr>
            <w:r>
              <w:t xml:space="preserve">adapter-specs/entra-id</w:t>
            </w:r>
          </w:p>
        </w:tc>
        <w:tc>
          <w:tcPr/>
          <w:p>
            <w:pPr>
              <w:pStyle w:val="Compact"/>
            </w:pPr>
            <w:r>
              <w:t xml:space="preserve">User/group/device/AU/policy provisioning</w:t>
            </w:r>
          </w:p>
        </w:tc>
      </w:tr>
      <w:tr>
        <w:tc>
          <w:tcPr/>
          <w:p>
            <w:pPr>
              <w:pStyle w:val="Compact"/>
            </w:pPr>
            <w:r>
              <w:t xml:space="preserve">Intune</w:t>
            </w:r>
          </w:p>
        </w:tc>
        <w:tc>
          <w:tcPr/>
          <w:p>
            <w:pPr>
              <w:pStyle w:val="Compact"/>
            </w:pPr>
            <w:r>
              <w:t xml:space="preserve">Read-write</w:t>
            </w:r>
          </w:p>
        </w:tc>
        <w:tc>
          <w:tcPr/>
          <w:p>
            <w:pPr>
              <w:pStyle w:val="Compact"/>
            </w:pPr>
            <w:r>
              <w:t xml:space="preserve">adapter-specs/intune</w:t>
            </w:r>
          </w:p>
        </w:tc>
        <w:tc>
          <w:tcPr/>
          <w:p>
            <w:pPr>
              <w:pStyle w:val="Compact"/>
            </w:pPr>
            <w:r>
              <w:t xml:space="preserve">Compliance policies, configuration profiles, Autopilot</w:t>
            </w:r>
          </w:p>
        </w:tc>
      </w:tr>
      <w:tr>
        <w:tc>
          <w:tcPr/>
          <w:p>
            <w:pPr>
              <w:pStyle w:val="Compact"/>
            </w:pPr>
            <w:r>
              <w:t xml:space="preserve">Azure Arc</w:t>
            </w:r>
          </w:p>
        </w:tc>
        <w:tc>
          <w:tcPr/>
          <w:p>
            <w:pPr>
              <w:pStyle w:val="Compact"/>
            </w:pPr>
            <w:r>
              <w:t xml:space="preserve">Read-write</w:t>
            </w:r>
          </w:p>
        </w:tc>
        <w:tc>
          <w:tcPr/>
          <w:p>
            <w:pPr>
              <w:pStyle w:val="Compact"/>
            </w:pPr>
            <w:r>
              <w:t xml:space="preserve">(DM_060 scope)</w:t>
            </w:r>
          </w:p>
        </w:tc>
        <w:tc>
          <w:tcPr/>
          <w:p>
            <w:pPr>
              <w:pStyle w:val="Compact"/>
            </w:pPr>
            <w:r>
              <w:t xml:space="preserve">Hybrid server enrollment, tag management, policy assignment</w:t>
            </w:r>
          </w:p>
        </w:tc>
      </w:tr>
      <w:tr>
        <w:tc>
          <w:tcPr/>
          <w:p>
            <w:pPr>
              <w:pStyle w:val="Compact"/>
            </w:pPr>
            <w:r>
              <w:t xml:space="preserve">Infoblox / BlueCat</w:t>
            </w:r>
          </w:p>
        </w:tc>
        <w:tc>
          <w:tcPr/>
          <w:p>
            <w:pPr>
              <w:pStyle w:val="Compact"/>
            </w:pPr>
            <w:r>
              <w:t xml:space="preserve">Read-write</w:t>
            </w:r>
          </w:p>
        </w:tc>
        <w:tc>
          <w:tcPr/>
          <w:p>
            <w:pPr>
              <w:pStyle w:val="Compact"/>
            </w:pPr>
            <w:r>
              <w:t xml:space="preserve">DM_010</w:t>
            </w:r>
          </w:p>
        </w:tc>
        <w:tc>
          <w:tcPr/>
          <w:p>
            <w:pPr>
              <w:pStyle w:val="Compact"/>
            </w:pPr>
            <w:r>
              <w:t xml:space="preserve">IPAM records, DHCP scope governance</w:t>
            </w:r>
          </w:p>
        </w:tc>
      </w:tr>
      <w:tr>
        <w:tc>
          <w:tcPr/>
          <w:p>
            <w:pPr>
              <w:pStyle w:val="Compact"/>
            </w:pPr>
            <w:r>
              <w:t xml:space="preserve">Cisco ISE / NPS</w:t>
            </w:r>
          </w:p>
        </w:tc>
        <w:tc>
          <w:tcPr/>
          <w:p>
            <w:pPr>
              <w:pStyle w:val="Compact"/>
            </w:pPr>
            <w:r>
              <w:t xml:space="preserve">Read-write</w:t>
            </w:r>
          </w:p>
        </w:tc>
        <w:tc>
          <w:tcPr/>
          <w:p>
            <w:pPr>
              <w:pStyle w:val="Compact"/>
            </w:pPr>
            <w:r>
              <w:t xml:space="preserve">DM_030</w:t>
            </w:r>
          </w:p>
        </w:tc>
        <w:tc>
          <w:tcPr/>
          <w:p>
            <w:pPr>
              <w:pStyle w:val="Compact"/>
            </w:pPr>
            <w:r>
              <w:t xml:space="preserve">RADIUS policy, 802.1X, device-posture</w:t>
            </w:r>
          </w:p>
        </w:tc>
      </w:tr>
      <w:tr>
        <w:tc>
          <w:tcPr/>
          <w:p>
            <w:pPr>
              <w:pStyle w:val="Compact"/>
            </w:pPr>
            <w:r>
              <w:t xml:space="preserve">ServiceNow</w:t>
            </w:r>
          </w:p>
        </w:tc>
        <w:tc>
          <w:tcPr/>
          <w:p>
            <w:pPr>
              <w:pStyle w:val="Compact"/>
            </w:pPr>
            <w:r>
              <w:t xml:space="preserve">Read-write</w:t>
            </w:r>
          </w:p>
        </w:tc>
        <w:tc>
          <w:tcPr/>
          <w:p>
            <w:pPr>
              <w:pStyle w:val="Compact"/>
            </w:pPr>
            <w:r>
              <w:t xml:space="preserve">adapter-specs/service-now</w:t>
            </w:r>
          </w:p>
        </w:tc>
        <w:tc>
          <w:tcPr/>
          <w:p>
            <w:pPr>
              <w:pStyle w:val="Compact"/>
            </w:pPr>
            <w:r>
              <w:t xml:space="preserve">Change/incident integration</w:t>
            </w:r>
          </w:p>
        </w:tc>
      </w:tr>
      <w:tr>
        <w:tc>
          <w:tcPr/>
          <w:p>
            <w:pPr>
              <w:pStyle w:val="Compact"/>
            </w:pPr>
            <w:r>
              <w:t xml:space="preserve">CyberArk</w:t>
            </w:r>
          </w:p>
        </w:tc>
        <w:tc>
          <w:tcPr/>
          <w:p>
            <w:pPr>
              <w:pStyle w:val="Compact"/>
            </w:pPr>
            <w:r>
              <w:t xml:space="preserve">Read-write</w:t>
            </w:r>
          </w:p>
        </w:tc>
        <w:tc>
          <w:tcPr/>
          <w:p>
            <w:pPr>
              <w:pStyle w:val="Compact"/>
            </w:pPr>
            <w:r>
              <w:t xml:space="preserve">adapter-specs/cyberark</w:t>
            </w:r>
          </w:p>
        </w:tc>
        <w:tc>
          <w:tcPr/>
          <w:p>
            <w:pPr>
              <w:pStyle w:val="Compact"/>
            </w:pPr>
            <w:r>
              <w:t xml:space="preserve">PAM vault / safe integration</w:t>
            </w:r>
          </w:p>
        </w:tc>
      </w:tr>
      <w:tr>
        <w:tc>
          <w:tcPr/>
          <w:p>
            <w:pPr>
              <w:pStyle w:val="Compact"/>
            </w:pPr>
            <w:r>
              <w:t xml:space="preserve">GitHub</w:t>
            </w:r>
          </w:p>
        </w:tc>
        <w:tc>
          <w:tcPr/>
          <w:p>
            <w:pPr>
              <w:pStyle w:val="Compact"/>
            </w:pPr>
            <w:r>
              <w:t xml:space="preserve">Read-write</w:t>
            </w:r>
          </w:p>
        </w:tc>
        <w:tc>
          <w:tcPr/>
          <w:p>
            <w:pPr>
              <w:pStyle w:val="Compact"/>
            </w:pPr>
            <w:r>
              <w:t xml:space="preserve">(upstream canon)</w:t>
            </w:r>
          </w:p>
        </w:tc>
        <w:tc>
          <w:tcPr/>
          <w:p>
            <w:pPr>
              <w:pStyle w:val="Compact"/>
            </w:pPr>
            <w:r>
              <w:t xml:space="preserve">Canon merge source (GitHub → Gitea mirror)</w:t>
            </w:r>
          </w:p>
        </w:tc>
      </w:tr>
    </w:tbl>
    <w:p>
      <w:pPr>
        <w:pStyle w:val="BodyText"/>
      </w:pPr>
      <w:r>
        <w:t xml:space="preserve">Every integration is bidirectional-or-less; nothing is</w:t>
      </w:r>
      <w:r>
        <w:t xml:space="preserve"> </w:t>
      </w:r>
      <w:r>
        <w:t xml:space="preserve">“trust me.”</w:t>
      </w:r>
      <w:r>
        <w:t xml:space="preserve"> </w:t>
      </w:r>
      <w:r>
        <w:t xml:space="preserve">The</w:t>
      </w:r>
      <w:r>
        <w:t xml:space="preserve"> </w:t>
      </w:r>
      <w:r>
        <w:t xml:space="preserve">drift engine re-validates every integration on a schedule.</w:t>
      </w:r>
    </w:p>
    <w:bookmarkEnd w:id="271"/>
    <w:bookmarkStart w:id="272" w:name="operational-properties"/>
    <w:p>
      <w:pPr>
        <w:pStyle w:val="Heading2"/>
      </w:pPr>
      <w:r>
        <w:t xml:space="preserve">Operational properties</w:t>
      </w:r>
    </w:p>
    <w:p>
      <w:pPr>
        <w:pStyle w:val="FirstParagraph"/>
      </w:pPr>
      <w:r>
        <w:t xml:space="preserve">By the end of Chapter 06 (the Platform Server Build Guide), the host</w:t>
      </w:r>
      <w:r>
        <w:t xml:space="preserve"> </w:t>
      </w:r>
      <w:r>
        <w:t xml:space="preserve">has the following operational properties:</w:t>
      </w:r>
    </w:p>
    <w:p>
      <w:pPr>
        <w:pStyle w:val="Compact"/>
        <w:numPr>
          <w:ilvl w:val="0"/>
          <w:numId w:val="1147"/>
        </w:numPr>
      </w:pPr>
      <w:r>
        <w:rPr>
          <w:b/>
          <w:bCs/>
        </w:rPr>
        <w:t xml:space="preserve">Tier-0 classification</w:t>
      </w:r>
      <w:r>
        <w:t xml:space="preserve"> </w:t>
      </w:r>
      <w:r>
        <w:t xml:space="preserve">— CIS Level 2 baseline, AppLocker</w:t>
      </w:r>
      <w:r>
        <w:t xml:space="preserve"> </w:t>
      </w:r>
      <w:r>
        <w:t xml:space="preserve">whitelisting, WDAC code integrity, Defender for Servers Plan 2,</w:t>
      </w:r>
      <w:r>
        <w:t xml:space="preserve"> </w:t>
      </w:r>
      <w:r>
        <w:t xml:space="preserve">SIEM forwarding.</w:t>
      </w:r>
    </w:p>
    <w:p>
      <w:pPr>
        <w:pStyle w:val="Compact"/>
        <w:numPr>
          <w:ilvl w:val="0"/>
          <w:numId w:val="1147"/>
        </w:numPr>
      </w:pPr>
      <w:r>
        <w:rPr>
          <w:b/>
          <w:bCs/>
        </w:rPr>
        <w:t xml:space="preserve">Provenance-bound</w:t>
      </w:r>
      <w:r>
        <w:t xml:space="preserve"> </w:t>
      </w:r>
      <w:r>
        <w:t xml:space="preserve">— every config file change is a Git commit; no</w:t>
      </w:r>
      <w:r>
        <w:t xml:space="preserve"> </w:t>
      </w:r>
      <w:r>
        <w:t xml:space="preserve">admin-portal clicks permitted; Intune baseline policy enforces this.</w:t>
      </w:r>
    </w:p>
    <w:p>
      <w:pPr>
        <w:pStyle w:val="Compact"/>
        <w:numPr>
          <w:ilvl w:val="0"/>
          <w:numId w:val="1147"/>
        </w:numPr>
      </w:pPr>
      <w:r>
        <w:rPr>
          <w:b/>
          <w:bCs/>
        </w:rPr>
        <w:t xml:space="preserve">Attribute-governed</w:t>
      </w:r>
      <w:r>
        <w:t xml:space="preserve"> </w:t>
      </w:r>
      <w:r>
        <w:t xml:space="preserve">— server carries its organizational attributes</w:t>
      </w:r>
      <w:r>
        <w:t xml:space="preserve"> </w:t>
      </w:r>
      <w:r>
        <w:t xml:space="preserve">(NCR / IT / InfraOps), lives in an Administrative Unit</w:t>
      </w:r>
      <w:r>
        <w:t xml:space="preserve"> </w:t>
      </w:r>
      <w:r>
        <w:t xml:space="preserve">(</w:t>
      </w:r>
      <w:r>
        <w:rPr>
          <w:rStyle w:val="VerbatimChar"/>
        </w:rPr>
        <w:t xml:space="preserve">AU-NCR-IT-InF-PLATFORM</w:t>
      </w:r>
      <w:r>
        <w:t xml:space="preserve">), and is targeted by an attribute-scoped</w:t>
      </w:r>
      <w:r>
        <w:t xml:space="preserve"> </w:t>
      </w:r>
      <w:r>
        <w:t xml:space="preserve">Intune compliance policy.</w:t>
      </w:r>
    </w:p>
    <w:p>
      <w:pPr>
        <w:pStyle w:val="Compact"/>
        <w:numPr>
          <w:ilvl w:val="0"/>
          <w:numId w:val="1147"/>
        </w:numPr>
      </w:pPr>
      <w:r>
        <w:rPr>
          <w:b/>
          <w:bCs/>
        </w:rPr>
        <w:t xml:space="preserve">Drift-monitored</w:t>
      </w:r>
      <w:r>
        <w:t xml:space="preserve"> </w:t>
      </w:r>
      <w:r>
        <w:t xml:space="preserve">— FMP_163 reports the server’s state on a schedule</w:t>
      </w:r>
      <w:r>
        <w:t xml:space="preserve"> </w:t>
      </w:r>
      <w:r>
        <w:t xml:space="preserve">(organizational attributes, AU membership, Gitea team mapping, Arc heartbeat). Any</w:t>
      </w:r>
      <w:r>
        <w:t xml:space="preserve"> </w:t>
      </w:r>
      <w:r>
        <w:t xml:space="preserve">drift opens an SLA ticket per FMP_167.</w:t>
      </w:r>
    </w:p>
    <w:p>
      <w:pPr>
        <w:pStyle w:val="Compact"/>
        <w:numPr>
          <w:ilvl w:val="0"/>
          <w:numId w:val="1147"/>
        </w:numPr>
      </w:pPr>
      <w:r>
        <w:rPr>
          <w:b/>
          <w:bCs/>
        </w:rPr>
        <w:t xml:space="preserve">DR-ready / HA-capable</w:t>
      </w:r>
      <w:r>
        <w:t xml:space="preserve"> </w:t>
      </w:r>
      <w:r>
        <w:t xml:space="preserve">— nightly backup to Azure Blob plus a standby</w:t>
      </w:r>
      <w:r>
        <w:t xml:space="preserve"> </w:t>
      </w:r>
      <w:r>
        <w:t xml:space="preserve">replica with documented RPO/RTO targets; the baseline is manual</w:t>
      </w:r>
      <w:r>
        <w:t xml:space="preserve"> </w:t>
      </w:r>
      <w:r>
        <w:t xml:space="preserve">failover to a cold standby, upgradable to automatic, witness-gated</w:t>
      </w:r>
      <w:r>
        <w:t xml:space="preserve"> </w:t>
      </w:r>
      <w:r>
        <w:t xml:space="preserve">failover to a hot standby per the program decision.</w:t>
      </w:r>
    </w:p>
    <w:bookmarkEnd w:id="272"/>
    <w:bookmarkStart w:id="273" w:name="what-the-platform-server-is-not"/>
    <w:p>
      <w:pPr>
        <w:pStyle w:val="Heading2"/>
      </w:pPr>
      <w:r>
        <w:t xml:space="preserve">What the platform server is not</w:t>
      </w:r>
    </w:p>
    <w:p>
      <w:pPr>
        <w:pStyle w:val="FirstParagraph"/>
      </w:pPr>
      <w:r>
        <w:t xml:space="preserve">Boundaries matter as much as capabilities:</w:t>
      </w:r>
    </w:p>
    <w:p>
      <w:pPr>
        <w:pStyle w:val="Compact"/>
        <w:numPr>
          <w:ilvl w:val="0"/>
          <w:numId w:val="1148"/>
        </w:numPr>
      </w:pPr>
      <w:r>
        <w:rPr>
          <w:b/>
          <w:bCs/>
        </w:rPr>
        <w:t xml:space="preserve">Not a domain controller.</w:t>
      </w:r>
      <w:r>
        <w:t xml:space="preserve"> </w:t>
      </w:r>
      <w:r>
        <w:t xml:space="preserve">The platform server is domain-</w:t>
      </w:r>
      <w:r>
        <w:rPr>
          <w:i/>
          <w:iCs/>
        </w:rPr>
        <w:t xml:space="preserve">joined</w:t>
      </w:r>
      <w:r>
        <w:t xml:space="preserve">,</w:t>
      </w:r>
      <w:r>
        <w:t xml:space="preserve"> </w:t>
      </w:r>
      <w:r>
        <w:t xml:space="preserve">not domain-hosting. When the legacy AD forest is eventually retired,</w:t>
      </w:r>
      <w:r>
        <w:t xml:space="preserve"> </w:t>
      </w:r>
      <w:r>
        <w:t xml:space="preserve">the platform server stays; the DCs go away.</w:t>
      </w:r>
    </w:p>
    <w:p>
      <w:pPr>
        <w:pStyle w:val="Compact"/>
        <w:numPr>
          <w:ilvl w:val="0"/>
          <w:numId w:val="1148"/>
        </w:numPr>
      </w:pPr>
      <w:r>
        <w:rPr>
          <w:b/>
          <w:bCs/>
        </w:rPr>
        <w:t xml:space="preserve">Not a target-surface component.</w:t>
      </w:r>
      <w:r>
        <w:t xml:space="preserve"> </w:t>
      </w:r>
      <w:r>
        <w:t xml:space="preserve">The platform server governs Entra,</w:t>
      </w:r>
      <w:r>
        <w:t xml:space="preserve"> </w:t>
      </w:r>
      <w:r>
        <w:t xml:space="preserve">Intune, Arc — it does not live inside them. It is deliberately on-prem</w:t>
      </w:r>
      <w:r>
        <w:t xml:space="preserve"> </w:t>
      </w:r>
      <w:r>
        <w:t xml:space="preserve">(or Arc-projected IaaS) so it survives tenant-level events.</w:t>
      </w:r>
    </w:p>
    <w:p>
      <w:pPr>
        <w:pStyle w:val="Compact"/>
        <w:numPr>
          <w:ilvl w:val="0"/>
          <w:numId w:val="1148"/>
        </w:numPr>
      </w:pPr>
      <w:r>
        <w:rPr>
          <w:b/>
          <w:bCs/>
        </w:rPr>
        <w:t xml:space="preserve">Not a product</w:t>
      </w:r>
      <w:r>
        <w:t xml:space="preserve">. The platform server is a governed deployment of</w:t>
      </w:r>
      <w:r>
        <w:t xml:space="preserve"> </w:t>
      </w:r>
      <w:r>
        <w:t xml:space="preserve">well-known components (WS2025, IIS, Gitea) configured together in a</w:t>
      </w:r>
      <w:r>
        <w:t xml:space="preserve"> </w:t>
      </w:r>
      <w:r>
        <w:t xml:space="preserve">specific, canonical way. There’s no proprietary the Federal Modernization Program binary to ship.</w:t>
      </w:r>
    </w:p>
    <w:p>
      <w:pPr>
        <w:pStyle w:val="Compact"/>
        <w:numPr>
          <w:ilvl w:val="0"/>
          <w:numId w:val="1148"/>
        </w:numPr>
      </w:pPr>
      <w:r>
        <w:rPr>
          <w:b/>
          <w:bCs/>
        </w:rPr>
        <w:t xml:space="preserve">Not a Copilot replacement.</w:t>
      </w:r>
      <w:r>
        <w:t xml:space="preserve"> </w:t>
      </w:r>
      <w:r>
        <w:t xml:space="preserve">Copilot is the governance brain. The</w:t>
      </w:r>
      <w:r>
        <w:t xml:space="preserve"> </w:t>
      </w:r>
      <w:r>
        <w:t xml:space="preserve">platform server hosts the execution substrate + canon. Copilot still</w:t>
      </w:r>
      <w:r>
        <w:t xml:space="preserve"> </w:t>
      </w:r>
      <w:r>
        <w:t xml:space="preserve">reviews and authorizes.</w:t>
      </w:r>
    </w:p>
    <w:bookmarkEnd w:id="273"/>
    <w:bookmarkStart w:id="274" w:name="new"/>
    <w:p>
      <w:pPr>
        <w:pStyle w:val="Heading2"/>
      </w:pPr>
      <w:r>
        <w:t xml:space="preserve">New</w:t>
      </w:r>
    </w:p>
    <w:p>
      <w:pPr>
        <w:pStyle w:val="FirstParagraph"/>
      </w:pPr>
      <w:r>
        <w:t xml:space="preserve">Pointers to the latest additions on both sides of the project:</w:t>
      </w:r>
    </w:p>
    <w:p>
      <w:pPr>
        <w:pStyle w:val="BodyText"/>
      </w:pPr>
      <w:r>
        <w:rPr>
          <w:b/>
          <w:bCs/>
        </w:rPr>
        <w:t xml:space="preserve">New on GitHub</w:t>
      </w:r>
      <w:r>
        <w:t xml:space="preserve"> </w:t>
      </w:r>
      <w:r>
        <w:t xml:space="preserve">(whalermike/fmp)</w:t>
      </w:r>
    </w:p>
    <w:p>
      <w:pPr>
        <w:pStyle w:val="Compact"/>
        <w:numPr>
          <w:ilvl w:val="0"/>
          <w:numId w:val="1149"/>
        </w:numPr>
      </w:pPr>
      <w:r>
        <w:t xml:space="preserve">CHANGELOG.md — every release, every breaking change, every notable canon update.</w:t>
      </w:r>
    </w:p>
    <w:p>
      <w:pPr>
        <w:pStyle w:val="Compact"/>
        <w:numPr>
          <w:ilvl w:val="0"/>
          <w:numId w:val="1149"/>
        </w:numPr>
      </w:pPr>
      <w:r>
        <w:t xml:space="preserve">RELEASE_NOTES.md — narrative release notes (the</w:t>
      </w:r>
      <w:r>
        <w:t xml:space="preserve"> </w:t>
      </w:r>
      <w:r>
        <w:t xml:space="preserve">“why”</w:t>
      </w:r>
      <w:r>
        <w:t xml:space="preserve"> </w:t>
      </w:r>
      <w:r>
        <w:t xml:space="preserve">behind each version).</w:t>
      </w:r>
    </w:p>
    <w:p>
      <w:pPr>
        <w:pStyle w:val="Compact"/>
        <w:numPr>
          <w:ilvl w:val="0"/>
          <w:numId w:val="1149"/>
        </w:numPr>
      </w:pPr>
      <w:r>
        <w:t xml:space="preserve">Releases page — tagged versions and downloadable artifacts.</w:t>
      </w:r>
    </w:p>
    <w:p>
      <w:pPr>
        <w:pStyle w:val="Compact"/>
        <w:numPr>
          <w:ilvl w:val="0"/>
          <w:numId w:val="1149"/>
        </w:numPr>
      </w:pPr>
      <w:r>
        <w:t xml:space="preserve">Recent commits — day-to-day activity on</w:t>
      </w:r>
      <w:r>
        <w:t xml:space="preserve"> </w:t>
      </w:r>
      <w:r>
        <w:rPr>
          <w:rStyle w:val="VerbatimChar"/>
        </w:rPr>
        <w:t xml:space="preserve">main</w:t>
      </w:r>
      <w:r>
        <w:t xml:space="preserve">.</w:t>
      </w:r>
    </w:p>
    <w:p>
      <w:pPr>
        <w:pStyle w:val="Compact"/>
        <w:numPr>
          <w:ilvl w:val="0"/>
          <w:numId w:val="1149"/>
        </w:numPr>
      </w:pPr>
      <w:r>
        <w:t xml:space="preserve">Pull requests — in-flight work and recently merged changes.</w:t>
      </w:r>
    </w:p>
    <w:p>
      <w:pPr>
        <w:pStyle w:val="FirstParagraph"/>
      </w:pPr>
      <w:r>
        <w:rPr>
          <w:b/>
          <w:bCs/>
        </w:rPr>
        <w:t xml:space="preserve">New on this site</w:t>
      </w:r>
      <w:r>
        <w:t xml:space="preserve"> </w:t>
      </w:r>
      <w:r>
        <w:t xml:space="preserve">(whalermike.github.io/fmp)</w:t>
      </w:r>
    </w:p>
    <w:p>
      <w:pPr>
        <w:pStyle w:val="Compact"/>
        <w:numPr>
          <w:ilvl w:val="0"/>
          <w:numId w:val="1150"/>
        </w:numPr>
      </w:pPr>
      <w:r>
        <w:t xml:space="preserve">Site index — top-level landing page; the</w:t>
      </w:r>
      <w:r>
        <w:t xml:space="preserve"> </w:t>
      </w:r>
      <w:r>
        <w:t xml:space="preserve">“what’s new”</w:t>
      </w:r>
      <w:r>
        <w:t xml:space="preserve"> </w:t>
      </w:r>
      <w:r>
        <w:t xml:space="preserve">callouts surface here first.</w:t>
      </w:r>
    </w:p>
    <w:p>
      <w:pPr>
        <w:pStyle w:val="Compact"/>
        <w:numPr>
          <w:ilvl w:val="0"/>
          <w:numId w:val="1150"/>
        </w:numPr>
      </w:pPr>
      <w:r>
        <w:t xml:space="preserve">Modernization canon — FMP_151–FMP_176 governance specs; new IDs land here.</w:t>
      </w:r>
    </w:p>
    <w:p>
      <w:pPr>
        <w:pStyle w:val="Compact"/>
        <w:numPr>
          <w:ilvl w:val="0"/>
          <w:numId w:val="1150"/>
        </w:numPr>
      </w:pPr>
      <w:r>
        <w:t xml:space="preserve">Customer document series — chapter additions to this series and its siblings.</w:t>
      </w:r>
    </w:p>
    <w:p>
      <w:pPr>
        <w:pStyle w:val="Compact"/>
        <w:numPr>
          <w:ilvl w:val="0"/>
          <w:numId w:val="1150"/>
        </w:numPr>
      </w:pPr>
      <w:r>
        <w:t xml:space="preserve">Operational dashboard — current readiness, drift, and coverage signals.</w:t>
      </w:r>
    </w:p>
    <w:bookmarkEnd w:id="274"/>
    <w:bookmarkStart w:id="275" w:name="cross-references"/>
    <w:p>
      <w:pPr>
        <w:pStyle w:val="Heading2"/>
      </w:pPr>
      <w:r>
        <w:t xml:space="preserve">Cross-references</w:t>
      </w:r>
    </w:p>
    <w:p>
      <w:pPr>
        <w:pStyle w:val="Compact"/>
        <w:numPr>
          <w:ilvl w:val="0"/>
          <w:numId w:val="1151"/>
        </w:numPr>
      </w:pPr>
      <w:r>
        <w:rPr>
          <w:b/>
          <w:bCs/>
        </w:rPr>
        <w:t xml:space="preserve">Full build runbook:</w:t>
      </w:r>
      <w:r>
        <w:t xml:space="preserve"> </w:t>
      </w:r>
      <w:r>
        <w:t xml:space="preserve">Platform Server Build Guide —</w:t>
      </w:r>
      <w:r>
        <w:t xml:space="preserve"> </w:t>
      </w:r>
      <w:r>
        <w:t xml:space="preserve">14 phases, 1,864 lines of PowerShell-first procedure.</w:t>
      </w:r>
    </w:p>
    <w:p>
      <w:pPr>
        <w:pStyle w:val="Compact"/>
        <w:numPr>
          <w:ilvl w:val="0"/>
          <w:numId w:val="1151"/>
        </w:numPr>
      </w:pPr>
      <w:r>
        <w:rPr>
          <w:b/>
          <w:bCs/>
        </w:rPr>
        <w:t xml:space="preserve">the program decision Git Infrastructure</w:t>
      </w:r>
      <w:r>
        <w:t xml:space="preserve"> </w:t>
      </w:r>
      <w:r>
        <w:t xml:space="preserve">— documents the Gitea-behind-IIS</w:t>
      </w:r>
      <w:r>
        <w:t xml:space="preserve"> </w:t>
      </w:r>
      <w:r>
        <w:t xml:space="preserve">decision (Option B) and why Option A (IIS +</w:t>
      </w:r>
      <w:r>
        <w:t xml:space="preserve"> </w:t>
      </w:r>
      <w:r>
        <w:rPr>
          <w:rStyle w:val="VerbatimChar"/>
        </w:rPr>
        <w:t xml:space="preserve">git-http-backend</w:t>
      </w:r>
      <w:r>
        <w:t xml:space="preserve"> </w:t>
      </w:r>
      <w:r>
        <w:t xml:space="preserve">alone)</w:t>
      </w:r>
      <w:r>
        <w:t xml:space="preserve"> </w:t>
      </w:r>
      <w:r>
        <w:t xml:space="preserve">was rejected.</w:t>
      </w:r>
    </w:p>
    <w:p>
      <w:pPr>
        <w:pStyle w:val="Compact"/>
        <w:numPr>
          <w:ilvl w:val="0"/>
          <w:numId w:val="1151"/>
        </w:numPr>
      </w:pPr>
      <w:r>
        <w:rPr>
          <w:b/>
          <w:bCs/>
        </w:rPr>
        <w:t xml:space="preserve">the program decision Substrate High Availability</w:t>
      </w:r>
      <w:r>
        <w:t xml:space="preserve"> </w:t>
      </w:r>
      <w:r>
        <w:t xml:space="preserve">— the hot-standby replica with</w:t>
      </w:r>
      <w:r>
        <w:t xml:space="preserve"> </w:t>
      </w:r>
      <w:r>
        <w:t xml:space="preserve">automatic, split-brain-safe failover that extends the program decision for</w:t>
      </w:r>
      <w:r>
        <w:t xml:space="preserve"> </w:t>
      </w:r>
      <w:r>
        <w:t xml:space="preserve">customers requiring sub-4-hour RTO.</w:t>
      </w:r>
    </w:p>
    <w:p>
      <w:pPr>
        <w:pStyle w:val="Compact"/>
        <w:numPr>
          <w:ilvl w:val="0"/>
          <w:numId w:val="1151"/>
        </w:numPr>
      </w:pPr>
      <w:r>
        <w:rPr>
          <w:b/>
          <w:bCs/>
        </w:rPr>
        <w:t xml:space="preserve">Modernization canon</w:t>
      </w:r>
      <w:r>
        <w:t xml:space="preserve"> </w:t>
      </w:r>
      <w:r>
        <w:t xml:space="preserve">— FMP_151–FMP_176</w:t>
      </w:r>
      <w:r>
        <w:t xml:space="preserve"> </w:t>
      </w:r>
      <w:r>
        <w:t xml:space="preserve">for governance, DM_010..080</w:t>
      </w:r>
      <w:r>
        <w:t xml:space="preserve"> </w:t>
      </w:r>
      <w:r>
        <w:t xml:space="preserve">for adapters.</w:t>
      </w:r>
    </w:p>
    <w:p>
      <w:r>
        <w:pict>
          <v:rect style="width:0;height:1.5pt" o:hralign="center" o:hrstd="t" o:hr="t"/>
        </w:pict>
      </w:r>
    </w:p>
    <w:p>
      <w:pPr>
        <w:pStyle w:val="FirstParagraph"/>
      </w:pPr>
      <w:r>
        <w:rPr>
          <w:b/>
          <w:bCs/>
        </w:rPr>
        <w:t xml:space="preserve">Next:</w:t>
      </w:r>
      <w:r>
        <w:t xml:space="preserve"> </w:t>
      </w:r>
      <w:r>
        <w:t xml:space="preserve">Chapter 02 — Analyzing the Client/Server Estate</w:t>
      </w:r>
    </w:p>
    <w:bookmarkEnd w:id="275"/>
    <w:bookmarkEnd w:id="276"/>
    <w:bookmarkStart w:id="298" w:name="X32b338ab862f877167e3584e719d08f21c608e5"/>
    <w:p>
      <w:pPr>
        <w:pStyle w:val="Heading1"/>
      </w:pPr>
      <w:r>
        <w:t xml:space="preserve">Chapter 02 — Analyzing the Client/Server Estate</w:t>
      </w:r>
    </w:p>
    <w:p>
      <w:pPr>
        <w:pStyle w:val="FirstParagraph"/>
      </w:pPr>
      <w:r>
        <w:rPr>
          <w:i/>
          <w:iCs/>
        </w:rPr>
        <w:t xml:space="preserve">Forest discovery, GPO inventory, DNS/DHCP scraping, Kerberos SPN audit,</w:t>
      </w:r>
      <w:r>
        <w:rPr>
          <w:i/>
          <w:iCs/>
        </w:rPr>
        <w:t xml:space="preserve"> </w:t>
      </w:r>
      <w:r>
        <w:rPr>
          <w:i/>
          <w:iCs/>
        </w:rPr>
        <w:t xml:space="preserve">ADCS analysis</w:t>
      </w:r>
    </w:p>
    <w:p>
      <w:pPr>
        <w:pStyle w:val="BodyText"/>
      </w:pPr>
      <w:r>
        <w:rPr>
          <w:b/>
          <w:bCs/>
        </w:rPr>
        <w:t xml:space="preserve">The assessment discipline</w:t>
      </w:r>
    </w:p>
    <w:p>
      <w:pPr>
        <w:pStyle w:val="BodyText"/>
      </w:pPr>
      <w:r>
        <w:t xml:space="preserve">You cannot modernize what you have not enumerated. Every the Federal Modernization Program</w:t>
      </w:r>
      <w:r>
        <w:t xml:space="preserve"> </w:t>
      </w:r>
      <w:r>
        <w:t xml:space="preserve">modernization begins with a</w:t>
      </w:r>
      <w:r>
        <w:t xml:space="preserve"> </w:t>
      </w:r>
      <w:r>
        <w:rPr>
          <w:b/>
          <w:bCs/>
        </w:rPr>
        <w:t xml:space="preserve">read-only, least-privilege, provenance-bound</w:t>
      </w:r>
      <w:r>
        <w:rPr>
          <w:b/>
          <w:bCs/>
        </w:rPr>
        <w:t xml:space="preserve"> </w:t>
      </w:r>
      <w:r>
        <w:rPr>
          <w:b/>
          <w:bCs/>
        </w:rPr>
        <w:t xml:space="preserve">analysis</w:t>
      </w:r>
      <w:r>
        <w:t xml:space="preserve"> </w:t>
      </w:r>
      <w:r>
        <w:t xml:space="preserve">of the existing Client/Server estate. The output of this phase</w:t>
      </w:r>
      <w:r>
        <w:t xml:space="preserve"> </w:t>
      </w:r>
      <w:r>
        <w:t xml:space="preserve">is a structured, versioned artifact set — one per AD-dependency category —</w:t>
      </w:r>
      <w:r>
        <w:t xml:space="preserve"> </w:t>
      </w:r>
      <w:r>
        <w:t xml:space="preserve">committed to Gitea and consumed by every downstream chapter.</w:t>
      </w:r>
    </w:p>
    <w:p>
      <w:pPr>
        <w:pStyle w:val="BodyText"/>
      </w:pPr>
      <w:r>
        <w:t xml:space="preserve">No writes. No guesses. No</w:t>
      </w:r>
      <w:r>
        <w:t xml:space="preserve"> </w:t>
      </w:r>
      <w:r>
        <w:t xml:space="preserve">“we’ll handle that later.”</w:t>
      </w:r>
    </w:p>
    <w:bookmarkStart w:id="277" w:name="the-assessment-problem"/>
    <w:p>
      <w:pPr>
        <w:pStyle w:val="Heading2"/>
      </w:pPr>
      <w:r>
        <w:t xml:space="preserve">The assessment problem</w:t>
      </w:r>
    </w:p>
    <w:p>
      <w:pPr>
        <w:pStyle w:val="FirstParagraph"/>
      </w:pPr>
      <w:r>
        <w:t xml:space="preserve">When an agency asks</w:t>
      </w:r>
      <w:r>
        <w:t xml:space="preserve"> </w:t>
      </w:r>
      <w:r>
        <w:t xml:space="preserve">“what’s in our AD forest?”</w:t>
      </w:r>
      <w:r>
        <w:t xml:space="preserve"> </w:t>
      </w:r>
      <w:r>
        <w:t xml:space="preserve">the honest answer is</w:t>
      </w:r>
      <w:r>
        <w:t xml:space="preserve"> </w:t>
      </w:r>
      <w:r>
        <w:t xml:space="preserve">usually</w:t>
      </w:r>
      <w:r>
        <w:t xml:space="preserve"> </w:t>
      </w:r>
      <w:r>
        <w:rPr>
          <w:i/>
          <w:iCs/>
        </w:rPr>
        <w:t xml:space="preserve">“more than anyone currently on the team knows.”</w:t>
      </w:r>
      <w:r>
        <w:t xml:space="preserve"> </w:t>
      </w:r>
      <w:r>
        <w:t xml:space="preserve">Twenty-five</w:t>
      </w:r>
      <w:r>
        <w:t xml:space="preserve"> </w:t>
      </w:r>
      <w:r>
        <w:t xml:space="preserve">years of organic growth have produced:</w:t>
      </w:r>
    </w:p>
    <w:p>
      <w:pPr>
        <w:pStyle w:val="Compact"/>
        <w:numPr>
          <w:ilvl w:val="0"/>
          <w:numId w:val="1152"/>
        </w:numPr>
      </w:pPr>
      <w:r>
        <w:t xml:space="preserve">Forests with trust relationships no one can fully map.</w:t>
      </w:r>
    </w:p>
    <w:p>
      <w:pPr>
        <w:pStyle w:val="Compact"/>
        <w:numPr>
          <w:ilvl w:val="0"/>
          <w:numId w:val="1152"/>
        </w:numPr>
      </w:pPr>
      <w:r>
        <w:t xml:space="preserve">OU trees with orphan branches created for long-dismissed projects.</w:t>
      </w:r>
    </w:p>
    <w:p>
      <w:pPr>
        <w:pStyle w:val="Compact"/>
        <w:numPr>
          <w:ilvl w:val="0"/>
          <w:numId w:val="1152"/>
        </w:numPr>
      </w:pPr>
      <w:r>
        <w:t xml:space="preserve">GPOs whose authors left a decade ago and whose effects are unknown.</w:t>
      </w:r>
    </w:p>
    <w:p>
      <w:pPr>
        <w:pStyle w:val="Compact"/>
        <w:numPr>
          <w:ilvl w:val="0"/>
          <w:numId w:val="1152"/>
        </w:numPr>
      </w:pPr>
      <w:r>
        <w:t xml:space="preserve">Service accounts with SPNs pointed at applications no one operates.</w:t>
      </w:r>
    </w:p>
    <w:p>
      <w:pPr>
        <w:pStyle w:val="Compact"/>
        <w:numPr>
          <w:ilvl w:val="0"/>
          <w:numId w:val="1152"/>
        </w:numPr>
      </w:pPr>
      <w:r>
        <w:t xml:space="preserve">Certificate templates with permissions that silently enable ESC1-8</w:t>
      </w:r>
      <w:r>
        <w:t xml:space="preserve"> </w:t>
      </w:r>
      <w:r>
        <w:t xml:space="preserve">privilege-escalation paths.</w:t>
      </w:r>
    </w:p>
    <w:p>
      <w:pPr>
        <w:pStyle w:val="Compact"/>
        <w:numPr>
          <w:ilvl w:val="0"/>
          <w:numId w:val="1152"/>
        </w:numPr>
      </w:pPr>
      <w:r>
        <w:t xml:space="preserve">DNS zones with stale records that still resolve and still route.</w:t>
      </w:r>
    </w:p>
    <w:p>
      <w:pPr>
        <w:pStyle w:val="Compact"/>
        <w:numPr>
          <w:ilvl w:val="0"/>
          <w:numId w:val="1152"/>
        </w:numPr>
      </w:pPr>
      <w:r>
        <w:t xml:space="preserve">DHCP scopes whose reservations reference MAC addresses of machines</w:t>
      </w:r>
      <w:r>
        <w:t xml:space="preserve"> </w:t>
      </w:r>
      <w:r>
        <w:t xml:space="preserve">that have been landfill for years.</w:t>
      </w:r>
    </w:p>
    <w:p>
      <w:pPr>
        <w:pStyle w:val="FirstParagraph"/>
      </w:pPr>
      <w:r>
        <w:t xml:space="preserve">A successful modernization starts by producing the complete, structured,</w:t>
      </w:r>
      <w:r>
        <w:t xml:space="preserve"> </w:t>
      </w:r>
      <w:r>
        <w:t xml:space="preserve">current-state picture. Not a best-effort inventory. Not a sample. The</w:t>
      </w:r>
      <w:r>
        <w:t xml:space="preserve"> </w:t>
      </w:r>
      <w:r>
        <w:t xml:space="preserve">full, structured, attestation-grade record.</w:t>
      </w:r>
    </w:p>
    <w:bookmarkEnd w:id="277"/>
    <w:bookmarkStart w:id="281" w:name="three-design-principles"/>
    <w:p>
      <w:pPr>
        <w:pStyle w:val="Heading2"/>
      </w:pPr>
      <w:r>
        <w:t xml:space="preserve">Three design principles</w:t>
      </w:r>
    </w:p>
    <w:p>
      <w:pPr>
        <w:pStyle w:val="FirstParagraph"/>
      </w:pPr>
      <w:r>
        <w:t xml:space="preserve">The Federal Modernization Program assessment layer enforces three principles that distinguish it</w:t>
      </w:r>
      <w:r>
        <w:t xml:space="preserve"> </w:t>
      </w:r>
      <w:r>
        <w:t xml:space="preserve">from a general-purpose AD scan.</w:t>
      </w:r>
    </w:p>
    <w:bookmarkStart w:id="278" w:name="read-only-by-policy"/>
    <w:p>
      <w:pPr>
        <w:pStyle w:val="Heading3"/>
      </w:pPr>
      <w:r>
        <w:t xml:space="preserve">1. Read-only by policy</w:t>
      </w:r>
    </w:p>
    <w:p>
      <w:pPr>
        <w:pStyle w:val="FirstParagraph"/>
      </w:pPr>
      <w:r>
        <w:t xml:space="preserve">Every assessment operation is constrained to read-only Active Directory</w:t>
      </w:r>
      <w:r>
        <w:t xml:space="preserve"> </w:t>
      </w:r>
      <w:r>
        <w:t xml:space="preserve">rights. The service account running</w:t>
      </w:r>
      <w:r>
        <w:t xml:space="preserve"> </w:t>
      </w:r>
      <w:r>
        <w:rPr>
          <w:rStyle w:val="VerbatimChar"/>
        </w:rPr>
        <w:t xml:space="preserve">FMPADAssessment</w:t>
      </w:r>
      <w:r>
        <w:t xml:space="preserve"> </w:t>
      </w:r>
      <w:r>
        <w:t xml:space="preserve">has exactly the</w:t>
      </w:r>
      <w:r>
        <w:t xml:space="preserve"> </w:t>
      </w:r>
      <w:r>
        <w:t xml:space="preserve">permissions it needs to read — and zero beyond that. No group</w:t>
      </w:r>
      <w:r>
        <w:t xml:space="preserve"> </w:t>
      </w:r>
      <w:r>
        <w:t xml:space="preserve">memberships are changed, no GPOs edited, no password resets issued.</w:t>
      </w:r>
      <w:r>
        <w:t xml:space="preserve"> </w:t>
      </w:r>
      <w:r>
        <w:t xml:space="preserve">This is enforced at the account level (least-privilege delegation),</w:t>
      </w:r>
      <w:r>
        <w:t xml:space="preserve"> </w:t>
      </w:r>
      <w:r>
        <w:t xml:space="preserve">at the code level (no write cmdlets imported), and at the audit level</w:t>
      </w:r>
      <w:r>
        <w:t xml:space="preserve"> </w:t>
      </w:r>
      <w:r>
        <w:t xml:space="preserve">(every Graph + AD call logged with operation class).</w:t>
      </w:r>
    </w:p>
    <w:p>
      <w:pPr>
        <w:pStyle w:val="BodyText"/>
      </w:pPr>
      <w:r>
        <w:t xml:space="preserve">The practical benefit: an assessment can run against the production</w:t>
      </w:r>
      <w:r>
        <w:t xml:space="preserve"> </w:t>
      </w:r>
      <w:r>
        <w:t xml:space="preserve">forest without any change-control gate. Read-only is not an honor</w:t>
      </w:r>
      <w:r>
        <w:t xml:space="preserve"> </w:t>
      </w:r>
      <w:r>
        <w:t xml:space="preserve">system; it is a provable property.</w:t>
      </w:r>
    </w:p>
    <w:bookmarkEnd w:id="278"/>
    <w:bookmarkStart w:id="279" w:name="least-privilege-delegation"/>
    <w:p>
      <w:pPr>
        <w:pStyle w:val="Heading3"/>
      </w:pPr>
      <w:r>
        <w:t xml:space="preserve">2. Least-privilege delegation</w:t>
      </w:r>
    </w:p>
    <w:p>
      <w:pPr>
        <w:pStyle w:val="FirstParagraph"/>
      </w:pPr>
      <w:r>
        <w:t xml:space="preserve">The assessment account needs forest-wide read rights to discover the</w:t>
      </w:r>
      <w:r>
        <w:t xml:space="preserve"> </w:t>
      </w:r>
      <w:r>
        <w:t xml:space="preserve">full surface, but it does</w:t>
      </w:r>
      <w:r>
        <w:t xml:space="preserve"> </w:t>
      </w:r>
      <w:r>
        <w:rPr>
          <w:i/>
          <w:iCs/>
        </w:rPr>
        <w:t xml:space="preserve">not</w:t>
      </w:r>
      <w:r>
        <w:t xml:space="preserve"> </w:t>
      </w:r>
      <w:r>
        <w:t xml:space="preserve">need Domain Admin or Enterprise Admin.</w:t>
      </w:r>
      <w:r>
        <w:t xml:space="preserve"> </w:t>
      </w:r>
      <w:r>
        <w:t xml:space="preserve">A properly-delegated account achieves ~87% coverage with the</w:t>
      </w:r>
      <w:r>
        <w:t xml:space="preserve"> </w:t>
      </w:r>
      <w:r>
        <w:rPr>
          <w:b/>
          <w:bCs/>
        </w:rPr>
        <w:t xml:space="preserve">Read-Only AD Assessment Guide</w:t>
      </w:r>
      <w:r>
        <w:t xml:space="preserve"> </w:t>
      </w:r>
      <w:r>
        <w:t xml:space="preserve">profile and 100% coverage with the</w:t>
      </w:r>
      <w:r>
        <w:t xml:space="preserve"> </w:t>
      </w:r>
      <w:r>
        <w:rPr>
          <w:b/>
          <w:bCs/>
        </w:rPr>
        <w:t xml:space="preserve">AD Interaction Guide</w:t>
      </w:r>
      <w:r>
        <w:t xml:space="preserve"> </w:t>
      </w:r>
      <w:r>
        <w:t xml:space="preserve">profile (which adds GPO-read and</w:t>
      </w:r>
      <w:r>
        <w:t xml:space="preserve"> </w:t>
      </w:r>
      <w:r>
        <w:t xml:space="preserve">configuration-container-read rights).</w:t>
      </w:r>
    </w:p>
    <w:p>
      <w:pPr>
        <w:pStyle w:val="BodyText"/>
      </w:pPr>
      <w:r>
        <w:t xml:space="preserve">Two tiers map to two separate Posted reference documents:</w:t>
      </w:r>
    </w:p>
    <w:p>
      <w:pPr>
        <w:pStyle w:val="Compact"/>
        <w:numPr>
          <w:ilvl w:val="0"/>
          <w:numId w:val="1153"/>
        </w:numPr>
      </w:pPr>
      <w:r>
        <w:rPr>
          <w:b/>
          <w:bCs/>
        </w:rPr>
        <w:t xml:space="preserve">Tier A (read-only, 87% coverage)</w:t>
      </w:r>
      <w:r>
        <w:t xml:space="preserve"> </w:t>
      </w:r>
      <w:r>
        <w:t xml:space="preserve">— default. No GPOs, no ADCS</w:t>
      </w:r>
      <w:r>
        <w:t xml:space="preserve"> </w:t>
      </w:r>
      <w:r>
        <w:t xml:space="preserve">templates, no DNS/DHCP without explicit added rights.</w:t>
      </w:r>
    </w:p>
    <w:p>
      <w:pPr>
        <w:pStyle w:val="Compact"/>
        <w:numPr>
          <w:ilvl w:val="0"/>
          <w:numId w:val="1153"/>
        </w:numPr>
      </w:pPr>
      <w:r>
        <w:rPr>
          <w:b/>
          <w:bCs/>
        </w:rPr>
        <w:t xml:space="preserve">Tier B (read + enumerate, 100% coverage)</w:t>
      </w:r>
      <w:r>
        <w:t xml:space="preserve"> </w:t>
      </w:r>
      <w:r>
        <w:t xml:space="preserve">— adds GPO read,</w:t>
      </w:r>
      <w:r>
        <w:t xml:space="preserve"> </w:t>
      </w:r>
      <w:r>
        <w:t xml:space="preserve">ADCS template read, DNS/DHCP read, Kerberos SPN enumerate.</w:t>
      </w:r>
    </w:p>
    <w:p>
      <w:pPr>
        <w:pStyle w:val="FirstParagraph"/>
      </w:pPr>
      <w:r>
        <w:t xml:space="preserve">The tier is a governance decision — most agencies run Tier B for the</w:t>
      </w:r>
      <w:r>
        <w:t xml:space="preserve"> </w:t>
      </w:r>
      <w:r>
        <w:t xml:space="preserve">initial full assessment and Tier A for the continuous re-assessment</w:t>
      </w:r>
      <w:r>
        <w:t xml:space="preserve"> </w:t>
      </w:r>
      <w:r>
        <w:t xml:space="preserve">cadence.</w:t>
      </w:r>
    </w:p>
    <w:bookmarkEnd w:id="279"/>
    <w:bookmarkStart w:id="280" w:name="provenance-bound-output"/>
    <w:p>
      <w:pPr>
        <w:pStyle w:val="Heading3"/>
      </w:pPr>
      <w:r>
        <w:t xml:space="preserve">3. Provenance-bound output</w:t>
      </w:r>
    </w:p>
    <w:p>
      <w:pPr>
        <w:pStyle w:val="FirstParagraph"/>
      </w:pPr>
      <w:r>
        <w:t xml:space="preserve">Every assessment run produces a structured artifact set with required</w:t>
      </w:r>
      <w:r>
        <w:t xml:space="preserve"> </w:t>
      </w:r>
      <w:r>
        <w:t xml:space="preserve">metadata:</w:t>
      </w:r>
    </w:p>
    <w:p>
      <w:pPr>
        <w:pStyle w:val="Compact"/>
        <w:numPr>
          <w:ilvl w:val="0"/>
          <w:numId w:val="1154"/>
        </w:numPr>
      </w:pPr>
      <w:r>
        <w:t xml:space="preserve">Who ran it (service principal or account UPN)</w:t>
      </w:r>
    </w:p>
    <w:p>
      <w:pPr>
        <w:pStyle w:val="Compact"/>
        <w:numPr>
          <w:ilvl w:val="0"/>
          <w:numId w:val="1154"/>
        </w:numPr>
      </w:pPr>
      <w:r>
        <w:t xml:space="preserve">When (UTC timestamp)</w:t>
      </w:r>
    </w:p>
    <w:p>
      <w:pPr>
        <w:pStyle w:val="Compact"/>
        <w:numPr>
          <w:ilvl w:val="0"/>
          <w:numId w:val="1154"/>
        </w:numPr>
      </w:pPr>
      <w:r>
        <w:t xml:space="preserve">Against what (forest DNS name, domain FQDNs, DC that served the read)</w:t>
      </w:r>
    </w:p>
    <w:p>
      <w:pPr>
        <w:pStyle w:val="Compact"/>
        <w:numPr>
          <w:ilvl w:val="0"/>
          <w:numId w:val="1154"/>
        </w:numPr>
      </w:pPr>
      <w:r>
        <w:t xml:space="preserve">With what profile (Tier A / Tier B / custom)</w:t>
      </w:r>
    </w:p>
    <w:p>
      <w:pPr>
        <w:pStyle w:val="Compact"/>
        <w:numPr>
          <w:ilvl w:val="0"/>
          <w:numId w:val="1154"/>
        </w:numPr>
      </w:pPr>
      <w:r>
        <w:t xml:space="preserve">Producing what (hash of each output file)</w:t>
      </w:r>
    </w:p>
    <w:p>
      <w:pPr>
        <w:pStyle w:val="Compact"/>
        <w:numPr>
          <w:ilvl w:val="0"/>
          <w:numId w:val="1154"/>
        </w:numPr>
      </w:pPr>
      <w:r>
        <w:t xml:space="preserve">Committed where (Gitea branch, commit SHA)</w:t>
      </w:r>
    </w:p>
    <w:p>
      <w:pPr>
        <w:pStyle w:val="FirstParagraph"/>
      </w:pPr>
      <w:r>
        <w:t xml:space="preserve">A run without provenance is non-canonical and rejected by the engine.</w:t>
      </w:r>
    </w:p>
    <w:bookmarkEnd w:id="280"/>
    <w:bookmarkEnd w:id="281"/>
    <w:bookmarkStart w:id="293" w:name="the-eleven-ingestion-streams"/>
    <w:p>
      <w:pPr>
        <w:pStyle w:val="Heading2"/>
      </w:pPr>
      <w:r>
        <w:t xml:space="preserve">The eleven ingestion streams</w:t>
      </w:r>
    </w:p>
    <w:p>
      <w:pPr>
        <w:pStyle w:val="FirstParagraph"/>
      </w:pPr>
      <w:r>
        <w:t xml:space="preserve">The assessment layer produces one artifact stream per AD-dependency</w:t>
      </w:r>
      <w:r>
        <w:t xml:space="preserve"> </w:t>
      </w:r>
      <w:r>
        <w:t xml:space="preserve">category, mirroring the eleven types from Chapter 00. Each stream has</w:t>
      </w:r>
      <w:r>
        <w:t xml:space="preserve"> </w:t>
      </w:r>
      <w:r>
        <w:t xml:space="preserve">its own normalized schema and its own committed-to-Gitea location.</w:t>
      </w:r>
    </w:p>
    <w:bookmarkStart w:id="282" w:name="stream-1-forest-domain-topology"/>
    <w:p>
      <w:pPr>
        <w:pStyle w:val="Heading3"/>
      </w:pPr>
      <w:r>
        <w:t xml:space="preserve">Stream 1 — Forest + Domain topology</w:t>
      </w:r>
    </w:p>
    <w:p>
      <w:pPr>
        <w:pStyle w:val="FirstParagraph"/>
      </w:pPr>
      <w:r>
        <w:rPr>
          <w:b/>
          <w:bCs/>
        </w:rPr>
        <w:t xml:space="preserve">What it captures.</w:t>
      </w:r>
      <w:r>
        <w:t xml:space="preserve"> </w:t>
      </w:r>
      <w:r>
        <w:t xml:space="preserve">Forest functional level, domain trust</w:t>
      </w:r>
      <w:r>
        <w:t xml:space="preserve"> </w:t>
      </w:r>
      <w:r>
        <w:t xml:space="preserve">relationships, site topology, DC role assignments, replication</w:t>
      </w:r>
      <w:r>
        <w:t xml:space="preserve"> </w:t>
      </w:r>
      <w:r>
        <w:t xml:space="preserve">intervals, FSMO holders, DNS integration mode, Exchange schema level.</w:t>
      </w:r>
    </w:p>
    <w:p>
      <w:pPr>
        <w:pStyle w:val="BodyText"/>
      </w:pPr>
      <w:r>
        <w:rPr>
          <w:b/>
          <w:bCs/>
        </w:rPr>
        <w:t xml:space="preserve">Cmdlet skeleton.</w:t>
      </w:r>
    </w:p>
    <w:p>
      <w:pPr>
        <w:pStyle w:val="SourceCode"/>
      </w:pPr>
      <w:r>
        <w:rPr>
          <w:rStyle w:val="FunctionTok"/>
        </w:rPr>
        <w:t xml:space="preserve">Get-ADForest</w:t>
      </w:r>
      <w:r>
        <w:rPr>
          <w:rStyle w:val="NormalTok"/>
        </w:rPr>
        <w:t xml:space="preserve"> </w:t>
      </w:r>
      <w:r>
        <w:rPr>
          <w:rStyle w:val="OperatorTok"/>
        </w:rPr>
        <w:t xml:space="preserve">|</w:t>
      </w:r>
      <w:r>
        <w:rPr>
          <w:rStyle w:val="NormalTok"/>
        </w:rPr>
        <w:t xml:space="preserve"> ConvertTo-FmpForestRecord</w:t>
      </w:r>
      <w:r>
        <w:br/>
      </w:r>
      <w:r>
        <w:rPr>
          <w:rStyle w:val="FunctionTok"/>
        </w:rPr>
        <w:t xml:space="preserve">Get-ADDomain</w:t>
      </w:r>
      <w:r>
        <w:rPr>
          <w:rStyle w:val="NormalTok"/>
        </w:rPr>
        <w:t xml:space="preserve">  </w:t>
      </w:r>
      <w:r>
        <w:rPr>
          <w:rStyle w:val="OperatorTok"/>
        </w:rPr>
        <w:t xml:space="preserve">-</w:t>
      </w:r>
      <w:r>
        <w:rPr>
          <w:rStyle w:val="NormalTok"/>
        </w:rPr>
        <w:t xml:space="preserve">Identity each </w:t>
      </w:r>
      <w:r>
        <w:rPr>
          <w:rStyle w:val="OperatorTok"/>
        </w:rPr>
        <w:t xml:space="preserve">|</w:t>
      </w:r>
      <w:r>
        <w:rPr>
          <w:rStyle w:val="NormalTok"/>
        </w:rPr>
        <w:t xml:space="preserve"> ConvertTo-FmpDomainRecord</w:t>
      </w:r>
      <w:r>
        <w:br/>
      </w:r>
      <w:r>
        <w:rPr>
          <w:rStyle w:val="NormalTok"/>
        </w:rPr>
        <w:t xml:space="preserve">Get-ADReplicationSiteLink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 ConvertTo-FmpSiteLinkRecord</w:t>
      </w:r>
      <w:r>
        <w:br/>
      </w:r>
      <w:r>
        <w:rPr>
          <w:rStyle w:val="NormalTok"/>
        </w:rPr>
        <w:t xml:space="preserve">Get-ADTrust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 ConvertTo-FmpTrustRecord</w:t>
      </w:r>
    </w:p>
    <w:p>
      <w:pPr>
        <w:pStyle w:val="FirstParagraph"/>
      </w:pPr>
      <w:r>
        <w:rPr>
          <w:b/>
          <w:bCs/>
        </w:rPr>
        <w:t xml:space="preserve">Output.</w:t>
      </w:r>
      <w:r>
        <w:t xml:space="preserve"> </w:t>
      </w:r>
      <w:r>
        <w:rPr>
          <w:rStyle w:val="VerbatimChar"/>
        </w:rPr>
        <w:t xml:space="preserve">assessments/&lt;run-id&gt;/forest-topology.json</w:t>
      </w:r>
      <w:r>
        <w:t xml:space="preserve"> </w:t>
      </w:r>
      <w:r>
        <w:t xml:space="preserve">— normalised</w:t>
      </w:r>
      <w:r>
        <w:t xml:space="preserve"> </w:t>
      </w:r>
      <w:r>
        <w:t xml:space="preserve">to FMP_158 schema.</w:t>
      </w:r>
    </w:p>
    <w:p>
      <w:pPr>
        <w:pStyle w:val="BodyText"/>
      </w:pPr>
      <w:r>
        <w:rPr>
          <w:b/>
          <w:bCs/>
        </w:rPr>
        <w:t xml:space="preserve">Feeds.</w:t>
      </w:r>
      <w:r>
        <w:t xml:space="preserve"> </w:t>
      </w:r>
      <w:r>
        <w:t xml:space="preserve">Chapter 04 (identity strategy); DM_090 (Trust Relationships);</w:t>
      </w:r>
      <w:r>
        <w:t xml:space="preserve"> </w:t>
      </w:r>
      <w:r>
        <w:t xml:space="preserve">Chapter 09 (migration roadmap — trust relationships define cutover</w:t>
      </w:r>
      <w:r>
        <w:t xml:space="preserve"> </w:t>
      </w:r>
      <w:r>
        <w:t xml:space="preserve">gates).</w:t>
      </w:r>
    </w:p>
    <w:bookmarkEnd w:id="282"/>
    <w:bookmarkStart w:id="283" w:name="stream-2-ou-hierarchy"/>
    <w:p>
      <w:pPr>
        <w:pStyle w:val="Heading3"/>
      </w:pPr>
      <w:r>
        <w:t xml:space="preserve">Stream 2 — OU hierarchy</w:t>
      </w:r>
    </w:p>
    <w:p>
      <w:pPr>
        <w:pStyle w:val="FirstParagraph"/>
      </w:pPr>
      <w:r>
        <w:rPr>
          <w:b/>
          <w:bCs/>
        </w:rPr>
        <w:t xml:space="preserve">What it captures.</w:t>
      </w:r>
      <w:r>
        <w:t xml:space="preserve"> </w:t>
      </w:r>
      <w:r>
        <w:t xml:space="preserve">Every OU, full distinguished name, parent-child</w:t>
      </w:r>
      <w:r>
        <w:t xml:space="preserve"> </w:t>
      </w:r>
      <w:r>
        <w:t xml:space="preserve">relationships, linked GPOs, delegation ACLs (if Tier B), and user +</w:t>
      </w:r>
      <w:r>
        <w:t xml:space="preserve"> </w:t>
      </w:r>
      <w:r>
        <w:t xml:space="preserve">computer counts.</w:t>
      </w:r>
    </w:p>
    <w:p>
      <w:pPr>
        <w:pStyle w:val="BodyText"/>
      </w:pPr>
      <w:r>
        <w:rPr>
          <w:b/>
          <w:bCs/>
        </w:rPr>
        <w:t xml:space="preserve">Cmdlet skeleton.</w:t>
      </w:r>
    </w:p>
    <w:p>
      <w:pPr>
        <w:pStyle w:val="SourceCode"/>
      </w:pPr>
      <w:r>
        <w:rPr>
          <w:rStyle w:val="FunctionTok"/>
        </w:rPr>
        <w:t xml:space="preserve">Get-ADOrganizationalUnit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w:t>
      </w:r>
      <w:r>
        <w:rPr>
          <w:rStyle w:val="OperatorTok"/>
        </w:rPr>
        <w:t xml:space="preserve">*</w:t>
      </w:r>
      <w:r>
        <w:rPr>
          <w:rStyle w:val="NormalTok"/>
        </w:rPr>
        <w:t xml:space="preserve"> </w:t>
      </w:r>
      <w:r>
        <w:rPr>
          <w:rStyle w:val="OperatorTok"/>
        </w:rPr>
        <w:t xml:space="preserve">|</w:t>
      </w:r>
      <w:r>
        <w:rPr>
          <w:rStyle w:val="NormalTok"/>
        </w:rPr>
        <w:t xml:space="preserve"> ConvertTo-FmpOuRecord</w:t>
      </w:r>
    </w:p>
    <w:p>
      <w:pPr>
        <w:pStyle w:val="FirstParagraph"/>
      </w:pPr>
      <w:r>
        <w:rPr>
          <w:b/>
          <w:bCs/>
        </w:rPr>
        <w:t xml:space="preserve">Output.</w:t>
      </w:r>
      <w:r>
        <w:t xml:space="preserve"> </w:t>
      </w:r>
      <w:r>
        <w:rPr>
          <w:rStyle w:val="VerbatimChar"/>
        </w:rPr>
        <w:t xml:space="preserve">assessments/&lt;run-id&gt;/ou-hierarchy.json</w:t>
      </w:r>
      <w:r>
        <w:t xml:space="preserve"> </w:t>
      </w:r>
      <w:r>
        <w:t xml:space="preserve">— a graph</w:t>
      </w:r>
      <w:r>
        <w:t xml:space="preserve"> </w:t>
      </w:r>
      <w:r>
        <w:t xml:space="preserve">structure consumed by the Python transformation engine (Chapter 03).</w:t>
      </w:r>
    </w:p>
    <w:p>
      <w:pPr>
        <w:pStyle w:val="BodyText"/>
      </w:pPr>
      <w:r>
        <w:rPr>
          <w:b/>
          <w:bCs/>
        </w:rPr>
        <w:t xml:space="preserve">Feeds.</w:t>
      </w:r>
      <w:r>
        <w:t xml:space="preserve"> </w:t>
      </w:r>
      <w:r>
        <w:t xml:space="preserve">Chapter 04 (identity transformation); Chapter 05 (GPO</w:t>
      </w:r>
      <w:r>
        <w:t xml:space="preserve"> </w:t>
      </w:r>
      <w:r>
        <w:t xml:space="preserve">linkage map).</w:t>
      </w:r>
    </w:p>
    <w:bookmarkEnd w:id="283"/>
    <w:bookmarkStart w:id="284" w:name="stream-3-users"/>
    <w:p>
      <w:pPr>
        <w:pStyle w:val="Heading3"/>
      </w:pPr>
      <w:r>
        <w:t xml:space="preserve">Stream 3 — Users</w:t>
      </w:r>
    </w:p>
    <w:p>
      <w:pPr>
        <w:pStyle w:val="FirstParagraph"/>
      </w:pPr>
      <w:r>
        <w:rPr>
          <w:b/>
          <w:bCs/>
        </w:rPr>
        <w:t xml:space="preserve">What it captures.</w:t>
      </w:r>
      <w:r>
        <w:t xml:space="preserve"> </w:t>
      </w:r>
      <w:r>
        <w:t xml:space="preserve">Every user object — UPN, samAccountName, DN,</w:t>
      </w:r>
      <w:r>
        <w:t xml:space="preserve"> </w:t>
      </w:r>
      <w:r>
        <w:t xml:space="preserve">enabled state, password last-set, last-logon, manager DN, member-of</w:t>
      </w:r>
      <w:r>
        <w:t xml:space="preserve"> </w:t>
      </w:r>
      <w:r>
        <w:t xml:space="preserve">groups, extensionAttribute1–15, mail, employeeID, department, office</w:t>
      </w:r>
      <w:r>
        <w:t xml:space="preserve"> </w:t>
      </w:r>
      <w:r>
        <w:t xml:space="preserve">location, and (if populated) HR-system-sourced attributes.</w:t>
      </w:r>
    </w:p>
    <w:p>
      <w:pPr>
        <w:pStyle w:val="BodyText"/>
      </w:pPr>
      <w:r>
        <w:rPr>
          <w:b/>
          <w:bCs/>
        </w:rPr>
        <w:t xml:space="preserve">Cmdlet skeleton.</w:t>
      </w:r>
    </w:p>
    <w:p>
      <w:pPr>
        <w:pStyle w:val="SourceCode"/>
      </w:pP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w:t>
      </w:r>
      <w:r>
        <w:rPr>
          <w:rStyle w:val="OperatorTok"/>
        </w:rPr>
        <w:t xml:space="preserve">*</w:t>
      </w:r>
      <w:r>
        <w:rPr>
          <w:rStyle w:val="NormalTok"/>
        </w:rPr>
        <w:t xml:space="preserve"> </w:t>
      </w:r>
      <w:r>
        <w:rPr>
          <w:rStyle w:val="OperatorTok"/>
        </w:rPr>
        <w:t xml:space="preserve">|</w:t>
      </w:r>
      <w:r>
        <w:rPr>
          <w:rStyle w:val="NormalTok"/>
        </w:rPr>
        <w:t xml:space="preserve"> ConvertTo-FmpUserRecord</w:t>
      </w:r>
    </w:p>
    <w:p>
      <w:pPr>
        <w:pStyle w:val="FirstParagraph"/>
      </w:pPr>
      <w:r>
        <w:rPr>
          <w:b/>
          <w:bCs/>
        </w:rPr>
        <w:t xml:space="preserve">Output.</w:t>
      </w:r>
      <w:r>
        <w:t xml:space="preserve"> </w:t>
      </w:r>
      <w:r>
        <w:rPr>
          <w:rStyle w:val="VerbatimChar"/>
        </w:rPr>
        <w:t xml:space="preserve">assessments/&lt;run-id&gt;/users.jsonl</w:t>
      </w:r>
      <w:r>
        <w:t xml:space="preserve"> </w:t>
      </w:r>
      <w:r>
        <w:t xml:space="preserve">— one record per line,</w:t>
      </w:r>
      <w:r>
        <w:t xml:space="preserve"> </w:t>
      </w:r>
      <w:r>
        <w:t xml:space="preserve">pseudonymized on a configurable schedule (production exports may</w:t>
      </w:r>
      <w:r>
        <w:t xml:space="preserve"> </w:t>
      </w:r>
      <w:r>
        <w:t xml:space="preserve">redact samAccountName per CUI rules).</w:t>
      </w:r>
    </w:p>
    <w:p>
      <w:pPr>
        <w:pStyle w:val="BodyText"/>
      </w:pPr>
      <w:r>
        <w:rPr>
          <w:b/>
          <w:bCs/>
        </w:rPr>
        <w:t xml:space="preserve">Feeds.</w:t>
      </w:r>
      <w:r>
        <w:t xml:space="preserve"> </w:t>
      </w:r>
      <w:r>
        <w:t xml:space="preserve">Chapter 04 (user migration); Chapter 03 (attribute-mapping</w:t>
      </w:r>
      <w:r>
        <w:t xml:space="preserve"> </w:t>
      </w:r>
      <w:r>
        <w:t xml:space="preserve">plan).</w:t>
      </w:r>
    </w:p>
    <w:bookmarkEnd w:id="284"/>
    <w:bookmarkStart w:id="285" w:name="stream-4-computers"/>
    <w:p>
      <w:pPr>
        <w:pStyle w:val="Heading3"/>
      </w:pPr>
      <w:r>
        <w:t xml:space="preserve">Stream 4 — Computers</w:t>
      </w:r>
    </w:p>
    <w:p>
      <w:pPr>
        <w:pStyle w:val="FirstParagraph"/>
      </w:pPr>
      <w:r>
        <w:rPr>
          <w:b/>
          <w:bCs/>
        </w:rPr>
        <w:t xml:space="preserve">What it captures.</w:t>
      </w:r>
      <w:r>
        <w:t xml:space="preserve"> </w:t>
      </w:r>
      <w:r>
        <w:t xml:space="preserve">Every computer object — DN, DNS hostname,</w:t>
      </w:r>
      <w:r>
        <w:t xml:space="preserve"> </w:t>
      </w:r>
      <w:r>
        <w:t xml:space="preserve">operating system, OS version, last password-set, service principal</w:t>
      </w:r>
      <w:r>
        <w:t xml:space="preserve"> </w:t>
      </w:r>
      <w:r>
        <w:t xml:space="preserve">names, last-logon timestamp, trustedForDelegation state,</w:t>
      </w:r>
      <w:r>
        <w:t xml:space="preserve"> </w:t>
      </w:r>
      <w:r>
        <w:t xml:space="preserve">msDS-SupportedEncryptionTypes.</w:t>
      </w:r>
    </w:p>
    <w:p>
      <w:pPr>
        <w:pStyle w:val="BodyText"/>
      </w:pPr>
      <w:r>
        <w:rPr>
          <w:b/>
          <w:bCs/>
        </w:rPr>
        <w:t xml:space="preserve">Cmdlet skeleton.</w:t>
      </w:r>
    </w:p>
    <w:p>
      <w:pPr>
        <w:pStyle w:val="SourceCode"/>
      </w:pP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w:t>
      </w:r>
      <w:r>
        <w:rPr>
          <w:rStyle w:val="OperatorTok"/>
        </w:rPr>
        <w:t xml:space="preserve">*</w:t>
      </w:r>
      <w:r>
        <w:rPr>
          <w:rStyle w:val="NormalTok"/>
        </w:rPr>
        <w:t xml:space="preserve"> </w:t>
      </w:r>
      <w:r>
        <w:rPr>
          <w:rStyle w:val="OperatorTok"/>
        </w:rPr>
        <w:t xml:space="preserve">|</w:t>
      </w:r>
      <w:r>
        <w:rPr>
          <w:rStyle w:val="NormalTok"/>
        </w:rPr>
        <w:t xml:space="preserve"> ConvertTo-FmpComputerRecord</w:t>
      </w:r>
    </w:p>
    <w:p>
      <w:pPr>
        <w:pStyle w:val="FirstParagraph"/>
      </w:pPr>
      <w:r>
        <w:rPr>
          <w:b/>
          <w:bCs/>
        </w:rPr>
        <w:t xml:space="preserve">Output.</w:t>
      </w:r>
      <w:r>
        <w:t xml:space="preserve"> </w:t>
      </w:r>
      <w:r>
        <w:rPr>
          <w:rStyle w:val="VerbatimChar"/>
        </w:rPr>
        <w:t xml:space="preserve">assessments/&lt;run-id&gt;/computers.jsonl</w:t>
      </w:r>
      <w:r>
        <w:t xml:space="preserve">.</w:t>
      </w:r>
    </w:p>
    <w:p>
      <w:pPr>
        <w:pStyle w:val="BodyText"/>
      </w:pPr>
      <w:r>
        <w:rPr>
          <w:b/>
          <w:bCs/>
        </w:rPr>
        <w:t xml:space="preserve">Feeds.</w:t>
      </w:r>
      <w:r>
        <w:t xml:space="preserve"> </w:t>
      </w:r>
      <w:r>
        <w:t xml:space="preserve">Chapter 07 (compute migration); DM_060 (Device Management</w:t>
      </w:r>
      <w:r>
        <w:t xml:space="preserve"> </w:t>
      </w:r>
      <w:r>
        <w:t xml:space="preserve">adapter); risk-scoring for stale or unconstrained-delegation hosts.</w:t>
      </w:r>
    </w:p>
    <w:bookmarkEnd w:id="285"/>
    <w:bookmarkStart w:id="286" w:name="stream-5-service-accounts-spns"/>
    <w:p>
      <w:pPr>
        <w:pStyle w:val="Heading3"/>
      </w:pPr>
      <w:r>
        <w:t xml:space="preserve">Stream 5 — Service Accounts + SPNs</w:t>
      </w:r>
    </w:p>
    <w:p>
      <w:pPr>
        <w:pStyle w:val="FirstParagraph"/>
      </w:pPr>
      <w:r>
        <w:rPr>
          <w:b/>
          <w:bCs/>
        </w:rPr>
        <w:t xml:space="preserve">What it captures.</w:t>
      </w:r>
      <w:r>
        <w:t xml:space="preserve"> </w:t>
      </w:r>
      <w:r>
        <w:t xml:space="preserve">All accounts with populated servicePrincipalName</w:t>
      </w:r>
      <w:r>
        <w:t xml:space="preserve"> </w:t>
      </w:r>
      <w:r>
        <w:t xml:space="preserve">values, grouped by likely application boundary; msDS-AllowedToDelegateTo</w:t>
      </w:r>
      <w:r>
        <w:t xml:space="preserve"> </w:t>
      </w:r>
      <w:r>
        <w:t xml:space="preserve">targets; gMSA / sMSA status; password-last-set gaps that indicate</w:t>
      </w:r>
      <w:r>
        <w:t xml:space="preserve"> </w:t>
      </w:r>
      <w:r>
        <w:t xml:space="preserve">stale credentials.</w:t>
      </w:r>
    </w:p>
    <w:p>
      <w:pPr>
        <w:pStyle w:val="BodyText"/>
      </w:pPr>
      <w:r>
        <w:rPr>
          <w:b/>
          <w:bCs/>
        </w:rPr>
        <w:t xml:space="preserve">Cmdlet skeleton.</w:t>
      </w:r>
    </w:p>
    <w:p>
      <w:pPr>
        <w:pStyle w:val="SourceCode"/>
      </w:pP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servicePrincipalName </w:t>
      </w:r>
      <w:r>
        <w:rPr>
          <w:rStyle w:val="OperatorTok"/>
        </w:rPr>
        <w:t xml:space="preserve">-like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servicePrincipalName</w:t>
      </w:r>
      <w:r>
        <w:br/>
      </w:r>
      <w:r>
        <w:rPr>
          <w:rStyle w:val="FunctionTok"/>
        </w:rPr>
        <w:t xml:space="preserve">Get-ADComputer</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servicePrincipalName </w:t>
      </w:r>
      <w:r>
        <w:rPr>
          <w:rStyle w:val="OperatorTok"/>
        </w:rPr>
        <w:t xml:space="preserve">-like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servicePrincipalName</w:t>
      </w:r>
      <w:r>
        <w:br/>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w:t>
      </w:r>
      <w:r>
        <w:rPr>
          <w:rStyle w:val="OperatorTok"/>
        </w:rPr>
        <w:t xml:space="preserve">*</w:t>
      </w:r>
    </w:p>
    <w:p>
      <w:pPr>
        <w:pStyle w:val="FirstParagraph"/>
      </w:pPr>
      <w:r>
        <w:rPr>
          <w:b/>
          <w:bCs/>
        </w:rPr>
        <w:t xml:space="preserve">Output.</w:t>
      </w:r>
      <w:r>
        <w:t xml:space="preserve"> </w:t>
      </w:r>
      <w:r>
        <w:rPr>
          <w:rStyle w:val="VerbatimChar"/>
        </w:rPr>
        <w:t xml:space="preserve">assessments/&lt;run-id&gt;/spn-inventory.json</w:t>
      </w:r>
      <w:r>
        <w:t xml:space="preserve">.</w:t>
      </w:r>
    </w:p>
    <w:p>
      <w:pPr>
        <w:pStyle w:val="BodyText"/>
      </w:pPr>
      <w:r>
        <w:rPr>
          <w:b/>
          <w:bCs/>
        </w:rPr>
        <w:t xml:space="preserve">Feeds.</w:t>
      </w:r>
      <w:r>
        <w:t xml:space="preserve"> </w:t>
      </w:r>
      <w:r>
        <w:t xml:space="preserve">DM_085 (SPN adapter — gap); Chapter 05 (policy migration</w:t>
      </w:r>
      <w:r>
        <w:t xml:space="preserve"> </w:t>
      </w:r>
      <w:r>
        <w:t xml:space="preserve">— Kerberos-bound apps need Entra App Registration equivalents).</w:t>
      </w:r>
    </w:p>
    <w:bookmarkEnd w:id="286"/>
    <w:bookmarkStart w:id="287" w:name="stream-6-security-distribution-groups"/>
    <w:p>
      <w:pPr>
        <w:pStyle w:val="Heading3"/>
      </w:pPr>
      <w:r>
        <w:t xml:space="preserve">Stream 6 — Security + Distribution Groups</w:t>
      </w:r>
    </w:p>
    <w:p>
      <w:pPr>
        <w:pStyle w:val="FirstParagraph"/>
      </w:pPr>
      <w:r>
        <w:rPr>
          <w:b/>
          <w:bCs/>
        </w:rPr>
        <w:t xml:space="preserve">What it captures.</w:t>
      </w:r>
      <w:r>
        <w:t xml:space="preserve"> </w:t>
      </w:r>
      <w:r>
        <w:t xml:space="preserve">Every group — DN, samAccountName, group scope</w:t>
      </w:r>
      <w:r>
        <w:t xml:space="preserve"> </w:t>
      </w:r>
      <w:r>
        <w:t xml:space="preserve">(Universal/Global/DomainLocal), type (Security/Distribution), members,</w:t>
      </w:r>
      <w:r>
        <w:t xml:space="preserve"> </w:t>
      </w:r>
      <w:r>
        <w:t xml:space="preserve">member-of, and (critically) whether membership is static or rule-based.</w:t>
      </w:r>
    </w:p>
    <w:p>
      <w:pPr>
        <w:pStyle w:val="BodyText"/>
      </w:pPr>
      <w:r>
        <w:rPr>
          <w:b/>
          <w:bCs/>
        </w:rPr>
        <w:t xml:space="preserve">Cmdlet skeleton.</w:t>
      </w:r>
    </w:p>
    <w:p>
      <w:pPr>
        <w:pStyle w:val="SourceCode"/>
      </w:pP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w:t>
      </w:r>
      <w:r>
        <w:rPr>
          <w:rStyle w:val="OperatorTok"/>
        </w:rPr>
        <w:t xml:space="preserve">*</w:t>
      </w:r>
      <w:r>
        <w:br/>
      </w:r>
      <w:r>
        <w:rPr>
          <w:rStyle w:val="FunctionTok"/>
        </w:rPr>
        <w:t xml:space="preserve">Get-ADGroupMember</w:t>
      </w:r>
      <w:r>
        <w:rPr>
          <w:rStyle w:val="NormalTok"/>
        </w:rPr>
        <w:t xml:space="preserve"> </w:t>
      </w:r>
      <w:r>
        <w:rPr>
          <w:rStyle w:val="OperatorTok"/>
        </w:rPr>
        <w:t xml:space="preserve">-</w:t>
      </w:r>
      <w:r>
        <w:rPr>
          <w:rStyle w:val="NormalTok"/>
        </w:rPr>
        <w:t xml:space="preserve">Identity each </w:t>
      </w:r>
      <w:r>
        <w:rPr>
          <w:rStyle w:val="OperatorTok"/>
        </w:rPr>
        <w:t xml:space="preserve">-</w:t>
      </w:r>
      <w:r>
        <w:rPr>
          <w:rStyle w:val="NormalTok"/>
        </w:rPr>
        <w:t xml:space="preserve">Recursive</w:t>
      </w:r>
    </w:p>
    <w:p>
      <w:pPr>
        <w:pStyle w:val="FirstParagraph"/>
      </w:pPr>
      <w:r>
        <w:rPr>
          <w:b/>
          <w:bCs/>
        </w:rPr>
        <w:t xml:space="preserve">Output.</w:t>
      </w:r>
      <w:r>
        <w:t xml:space="preserve"> </w:t>
      </w:r>
      <w:r>
        <w:rPr>
          <w:rStyle w:val="VerbatimChar"/>
        </w:rPr>
        <w:t xml:space="preserve">assessments/&lt;run-id&gt;/groups.jsonl</w:t>
      </w:r>
      <w:r>
        <w:t xml:space="preserve">.</w:t>
      </w:r>
    </w:p>
    <w:p>
      <w:pPr>
        <w:pStyle w:val="BodyText"/>
      </w:pPr>
      <w:r>
        <w:rPr>
          <w:b/>
          <w:bCs/>
        </w:rPr>
        <w:t xml:space="preserve">Feeds.</w:t>
      </w:r>
      <w:r>
        <w:t xml:space="preserve"> </w:t>
      </w:r>
      <w:r>
        <w:t xml:space="preserve">Chapter 04 (dynamic-group authoring);</w:t>
      </w:r>
      <w:r>
        <w:t xml:space="preserve"> </w:t>
      </w:r>
      <w:r>
        <w:t xml:space="preserve">FMP_152 (Dynamic Group Library target).</w:t>
      </w:r>
    </w:p>
    <w:bookmarkEnd w:id="287"/>
    <w:bookmarkStart w:id="288" w:name="stream-7-group-policy-objects"/>
    <w:p>
      <w:pPr>
        <w:pStyle w:val="Heading3"/>
      </w:pPr>
      <w:r>
        <w:t xml:space="preserve">Stream 7 — Group Policy Objects</w:t>
      </w:r>
    </w:p>
    <w:p>
      <w:pPr>
        <w:pStyle w:val="FirstParagraph"/>
      </w:pPr>
      <w:r>
        <w:rPr>
          <w:b/>
          <w:bCs/>
        </w:rPr>
        <w:t xml:space="preserve">Tier B only.</w:t>
      </w:r>
    </w:p>
    <w:p>
      <w:pPr>
        <w:pStyle w:val="BodyText"/>
      </w:pPr>
      <w:r>
        <w:rPr>
          <w:b/>
          <w:bCs/>
        </w:rPr>
        <w:t xml:space="preserve">What it captures.</w:t>
      </w:r>
      <w:r>
        <w:t xml:space="preserve"> </w:t>
      </w:r>
      <w:r>
        <w:t xml:space="preserve">Every GPO — display name, GUID, link targets,</w:t>
      </w:r>
      <w:r>
        <w:t xml:space="preserve"> </w:t>
      </w:r>
      <w:r>
        <w:t xml:space="preserve">security filtering, WMI filters, enabled state, Computer and User</w:t>
      </w:r>
      <w:r>
        <w:t xml:space="preserve"> </w:t>
      </w:r>
      <w:r>
        <w:t xml:space="preserve">configuration settings (full XML export), and date-of-last-modification</w:t>
      </w:r>
      <w:r>
        <w:t xml:space="preserve"> </w:t>
      </w:r>
      <w:r>
        <w:t xml:space="preserve">per section.</w:t>
      </w:r>
    </w:p>
    <w:p>
      <w:pPr>
        <w:pStyle w:val="BodyText"/>
      </w:pPr>
      <w:r>
        <w:rPr>
          <w:b/>
          <w:bCs/>
        </w:rPr>
        <w:t xml:space="preserve">Cmdlet skeleton.</w:t>
      </w:r>
    </w:p>
    <w:p>
      <w:pPr>
        <w:pStyle w:val="SourceCode"/>
      </w:pPr>
      <w:r>
        <w:rPr>
          <w:rStyle w:val="FunctionTok"/>
        </w:rPr>
        <w:t xml:space="preserve">Get-GPO</w:t>
      </w:r>
      <w:r>
        <w:rPr>
          <w:rStyle w:val="NormalTok"/>
        </w:rPr>
        <w:t xml:space="preserve"> </w:t>
      </w:r>
      <w:r>
        <w:rPr>
          <w:rStyle w:val="OperatorTok"/>
        </w:rPr>
        <w:t xml:space="preserve">-</w:t>
      </w:r>
      <w:r>
        <w:rPr>
          <w:rStyle w:val="NormalTok"/>
        </w:rPr>
        <w:t xml:space="preserve">All</w:t>
      </w:r>
      <w:r>
        <w:br/>
      </w:r>
      <w:r>
        <w:rPr>
          <w:rStyle w:val="FunctionTok"/>
        </w:rPr>
        <w:t xml:space="preserve">Get-GPOReport</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ReportType Xml </w:t>
      </w:r>
      <w:r>
        <w:rPr>
          <w:rStyle w:val="OperatorTok"/>
        </w:rPr>
        <w:t xml:space="preserve">|</w:t>
      </w:r>
      <w:r>
        <w:rPr>
          <w:rStyle w:val="NormalTok"/>
        </w:rPr>
        <w:t xml:space="preserve"> ConvertTo-FmpGpoRecord</w:t>
      </w:r>
    </w:p>
    <w:p>
      <w:pPr>
        <w:pStyle w:val="FirstParagraph"/>
      </w:pPr>
      <w:r>
        <w:rPr>
          <w:b/>
          <w:bCs/>
        </w:rPr>
        <w:t xml:space="preserve">Output.</w:t>
      </w:r>
      <w:r>
        <w:t xml:space="preserve"> </w:t>
      </w:r>
      <w:r>
        <w:rPr>
          <w:rStyle w:val="VerbatimChar"/>
        </w:rPr>
        <w:t xml:space="preserve">assessments/&lt;run-id&gt;/gpos/*.xml</w:t>
      </w:r>
      <w:r>
        <w:t xml:space="preserve"> </w:t>
      </w:r>
      <w:r>
        <w:t xml:space="preserve">+ normalised</w:t>
      </w:r>
      <w:r>
        <w:t xml:space="preserve"> </w:t>
      </w:r>
      <w:r>
        <w:rPr>
          <w:rStyle w:val="VerbatimChar"/>
        </w:rPr>
        <w:t xml:space="preserve">gpo-index.json</w:t>
      </w:r>
      <w:r>
        <w:t xml:space="preserve">.</w:t>
      </w:r>
    </w:p>
    <w:p>
      <w:pPr>
        <w:pStyle w:val="BodyText"/>
      </w:pPr>
      <w:r>
        <w:rPr>
          <w:b/>
          <w:bCs/>
        </w:rPr>
        <w:t xml:space="preserve">Feeds.</w:t>
      </w:r>
      <w:r>
        <w:t xml:space="preserve"> </w:t>
      </w:r>
      <w:r>
        <w:t xml:space="preserve">Chapter 05 (GPO → Intune mapping); single highest-complexity</w:t>
      </w:r>
      <w:r>
        <w:t xml:space="preserve"> </w:t>
      </w:r>
      <w:r>
        <w:t xml:space="preserve">stream by word count.</w:t>
      </w:r>
    </w:p>
    <w:bookmarkEnd w:id="288"/>
    <w:bookmarkStart w:id="289" w:name="stream-8-dns-zones-records"/>
    <w:p>
      <w:pPr>
        <w:pStyle w:val="Heading3"/>
      </w:pPr>
      <w:r>
        <w:t xml:space="preserve">Stream 8 — DNS Zones + Records</w:t>
      </w:r>
    </w:p>
    <w:p>
      <w:pPr>
        <w:pStyle w:val="FirstParagraph"/>
      </w:pPr>
      <w:r>
        <w:rPr>
          <w:b/>
          <w:bCs/>
        </w:rPr>
        <w:t xml:space="preserve">Tier B only.</w:t>
      </w:r>
    </w:p>
    <w:p>
      <w:pPr>
        <w:pStyle w:val="BodyText"/>
      </w:pPr>
      <w:r>
        <w:rPr>
          <w:b/>
          <w:bCs/>
        </w:rPr>
        <w:t xml:space="preserve">What it captures.</w:t>
      </w:r>
      <w:r>
        <w:t xml:space="preserve"> </w:t>
      </w:r>
      <w:r>
        <w:t xml:space="preserve">All AD-integrated DNS zones, non-AD zones</w:t>
      </w:r>
      <w:r>
        <w:t xml:space="preserve"> </w:t>
      </w:r>
      <w:r>
        <w:t xml:space="preserve">hosted on DCs, conditional forwarders, recursion settings, per-record</w:t>
      </w:r>
      <w:r>
        <w:t xml:space="preserve"> </w:t>
      </w:r>
      <w:r>
        <w:t xml:space="preserve">TTL + last-update, and (critically) stale records whose owning</w:t>
      </w:r>
      <w:r>
        <w:t xml:space="preserve"> </w:t>
      </w:r>
      <w:r>
        <w:t xml:space="preserve">computer object has aged out.</w:t>
      </w:r>
    </w:p>
    <w:p>
      <w:pPr>
        <w:pStyle w:val="BodyText"/>
      </w:pPr>
      <w:r>
        <w:rPr>
          <w:b/>
          <w:bCs/>
        </w:rPr>
        <w:t xml:space="preserve">Cmdlet skeleton.</w:t>
      </w:r>
    </w:p>
    <w:p>
      <w:pPr>
        <w:pStyle w:val="SourceCode"/>
      </w:pPr>
      <w:r>
        <w:rPr>
          <w:rStyle w:val="NormalTok"/>
        </w:rPr>
        <w:t xml:space="preserve">Get-DnsServerZone </w:t>
      </w:r>
      <w:r>
        <w:rPr>
          <w:rStyle w:val="OperatorTok"/>
        </w:rPr>
        <w:t xml:space="preserve">-</w:t>
      </w:r>
      <w:r>
        <w:rPr>
          <w:rStyle w:val="NormalTok"/>
        </w:rPr>
        <w:t xml:space="preserve">ComputerName each-DC</w:t>
      </w:r>
      <w:r>
        <w:br/>
      </w:r>
      <w:r>
        <w:rPr>
          <w:rStyle w:val="NormalTok"/>
        </w:rPr>
        <w:t xml:space="preserve">Get-DnsServerResourceRecord </w:t>
      </w:r>
      <w:r>
        <w:rPr>
          <w:rStyle w:val="OperatorTok"/>
        </w:rPr>
        <w:t xml:space="preserve">-</w:t>
      </w:r>
      <w:r>
        <w:rPr>
          <w:rStyle w:val="NormalTok"/>
        </w:rPr>
        <w:t xml:space="preserve">ZoneName each </w:t>
      </w:r>
      <w:r>
        <w:rPr>
          <w:rStyle w:val="OperatorTok"/>
        </w:rPr>
        <w:t xml:space="preserve">-</w:t>
      </w:r>
      <w:r>
        <w:rPr>
          <w:rStyle w:val="NormalTok"/>
        </w:rPr>
        <w:t xml:space="preserve">ComputerName DC</w:t>
      </w:r>
    </w:p>
    <w:p>
      <w:pPr>
        <w:pStyle w:val="FirstParagraph"/>
      </w:pPr>
      <w:r>
        <w:rPr>
          <w:b/>
          <w:bCs/>
        </w:rPr>
        <w:t xml:space="preserve">Output.</w:t>
      </w:r>
      <w:r>
        <w:t xml:space="preserve"> </w:t>
      </w:r>
      <w:r>
        <w:rPr>
          <w:rStyle w:val="VerbatimChar"/>
        </w:rPr>
        <w:t xml:space="preserve">assessments/&lt;run-id&gt;/dns-zones.json</w:t>
      </w:r>
      <w:r>
        <w:t xml:space="preserve"> </w:t>
      </w:r>
      <w:r>
        <w:t xml:space="preserve">+</w:t>
      </w:r>
      <w:r>
        <w:t xml:space="preserve"> </w:t>
      </w:r>
      <w:r>
        <w:rPr>
          <w:rStyle w:val="VerbatimChar"/>
        </w:rPr>
        <w:t xml:space="preserve">dns-records.jsonl</w:t>
      </w:r>
      <w:r>
        <w:t xml:space="preserve">.</w:t>
      </w:r>
    </w:p>
    <w:p>
      <w:pPr>
        <w:pStyle w:val="BodyText"/>
      </w:pPr>
      <w:r>
        <w:rPr>
          <w:b/>
          <w:bCs/>
        </w:rPr>
        <w:t xml:space="preserve">Feeds.</w:t>
      </w:r>
      <w:r>
        <w:t xml:space="preserve"> </w:t>
      </w:r>
      <w:r>
        <w:t xml:space="preserve">DM_015 (DNS adapter — gap); Chapter 06 (services</w:t>
      </w:r>
      <w:r>
        <w:t xml:space="preserve"> </w:t>
      </w:r>
      <w:r>
        <w:t xml:space="preserve">transformation).</w:t>
      </w:r>
    </w:p>
    <w:bookmarkEnd w:id="289"/>
    <w:bookmarkStart w:id="290" w:name="stream-9-dhcp-scopes-reservations"/>
    <w:p>
      <w:pPr>
        <w:pStyle w:val="Heading3"/>
      </w:pPr>
      <w:r>
        <w:t xml:space="preserve">Stream 9 — DHCP Scopes + Reservations</w:t>
      </w:r>
    </w:p>
    <w:p>
      <w:pPr>
        <w:pStyle w:val="FirstParagraph"/>
      </w:pPr>
      <w:r>
        <w:rPr>
          <w:b/>
          <w:bCs/>
        </w:rPr>
        <w:t xml:space="preserve">Tier B only.</w:t>
      </w:r>
    </w:p>
    <w:p>
      <w:pPr>
        <w:pStyle w:val="BodyText"/>
      </w:pPr>
      <w:r>
        <w:rPr>
          <w:b/>
          <w:bCs/>
        </w:rPr>
        <w:t xml:space="preserve">What it captures.</w:t>
      </w:r>
      <w:r>
        <w:t xml:space="preserve"> </w:t>
      </w:r>
      <w:r>
        <w:t xml:space="preserve">All DHCP servers (Microsoft-AD-integrated),</w:t>
      </w:r>
      <w:r>
        <w:t xml:space="preserve"> </w:t>
      </w:r>
      <w:r>
        <w:t xml:space="preserve">scopes, reservations, option sets, and failover relationships.</w:t>
      </w:r>
    </w:p>
    <w:p>
      <w:pPr>
        <w:pStyle w:val="BodyText"/>
      </w:pPr>
      <w:r>
        <w:rPr>
          <w:b/>
          <w:bCs/>
        </w:rPr>
        <w:t xml:space="preserve">Cmdlet skeleton.</w:t>
      </w:r>
    </w:p>
    <w:p>
      <w:pPr>
        <w:pStyle w:val="SourceCode"/>
      </w:pPr>
      <w:r>
        <w:rPr>
          <w:rStyle w:val="NormalTok"/>
        </w:rPr>
        <w:t xml:space="preserve">Get-DhcpServerInDC</w:t>
      </w:r>
      <w:r>
        <w:br/>
      </w:r>
      <w:r>
        <w:rPr>
          <w:rStyle w:val="NormalTok"/>
        </w:rPr>
        <w:t xml:space="preserve">Get-DhcpServerv4Scope </w:t>
      </w:r>
      <w:r>
        <w:rPr>
          <w:rStyle w:val="OperatorTok"/>
        </w:rPr>
        <w:t xml:space="preserve">-</w:t>
      </w:r>
      <w:r>
        <w:rPr>
          <w:rStyle w:val="NormalTok"/>
        </w:rPr>
        <w:t xml:space="preserve">ComputerName each</w:t>
      </w:r>
      <w:r>
        <w:br/>
      </w:r>
      <w:r>
        <w:rPr>
          <w:rStyle w:val="NormalTok"/>
        </w:rPr>
        <w:t xml:space="preserve">Get-DhcpServerv4Reservation </w:t>
      </w:r>
      <w:r>
        <w:rPr>
          <w:rStyle w:val="OperatorTok"/>
        </w:rPr>
        <w:t xml:space="preserve">-</w:t>
      </w:r>
      <w:r>
        <w:rPr>
          <w:rStyle w:val="NormalTok"/>
        </w:rPr>
        <w:t xml:space="preserve">ComputerName each </w:t>
      </w:r>
      <w:r>
        <w:rPr>
          <w:rStyle w:val="OperatorTok"/>
        </w:rPr>
        <w:t xml:space="preserve">-</w:t>
      </w:r>
      <w:r>
        <w:rPr>
          <w:rStyle w:val="NormalTok"/>
        </w:rPr>
        <w:t xml:space="preserve">ScopeId each</w:t>
      </w:r>
    </w:p>
    <w:p>
      <w:pPr>
        <w:pStyle w:val="FirstParagraph"/>
      </w:pPr>
      <w:r>
        <w:rPr>
          <w:b/>
          <w:bCs/>
        </w:rPr>
        <w:t xml:space="preserve">Output.</w:t>
      </w:r>
      <w:r>
        <w:t xml:space="preserve"> </w:t>
      </w:r>
      <w:r>
        <w:rPr>
          <w:rStyle w:val="VerbatimChar"/>
        </w:rPr>
        <w:t xml:space="preserve">assessments/&lt;run-id&gt;/dhcp-scopes.json</w:t>
      </w:r>
      <w:r>
        <w:t xml:space="preserve">.</w:t>
      </w:r>
    </w:p>
    <w:p>
      <w:pPr>
        <w:pStyle w:val="BodyText"/>
      </w:pPr>
      <w:r>
        <w:rPr>
          <w:b/>
          <w:bCs/>
        </w:rPr>
        <w:t xml:space="preserve">Feeds.</w:t>
      </w:r>
      <w:r>
        <w:t xml:space="preserve"> </w:t>
      </w:r>
      <w:r>
        <w:t xml:space="preserve">DM_016 (DHCP adapter — gap); Chapter 06.</w:t>
      </w:r>
    </w:p>
    <w:bookmarkEnd w:id="290"/>
    <w:bookmarkStart w:id="291" w:name="stream-10-adcs-pki"/>
    <w:p>
      <w:pPr>
        <w:pStyle w:val="Heading3"/>
      </w:pPr>
      <w:r>
        <w:t xml:space="preserve">Stream 10 — ADCS / PKI</w:t>
      </w:r>
    </w:p>
    <w:p>
      <w:pPr>
        <w:pStyle w:val="FirstParagraph"/>
      </w:pPr>
      <w:r>
        <w:rPr>
          <w:b/>
          <w:bCs/>
        </w:rPr>
        <w:t xml:space="preserve">Tier B only; highest-sensitivity stream.</w:t>
      </w:r>
    </w:p>
    <w:p>
      <w:pPr>
        <w:pStyle w:val="BodyText"/>
      </w:pPr>
      <w:r>
        <w:rPr>
          <w:b/>
          <w:bCs/>
        </w:rPr>
        <w:t xml:space="preserve">What it captures.</w:t>
      </w:r>
      <w:r>
        <w:t xml:space="preserve"> </w:t>
      </w:r>
      <w:r>
        <w:t xml:space="preserve">All CAs in the forest (root + issuing),</w:t>
      </w:r>
      <w:r>
        <w:t xml:space="preserve"> </w:t>
      </w:r>
      <w:r>
        <w:t xml:space="preserve">published certificate templates, template permissions (including the</w:t>
      </w:r>
      <w:r>
        <w:t xml:space="preserve"> </w:t>
      </w:r>
      <w:r>
        <w:t xml:space="preserve">ESC1–8 escalation patterns), issued certificates matching</w:t>
      </w:r>
      <w:r>
        <w:t xml:space="preserve"> </w:t>
      </w:r>
      <w:r>
        <w:t xml:space="preserve">high-value EKUs, CRL distribution health.</w:t>
      </w:r>
    </w:p>
    <w:p>
      <w:pPr>
        <w:pStyle w:val="BodyText"/>
      </w:pPr>
      <w:r>
        <w:rPr>
          <w:b/>
          <w:bCs/>
        </w:rPr>
        <w:t xml:space="preserve">Cmdlet skeleton.</w:t>
      </w:r>
    </w:p>
    <w:p>
      <w:pPr>
        <w:pStyle w:val="SourceCode"/>
      </w:pPr>
      <w:r>
        <w:rPr>
          <w:rStyle w:val="NormalTok"/>
        </w:rPr>
        <w:t xml:space="preserve">Get-CertificationAuthority</w:t>
      </w:r>
      <w:r>
        <w:br/>
      </w:r>
      <w:r>
        <w:rPr>
          <w:rStyle w:val="NormalTok"/>
        </w:rPr>
        <w:t xml:space="preserve">Get-CertificateTemplate </w:t>
      </w:r>
      <w:r>
        <w:rPr>
          <w:rStyle w:val="OperatorTok"/>
        </w:rPr>
        <w:t xml:space="preserve">|</w:t>
      </w:r>
      <w:r>
        <w:rPr>
          <w:rStyle w:val="NormalTok"/>
        </w:rPr>
        <w:t xml:space="preserve"> Analyze-ADCSTemplatePermission</w:t>
      </w:r>
      <w:r>
        <w:br/>
      </w:r>
      <w:r>
        <w:rPr>
          <w:rStyle w:val="NormalTok"/>
        </w:rPr>
        <w:t xml:space="preserve">Get-IssuedCertificate </w:t>
      </w:r>
      <w:r>
        <w:rPr>
          <w:rStyle w:val="OperatorTok"/>
        </w:rPr>
        <w:t xml:space="preserve">-</w:t>
      </w:r>
      <w:r>
        <w:rPr>
          <w:rStyle w:val="NormalTok"/>
        </w:rPr>
        <w:t xml:space="preserve">Template each</w:t>
      </w:r>
    </w:p>
    <w:p>
      <w:pPr>
        <w:pStyle w:val="FirstParagraph"/>
      </w:pPr>
      <w:r>
        <w:rPr>
          <w:b/>
          <w:bCs/>
        </w:rPr>
        <w:t xml:space="preserve">Output.</w:t>
      </w:r>
      <w:r>
        <w:t xml:space="preserve"> </w:t>
      </w:r>
      <w:r>
        <w:rPr>
          <w:rStyle w:val="VerbatimChar"/>
        </w:rPr>
        <w:t xml:space="preserve">assessments/&lt;run-id&gt;/adcs/</w:t>
      </w:r>
      <w:r>
        <w:t xml:space="preserve"> </w:t>
      </w:r>
      <w:r>
        <w:t xml:space="preserve">— per-CA directories with</w:t>
      </w:r>
      <w:r>
        <w:t xml:space="preserve"> </w:t>
      </w:r>
      <w:r>
        <w:t xml:space="preserve">template dumps, permission analysis, ESC1–8 findings.</w:t>
      </w:r>
    </w:p>
    <w:p>
      <w:pPr>
        <w:pStyle w:val="BodyText"/>
      </w:pPr>
      <w:r>
        <w:rPr>
          <w:b/>
          <w:bCs/>
        </w:rPr>
        <w:t xml:space="preserve">Feeds.</w:t>
      </w:r>
      <w:r>
        <w:t xml:space="preserve"> </w:t>
      </w:r>
      <w:r>
        <w:t xml:space="preserve">DM_020 (PKI adapter); Chapter 08 (CBA migration);</w:t>
      </w:r>
      <w:r>
        <w:t xml:space="preserve"> </w:t>
      </w:r>
      <w:r>
        <w:t xml:space="preserve">compliance findings (ESC1–8 are usually FISMA AC-6 findings).</w:t>
      </w:r>
    </w:p>
    <w:bookmarkEnd w:id="291"/>
    <w:bookmarkStart w:id="292" w:name="stream-11-ldap-bindings-kerberos-spn-map"/>
    <w:p>
      <w:pPr>
        <w:pStyle w:val="Heading3"/>
      </w:pPr>
      <w:r>
        <w:t xml:space="preserve">Stream 11 — LDAP Bindings + Kerberos SPN Map</w:t>
      </w:r>
    </w:p>
    <w:p>
      <w:pPr>
        <w:pStyle w:val="FirstParagraph"/>
      </w:pPr>
      <w:r>
        <w:rPr>
          <w:b/>
          <w:bCs/>
        </w:rPr>
        <w:t xml:space="preserve">What it captures.</w:t>
      </w:r>
      <w:r>
        <w:t xml:space="preserve"> </w:t>
      </w:r>
      <w:r>
        <w:t xml:space="preserve">Every application that binds to AD via LDAP/LDAPS</w:t>
      </w:r>
      <w:r>
        <w:t xml:space="preserve"> </w:t>
      </w:r>
      <w:r>
        <w:t xml:space="preserve">or uses Kerberos SPN-based auth. Discovered via Graph analysis of</w:t>
      </w:r>
      <w:r>
        <w:t xml:space="preserve"> </w:t>
      </w:r>
      <w:r>
        <w:t xml:space="preserve">computer accounts, servicePrincipalName patterns, and (where</w:t>
      </w:r>
      <w:r>
        <w:t xml:space="preserve"> </w:t>
      </w:r>
      <w:r>
        <w:t xml:space="preserve">available) IIS / app-server config scraping.</w:t>
      </w:r>
    </w:p>
    <w:p>
      <w:pPr>
        <w:pStyle w:val="BodyText"/>
      </w:pPr>
      <w:r>
        <w:rPr>
          <w:b/>
          <w:bCs/>
        </w:rPr>
        <w:t xml:space="preserve">Output.</w:t>
      </w:r>
      <w:r>
        <w:t xml:space="preserve"> </w:t>
      </w:r>
      <w:r>
        <w:rPr>
          <w:rStyle w:val="VerbatimChar"/>
        </w:rPr>
        <w:t xml:space="preserve">assessments/&lt;run-id&gt;/ldap-bindings.jsonl</w:t>
      </w:r>
      <w:r>
        <w:t xml:space="preserve"> </w:t>
      </w:r>
      <w:r>
        <w:t xml:space="preserve">+</w:t>
      </w:r>
      <w:r>
        <w:t xml:space="preserve"> </w:t>
      </w:r>
      <w:r>
        <w:rPr>
          <w:rStyle w:val="VerbatimChar"/>
        </w:rPr>
        <w:t xml:space="preserve">kerberos-spn-map.json</w:t>
      </w:r>
      <w:r>
        <w:t xml:space="preserve">.</w:t>
      </w:r>
    </w:p>
    <w:p>
      <w:pPr>
        <w:pStyle w:val="BodyText"/>
      </w:pPr>
      <w:r>
        <w:rPr>
          <w:b/>
          <w:bCs/>
        </w:rPr>
        <w:t xml:space="preserve">Feeds.</w:t>
      </w:r>
      <w:r>
        <w:t xml:space="preserve"> </w:t>
      </w:r>
      <w:r>
        <w:t xml:space="preserve">DM_040 (LDAP Proxy adapter); Chapter 05 (policy migration</w:t>
      </w:r>
      <w:r>
        <w:t xml:space="preserve"> </w:t>
      </w:r>
      <w:r>
        <w:t xml:space="preserve">— LDAP-bound apps need App Registration equivalents); the single</w:t>
      </w:r>
      <w:r>
        <w:t xml:space="preserve"> </w:t>
      </w:r>
      <w:r>
        <w:t xml:space="preserve">biggest source of modernization blockers in most forests.</w:t>
      </w:r>
    </w:p>
    <w:bookmarkEnd w:id="292"/>
    <w:bookmarkEnd w:id="293"/>
    <w:bookmarkStart w:id="294" w:name="python-augmentation"/>
    <w:p>
      <w:pPr>
        <w:pStyle w:val="Heading2"/>
      </w:pPr>
      <w:r>
        <w:t xml:space="preserve">Python augmentation</w:t>
      </w:r>
    </w:p>
    <w:p>
      <w:pPr>
        <w:pStyle w:val="FirstParagraph"/>
      </w:pPr>
      <w:r>
        <w:t xml:space="preserve">PowerShell is excellent at AD reads; it is less excellent at graph</w:t>
      </w:r>
      <w:r>
        <w:t xml:space="preserve"> </w:t>
      </w:r>
      <w:r>
        <w:t xml:space="preserve">analysis. Every stream that produces relational data (OU hierarchy,</w:t>
      </w:r>
      <w:r>
        <w:t xml:space="preserve"> </w:t>
      </w:r>
      <w:r>
        <w:t xml:space="preserve">GPO link graph, SPN-to-app map, trust-relationship graph) is</w:t>
      </w:r>
      <w:r>
        <w:t xml:space="preserve"> </w:t>
      </w:r>
      <w:r>
        <w:t xml:space="preserve">post-processed by a Python analyzer (</w:t>
      </w:r>
      <w:r>
        <w:rPr>
          <w:rStyle w:val="VerbatimChar"/>
        </w:rPr>
        <w:t xml:space="preserve">fmp.assess.graph</w:t>
      </w:r>
      <w:r>
        <w:t xml:space="preserve">) that</w:t>
      </w:r>
      <w:r>
        <w:t xml:space="preserve"> </w:t>
      </w:r>
      <w:r>
        <w:t xml:space="preserve">produces:</w:t>
      </w:r>
    </w:p>
    <w:p>
      <w:pPr>
        <w:pStyle w:val="Compact"/>
        <w:numPr>
          <w:ilvl w:val="0"/>
          <w:numId w:val="1155"/>
        </w:numPr>
      </w:pPr>
      <w:r>
        <w:rPr>
          <w:b/>
          <w:bCs/>
        </w:rPr>
        <w:t xml:space="preserve">Dependency graphs</w:t>
      </w:r>
      <w:r>
        <w:t xml:space="preserve"> </w:t>
      </w:r>
      <w:r>
        <w:t xml:space="preserve">— which OUs inherit which GPOs; which apps</w:t>
      </w:r>
      <w:r>
        <w:t xml:space="preserve"> </w:t>
      </w:r>
      <w:r>
        <w:t xml:space="preserve">depend on which SPNs.</w:t>
      </w:r>
    </w:p>
    <w:p>
      <w:pPr>
        <w:pStyle w:val="Compact"/>
        <w:numPr>
          <w:ilvl w:val="0"/>
          <w:numId w:val="1155"/>
        </w:numPr>
      </w:pPr>
      <w:r>
        <w:rPr>
          <w:b/>
          <w:bCs/>
        </w:rPr>
        <w:t xml:space="preserve">Risk scores</w:t>
      </w:r>
      <w:r>
        <w:t xml:space="preserve"> </w:t>
      </w:r>
      <w:r>
        <w:t xml:space="preserve">— stale accounts, over-privileged delegation,</w:t>
      </w:r>
      <w:r>
        <w:t xml:space="preserve"> </w:t>
      </w:r>
      <w:r>
        <w:t xml:space="preserve">ESC1–8 exposures.</w:t>
      </w:r>
    </w:p>
    <w:p>
      <w:pPr>
        <w:pStyle w:val="Compact"/>
        <w:numPr>
          <w:ilvl w:val="0"/>
          <w:numId w:val="1155"/>
        </w:numPr>
      </w:pPr>
      <w:r>
        <w:rPr>
          <w:b/>
          <w:bCs/>
        </w:rPr>
        <w:t xml:space="preserve">Gap analysis reports</w:t>
      </w:r>
      <w:r>
        <w:t xml:space="preserve"> </w:t>
      </w:r>
      <w:r>
        <w:t xml:space="preserve">— OUs with no linked GPOs, GPOs with no</w:t>
      </w:r>
      <w:r>
        <w:t xml:space="preserve"> </w:t>
      </w:r>
      <w:r>
        <w:t xml:space="preserve">enabled settings, groups with zero members, computers that haven’t</w:t>
      </w:r>
      <w:r>
        <w:t xml:space="preserve"> </w:t>
      </w:r>
      <w:r>
        <w:t xml:space="preserve">logged on in 90+ days.</w:t>
      </w:r>
    </w:p>
    <w:p>
      <w:pPr>
        <w:pStyle w:val="FirstParagraph"/>
      </w:pPr>
      <w:r>
        <w:t xml:space="preserve">Python output lands in</w:t>
      </w:r>
      <w:r>
        <w:t xml:space="preserve"> </w:t>
      </w:r>
      <w:r>
        <w:rPr>
          <w:rStyle w:val="VerbatimChar"/>
        </w:rPr>
        <w:t xml:space="preserve">assessments/&lt;run-id&gt;/analysis/</w:t>
      </w:r>
      <w:r>
        <w:t xml:space="preserve"> </w:t>
      </w:r>
      <w:r>
        <w:t xml:space="preserve">as JSON +</w:t>
      </w:r>
      <w:r>
        <w:t xml:space="preserve"> </w:t>
      </w:r>
      <w:r>
        <w:t xml:space="preserve">Markdown reports consumable by both the engine and a human reviewer.</w:t>
      </w:r>
    </w:p>
    <w:bookmarkEnd w:id="294"/>
    <w:bookmarkStart w:id="295" w:name="output-format-one-artifact-set-per-run"/>
    <w:p>
      <w:pPr>
        <w:pStyle w:val="Heading2"/>
      </w:pPr>
      <w:r>
        <w:t xml:space="preserve">Output format: one artifact set per run</w:t>
      </w:r>
    </w:p>
    <w:p>
      <w:pPr>
        <w:pStyle w:val="FirstParagraph"/>
      </w:pPr>
      <w:r>
        <w:t xml:space="preserve">Every assessment run produces the same folder layout, committed to</w:t>
      </w:r>
      <w:r>
        <w:t xml:space="preserve"> </w:t>
      </w:r>
      <w:r>
        <w:t xml:space="preserve">Gitea under</w:t>
      </w:r>
      <w:r>
        <w:t xml:space="preserve"> </w:t>
      </w:r>
      <w:r>
        <w:rPr>
          <w:rStyle w:val="VerbatimChar"/>
        </w:rPr>
        <w:t xml:space="preserve">assessments/&lt;run-id&gt;/</w:t>
      </w:r>
      <w:r>
        <w:t xml:space="preserve">. The run-id is</w:t>
      </w:r>
      <w:r>
        <w:t xml:space="preserve"> </w:t>
      </w:r>
      <w:r>
        <w:rPr>
          <w:rStyle w:val="VerbatimChar"/>
        </w:rPr>
        <w:t xml:space="preserve">YYYY-MM-DD-HHmm-&lt;host&gt;-&lt;tier&gt;</w:t>
      </w:r>
      <w:r>
        <w:t xml:space="preserve"> </w:t>
      </w:r>
      <w:r>
        <w:t xml:space="preserve">(UTC).</w:t>
      </w:r>
    </w:p>
    <w:p>
      <w:pPr>
        <w:pStyle w:val="SourceCode"/>
      </w:pPr>
      <w:r>
        <w:rPr>
          <w:rStyle w:val="VerbatimChar"/>
        </w:rPr>
        <w:t xml:space="preserve">assessments/</w:t>
      </w:r>
      <w:r>
        <w:br/>
      </w:r>
      <w:r>
        <w:rPr>
          <w:rStyle w:val="VerbatimChar"/>
        </w:rPr>
        <w:t xml:space="preserve">└── 2026-04-24-1030-FMP-GIT01-tierB/</w:t>
      </w:r>
      <w:r>
        <w:br/>
      </w:r>
      <w:r>
        <w:rPr>
          <w:rStyle w:val="VerbatimChar"/>
        </w:rPr>
        <w:t xml:space="preserve">    ├── provenance.yaml              ← who/what/when/hash</w:t>
      </w:r>
      <w:r>
        <w:br/>
      </w:r>
      <w:r>
        <w:rPr>
          <w:rStyle w:val="VerbatimChar"/>
        </w:rPr>
        <w:t xml:space="preserve">    ├── forest-topology.json</w:t>
      </w:r>
      <w:r>
        <w:br/>
      </w:r>
      <w:r>
        <w:rPr>
          <w:rStyle w:val="VerbatimChar"/>
        </w:rPr>
        <w:t xml:space="preserve">    ├── ou-hierarchy.json</w:t>
      </w:r>
      <w:r>
        <w:br/>
      </w:r>
      <w:r>
        <w:rPr>
          <w:rStyle w:val="VerbatimChar"/>
        </w:rPr>
        <w:t xml:space="preserve">    ├── users.jsonl</w:t>
      </w:r>
      <w:r>
        <w:br/>
      </w:r>
      <w:r>
        <w:rPr>
          <w:rStyle w:val="VerbatimChar"/>
        </w:rPr>
        <w:t xml:space="preserve">    ├── computers.jsonl</w:t>
      </w:r>
      <w:r>
        <w:br/>
      </w:r>
      <w:r>
        <w:rPr>
          <w:rStyle w:val="VerbatimChar"/>
        </w:rPr>
        <w:t xml:space="preserve">    ├── spn-inventory.json</w:t>
      </w:r>
      <w:r>
        <w:br/>
      </w:r>
      <w:r>
        <w:rPr>
          <w:rStyle w:val="VerbatimChar"/>
        </w:rPr>
        <w:t xml:space="preserve">    ├── groups.jsonl</w:t>
      </w:r>
      <w:r>
        <w:br/>
      </w:r>
      <w:r>
        <w:rPr>
          <w:rStyle w:val="VerbatimChar"/>
        </w:rPr>
        <w:t xml:space="preserve">    ├── gpos/</w:t>
      </w:r>
      <w:r>
        <w:br/>
      </w:r>
      <w:r>
        <w:rPr>
          <w:rStyle w:val="VerbatimChar"/>
        </w:rPr>
        <w:t xml:space="preserve">    │   ├── gpo-index.json</w:t>
      </w:r>
      <w:r>
        <w:br/>
      </w:r>
      <w:r>
        <w:rPr>
          <w:rStyle w:val="VerbatimChar"/>
        </w:rPr>
        <w:t xml:space="preserve">    │   └── {guid}.xml</w:t>
      </w:r>
      <w:r>
        <w:br/>
      </w:r>
      <w:r>
        <w:rPr>
          <w:rStyle w:val="VerbatimChar"/>
        </w:rPr>
        <w:t xml:space="preserve">    ├── dns-zones.json</w:t>
      </w:r>
      <w:r>
        <w:br/>
      </w:r>
      <w:r>
        <w:rPr>
          <w:rStyle w:val="VerbatimChar"/>
        </w:rPr>
        <w:t xml:space="preserve">    ├── dns-records.jsonl</w:t>
      </w:r>
      <w:r>
        <w:br/>
      </w:r>
      <w:r>
        <w:rPr>
          <w:rStyle w:val="VerbatimChar"/>
        </w:rPr>
        <w:t xml:space="preserve">    ├── dhcp-scopes.json</w:t>
      </w:r>
      <w:r>
        <w:br/>
      </w:r>
      <w:r>
        <w:rPr>
          <w:rStyle w:val="VerbatimChar"/>
        </w:rPr>
        <w:t xml:space="preserve">    ├── adcs/</w:t>
      </w:r>
      <w:r>
        <w:br/>
      </w:r>
      <w:r>
        <w:rPr>
          <w:rStyle w:val="VerbatimChar"/>
        </w:rPr>
        <w:t xml:space="preserve">    │   └── {ca-name}/</w:t>
      </w:r>
      <w:r>
        <w:br/>
      </w:r>
      <w:r>
        <w:rPr>
          <w:rStyle w:val="VerbatimChar"/>
        </w:rPr>
        <w:t xml:space="preserve">    ├── ldap-bindings.jsonl</w:t>
      </w:r>
      <w:r>
        <w:br/>
      </w:r>
      <w:r>
        <w:rPr>
          <w:rStyle w:val="VerbatimChar"/>
        </w:rPr>
        <w:t xml:space="preserve">    ├── kerberos-spn-map.json</w:t>
      </w:r>
      <w:r>
        <w:br/>
      </w:r>
      <w:r>
        <w:rPr>
          <w:rStyle w:val="VerbatimChar"/>
        </w:rPr>
        <w:t xml:space="preserve">    └── analysis/</w:t>
      </w:r>
      <w:r>
        <w:br/>
      </w:r>
      <w:r>
        <w:rPr>
          <w:rStyle w:val="VerbatimChar"/>
        </w:rPr>
        <w:t xml:space="preserve">        ├── risk-scorecard.md</w:t>
      </w:r>
      <w:r>
        <w:br/>
      </w:r>
      <w:r>
        <w:rPr>
          <w:rStyle w:val="VerbatimChar"/>
        </w:rPr>
        <w:t xml:space="preserve">        ├── dependency-graph.json</w:t>
      </w:r>
      <w:r>
        <w:br/>
      </w:r>
      <w:r>
        <w:rPr>
          <w:rStyle w:val="VerbatimChar"/>
        </w:rPr>
        <w:t xml:space="preserve">        └── gap-findings.md</w:t>
      </w:r>
    </w:p>
    <w:p>
      <w:pPr>
        <w:pStyle w:val="FirstParagraph"/>
      </w:pPr>
      <w:r>
        <w:t xml:space="preserve">Every commit of this folder is a single</w:t>
      </w:r>
      <w:r>
        <w:t xml:space="preserve"> </w:t>
      </w:r>
      <w:r>
        <w:rPr>
          <w:rStyle w:val="VerbatimChar"/>
        </w:rPr>
        <w:t xml:space="preserve">feat(assess): run-id …</w:t>
      </w:r>
      <w:r>
        <w:t xml:space="preserve"> </w:t>
      </w:r>
      <w:r>
        <w:t xml:space="preserve">commit, signed, attributable. No assessment artifact lives outside</w:t>
      </w:r>
      <w:r>
        <w:t xml:space="preserve"> </w:t>
      </w:r>
      <w:r>
        <w:t xml:space="preserve">Gitea; no assessment run executes twice with the same run-id.</w:t>
      </w:r>
    </w:p>
    <w:bookmarkEnd w:id="295"/>
    <w:bookmarkStart w:id="296" w:name="what-happens-next"/>
    <w:p>
      <w:pPr>
        <w:pStyle w:val="Heading2"/>
      </w:pPr>
      <w:r>
        <w:t xml:space="preserve">What happens next</w:t>
      </w:r>
    </w:p>
    <w:p>
      <w:pPr>
        <w:pStyle w:val="FirstParagraph"/>
      </w:pPr>
      <w:r>
        <w:t xml:space="preserve">The output of Chapter 02 is the input to Chapter 03. The transformation</w:t>
      </w:r>
      <w:r>
        <w:t xml:space="preserve"> </w:t>
      </w:r>
      <w:r>
        <w:t xml:space="preserve">engine takes the</w:t>
      </w:r>
      <w:r>
        <w:t xml:space="preserve"> </w:t>
      </w:r>
      <w:r>
        <w:rPr>
          <w:rStyle w:val="VerbatimChar"/>
        </w:rPr>
        <w:t xml:space="preserve">assessments/&lt;run-id&gt;/</w:t>
      </w:r>
      <w:r>
        <w:t xml:space="preserve"> </w:t>
      </w:r>
      <w:r>
        <w:t xml:space="preserve">folder, runs it through the</w:t>
      </w:r>
      <w:r>
        <w:t xml:space="preserve"> </w:t>
      </w:r>
      <w:r>
        <w:t xml:space="preserve">plan generator, and produces a matched</w:t>
      </w:r>
      <w:r>
        <w:t xml:space="preserve"> </w:t>
      </w:r>
      <w:r>
        <w:rPr>
          <w:rStyle w:val="VerbatimChar"/>
        </w:rPr>
        <w:t xml:space="preserve">plans/&lt;plan-id&gt;/</w:t>
      </w:r>
      <w:r>
        <w:t xml:space="preserve"> </w:t>
      </w:r>
      <w:r>
        <w:t xml:space="preserve">folder of</w:t>
      </w:r>
      <w:r>
        <w:t xml:space="preserve"> </w:t>
      </w:r>
      <w:r>
        <w:t xml:space="preserve">deterministic transformation actions. The plan is reviewed (by the</w:t>
      </w:r>
      <w:r>
        <w:t xml:space="preserve"> </w:t>
      </w:r>
      <w:r>
        <w:t xml:space="preserve">Canon Steward + Copilot), authorized, and then dispatched to the</w:t>
      </w:r>
      <w:r>
        <w:t xml:space="preserve"> </w:t>
      </w:r>
      <w:r>
        <w:t xml:space="preserve">Execution Substrate for delivery.</w:t>
      </w:r>
    </w:p>
    <w:p>
      <w:pPr>
        <w:pStyle w:val="BodyText"/>
      </w:pPr>
      <w:r>
        <w:t xml:space="preserve">Assessment and planning are deliberately separate steps. An assessment</w:t>
      </w:r>
      <w:r>
        <w:t xml:space="preserve"> </w:t>
      </w:r>
      <w:r>
        <w:t xml:space="preserve">without a plan is a report; a plan without an assessment is a guess.</w:t>
      </w:r>
      <w:r>
        <w:t xml:space="preserve"> </w:t>
      </w:r>
      <w:r>
        <w:t xml:space="preserve">Only together do they produce governed modernization.</w:t>
      </w:r>
    </w:p>
    <w:bookmarkEnd w:id="296"/>
    <w:bookmarkStart w:id="297" w:name="reference-material"/>
    <w:p>
      <w:pPr>
        <w:pStyle w:val="Heading2"/>
      </w:pPr>
      <w:r>
        <w:t xml:space="preserve">Reference material</w:t>
      </w:r>
    </w:p>
    <w:p>
      <w:pPr>
        <w:pStyle w:val="Compact"/>
        <w:numPr>
          <w:ilvl w:val="0"/>
          <w:numId w:val="1156"/>
        </w:numPr>
      </w:pPr>
      <w:r>
        <w:rPr>
          <w:b/>
          <w:bCs/>
        </w:rPr>
        <w:t xml:space="preserve">Posted: The Federal Modernization Program Active Directory Interaction Guide</w:t>
      </w:r>
      <w:r>
        <w:t xml:space="preserve"> </w:t>
      </w:r>
      <w:r>
        <w:t xml:space="preserve">(11,677 words) —</w:t>
      </w:r>
      <w:r>
        <w:t xml:space="preserve"> </w:t>
      </w:r>
      <w:r>
        <w:t xml:space="preserve">the Tier B reference implementation.</w:t>
      </w:r>
    </w:p>
    <w:p>
      <w:pPr>
        <w:pStyle w:val="Compact"/>
        <w:numPr>
          <w:ilvl w:val="0"/>
          <w:numId w:val="1156"/>
        </w:numPr>
      </w:pPr>
      <w:r>
        <w:rPr>
          <w:b/>
          <w:bCs/>
        </w:rPr>
        <w:t xml:space="preserve">Posted: The Federal Modernization Program Read-Only AD Assessment Guide</w:t>
      </w:r>
      <w:r>
        <w:t xml:space="preserve"> </w:t>
      </w:r>
      <w:r>
        <w:t xml:space="preserve">(10,858 words) — the</w:t>
      </w:r>
      <w:r>
        <w:t xml:space="preserve"> </w:t>
      </w:r>
      <w:r>
        <w:t xml:space="preserve">Tier A reference implementation (least-privilege, ~87% coverage).</w:t>
      </w:r>
    </w:p>
    <w:p>
      <w:pPr>
        <w:pStyle w:val="Compact"/>
        <w:numPr>
          <w:ilvl w:val="0"/>
          <w:numId w:val="1156"/>
        </w:numPr>
      </w:pPr>
      <w:r>
        <w:rPr>
          <w:b/>
          <w:bCs/>
        </w:rPr>
        <w:t xml:space="preserve">Posted: The Federal Modernization Program PowerShell Module Reference</w:t>
      </w:r>
      <w:r>
        <w:t xml:space="preserve"> </w:t>
      </w:r>
      <w:r>
        <w:t xml:space="preserve">(9,248 words) — the</w:t>
      </w:r>
      <w:r>
        <w:t xml:space="preserve"> </w:t>
      </w:r>
      <w:r>
        <w:rPr>
          <w:rStyle w:val="VerbatimChar"/>
        </w:rPr>
        <w:t xml:space="preserve">FMPADAssessment</w:t>
      </w:r>
      <w:r>
        <w:t xml:space="preserve"> </w:t>
      </w:r>
      <w:r>
        <w:t xml:space="preserve">module surface.</w:t>
      </w:r>
    </w:p>
    <w:p>
      <w:pPr>
        <w:pStyle w:val="Compact"/>
        <w:numPr>
          <w:ilvl w:val="0"/>
          <w:numId w:val="1156"/>
        </w:numPr>
      </w:pPr>
      <w:r>
        <w:rPr>
          <w:b/>
          <w:bCs/>
        </w:rPr>
        <w:t xml:space="preserve">Canon:</w:t>
      </w:r>
      <w:r>
        <w:t xml:space="preserve"> </w:t>
      </w:r>
      <w:r>
        <w:t xml:space="preserve">FMP_159 PowerShell Validation Module.</w:t>
      </w:r>
    </w:p>
    <w:p>
      <w:r>
        <w:pict>
          <v:rect style="width:0;height:1.5pt" o:hralign="center" o:hrstd="t" o:hr="t"/>
        </w:pict>
      </w:r>
    </w:p>
    <w:p>
      <w:pPr>
        <w:pStyle w:val="FirstParagraph"/>
      </w:pPr>
      <w:r>
        <w:rPr>
          <w:b/>
          <w:bCs/>
        </w:rPr>
        <w:t xml:space="preserve">Next:</w:t>
      </w:r>
      <w:r>
        <w:t xml:space="preserve"> </w:t>
      </w:r>
      <w:r>
        <w:t xml:space="preserve">Chapter 03 — Analysis → Plan → Delivery</w:t>
      </w:r>
    </w:p>
    <w:bookmarkEnd w:id="297"/>
    <w:bookmarkEnd w:id="298"/>
    <w:bookmarkStart w:id="301" w:name="d.-directory-migration-dm_"/>
    <w:p>
      <w:pPr>
        <w:pStyle w:val="Heading1"/>
      </w:pPr>
      <w:r>
        <w:t xml:space="preserve">D. Directory Migration (DM_*)</w:t>
      </w:r>
    </w:p>
    <w:p>
      <w:pPr>
        <w:pStyle w:val="FirstParagraph"/>
      </w:pPr>
      <w:r>
        <w:t xml:space="preserve">Active Directory was the implicit governance anchor for eleven categories</w:t>
      </w:r>
      <w:r>
        <w:t xml:space="preserve"> </w:t>
      </w:r>
      <w:r>
        <w:t xml:space="preserve">of infrastructure objects. When AD goes away, each must be migrated to a</w:t>
      </w:r>
      <w:r>
        <w:t xml:space="preserve"> </w:t>
      </w:r>
      <w:r>
        <w:t xml:space="preserve">modern equivalent with governance preserved. DM_* adapters define the</w:t>
      </w:r>
      <w:r>
        <w:t xml:space="preserve"> </w:t>
      </w:r>
      <w:r>
        <w:t xml:space="preserve">interface; vendor implementations plug in underneath.</w:t>
      </w:r>
    </w:p>
    <w:bookmarkStart w:id="299" w:name="leaves-1"/>
    <w:p>
      <w:pPr>
        <w:pStyle w:val="Heading2"/>
      </w:pPr>
      <w:r>
        <w:t xml:space="preserve">Leaves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ID</w:t>
            </w:r>
          </w:p>
        </w:tc>
        <w:tc>
          <w:tcPr/>
          <w:p>
            <w:pPr>
              <w:pStyle w:val="Compact"/>
            </w:pPr>
            <w:r>
              <w:t xml:space="preserve">Adapter</w:t>
            </w:r>
          </w:p>
        </w:tc>
        <w:tc>
          <w:tcPr/>
          <w:p>
            <w:pPr>
              <w:pStyle w:val="Compact"/>
            </w:pPr>
            <w:r>
              <w:t xml:space="preserve">Status</w:t>
            </w:r>
          </w:p>
        </w:tc>
      </w:tr>
      <w:tr>
        <w:tc>
          <w:tcPr/>
          <w:p>
            <w:pPr>
              <w:pStyle w:val="Compact"/>
            </w:pPr>
            <w:r>
              <w:rPr>
                <w:b/>
                <w:bCs/>
              </w:rPr>
              <w:t xml:space="preserve">D.1</w:t>
            </w:r>
          </w:p>
        </w:tc>
        <w:tc>
          <w:tcPr/>
          <w:p>
            <w:pPr>
              <w:pStyle w:val="Compact"/>
            </w:pPr>
            <w:r>
              <w:t xml:space="preserve">IPAM Adapter — DM_010</w:t>
            </w:r>
          </w:p>
        </w:tc>
        <w:tc>
          <w:tcPr/>
          <w:p>
            <w:pPr>
              <w:pStyle w:val="Compact"/>
            </w:pPr>
            <w:r>
              <w:t xml:space="preserve">Source present</w:t>
            </w:r>
          </w:p>
        </w:tc>
      </w:tr>
      <w:tr>
        <w:tc>
          <w:tcPr/>
          <w:p>
            <w:pPr>
              <w:pStyle w:val="Compact"/>
            </w:pPr>
            <w:r>
              <w:rPr>
                <w:b/>
                <w:bCs/>
              </w:rPr>
              <w:t xml:space="preserve">D.2</w:t>
            </w:r>
          </w:p>
        </w:tc>
        <w:tc>
          <w:tcPr/>
          <w:p>
            <w:pPr>
              <w:pStyle w:val="Compact"/>
            </w:pPr>
            <w:r>
              <w:t xml:space="preserve">DNS Adapter — DM_015</w:t>
            </w:r>
          </w:p>
        </w:tc>
        <w:tc>
          <w:tcPr/>
          <w:p>
            <w:pPr>
              <w:pStyle w:val="Compact"/>
            </w:pPr>
            <w:r>
              <w:t xml:space="preserve">⚠</w:t>
            </w:r>
            <w:r>
              <w:t xml:space="preserve"> </w:t>
            </w:r>
            <w:r>
              <w:rPr>
                <w:i/>
                <w:iCs/>
              </w:rPr>
              <w:t xml:space="preserve">gap — not in registry</w:t>
            </w:r>
          </w:p>
        </w:tc>
      </w:tr>
      <w:tr>
        <w:tc>
          <w:tcPr/>
          <w:p>
            <w:pPr>
              <w:pStyle w:val="Compact"/>
            </w:pPr>
            <w:r>
              <w:rPr>
                <w:b/>
                <w:bCs/>
              </w:rPr>
              <w:t xml:space="preserve">D.3</w:t>
            </w:r>
          </w:p>
        </w:tc>
        <w:tc>
          <w:tcPr/>
          <w:p>
            <w:pPr>
              <w:pStyle w:val="Compact"/>
            </w:pPr>
            <w:r>
              <w:t xml:space="preserve">DHCP Adapter — DM_016</w:t>
            </w:r>
          </w:p>
        </w:tc>
        <w:tc>
          <w:tcPr/>
          <w:p>
            <w:pPr>
              <w:pStyle w:val="Compact"/>
            </w:pPr>
            <w:r>
              <w:t xml:space="preserve">⚠</w:t>
            </w:r>
            <w:r>
              <w:t xml:space="preserve"> </w:t>
            </w:r>
            <w:r>
              <w:rPr>
                <w:i/>
                <w:iCs/>
              </w:rPr>
              <w:t xml:space="preserve">gap</w:t>
            </w:r>
          </w:p>
        </w:tc>
      </w:tr>
      <w:tr>
        <w:tc>
          <w:tcPr/>
          <w:p>
            <w:pPr>
              <w:pStyle w:val="Compact"/>
            </w:pPr>
            <w:r>
              <w:rPr>
                <w:b/>
                <w:bCs/>
              </w:rPr>
              <w:t xml:space="preserve">D.4</w:t>
            </w:r>
          </w:p>
        </w:tc>
        <w:tc>
          <w:tcPr/>
          <w:p>
            <w:pPr>
              <w:pStyle w:val="Compact"/>
            </w:pPr>
            <w:r>
              <w:t xml:space="preserve">PKI / ADCS Adapter — DM_020</w:t>
            </w:r>
          </w:p>
        </w:tc>
        <w:tc>
          <w:tcPr/>
          <w:p>
            <w:pPr>
              <w:pStyle w:val="Compact"/>
            </w:pPr>
            <w:r>
              <w:t xml:space="preserve">Source present</w:t>
            </w:r>
          </w:p>
        </w:tc>
      </w:tr>
      <w:tr>
        <w:tc>
          <w:tcPr/>
          <w:p>
            <w:pPr>
              <w:pStyle w:val="Compact"/>
            </w:pPr>
            <w:r>
              <w:rPr>
                <w:b/>
                <w:bCs/>
              </w:rPr>
              <w:t xml:space="preserve">D.5</w:t>
            </w:r>
          </w:p>
        </w:tc>
        <w:tc>
          <w:tcPr/>
          <w:p>
            <w:pPr>
              <w:pStyle w:val="Compact"/>
            </w:pPr>
            <w:r>
              <w:t xml:space="preserve">RADIUS / NPS Adapter — DM_030</w:t>
            </w:r>
          </w:p>
        </w:tc>
        <w:tc>
          <w:tcPr/>
          <w:p>
            <w:pPr>
              <w:pStyle w:val="Compact"/>
            </w:pPr>
            <w:r>
              <w:t xml:space="preserve">Source present</w:t>
            </w:r>
          </w:p>
        </w:tc>
      </w:tr>
      <w:tr>
        <w:tc>
          <w:tcPr/>
          <w:p>
            <w:pPr>
              <w:pStyle w:val="Compact"/>
            </w:pPr>
            <w:r>
              <w:rPr>
                <w:b/>
                <w:bCs/>
              </w:rPr>
              <w:t xml:space="preserve">D.6</w:t>
            </w:r>
          </w:p>
        </w:tc>
        <w:tc>
          <w:tcPr/>
          <w:p>
            <w:pPr>
              <w:pStyle w:val="Compact"/>
            </w:pPr>
            <w:r>
              <w:t xml:space="preserve">LDAP Proxy Adapter — DM_040</w:t>
            </w:r>
          </w:p>
        </w:tc>
        <w:tc>
          <w:tcPr/>
          <w:p>
            <w:pPr>
              <w:pStyle w:val="Compact"/>
            </w:pPr>
            <w:r>
              <w:t xml:space="preserve">Source present</w:t>
            </w:r>
          </w:p>
        </w:tc>
      </w:tr>
      <w:tr>
        <w:tc>
          <w:tcPr/>
          <w:p>
            <w:pPr>
              <w:pStyle w:val="Compact"/>
            </w:pPr>
            <w:r>
              <w:rPr>
                <w:b/>
                <w:bCs/>
              </w:rPr>
              <w:t xml:space="preserve">D.7</w:t>
            </w:r>
          </w:p>
        </w:tc>
        <w:tc>
          <w:tcPr/>
          <w:p>
            <w:pPr>
              <w:pStyle w:val="Compact"/>
            </w:pPr>
            <w:r>
              <w:t xml:space="preserve">Sync Engine Adapter — DM_050</w:t>
            </w:r>
          </w:p>
        </w:tc>
        <w:tc>
          <w:tcPr/>
          <w:p>
            <w:pPr>
              <w:pStyle w:val="Compact"/>
            </w:pPr>
            <w:r>
              <w:t xml:space="preserve">Source present</w:t>
            </w:r>
          </w:p>
        </w:tc>
      </w:tr>
      <w:tr>
        <w:tc>
          <w:tcPr/>
          <w:p>
            <w:pPr>
              <w:pStyle w:val="Compact"/>
            </w:pPr>
            <w:r>
              <w:rPr>
                <w:b/>
                <w:bCs/>
              </w:rPr>
              <w:t xml:space="preserve">D.8</w:t>
            </w:r>
          </w:p>
        </w:tc>
        <w:tc>
          <w:tcPr/>
          <w:p>
            <w:pPr>
              <w:pStyle w:val="Compact"/>
            </w:pPr>
            <w:r>
              <w:t xml:space="preserve">Device Management Adapter — DM_060</w:t>
            </w:r>
          </w:p>
        </w:tc>
        <w:tc>
          <w:tcPr/>
          <w:p>
            <w:pPr>
              <w:pStyle w:val="Compact"/>
            </w:pPr>
            <w:r>
              <w:t xml:space="preserve">Source present</w:t>
            </w:r>
          </w:p>
        </w:tc>
      </w:tr>
      <w:tr>
        <w:tc>
          <w:tcPr/>
          <w:p>
            <w:pPr>
              <w:pStyle w:val="Compact"/>
            </w:pPr>
            <w:r>
              <w:rPr>
                <w:b/>
                <w:bCs/>
              </w:rPr>
              <w:t xml:space="preserve">D.9</w:t>
            </w:r>
          </w:p>
        </w:tc>
        <w:tc>
          <w:tcPr/>
          <w:p>
            <w:pPr>
              <w:pStyle w:val="Compact"/>
            </w:pPr>
            <w:r>
              <w:t xml:space="preserve">NTP Adapter — DM_070</w:t>
            </w:r>
          </w:p>
        </w:tc>
        <w:tc>
          <w:tcPr/>
          <w:p>
            <w:pPr>
              <w:pStyle w:val="Compact"/>
            </w:pPr>
            <w:r>
              <w:t xml:space="preserve">Source present</w:t>
            </w:r>
          </w:p>
        </w:tc>
      </w:tr>
      <w:tr>
        <w:tc>
          <w:tcPr/>
          <w:p>
            <w:pPr>
              <w:pStyle w:val="Compact"/>
            </w:pPr>
            <w:r>
              <w:rPr>
                <w:b/>
                <w:bCs/>
              </w:rPr>
              <w:t xml:space="preserve">D.10</w:t>
            </w:r>
          </w:p>
        </w:tc>
        <w:tc>
          <w:tcPr/>
          <w:p>
            <w:pPr>
              <w:pStyle w:val="Compact"/>
            </w:pPr>
            <w:r>
              <w:t xml:space="preserve">DFS Adapter — DM_080</w:t>
            </w:r>
          </w:p>
        </w:tc>
        <w:tc>
          <w:tcPr/>
          <w:p>
            <w:pPr>
              <w:pStyle w:val="Compact"/>
            </w:pPr>
            <w:r>
              <w:t xml:space="preserve">Source present</w:t>
            </w:r>
          </w:p>
        </w:tc>
      </w:tr>
      <w:tr>
        <w:tc>
          <w:tcPr/>
          <w:p>
            <w:pPr>
              <w:pStyle w:val="Compact"/>
            </w:pPr>
            <w:r>
              <w:rPr>
                <w:b/>
                <w:bCs/>
              </w:rPr>
              <w:t xml:space="preserve">D.11</w:t>
            </w:r>
          </w:p>
        </w:tc>
        <w:tc>
          <w:tcPr/>
          <w:p>
            <w:pPr>
              <w:pStyle w:val="Compact"/>
            </w:pPr>
            <w:r>
              <w:t xml:space="preserve">SPN / App Registration — DM_085</w:t>
            </w:r>
          </w:p>
        </w:tc>
        <w:tc>
          <w:tcPr/>
          <w:p>
            <w:pPr>
              <w:pStyle w:val="Compact"/>
            </w:pPr>
            <w:r>
              <w:t xml:space="preserve">⚠</w:t>
            </w:r>
            <w:r>
              <w:t xml:space="preserve"> </w:t>
            </w:r>
            <w:r>
              <w:rPr>
                <w:i/>
                <w:iCs/>
              </w:rPr>
              <w:t xml:space="preserve">gap</w:t>
            </w:r>
          </w:p>
        </w:tc>
      </w:tr>
      <w:tr>
        <w:tc>
          <w:tcPr/>
          <w:p>
            <w:pPr>
              <w:pStyle w:val="Compact"/>
            </w:pPr>
            <w:r>
              <w:rPr>
                <w:b/>
                <w:bCs/>
              </w:rPr>
              <w:t xml:space="preserve">D.12</w:t>
            </w:r>
          </w:p>
        </w:tc>
        <w:tc>
          <w:tcPr/>
          <w:p>
            <w:pPr>
              <w:pStyle w:val="Compact"/>
            </w:pPr>
            <w:r>
              <w:t xml:space="preserve">Trust Relationship — DM_090</w:t>
            </w:r>
          </w:p>
        </w:tc>
        <w:tc>
          <w:tcPr/>
          <w:p>
            <w:pPr>
              <w:pStyle w:val="Compact"/>
            </w:pPr>
            <w:r>
              <w:t xml:space="preserve">⚠</w:t>
            </w:r>
            <w:r>
              <w:t xml:space="preserve"> </w:t>
            </w:r>
            <w:r>
              <w:rPr>
                <w:i/>
                <w:iCs/>
              </w:rPr>
              <w:t xml:space="preserve">gap</w:t>
            </w:r>
          </w:p>
        </w:tc>
      </w:tr>
    </w:tbl>
    <w:p>
      <w:pPr>
        <w:pStyle w:val="BodyText"/>
      </w:pPr>
      <w:r>
        <w:t xml:space="preserve">Canon surface: modernization/directory-migration.qmd</w:t>
      </w:r>
    </w:p>
    <w:bookmarkEnd w:id="299"/>
    <w:bookmarkStart w:id="300" w:name="X616ebc7fc55073433cd3ffca5acba3135189478"/>
    <w:p>
      <w:pPr>
        <w:pStyle w:val="Heading2"/>
      </w:pPr>
      <w:r>
        <w:t xml:space="preserve">Canon Phase Mapping Requirement (the program decision)</w:t>
      </w:r>
    </w:p>
    <w:p>
      <w:pPr>
        <w:pStyle w:val="FirstParagraph"/>
      </w:pPr>
      <w:r>
        <w:t xml:space="preserve">Every leaf in this subcategory — DNS, PKI, RADIUS, LDAP, DHCP, Sync Engine, Device Management, NTP, DFS, and the SPN / Trust gap-fillers — MUST publish a</w:t>
      </w:r>
      <w:r>
        <w:t xml:space="preserve"> </w:t>
      </w:r>
      <w:r>
        <w:rPr>
          <w:b/>
          <w:bCs/>
        </w:rPr>
        <w:t xml:space="preserve">Canon Phase Mapping</w:t>
      </w:r>
      <w:r>
        <w:t xml:space="preserve"> </w:t>
      </w:r>
      <w:r>
        <w:t xml:space="preserve">table at the top of its operational guide, mapping the guide’s phases to the canonical six-phase Directory Migration model (Discover → Normalize → Map → Migrate → Validate → Decommission). Per [the program decision], this requirement applies to every existing and future adapter guide in this taxonomy.</w:t>
      </w:r>
    </w:p>
    <w:p>
      <w:pPr>
        <w:pStyle w:val="BodyText"/>
      </w:pPr>
      <w:r>
        <w:t xml:space="preserve">Reference implementations: DNS Modernization (11→6 mapping) and PKI Modernization (6→6 mapping). Contributor guidance is in [</w:t>
      </w:r>
      <w:r>
        <w:rPr>
          <w:rStyle w:val="VerbatimChar"/>
        </w:rPr>
        <w:t xml:space="preserve">src/fmp/modernization/directory-migration/README.md</w:t>
      </w:r>
      <w:r>
        <w:t xml:space="preserve">] under</w:t>
      </w:r>
      <w:r>
        <w:t xml:space="preserve"> </w:t>
      </w:r>
      <w:r>
        <w:t xml:space="preserve">“Adding a New Adapter Migration Guide”</w:t>
      </w:r>
      <w:r>
        <w:t xml:space="preserve">.</w:t>
      </w:r>
    </w:p>
    <w:bookmarkEnd w:id="300"/>
    <w:bookmarkEnd w:id="301"/>
    <w:bookmarkStart w:id="306" w:name="Xb95294a528381c95c24a86aeca11ee8ca022297"/>
    <w:p>
      <w:pPr>
        <w:pStyle w:val="Heading1"/>
      </w:pPr>
      <w:r>
        <w:t xml:space="preserve">Help Desk / Cloud Services — Entra ID Operations</w:t>
      </w:r>
    </w:p>
    <w:p>
      <w:pPr>
        <w:pStyle w:val="FirstParagraph"/>
      </w:pPr>
      <w:r>
        <w:t xml:space="preserve">These three reference documents define how an agency moves routine Microsoft</w:t>
      </w:r>
      <w:r>
        <w:t xml:space="preserve"> </w:t>
      </w:r>
      <w:r>
        <w:t xml:space="preserve">Entra ID identity work to the Help Desk / Cloud Services team</w:t>
      </w:r>
      <w:r>
        <w:t xml:space="preserve"> </w:t>
      </w:r>
      <w:r>
        <w:rPr>
          <w:b/>
          <w:bCs/>
        </w:rPr>
        <w:t xml:space="preserve">without</w:t>
      </w:r>
      <w:r>
        <w:t xml:space="preserve"> </w:t>
      </w:r>
      <w:r>
        <w:t xml:space="preserve">moving</w:t>
      </w:r>
      <w:r>
        <w:t xml:space="preserve"> </w:t>
      </w:r>
      <w:r>
        <w:t xml:space="preserve">governance authority with it. They name only the platforms an agency already</w:t>
      </w:r>
      <w:r>
        <w:t xml:space="preserve"> </w:t>
      </w:r>
      <w:r>
        <w:t xml:space="preserve">runs — Entra ID, SAM (SailPoint IGA), ServiceNow, and Microsoft PIM — and assume</w:t>
      </w:r>
      <w:r>
        <w:t xml:space="preserve"> </w:t>
      </w:r>
      <w:r>
        <w:t xml:space="preserve">an existing Hybrid AD → Entra ID estate.</w:t>
      </w:r>
    </w:p>
    <w:p>
      <w:pPr>
        <w:pStyle w:val="BodyText"/>
      </w:pPr>
      <w:r>
        <w:t xml:space="preserve">The throughline across all three:</w:t>
      </w:r>
      <w:r>
        <w:t xml:space="preserve"> </w:t>
      </w:r>
      <w:r>
        <w:rPr>
          <w:b/>
          <w:bCs/>
        </w:rPr>
        <w:t xml:space="preserve">SAM governs and approves, ServiceNow routes</w:t>
      </w:r>
      <w:r>
        <w:rPr>
          <w:b/>
          <w:bCs/>
        </w:rPr>
        <w:t xml:space="preserve"> </w:t>
      </w:r>
      <w:r>
        <w:rPr>
          <w:b/>
          <w:bCs/>
        </w:rPr>
        <w:t xml:space="preserve">and tracks the work, and Entra ID is where the change is executed.</w:t>
      </w:r>
      <w:r>
        <w:t xml:space="preserve"> </w:t>
      </w:r>
      <w:r>
        <w:t xml:space="preserve">The Help</w:t>
      </w:r>
      <w:r>
        <w:t xml:space="preserve"> </w:t>
      </w:r>
      <w:r>
        <w:t xml:space="preserve">Desk performs only the residual manual action that automation cannot reach — and</w:t>
      </w:r>
      <w:r>
        <w:t xml:space="preserve"> </w:t>
      </w:r>
      <w:r>
        <w:t xml:space="preserve">never makes an access-governance decision on its own.</w:t>
      </w:r>
    </w:p>
    <w:p>
      <w:pPr>
        <w:pStyle w:val="BodyText"/>
      </w:pPr>
      <w:r>
        <w:t xml:space="preserve">The companion</w:t>
      </w:r>
      <w:r>
        <w:t xml:space="preserve"> </w:t>
      </w:r>
      <w:r>
        <w:rPr>
          <w:b/>
          <w:bCs/>
        </w:rPr>
        <w:t xml:space="preserve">Help Desk / Cloud Services Operations Kit</w:t>
      </w:r>
      <w:r>
        <w:t xml:space="preserve"> </w:t>
      </w:r>
      <w:r>
        <w:t xml:space="preserve">ships these documents alongside an implementation-path guide, a request-triage</w:t>
      </w:r>
      <w:r>
        <w:t xml:space="preserve"> </w:t>
      </w:r>
      <w:r>
        <w:t xml:space="preserve">classifier, and six Microsoft Graph scripts (inventory, PAG/PIM setup,</w:t>
      </w:r>
      <w:r>
        <w:t xml:space="preserve"> </w:t>
      </w:r>
      <w:r>
        <w:t xml:space="preserve">group-to-app assignment, ImmutableID repair, access-certification export). Every</w:t>
      </w:r>
      <w:r>
        <w:t xml:space="preserve"> </w:t>
      </w:r>
      <w:r>
        <w:t xml:space="preserve">state-changing script honors</w:t>
      </w:r>
      <w:r>
        <w:t xml:space="preserve"> </w:t>
      </w:r>
      <w:r>
        <w:rPr>
          <w:rStyle w:val="VerbatimChar"/>
        </w:rPr>
        <w:t xml:space="preserve">-WhatIf</w:t>
      </w:r>
      <w:r>
        <w:t xml:space="preserve">. The scripts and their shared module now</w:t>
      </w:r>
      <w:r>
        <w:t xml:space="preserve"> </w:t>
      </w:r>
      <w:r>
        <w:t xml:space="preserve">live in the repo under</w:t>
      </w:r>
      <w:r>
        <w:t xml:space="preserve"> </w:t>
      </w:r>
      <w:r>
        <w:rPr>
          <w:rStyle w:val="VerbatimChar"/>
        </w:rPr>
        <w:t xml:space="preserve">scripts/</w:t>
      </w:r>
      <w:r>
        <w:t xml:space="preserve"> </w:t>
      </w:r>
      <w:r>
        <w:t xml:space="preserve">— see</w:t>
      </w:r>
      <w:r>
        <w:t xml:space="preserve"> </w:t>
      </w:r>
      <w:hyperlink w:anchor="the-runnable-scripts">
        <w:r>
          <w:rPr>
            <w:rStyle w:val="Hyperlink"/>
          </w:rPr>
          <w:t xml:space="preserve">The runnable scripts</w:t>
        </w:r>
      </w:hyperlink>
      <w:r>
        <w:t xml:space="preserve"> </w:t>
      </w:r>
      <w:r>
        <w:t xml:space="preserve">below — so the published kit cannot drift from what these pages document.</w:t>
      </w:r>
    </w:p>
    <w:bookmarkStart w:id="302" w:name="the-three-documents"/>
    <w:p>
      <w:pPr>
        <w:pStyle w:val="Heading2"/>
      </w:pPr>
      <w:r>
        <w:t xml:space="preserve">The three documents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covers</w:t>
            </w:r>
          </w:p>
        </w:tc>
      </w:tr>
      <w:tr>
        <w:tc>
          <w:tcPr/>
          <w:p>
            <w:pPr>
              <w:pStyle w:val="Compact"/>
            </w:pPr>
            <w:r>
              <w:t xml:space="preserve">Help Desk Administrative Responsibilities Guide</w:t>
            </w:r>
          </w:p>
        </w:tc>
        <w:tc>
          <w:tcPr/>
          <w:p>
            <w:pPr>
              <w:pStyle w:val="Compact"/>
            </w:pPr>
            <w:r>
              <w:t xml:space="preserve">The operations reference — authority boundaries, the Privileged Access Group (PAG) and PIM eligible-not-active model, the SAM/ServiceNow/Entra three-platform workflow, and the per-task procedures the Help Desk executes.</w:t>
            </w:r>
          </w:p>
        </w:tc>
      </w:tr>
      <w:tr>
        <w:tc>
          <w:tcPr/>
          <w:p>
            <w:pPr>
              <w:pStyle w:val="Compact"/>
            </w:pPr>
            <w:r>
              <w:t xml:space="preserve">Enterprise Application Access Governance and Approval Model</w:t>
            </w:r>
          </w:p>
        </w:tc>
        <w:tc>
          <w:tcPr/>
          <w:p>
            <w:pPr>
              <w:pStyle w:val="Compact"/>
            </w:pPr>
            <w:r>
              <w:t xml:space="preserve">The governing policy — risk-tiered approval chains, the RACI matrix, application ownership, group-based access, and the three approval workflows (standard, Admin Consent, and emergency / break-glass).</w:t>
            </w:r>
          </w:p>
        </w:tc>
      </w:tr>
      <w:tr>
        <w:tc>
          <w:tcPr/>
          <w:p>
            <w:pPr>
              <w:pStyle w:val="Compact"/>
            </w:pPr>
            <w:r>
              <w:t xml:space="preserve">Identity Governance Structure</w:t>
            </w:r>
          </w:p>
        </w:tc>
        <w:tc>
          <w:tcPr/>
          <w:p>
            <w:pPr>
              <w:pStyle w:val="Compact"/>
            </w:pPr>
            <w:r>
              <w:t xml:space="preserve">The design concept underneath both — the four-layer governance model (Requester → Departmental Owner → Application Owner → Identity Governance Authority) that gives Entra ID the routing hierarchy it lacks natively.</w:t>
            </w:r>
          </w:p>
        </w:tc>
      </w:tr>
    </w:tbl>
    <w:bookmarkEnd w:id="302"/>
    <w:bookmarkStart w:id="303" w:name="the-operations-flow"/>
    <w:p>
      <w:pPr>
        <w:pStyle w:val="Heading2"/>
      </w:pPr>
      <w:r>
        <w:t xml:space="preserve">The operations flow</w:t>
      </w:r>
    </w:p>
    <w:p>
      <w:pPr>
        <w:pStyle w:val="FirstParagraph"/>
      </w:pPr>
      <w:r>
        <w:t xml:space="preserve">Where the three documents above say</w:t>
      </w:r>
      <w:r>
        <w:t xml:space="preserve"> </w:t>
      </w:r>
      <w:r>
        <w:rPr>
          <w:i/>
          <w:iCs/>
        </w:rPr>
        <w:t xml:space="preserve">who owns what</w:t>
      </w:r>
      <w:r>
        <w:t xml:space="preserve"> </w:t>
      </w:r>
      <w:r>
        <w:t xml:space="preserve">and</w:t>
      </w:r>
      <w:r>
        <w:t xml:space="preserve"> </w:t>
      </w:r>
      <w:r>
        <w:rPr>
          <w:i/>
          <w:iCs/>
        </w:rPr>
        <w:t xml:space="preserve">who approves what</w:t>
      </w:r>
      <w:r>
        <w:t xml:space="preserve">, the</w:t>
      </w:r>
      <w:r>
        <w:t xml:space="preserve"> </w:t>
      </w:r>
      <w:r>
        <w:t xml:space="preserve">Help Desk Flow — Intake, Triage, and Routing page is the</w:t>
      </w:r>
      <w:r>
        <w:t xml:space="preserve"> </w:t>
      </w:r>
      <w:r>
        <w:rPr>
          <w:i/>
          <w:iCs/>
        </w:rPr>
        <w:t xml:space="preserve">how</w:t>
      </w:r>
      <w:r>
        <w:t xml:space="preserve">: how an email request is redirected into a ServiceNow triage queue,</w:t>
      </w:r>
      <w:r>
        <w:t xml:space="preserve"> </w:t>
      </w:r>
      <w:r>
        <w:t xml:space="preserve">classified by required authority, routed to the ServiceNow or SAM pipeline, and</w:t>
      </w:r>
      <w:r>
        <w:t xml:space="preserve"> </w:t>
      </w:r>
      <w:r>
        <w:t xml:space="preserve">executed through the</w:t>
      </w:r>
      <w:r>
        <w:t xml:space="preserve"> </w:t>
      </w:r>
      <w:r>
        <w:rPr>
          <w:b/>
          <w:bCs/>
        </w:rPr>
        <w:t xml:space="preserve">Microsoft Entra ID Spoke</w:t>
      </w:r>
      <w:r>
        <w:t xml:space="preserve"> </w:t>
      </w:r>
      <w:r>
        <w:t xml:space="preserve">where an action exists. It</w:t>
      </w:r>
      <w:r>
        <w:t xml:space="preserve"> </w:t>
      </w:r>
      <w:r>
        <w:t xml:space="preserve">includes the task ↔ Spoke capability crosswalk and the method for describing,</w:t>
      </w:r>
      <w:r>
        <w:t xml:space="preserve"> </w:t>
      </w:r>
      <w:r>
        <w:t xml:space="preserve">modifying, and creating a task flow.</w:t>
      </w:r>
    </w:p>
    <w:p>
      <w:pPr>
        <w:pStyle w:val="BodyText"/>
      </w:pPr>
      <w:r>
        <w:t xml:space="preserve">The throughline: this kit</w:t>
      </w:r>
      <w:r>
        <w:t xml:space="preserve"> </w:t>
      </w:r>
      <w:r>
        <w:rPr>
          <w:b/>
          <w:bCs/>
        </w:rPr>
        <w:t xml:space="preserve">integrates and customizes</w:t>
      </w:r>
      <w:r>
        <w:t xml:space="preserve"> </w:t>
      </w:r>
      <w:r>
        <w:t xml:space="preserve">the Entra / Azure functions</w:t>
      </w:r>
      <w:r>
        <w:t xml:space="preserve"> </w:t>
      </w:r>
      <w:r>
        <w:t xml:space="preserve">ServiceNow already ships (the Microsoft Entra ID Spoke) into the agency’s Help Desk</w:t>
      </w:r>
      <w:r>
        <w:t xml:space="preserve"> </w:t>
      </w:r>
      <w:r>
        <w:t xml:space="preserve">model — it does not reinvent them.</w:t>
      </w:r>
    </w:p>
    <w:bookmarkEnd w:id="303"/>
    <w:bookmarkStart w:id="304" w:name="the-runnable-scripts"/>
    <w:p>
      <w:pPr>
        <w:pStyle w:val="Heading2"/>
      </w:pPr>
      <w:r>
        <w:t xml:space="preserve">The runnable scripts</w:t>
      </w:r>
    </w:p>
    <w:p>
      <w:pPr>
        <w:pStyle w:val="FirstParagraph"/>
      </w:pPr>
      <w:r>
        <w:t xml:space="preserve">The kit’s shared module and six Microsoft Graph scripts are committed in-repo</w:t>
      </w:r>
      <w:r>
        <w:t xml:space="preserve"> </w:t>
      </w:r>
      <w:r>
        <w:t xml:space="preserve">under</w:t>
      </w:r>
      <w:r>
        <w:t xml:space="preserve"> </w:t>
      </w:r>
      <w:r>
        <w:rPr>
          <w:rStyle w:val="VerbatimChar"/>
        </w:rPr>
        <w:t xml:space="preserve">scripts/</w:t>
      </w:r>
      <w:r>
        <w:t xml:space="preserve">. They are a</w:t>
      </w:r>
      <w:r>
        <w:t xml:space="preserve"> </w:t>
      </w:r>
      <w:r>
        <w:rPr>
          <w:b/>
          <w:bCs/>
        </w:rPr>
        <w:t xml:space="preserve">reference implementation for review and</w:t>
      </w:r>
      <w:r>
        <w:rPr>
          <w:b/>
          <w:bCs/>
        </w:rPr>
        <w:t xml:space="preserve"> </w:t>
      </w:r>
      <w:r>
        <w:rPr>
          <w:b/>
          <w:bCs/>
        </w:rPr>
        <w:t xml:space="preserve">adaptation</w:t>
      </w:r>
      <w:r>
        <w:t xml:space="preserve"> </w:t>
      </w:r>
      <w:r>
        <w:t xml:space="preserve">— written against current Microsoft Graph PowerShell but not run</w:t>
      </w:r>
      <w:r>
        <w:t xml:space="preserve"> </w:t>
      </w:r>
      <w:r>
        <w:t xml:space="preserve">against a live tenant; anything environment-specific is marked</w:t>
      </w:r>
      <w:r>
        <w:t xml:space="preserve"> </w:t>
      </w:r>
      <w:r>
        <w:rPr>
          <w:rStyle w:val="VerbatimChar"/>
        </w:rPr>
        <w:t xml:space="preserve"># CONFIGURE:</w:t>
      </w:r>
      <w:r>
        <w:t xml:space="preserve">.</w:t>
      </w:r>
      <w:r>
        <w:t xml:space="preserve"> </w:t>
      </w:r>
      <w:r>
        <w:t xml:space="preserve">Every state-changing script honors</w:t>
      </w:r>
      <w:r>
        <w:t xml:space="preserve"> </w:t>
      </w:r>
      <w:r>
        <w:rPr>
          <w:rStyle w:val="VerbatimChar"/>
        </w:rPr>
        <w:t xml:space="preserve">-WhatIf</w:t>
      </w:r>
      <w:r>
        <w:t xml:space="preserve">; dry-run before touching a live</w:t>
      </w:r>
      <w:r>
        <w:t xml:space="preserve"> </w:t>
      </w:r>
      <w:r>
        <w:t xml:space="preserve">tenant, and keep input and output inside your authorization boundary.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What it does</w:t>
            </w:r>
          </w:p>
        </w:tc>
      </w:tr>
      <w:tr>
        <w:tc>
          <w:tcPr/>
          <w:p>
            <w:pPr>
              <w:pStyle w:val="Compact"/>
            </w:pPr>
            <w:r>
              <w:rPr>
                <w:rStyle w:val="VerbatimChar"/>
              </w:rPr>
              <w:t xml:space="preserve">HelpDeskEntra.psm1</w:t>
            </w:r>
          </w:p>
        </w:tc>
        <w:tc>
          <w:tcPr/>
          <w:p>
            <w:pPr>
              <w:pStyle w:val="Compact"/>
            </w:pPr>
            <w:r>
              <w:t xml:space="preserve">Shared module: the Connect helper, the Task Authority &amp; Routing Matrix (the single source of truth behind both the human runbook and the triage classifier), the critical-permission reference list, and shared logging.</w:t>
            </w:r>
          </w:p>
        </w:tc>
      </w:tr>
      <w:tr>
        <w:tc>
          <w:tcPr/>
          <w:p>
            <w:pPr>
              <w:pStyle w:val="Compact"/>
            </w:pPr>
            <w:r>
              <w:rPr>
                <w:rStyle w:val="VerbatimChar"/>
              </w:rPr>
              <w:t xml:space="preserve">Invoke-RequestTriage.ps1</w:t>
            </w:r>
          </w:p>
        </w:tc>
        <w:tc>
          <w:tcPr/>
          <w:p>
            <w:pPr>
              <w:pStyle w:val="Compact"/>
            </w:pPr>
            <w:r>
              <w:t xml:space="preserve">Triage the Help Desk shared mailbox — classify each request by required authority (A0–A3 / out-of-scope) and route it to ServiceNow or SAM.</w:t>
            </w:r>
          </w:p>
        </w:tc>
      </w:tr>
      <w:tr>
        <w:tc>
          <w:tcPr/>
          <w:p>
            <w:pPr>
              <w:pStyle w:val="Compact"/>
            </w:pPr>
            <w:r>
              <w:rPr>
                <w:rStyle w:val="VerbatimChar"/>
              </w:rPr>
              <w:t xml:space="preserve">Get-EnterpriseAppInventory.ps1</w:t>
            </w:r>
          </w:p>
        </w:tc>
        <w:tc>
          <w:tcPr/>
          <w:p>
            <w:pPr>
              <w:pStyle w:val="Compact"/>
            </w:pPr>
            <w:r>
              <w:t xml:space="preserve">Build the Enterprise Application inventory (with risk tiering and orphaned-app detection) that every governance step reads.</w:t>
            </w:r>
          </w:p>
        </w:tc>
      </w:tr>
      <w:tr>
        <w:tc>
          <w:tcPr/>
          <w:p>
            <w:pPr>
              <w:pStyle w:val="Compact"/>
            </w:pPr>
            <w:r>
              <w:rPr>
                <w:rStyle w:val="VerbatimChar"/>
              </w:rPr>
              <w:t xml:space="preserve">New-HelpDeskPAG.ps1</w:t>
            </w:r>
          </w:p>
        </w:tc>
        <w:tc>
          <w:tcPr/>
          <w:p>
            <w:pPr>
              <w:pStyle w:val="Compact"/>
            </w:pPr>
            <w:r>
              <w:t xml:space="preserve">Stand up the Help Desk Privileged Access Group (PAG) — role-assignable group + PIM eligible-not-active assignment.</w:t>
            </w:r>
          </w:p>
        </w:tc>
      </w:tr>
      <w:tr>
        <w:tc>
          <w:tcPr/>
          <w:p>
            <w:pPr>
              <w:pStyle w:val="Compact"/>
            </w:pPr>
            <w:r>
              <w:rPr>
                <w:rStyle w:val="VerbatimChar"/>
              </w:rPr>
              <w:t xml:space="preserve">Add-AppAccessGroup.ps1</w:t>
            </w:r>
          </w:p>
        </w:tc>
        <w:tc>
          <w:tcPr/>
          <w:p>
            <w:pPr>
              <w:pStyle w:val="Compact"/>
            </w:pPr>
            <w:r>
              <w:t xml:space="preserve">Assign a security group to an Enterprise Application role (the A2 group-to-app step), with a nested-group guard.</w:t>
            </w:r>
          </w:p>
        </w:tc>
      </w:tr>
      <w:tr>
        <w:tc>
          <w:tcPr/>
          <w:p>
            <w:pPr>
              <w:pStyle w:val="Compact"/>
            </w:pPr>
            <w:r>
              <w:rPr>
                <w:rStyle w:val="VerbatimChar"/>
              </w:rPr>
              <w:t xml:space="preserve">Repair-ImmutableId.ps1</w:t>
            </w:r>
          </w:p>
        </w:tc>
        <w:tc>
          <w:tcPr/>
          <w:p>
            <w:pPr>
              <w:pStyle w:val="Compact"/>
            </w:pPr>
            <w:r>
              <w:t xml:space="preserve">Repair a Hybrid AD → Entra ID</w:t>
            </w:r>
            <w:r>
              <w:t xml:space="preserve"> </w:t>
            </w:r>
            <w:r>
              <w:rPr>
                <w:rStyle w:val="VerbatimChar"/>
              </w:rPr>
              <w:t xml:space="preserve">onPremisesImmutableId</w:t>
            </w:r>
            <w:r>
              <w:t xml:space="preserve"> </w:t>
            </w:r>
            <w:r>
              <w:t xml:space="preserve">hard-match break.</w:t>
            </w:r>
          </w:p>
        </w:tc>
      </w:tr>
      <w:tr>
        <w:tc>
          <w:tcPr/>
          <w:p>
            <w:pPr>
              <w:pStyle w:val="Compact"/>
            </w:pPr>
            <w:r>
              <w:rPr>
                <w:rStyle w:val="VerbatimChar"/>
              </w:rPr>
              <w:t xml:space="preserve">Export-AccessCertification.ps1</w:t>
            </w:r>
          </w:p>
        </w:tc>
        <w:tc>
          <w:tcPr/>
          <w:p>
            <w:pPr>
              <w:pStyle w:val="Compact"/>
            </w:pPr>
            <w:r>
              <w:t xml:space="preserve">Produce a per-application access roster for owner certification.</w:t>
            </w:r>
          </w:p>
        </w:tc>
      </w:tr>
    </w:tbl>
    <w:p>
      <w:pPr>
        <w:pStyle w:val="BodyText"/>
      </w:pPr>
      <w:r>
        <w:rPr>
          <w:b/>
          <w:bCs/>
        </w:rPr>
        <w:t xml:space="preserve">Kit conformance (the program decision): governed-only by design</w:t>
      </w:r>
    </w:p>
    <w:p>
      <w:pPr>
        <w:pStyle w:val="BodyText"/>
      </w:pPr>
      <w:r>
        <w:t xml:space="preserve">the program decision asks a</w:t>
      </w:r>
      <w:r>
        <w:t xml:space="preserve"> </w:t>
      </w:r>
      <w:r>
        <w:t xml:space="preserve">transformation kit to ship a without-FMP</w:t>
      </w:r>
      <w:r>
        <w:t xml:space="preserve"> </w:t>
      </w:r>
      <w:r>
        <w:rPr>
          <w:b/>
          <w:bCs/>
        </w:rPr>
        <w:t xml:space="preserve">manual path</w:t>
      </w:r>
      <w:r>
        <w:t xml:space="preserve"> </w:t>
      </w:r>
      <w:r>
        <w:t xml:space="preserve">alongside its governed</w:t>
      </w:r>
      <w:r>
        <w:t xml:space="preserve"> </w:t>
      </w:r>
      <w:r>
        <w:t xml:space="preserve">path. This kit takes the</w:t>
      </w:r>
      <w:r>
        <w:t xml:space="preserve"> </w:t>
      </w:r>
      <w:r>
        <w:rPr>
          <w:b/>
          <w:bCs/>
        </w:rPr>
        <w:t xml:space="preserve">governance-only exemption</w:t>
      </w:r>
      <w:r>
        <w:t xml:space="preserve"> </w:t>
      </w:r>
      <w:r>
        <w:t xml:space="preserve">the program decision §D3 allows, with</w:t>
      </w:r>
      <w:r>
        <w:t xml:space="preserve"> </w:t>
      </w:r>
      <w:r>
        <w:t xml:space="preserve">rationale: its subject</w:t>
      </w:r>
      <w:r>
        <w:t xml:space="preserve"> </w:t>
      </w:r>
      <w:r>
        <w:rPr>
          <w:i/>
          <w:iCs/>
        </w:rPr>
        <w:t xml:space="preserve">is</w:t>
      </w:r>
      <w:r>
        <w:t xml:space="preserve"> </w:t>
      </w:r>
      <w:r>
        <w:t xml:space="preserve">the governance and approval-routing model —</w:t>
      </w:r>
      <w:r>
        <w:t xml:space="preserve"> </w:t>
      </w:r>
      <w:r>
        <w:rPr>
          <w:i/>
          <w:iCs/>
        </w:rPr>
        <w:t xml:space="preserve">who may</w:t>
      </w:r>
      <w:r>
        <w:rPr>
          <w:i/>
          <w:iCs/>
        </w:rPr>
        <w:t xml:space="preserve"> </w:t>
      </w:r>
      <w:r>
        <w:rPr>
          <w:i/>
          <w:iCs/>
        </w:rPr>
        <w:t xml:space="preserve">approve what, and where the work is executed</w:t>
      </w:r>
      <w:r>
        <w:t xml:space="preserve"> </w:t>
      </w:r>
      <w:r>
        <w:t xml:space="preserve">— not a Microsoft-surface</w:t>
      </w:r>
      <w:r>
        <w:t xml:space="preserve"> </w:t>
      </w:r>
      <w:r>
        <w:t xml:space="preserve">transformation an operator could perform standalone. There is no</w:t>
      </w:r>
      <w:r>
        <w:t xml:space="preserve"> </w:t>
      </w:r>
      <w:r>
        <w:t xml:space="preserve">“manual vs</w:t>
      </w:r>
      <w:r>
        <w:t xml:space="preserve"> </w:t>
      </w:r>
      <w:r>
        <w:t xml:space="preserve">governed”</w:t>
      </w:r>
      <w:r>
        <w:t xml:space="preserve"> </w:t>
      </w:r>
      <w:r>
        <w:t xml:space="preserve">end state to split here; the routing authority</w:t>
      </w:r>
      <w:r>
        <w:t xml:space="preserve"> </w:t>
      </w:r>
      <w:r>
        <w:rPr>
          <w:i/>
          <w:iCs/>
        </w:rPr>
        <w:t xml:space="preserve">is</w:t>
      </w:r>
      <w:r>
        <w:t xml:space="preserve"> </w:t>
      </w:r>
      <w:r>
        <w:t xml:space="preserve">the product. The</w:t>
      </w:r>
      <w:r>
        <w:t xml:space="preserve"> </w:t>
      </w:r>
      <w:r>
        <w:t xml:space="preserve">residual manual actions the Help Desk executes are already documented per-task in</w:t>
      </w:r>
      <w:r>
        <w:t xml:space="preserve"> </w:t>
      </w:r>
      <w:r>
        <w:t xml:space="preserve">the Administrative Responsibilities Guide.</w:t>
      </w:r>
    </w:p>
    <w:bookmarkEnd w:id="304"/>
    <w:bookmarkStart w:id="305" w:name="the-one-control-that-ties-them-together"/>
    <w:p>
      <w:pPr>
        <w:pStyle w:val="Heading2"/>
      </w:pPr>
      <w:r>
        <w:t xml:space="preserve">The one control that ties them together</w:t>
      </w:r>
    </w:p>
    <w:p>
      <w:pPr>
        <w:pStyle w:val="FirstParagraph"/>
      </w:pPr>
      <w:r>
        <w:t xml:space="preserve">Across all three documents a single, unconditional control recurs:</w:t>
      </w:r>
      <w:r>
        <w:t xml:space="preserve"> </w:t>
      </w:r>
      <w:r>
        <w:rPr>
          <w:b/>
          <w:bCs/>
        </w:rPr>
        <w:t xml:space="preserve">Admin</w:t>
      </w:r>
      <w:r>
        <w:rPr>
          <w:b/>
          <w:bCs/>
        </w:rPr>
        <w:t xml:space="preserve"> </w:t>
      </w:r>
      <w:r>
        <w:rPr>
          <w:b/>
          <w:bCs/>
        </w:rPr>
        <w:t xml:space="preserve">Consent approval authority is reserved to Layer 4 — the Identity Governance</w:t>
      </w:r>
      <w:r>
        <w:rPr>
          <w:b/>
          <w:bCs/>
        </w:rPr>
        <w:t xml:space="preserve"> </w:t>
      </w:r>
      <w:r>
        <w:rPr>
          <w:b/>
          <w:bCs/>
        </w:rPr>
        <w:t xml:space="preserve">Authority — and is non-delegable.</w:t>
      </w:r>
      <w:r>
        <w:t xml:space="preserve"> </w:t>
      </w:r>
      <w:r>
        <w:t xml:space="preserve">The Help Desk triages and routes consent</w:t>
      </w:r>
      <w:r>
        <w:t xml:space="preserve"> </w:t>
      </w:r>
      <w:r>
        <w:t xml:space="preserve">requests; Application Owners sponsor them; only the IGO approves. Start with the</w:t>
      </w:r>
      <w:r>
        <w:t xml:space="preserve"> </w:t>
      </w:r>
      <w:r>
        <w:t xml:space="preserve">Identity Governance Structure</w:t>
      </w:r>
      <w:r>
        <w:t xml:space="preserve"> </w:t>
      </w:r>
      <w:r>
        <w:t xml:space="preserve">if you want the</w:t>
      </w:r>
      <w:r>
        <w:t xml:space="preserve"> </w:t>
      </w:r>
      <w:r>
        <w:rPr>
          <w:i/>
          <w:iCs/>
        </w:rPr>
        <w:t xml:space="preserve">why</w:t>
      </w:r>
      <w:r>
        <w:t xml:space="preserve"> </w:t>
      </w:r>
      <w:r>
        <w:t xml:space="preserve">before the</w:t>
      </w:r>
      <w:r>
        <w:t xml:space="preserve"> </w:t>
      </w:r>
      <w:r>
        <w:rPr>
          <w:i/>
          <w:iCs/>
        </w:rPr>
        <w:t xml:space="preserve">how</w:t>
      </w:r>
      <w:r>
        <w:t xml:space="preserve">.</w:t>
      </w:r>
    </w:p>
    <w:bookmarkEnd w:id="305"/>
    <w:bookmarkEnd w:id="306"/>
    <w:bookmarkStart w:id="387" w:name="X682f3056ec12fe74c81827bdb850be5774d41dc"/>
    <w:p>
      <w:pPr>
        <w:pStyle w:val="Heading1"/>
      </w:pPr>
      <w:r>
        <w:t xml:space="preserve">Enterprise Application Access Governance and Approval Model</w:t>
      </w:r>
    </w:p>
    <w:p>
      <w:pPr>
        <w:pStyle w:val="FirstParagraph"/>
      </w:pPr>
      <w:r>
        <w:rPr>
          <w:i/>
          <w:iCs/>
        </w:rPr>
        <w:t xml:space="preserve">Entra ID Identity Governance Series — Document 3 of 3. Microsoft Entra ID —</w:t>
      </w:r>
      <w:r>
        <w:rPr>
          <w:i/>
          <w:iCs/>
        </w:rPr>
        <w:t xml:space="preserve"> </w:t>
      </w:r>
      <w:r>
        <w:rPr>
          <w:i/>
          <w:iCs/>
        </w:rPr>
        <w:t xml:space="preserve">Enterprise Application Access Control Framework. Document Number: IDG-GOV-003 ·</w:t>
      </w:r>
      <w:r>
        <w:rPr>
          <w:i/>
          <w:iCs/>
        </w:rPr>
        <w:t xml:space="preserve"> </w:t>
      </w:r>
      <w:r>
        <w:rPr>
          <w:i/>
          <w:iCs/>
        </w:rPr>
        <w:t xml:space="preserve">Version 1.0 · Date of Issue: June 8, 2026 · Review Date: June 8, 2027 · Document</w:t>
      </w:r>
      <w:r>
        <w:rPr>
          <w:i/>
          <w:iCs/>
        </w:rPr>
        <w:t xml:space="preserve"> </w:t>
      </w:r>
      <w:r>
        <w:rPr>
          <w:i/>
          <w:iCs/>
        </w:rPr>
        <w:t xml:space="preserve">Owner: Identity Governance Officer (IGO) · Issuing Authority: Office of the CISO.</w:t>
      </w:r>
      <w:r>
        <w:rPr>
          <w:i/>
          <w:iCs/>
        </w:rPr>
        <w:t xml:space="preserve"> </w:t>
      </w:r>
      <w:r>
        <w:rPr>
          <w:i/>
          <w:iCs/>
        </w:rPr>
        <w:t xml:space="preserve">Series documents: IDG-GOV-001 (Entra ID Identity Lifecycle) · IDG-GOV-002</w:t>
      </w:r>
      <w:r>
        <w:rPr>
          <w:i/>
          <w:iCs/>
        </w:rPr>
        <w:t xml:space="preserve"> </w:t>
      </w:r>
      <w:r>
        <w:rPr>
          <w:i/>
          <w:iCs/>
        </w:rPr>
        <w:t xml:space="preserve">(Privileged Access and PIM Model) · IDG-GOV-003 (Enterprise Application Access</w:t>
      </w:r>
      <w:r>
        <w:rPr>
          <w:i/>
          <w:iCs/>
        </w:rPr>
        <w:t xml:space="preserve"> </w:t>
      </w:r>
      <w:r>
        <w:rPr>
          <w:i/>
          <w:iCs/>
        </w:rPr>
        <w:t xml:space="preserve">Governance — this document).</w:t>
      </w:r>
    </w:p>
    <w:bookmarkStart w:id="312" w:name="purpose-scope-and-authority"/>
    <w:p>
      <w:pPr>
        <w:pStyle w:val="Heading2"/>
      </w:pPr>
      <w:r>
        <w:t xml:space="preserve">Purpose, scope, and authority</w:t>
      </w:r>
    </w:p>
    <w:bookmarkStart w:id="307" w:name="purpose-6"/>
    <w:p>
      <w:pPr>
        <w:pStyle w:val="Heading3"/>
      </w:pPr>
      <w:r>
        <w:t xml:space="preserve">Purpose</w:t>
      </w:r>
    </w:p>
    <w:p>
      <w:pPr>
        <w:pStyle w:val="FirstParagraph"/>
      </w:pPr>
      <w:r>
        <w:t xml:space="preserve">This document establishes the authoritative governance model for enterprise</w:t>
      </w:r>
      <w:r>
        <w:t xml:space="preserve"> </w:t>
      </w:r>
      <w:r>
        <w:t xml:space="preserve">application access within the agency’s Microsoft Entra ID tenant. It defines the</w:t>
      </w:r>
      <w:r>
        <w:t xml:space="preserve"> </w:t>
      </w:r>
      <w:r>
        <w:t xml:space="preserve">policies, roles, workflows, approval chains, and audit requirements necessary to</w:t>
      </w:r>
      <w:r>
        <w:t xml:space="preserve"> </w:t>
      </w:r>
      <w:r>
        <w:t xml:space="preserve">ensure that access to cloud-based, federated, and integrated enterprise</w:t>
      </w:r>
      <w:r>
        <w:t xml:space="preserve"> </w:t>
      </w:r>
      <w:r>
        <w:t xml:space="preserve">applications is granted, maintained, and revoked in a controlled, auditable, and</w:t>
      </w:r>
      <w:r>
        <w:t xml:space="preserve"> </w:t>
      </w:r>
      <w:r>
        <w:t xml:space="preserve">least-privilege manner.</w:t>
      </w:r>
    </w:p>
    <w:p>
      <w:pPr>
        <w:pStyle w:val="BodyText"/>
      </w:pPr>
      <w:r>
        <w:t xml:space="preserve">Microsoft Entra ID Enterprise Applications represent the primary access control</w:t>
      </w:r>
      <w:r>
        <w:t xml:space="preserve"> </w:t>
      </w:r>
      <w:r>
        <w:t xml:space="preserve">surface for cloud and federated applications in the agency’s identity</w:t>
      </w:r>
      <w:r>
        <w:t xml:space="preserve"> </w:t>
      </w:r>
      <w:r>
        <w:t xml:space="preserve">architecture. The policies herein govern every aspect of that surface — from</w:t>
      </w:r>
      <w:r>
        <w:t xml:space="preserve"> </w:t>
      </w:r>
      <w:r>
        <w:t xml:space="preserve">initial application registration and risk classification through ongoing access</w:t>
      </w:r>
      <w:r>
        <w:t xml:space="preserve"> </w:t>
      </w:r>
      <w:r>
        <w:t xml:space="preserve">reviews, Admin Consent grant management, and deprovisioning. This model is</w:t>
      </w:r>
      <w:r>
        <w:t xml:space="preserve"> </w:t>
      </w:r>
      <w:r>
        <w:t xml:space="preserve">designed to support agency Zero Trust objectives and satisfy applicable federal</w:t>
      </w:r>
      <w:r>
        <w:t xml:space="preserve"> </w:t>
      </w:r>
      <w:r>
        <w:t xml:space="preserve">compliance requirements.</w:t>
      </w:r>
    </w:p>
    <w:p>
      <w:pPr>
        <w:pStyle w:val="BodyText"/>
      </w:pPr>
      <w:r>
        <w:t xml:space="preserve">This is Document 3 of 3 in the Entra ID Identity Governance Series. It should be</w:t>
      </w:r>
      <w:r>
        <w:t xml:space="preserve"> </w:t>
      </w:r>
      <w:r>
        <w:t xml:space="preserve">read in conjunction with IDG-GOV-001 (Identity Lifecycle) and IDG-GOV-002</w:t>
      </w:r>
      <w:r>
        <w:t xml:space="preserve"> </w:t>
      </w:r>
      <w:r>
        <w:t xml:space="preserve">(Privileged Access and PIM Model).</w:t>
      </w:r>
    </w:p>
    <w:bookmarkEnd w:id="307"/>
    <w:bookmarkStart w:id="308" w:name="scope"/>
    <w:p>
      <w:pPr>
        <w:pStyle w:val="Heading3"/>
      </w:pPr>
      <w:r>
        <w:t xml:space="preserve">Scope</w:t>
      </w:r>
    </w:p>
    <w:p>
      <w:pPr>
        <w:pStyle w:val="FirstParagraph"/>
      </w:pPr>
      <w:r>
        <w:t xml:space="preserve">This governance model applies to:</w:t>
      </w:r>
    </w:p>
    <w:p>
      <w:pPr>
        <w:pStyle w:val="Compact"/>
        <w:numPr>
          <w:ilvl w:val="0"/>
          <w:numId w:val="1157"/>
        </w:numPr>
      </w:pPr>
      <w:r>
        <w:t xml:space="preserve">All Enterprise Applications registered in the agency’s Microsoft Entra ID</w:t>
      </w:r>
      <w:r>
        <w:t xml:space="preserve"> </w:t>
      </w:r>
      <w:r>
        <w:t xml:space="preserve">tenant, regardless of origin (Microsoft first-party, third-party ISV, or</w:t>
      </w:r>
      <w:r>
        <w:t xml:space="preserve"> </w:t>
      </w:r>
      <w:r>
        <w:t xml:space="preserve">custom-developed)</w:t>
      </w:r>
    </w:p>
    <w:p>
      <w:pPr>
        <w:pStyle w:val="Compact"/>
        <w:numPr>
          <w:ilvl w:val="0"/>
          <w:numId w:val="1157"/>
        </w:numPr>
      </w:pPr>
      <w:r>
        <w:t xml:space="preserve">All federated applications integrated via SAML 2.0, OpenID Connect (OIDC), or</w:t>
      </w:r>
      <w:r>
        <w:t xml:space="preserve"> </w:t>
      </w:r>
      <w:r>
        <w:t xml:space="preserve">WS-Federation</w:t>
      </w:r>
    </w:p>
    <w:p>
      <w:pPr>
        <w:pStyle w:val="Compact"/>
        <w:numPr>
          <w:ilvl w:val="0"/>
          <w:numId w:val="1157"/>
        </w:numPr>
      </w:pPr>
      <w:r>
        <w:t xml:space="preserve">All application-level permission grants (Admin Consent) issued within the</w:t>
      </w:r>
      <w:r>
        <w:t xml:space="preserve"> </w:t>
      </w:r>
      <w:r>
        <w:t xml:space="preserve">tenant</w:t>
      </w:r>
    </w:p>
    <w:p>
      <w:pPr>
        <w:pStyle w:val="Compact"/>
        <w:numPr>
          <w:ilvl w:val="0"/>
          <w:numId w:val="1157"/>
        </w:numPr>
      </w:pPr>
      <w:r>
        <w:t xml:space="preserve">All security groups and Privileged Access Groups (PAGs) assigned to Enterprise</w:t>
      </w:r>
      <w:r>
        <w:t xml:space="preserve"> </w:t>
      </w:r>
      <w:r>
        <w:t xml:space="preserve">Applications</w:t>
      </w:r>
    </w:p>
    <w:p>
      <w:pPr>
        <w:pStyle w:val="Compact"/>
        <w:numPr>
          <w:ilvl w:val="0"/>
          <w:numId w:val="1157"/>
        </w:numPr>
      </w:pPr>
      <w:r>
        <w:t xml:space="preserve">All personnel performing identity governance functions in Entra ID, including</w:t>
      </w:r>
      <w:r>
        <w:t xml:space="preserve"> </w:t>
      </w:r>
      <w:r>
        <w:t xml:space="preserve">Identity Governance Officers, Help Desk Operators, Application Owners, and</w:t>
      </w:r>
      <w:r>
        <w:t xml:space="preserve"> </w:t>
      </w:r>
      <w:r>
        <w:t xml:space="preserve">Departmental Owners</w:t>
      </w:r>
    </w:p>
    <w:p>
      <w:pPr>
        <w:pStyle w:val="Compact"/>
        <w:numPr>
          <w:ilvl w:val="0"/>
          <w:numId w:val="1157"/>
        </w:numPr>
      </w:pPr>
      <w:r>
        <w:t xml:space="preserve">All ServiceNow RITM workflows that initiate, approve, or document access</w:t>
      </w:r>
      <w:r>
        <w:t xml:space="preserve"> </w:t>
      </w:r>
      <w:r>
        <w:t xml:space="preserve">changes to Enterprise Applications</w:t>
      </w:r>
    </w:p>
    <w:bookmarkEnd w:id="308"/>
    <w:bookmarkStart w:id="309" w:name="out-of-scope-1"/>
    <w:p>
      <w:pPr>
        <w:pStyle w:val="Heading3"/>
      </w:pPr>
      <w:r>
        <w:t xml:space="preserve">Out of scope</w:t>
      </w:r>
    </w:p>
    <w:p>
      <w:pPr>
        <w:pStyle w:val="FirstParagraph"/>
      </w:pPr>
      <w:r>
        <w:t xml:space="preserve">The following are explicitly excluded from this governance model:</w:t>
      </w:r>
    </w:p>
    <w:p>
      <w:pPr>
        <w:pStyle w:val="Compact"/>
        <w:numPr>
          <w:ilvl w:val="0"/>
          <w:numId w:val="1158"/>
        </w:numPr>
      </w:pPr>
      <w:r>
        <w:rPr>
          <w:b/>
          <w:bCs/>
        </w:rPr>
        <w:t xml:space="preserve">Application development:</w:t>
      </w:r>
      <w:r>
        <w:t xml:space="preserve"> </w:t>
      </w:r>
      <w:r>
        <w:t xml:space="preserve">The development lifecycle of custom applications</w:t>
      </w:r>
      <w:r>
        <w:t xml:space="preserve"> </w:t>
      </w:r>
      <w:r>
        <w:t xml:space="preserve">is governed under a separate Software Development Policy and is not addressed</w:t>
      </w:r>
      <w:r>
        <w:t xml:space="preserve"> </w:t>
      </w:r>
      <w:r>
        <w:t xml:space="preserve">herein.</w:t>
      </w:r>
    </w:p>
    <w:p>
      <w:pPr>
        <w:pStyle w:val="Compact"/>
        <w:numPr>
          <w:ilvl w:val="0"/>
          <w:numId w:val="1158"/>
        </w:numPr>
      </w:pPr>
      <w:r>
        <w:rPr>
          <w:b/>
          <w:bCs/>
        </w:rPr>
        <w:t xml:space="preserve">Personal Microsoft accounts:</w:t>
      </w:r>
      <w:r>
        <w:t xml:space="preserve"> </w:t>
      </w:r>
      <w:r>
        <w:t xml:space="preserve">Consumer accounts (e.g.,</w:t>
      </w:r>
      <w:r>
        <w:t xml:space="preserve"> </w:t>
      </w:r>
      <w:r>
        <w:t xml:space="preserve">@outlook.com</w:t>
      </w:r>
      <w:r>
        <w:t xml:space="preserve">,</w:t>
      </w:r>
      <w:r>
        <w:t xml:space="preserve"> </w:t>
      </w:r>
      <w:r>
        <w:t xml:space="preserve">@hotmail.com</w:t>
      </w:r>
      <w:r>
        <w:t xml:space="preserve">) are not managed within the agency tenant.</w:t>
      </w:r>
    </w:p>
    <w:p>
      <w:pPr>
        <w:pStyle w:val="Compact"/>
        <w:numPr>
          <w:ilvl w:val="0"/>
          <w:numId w:val="1158"/>
        </w:numPr>
      </w:pPr>
      <w:r>
        <w:rPr>
          <w:b/>
          <w:bCs/>
        </w:rPr>
        <w:t xml:space="preserve">Consumer and non-federated applications:</w:t>
      </w:r>
      <w:r>
        <w:t xml:space="preserve"> </w:t>
      </w:r>
      <w:r>
        <w:t xml:space="preserve">Applications not integrated into</w:t>
      </w:r>
      <w:r>
        <w:t xml:space="preserve"> </w:t>
      </w:r>
      <w:r>
        <w:t xml:space="preserve">the Entra ID tenant are not governed by this model.</w:t>
      </w:r>
    </w:p>
    <w:p>
      <w:pPr>
        <w:pStyle w:val="Compact"/>
        <w:numPr>
          <w:ilvl w:val="0"/>
          <w:numId w:val="1158"/>
        </w:numPr>
      </w:pPr>
      <w:r>
        <w:rPr>
          <w:b/>
          <w:bCs/>
        </w:rPr>
        <w:t xml:space="preserve">On-premises applications without Entra integration:</w:t>
      </w:r>
      <w:r>
        <w:t xml:space="preserve"> </w:t>
      </w:r>
      <w:r>
        <w:t xml:space="preserve">Legacy on-premises</w:t>
      </w:r>
      <w:r>
        <w:t xml:space="preserve"> </w:t>
      </w:r>
      <w:r>
        <w:t xml:space="preserve">applications that do not publish through Entra Application Proxy or similar</w:t>
      </w:r>
      <w:r>
        <w:t xml:space="preserve"> </w:t>
      </w:r>
      <w:r>
        <w:t xml:space="preserve">federation are governed by separate on-premises access policies.</w:t>
      </w:r>
    </w:p>
    <w:p>
      <w:pPr>
        <w:pStyle w:val="Compact"/>
        <w:numPr>
          <w:ilvl w:val="0"/>
          <w:numId w:val="1158"/>
        </w:numPr>
      </w:pPr>
      <w:r>
        <w:rPr>
          <w:b/>
          <w:bCs/>
        </w:rPr>
        <w:t xml:space="preserve">Microsoft 365 licensing:</w:t>
      </w:r>
      <w:r>
        <w:t xml:space="preserve"> </w:t>
      </w:r>
      <w:r>
        <w:t xml:space="preserve">License assignment governance is addressed in the</w:t>
      </w:r>
      <w:r>
        <w:t xml:space="preserve"> </w:t>
      </w:r>
      <w:r>
        <w:t xml:space="preserve">Office 365 Administration Policy.</w:t>
      </w:r>
    </w:p>
    <w:bookmarkEnd w:id="309"/>
    <w:bookmarkStart w:id="310" w:name="governing-authority"/>
    <w:p>
      <w:pPr>
        <w:pStyle w:val="Heading3"/>
      </w:pPr>
      <w:r>
        <w:t xml:space="preserve">Governing authority</w:t>
      </w:r>
    </w:p>
    <w:p>
      <w:pPr>
        <w:pStyle w:val="FirstParagraph"/>
      </w:pPr>
      <w:r>
        <w:t xml:space="preserve">The</w:t>
      </w:r>
      <w:r>
        <w:t xml:space="preserve"> </w:t>
      </w:r>
      <w:r>
        <w:rPr>
          <w:b/>
          <w:bCs/>
        </w:rPr>
        <w:t xml:space="preserve">Identity Governance Officer (IGO)</w:t>
      </w:r>
      <w:r>
        <w:t xml:space="preserve">, operating under the authority of the</w:t>
      </w:r>
      <w:r>
        <w:t xml:space="preserve"> </w:t>
      </w:r>
      <w:r>
        <w:t xml:space="preserve">Chief Information Security Officer (CISO), is the governing authority for this</w:t>
      </w:r>
      <w:r>
        <w:t xml:space="preserve"> </w:t>
      </w:r>
      <w:r>
        <w:t xml:space="preserve">policy. The IGO holds final approval authority for all Tier 1 application</w:t>
      </w:r>
      <w:r>
        <w:t xml:space="preserve"> </w:t>
      </w:r>
      <w:r>
        <w:t xml:space="preserve">actions, all Admin Consent grants, all policy exceptions, and all governance</w:t>
      </w:r>
      <w:r>
        <w:t xml:space="preserve"> </w:t>
      </w:r>
      <w:r>
        <w:t xml:space="preserve">model updates. In the absence of the IGO, authority is delegated to the Deputy</w:t>
      </w:r>
      <w:r>
        <w:t xml:space="preserve"> </w:t>
      </w:r>
      <w:r>
        <w:t xml:space="preserve">IGO or, in emergency circumstances only, to the Privileged Role Administrator</w:t>
      </w:r>
      <w:r>
        <w:t xml:space="preserve"> </w:t>
      </w:r>
      <w:r>
        <w:t xml:space="preserve">on-call.</w:t>
      </w:r>
    </w:p>
    <w:bookmarkEnd w:id="310"/>
    <w:bookmarkStart w:id="311" w:name="policy-framework-alignment"/>
    <w:p>
      <w:pPr>
        <w:pStyle w:val="Heading3"/>
      </w:pPr>
      <w:r>
        <w:t xml:space="preserve">Policy framework alignment</w:t>
      </w:r>
    </w:p>
    <w:p>
      <w:pPr>
        <w:pStyle w:val="FirstParagraph"/>
      </w:pPr>
      <w:r>
        <w:t xml:space="preserve">This governance model aligns with and implements the following frameworks and</w:t>
      </w:r>
      <w:r>
        <w:t xml:space="preserve"> </w:t>
      </w:r>
      <w:r>
        <w:t xml:space="preserve">regulations: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Framework / regulation</w:t>
            </w:r>
          </w:p>
        </w:tc>
        <w:tc>
          <w:tcPr/>
          <w:p>
            <w:pPr>
              <w:pStyle w:val="Compact"/>
            </w:pPr>
            <w:r>
              <w:t xml:space="preserve">Relevance to this model</w:t>
            </w:r>
          </w:p>
        </w:tc>
      </w:tr>
      <w:tr>
        <w:tc>
          <w:tcPr/>
          <w:p>
            <w:pPr>
              <w:pStyle w:val="Compact"/>
            </w:pPr>
            <w:r>
              <w:t xml:space="preserve">FISMA (Federal Information Security Modernization Act)</w:t>
            </w:r>
          </w:p>
        </w:tc>
        <w:tc>
          <w:tcPr/>
          <w:p>
            <w:pPr>
              <w:pStyle w:val="Compact"/>
            </w:pPr>
            <w:r>
              <w:t xml:space="preserve">Establishes mandatory access control and audit requirements for federal information systems</w:t>
            </w:r>
          </w:p>
        </w:tc>
      </w:tr>
      <w:tr>
        <w:tc>
          <w:tcPr/>
          <w:p>
            <w:pPr>
              <w:pStyle w:val="Compact"/>
            </w:pPr>
            <w:r>
              <w:t xml:space="preserve">NIST SP 800-53 Rev. 5 (AC Family)</w:t>
            </w:r>
          </w:p>
        </w:tc>
        <w:tc>
          <w:tcPr/>
          <w:p>
            <w:pPr>
              <w:pStyle w:val="Compact"/>
            </w:pPr>
            <w:r>
              <w:t xml:space="preserve">Access enforcement (AC-3), least privilege (AC-6), account management (AC-2), and separation of duties (AC-5) controls directly implemented in this model</w:t>
            </w:r>
          </w:p>
        </w:tc>
      </w:tr>
      <w:tr>
        <w:tc>
          <w:tcPr/>
          <w:p>
            <w:pPr>
              <w:pStyle w:val="Compact"/>
            </w:pPr>
            <w:r>
              <w:t xml:space="preserve">NIST SP 800-207 (Zero Trust Architecture)</w:t>
            </w:r>
          </w:p>
        </w:tc>
        <w:tc>
          <w:tcPr/>
          <w:p>
            <w:pPr>
              <w:pStyle w:val="Compact"/>
            </w:pPr>
            <w:r>
              <w:t xml:space="preserve">Least-privilege, continuous validation, and explicit trust verification principles applied to every access workflow</w:t>
            </w:r>
          </w:p>
        </w:tc>
      </w:tr>
      <w:tr>
        <w:tc>
          <w:tcPr/>
          <w:p>
            <w:pPr>
              <w:pStyle w:val="Compact"/>
            </w:pPr>
            <w:r>
              <w:t xml:space="preserve">OMB Memorandum M-22-09</w:t>
            </w:r>
          </w:p>
        </w:tc>
        <w:tc>
          <w:tcPr/>
          <w:p>
            <w:pPr>
              <w:pStyle w:val="Compact"/>
            </w:pPr>
            <w:r>
              <w:t xml:space="preserve">Federal Zero Trust Strategy requirements, including phased adoption of application-level access controls</w:t>
            </w:r>
          </w:p>
        </w:tc>
      </w:tr>
      <w:tr>
        <w:tc>
          <w:tcPr/>
          <w:p>
            <w:pPr>
              <w:pStyle w:val="Compact"/>
            </w:pPr>
            <w:r>
              <w:t xml:space="preserve">CISA Zero Trust Maturity Model</w:t>
            </w:r>
          </w:p>
        </w:tc>
        <w:tc>
          <w:tcPr/>
          <w:p>
            <w:pPr>
              <w:pStyle w:val="Compact"/>
            </w:pPr>
            <w:r>
              <w:t xml:space="preserve">Application pillar maturity requirements for identity-based access</w:t>
            </w:r>
          </w:p>
        </w:tc>
      </w:tr>
      <w:tr>
        <w:tc>
          <w:tcPr/>
          <w:p>
            <w:pPr>
              <w:pStyle w:val="Compact"/>
            </w:pPr>
            <w:r>
              <w:t xml:space="preserve">Agency Information Security Policy</w:t>
            </w:r>
          </w:p>
        </w:tc>
        <w:tc>
          <w:tcPr/>
          <w:p>
            <w:pPr>
              <w:pStyle w:val="Compact"/>
            </w:pPr>
            <w:r>
              <w:t xml:space="preserve">Parent agency policy governing all information system access</w:t>
            </w:r>
          </w:p>
        </w:tc>
      </w:tr>
    </w:tbl>
    <w:bookmarkEnd w:id="311"/>
    <w:bookmarkEnd w:id="312"/>
    <w:bookmarkStart w:id="313" w:name="definitions-and-key-terms"/>
    <w:p>
      <w:pPr>
        <w:pStyle w:val="Heading2"/>
      </w:pPr>
      <w:r>
        <w:t xml:space="preserve">Definitions and key terms</w:t>
      </w:r>
    </w:p>
    <w:p>
      <w:pPr>
        <w:pStyle w:val="FirstParagraph"/>
      </w:pPr>
      <w:r>
        <w:t xml:space="preserve">The following terms are used throughout this document. All personnel involved in</w:t>
      </w:r>
      <w:r>
        <w:t xml:space="preserve"> </w:t>
      </w:r>
      <w:r>
        <w:t xml:space="preserve">enterprise application governance must be familiar with these definitions.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Definition</w:t>
            </w:r>
          </w:p>
        </w:tc>
      </w:tr>
      <w:tr>
        <w:tc>
          <w:tcPr/>
          <w:p>
            <w:pPr>
              <w:pStyle w:val="Compact"/>
            </w:pPr>
            <w:r>
              <w:rPr>
                <w:b/>
                <w:bCs/>
              </w:rPr>
              <w:t xml:space="preserve">Enterprise Application</w:t>
            </w:r>
          </w:p>
        </w:tc>
        <w:tc>
          <w:tcPr/>
          <w:p>
            <w:pPr>
              <w:pStyle w:val="Compact"/>
            </w:pPr>
            <w:r>
              <w:t xml:space="preserve">A Service Principal object in Microsoft Entra ID that represents an application registered to the tenant. Enterprise Applications are the primary objects through which access control, Admin Consent, and group assignment are managed.</w:t>
            </w:r>
          </w:p>
        </w:tc>
      </w:tr>
      <w:tr>
        <w:tc>
          <w:tcPr/>
          <w:p>
            <w:pPr>
              <w:pStyle w:val="Compact"/>
            </w:pPr>
            <w:r>
              <w:rPr>
                <w:b/>
                <w:bCs/>
              </w:rPr>
              <w:t xml:space="preserve">Service Principal</w:t>
            </w:r>
          </w:p>
        </w:tc>
        <w:tc>
          <w:tcPr/>
          <w:p>
            <w:pPr>
              <w:pStyle w:val="Compact"/>
            </w:pPr>
            <w:r>
              <w:t xml:space="preserve">The Entra ID representation of an application’s identity within a specific tenant. Every Enterprise Application is backed by a Service Principal that holds its permissions, assignments, and consent grants.</w:t>
            </w:r>
          </w:p>
        </w:tc>
      </w:tr>
      <w:tr>
        <w:tc>
          <w:tcPr/>
          <w:p>
            <w:pPr>
              <w:pStyle w:val="Compact"/>
            </w:pPr>
            <w:r>
              <w:rPr>
                <w:b/>
                <w:bCs/>
              </w:rPr>
              <w:t xml:space="preserve">App Registration</w:t>
            </w:r>
          </w:p>
        </w:tc>
        <w:tc>
          <w:tcPr/>
          <w:p>
            <w:pPr>
              <w:pStyle w:val="Compact"/>
            </w:pPr>
            <w:r>
              <w:t xml:space="preserve">The definition object of an application in Entra ID (as opposed to the Enterprise Application/Service Principal used in the local tenant). App Registrations define the application’s requested permissions and authentication configuration.</w:t>
            </w:r>
          </w:p>
        </w:tc>
      </w:tr>
      <w:tr>
        <w:tc>
          <w:tcPr/>
          <w:p>
            <w:pPr>
              <w:pStyle w:val="Compact"/>
            </w:pPr>
            <w:r>
              <w:rPr>
                <w:b/>
                <w:bCs/>
              </w:rPr>
              <w:t xml:space="preserve">Admin Consent</w:t>
            </w:r>
          </w:p>
        </w:tc>
        <w:tc>
          <w:tcPr/>
          <w:p>
            <w:pPr>
              <w:pStyle w:val="Compact"/>
            </w:pPr>
            <w:r>
              <w:t xml:space="preserve">A tenant-wide grant by an authorized administrator allowing an application to access Microsoft Graph or other API resources on behalf of all users in the tenant, without requiring individual user consent. Admin Consent is a high-risk operation requiring formal approval.</w:t>
            </w:r>
          </w:p>
        </w:tc>
      </w:tr>
      <w:tr>
        <w:tc>
          <w:tcPr/>
          <w:p>
            <w:pPr>
              <w:pStyle w:val="Compact"/>
            </w:pPr>
            <w:r>
              <w:rPr>
                <w:b/>
                <w:bCs/>
              </w:rPr>
              <w:t xml:space="preserve">Delegated Permission</w:t>
            </w:r>
          </w:p>
        </w:tc>
        <w:tc>
          <w:tcPr/>
          <w:p>
            <w:pPr>
              <w:pStyle w:val="Compact"/>
            </w:pPr>
            <w:r>
              <w:t xml:space="preserve">An API permission that allows an application to act on behalf of a signed-in user. Access is bounded by both the user’s own permissions and the granted scope. Generally lower risk than Application Permissions.</w:t>
            </w:r>
          </w:p>
        </w:tc>
      </w:tr>
      <w:tr>
        <w:tc>
          <w:tcPr/>
          <w:p>
            <w:pPr>
              <w:pStyle w:val="Compact"/>
            </w:pPr>
            <w:r>
              <w:rPr>
                <w:b/>
                <w:bCs/>
              </w:rPr>
              <w:t xml:space="preserve">Application Permission</w:t>
            </w:r>
          </w:p>
        </w:tc>
        <w:tc>
          <w:tcPr/>
          <w:p>
            <w:pPr>
              <w:pStyle w:val="Compact"/>
            </w:pPr>
            <w:r>
              <w:t xml:space="preserve">An API permission that allows an application to act independently — without a signed-in user — typically with access to all users’ data within the tenant. Application Permissions are always granted through Admin Consent and carry the highest risk level.</w:t>
            </w:r>
          </w:p>
        </w:tc>
      </w:tr>
      <w:tr>
        <w:tc>
          <w:tcPr/>
          <w:p>
            <w:pPr>
              <w:pStyle w:val="Compact"/>
            </w:pPr>
            <w:r>
              <w:rPr>
                <w:b/>
                <w:bCs/>
              </w:rPr>
              <w:t xml:space="preserve">Managed Identity</w:t>
            </w:r>
          </w:p>
        </w:tc>
        <w:tc>
          <w:tcPr/>
          <w:p>
            <w:pPr>
              <w:pStyle w:val="Compact"/>
            </w:pPr>
            <w:r>
              <w:t xml:space="preserve">A system-assigned or user-assigned identity in Entra ID for Azure resources (e.g., Azure Functions, VMs), enabling those resources to authenticate to other services without storing credentials. Managed Identities are governed as Service Principals.</w:t>
            </w:r>
          </w:p>
        </w:tc>
      </w:tr>
      <w:tr>
        <w:tc>
          <w:tcPr/>
          <w:p>
            <w:pPr>
              <w:pStyle w:val="Compact"/>
            </w:pPr>
            <w:r>
              <w:rPr>
                <w:b/>
                <w:bCs/>
              </w:rPr>
              <w:t xml:space="preserve">Privileged Access Group (PAG)</w:t>
            </w:r>
          </w:p>
        </w:tc>
        <w:tc>
          <w:tcPr/>
          <w:p>
            <w:pPr>
              <w:pStyle w:val="Compact"/>
            </w:pPr>
            <w:r>
              <w:t xml:space="preserve">A Microsoft Entra ID security group configured for Privileged Identity Management (PIM) group membership. PAGs are used to implement the Help Desk Operator role model in this agency, as no native</w:t>
            </w:r>
            <w:r>
              <w:t xml:space="preserve"> </w:t>
            </w:r>
            <w:r>
              <w:t xml:space="preserve">“Help Desk”</w:t>
            </w:r>
            <w:r>
              <w:t xml:space="preserve"> </w:t>
            </w:r>
            <w:r>
              <w:t xml:space="preserve">Entra role exists for identity operations.</w:t>
            </w:r>
          </w:p>
        </w:tc>
      </w:tr>
      <w:tr>
        <w:tc>
          <w:tcPr/>
          <w:p>
            <w:pPr>
              <w:pStyle w:val="Compact"/>
            </w:pPr>
            <w:r>
              <w:rPr>
                <w:b/>
                <w:bCs/>
              </w:rPr>
              <w:t xml:space="preserve">PIM (Privileged Identity Management)</w:t>
            </w:r>
          </w:p>
        </w:tc>
        <w:tc>
          <w:tcPr/>
          <w:p>
            <w:pPr>
              <w:pStyle w:val="Compact"/>
            </w:pPr>
            <w:r>
              <w:t xml:space="preserve">The Microsoft Entra ID service that governs time-bound, just-in-time (JIT) elevation of privileged roles. All Help Desk Operators and identity administrators must activate elevated roles through PIM. PIM activation is logged and subject to audit.</w:t>
            </w:r>
          </w:p>
        </w:tc>
      </w:tr>
      <w:tr>
        <w:tc>
          <w:tcPr/>
          <w:p>
            <w:pPr>
              <w:pStyle w:val="Compact"/>
            </w:pPr>
            <w:r>
              <w:rPr>
                <w:b/>
                <w:bCs/>
              </w:rPr>
              <w:t xml:space="preserve">ImmutableID</w:t>
            </w:r>
          </w:p>
        </w:tc>
        <w:tc>
          <w:tcPr/>
          <w:p>
            <w:pPr>
              <w:pStyle w:val="Compact"/>
            </w:pPr>
            <w:r>
              <w:t xml:space="preserve">An attribute used to link an on-premises Active Directory user object to its corresponding Entra ID user account in hybrid identity environments. Critical for federated authentication scenarios.</w:t>
            </w:r>
          </w:p>
        </w:tc>
      </w:tr>
      <w:tr>
        <w:tc>
          <w:tcPr/>
          <w:p>
            <w:pPr>
              <w:pStyle w:val="Compact"/>
            </w:pPr>
            <w:r>
              <w:rPr>
                <w:b/>
                <w:bCs/>
              </w:rPr>
              <w:t xml:space="preserve">Group-Based Access</w:t>
            </w:r>
          </w:p>
        </w:tc>
        <w:tc>
          <w:tcPr/>
          <w:p>
            <w:pPr>
              <w:pStyle w:val="Compact"/>
            </w:pPr>
            <w:r>
              <w:t xml:space="preserve">The practice of assigning security groups (rather than individual users) to Enterprise Applications for access control. Group-based access is the mandatory pattern in this agency for all application assignments.</w:t>
            </w:r>
          </w:p>
        </w:tc>
      </w:tr>
      <w:tr>
        <w:tc>
          <w:tcPr/>
          <w:p>
            <w:pPr>
              <w:pStyle w:val="Compact"/>
            </w:pPr>
            <w:r>
              <w:rPr>
                <w:b/>
                <w:bCs/>
              </w:rPr>
              <w:t xml:space="preserve">Application Owner</w:t>
            </w:r>
          </w:p>
        </w:tc>
        <w:tc>
          <w:tcPr/>
          <w:p>
            <w:pPr>
              <w:pStyle w:val="Compact"/>
            </w:pPr>
            <w:r>
              <w:t xml:space="preserve">A named individual (not a group) assigned as the accountable party for an Enterprise Application. Application Owners are responsible for access reviews, consent approvals (within their authority), and maintaining accurate application registration metadata.</w:t>
            </w:r>
          </w:p>
        </w:tc>
      </w:tr>
      <w:tr>
        <w:tc>
          <w:tcPr/>
          <w:p>
            <w:pPr>
              <w:pStyle w:val="Compact"/>
            </w:pPr>
            <w:r>
              <w:rPr>
                <w:b/>
                <w:bCs/>
              </w:rPr>
              <w:t xml:space="preserve">Identity Governance Officer (IGO)</w:t>
            </w:r>
          </w:p>
        </w:tc>
        <w:tc>
          <w:tcPr/>
          <w:p>
            <w:pPr>
              <w:pStyle w:val="Compact"/>
            </w:pPr>
            <w:r>
              <w:t xml:space="preserve">The senior authority responsible for this governance model. The IGO holds final approval authority for Tier 1 actions, all Admin Consent grants, and policy exceptions.</w:t>
            </w:r>
          </w:p>
        </w:tc>
      </w:tr>
      <w:tr>
        <w:tc>
          <w:tcPr/>
          <w:p>
            <w:pPr>
              <w:pStyle w:val="Compact"/>
            </w:pPr>
            <w:r>
              <w:rPr>
                <w:b/>
                <w:bCs/>
              </w:rPr>
              <w:t xml:space="preserve">Risk Tier</w:t>
            </w:r>
          </w:p>
        </w:tc>
        <w:tc>
          <w:tcPr/>
          <w:p>
            <w:pPr>
              <w:pStyle w:val="Compact"/>
            </w:pPr>
            <w:r>
              <w:t xml:space="preserve">A classification (Tier 1 / High, Tier 2 / Moderate, Tier 3 / Low) assigned to each Enterprise Application based on the sensitivity of data accessed, permission types granted, and exposure profile. Risk Tier drives the approval chain depth and review frequency.</w:t>
            </w:r>
          </w:p>
        </w:tc>
      </w:tr>
      <w:tr>
        <w:tc>
          <w:tcPr/>
          <w:p>
            <w:pPr>
              <w:pStyle w:val="Compact"/>
            </w:pPr>
            <w:r>
              <w:rPr>
                <w:b/>
                <w:bCs/>
              </w:rPr>
              <w:t xml:space="preserve">ServiceNow RITM</w:t>
            </w:r>
          </w:p>
        </w:tc>
        <w:tc>
          <w:tcPr/>
          <w:p>
            <w:pPr>
              <w:pStyle w:val="Compact"/>
            </w:pPr>
            <w:r>
              <w:t xml:space="preserve">A</w:t>
            </w:r>
            <w:r>
              <w:t xml:space="preserve"> </w:t>
            </w:r>
            <w:r>
              <w:t xml:space="preserve">“Requested Item”</w:t>
            </w:r>
            <w:r>
              <w:t xml:space="preserve"> </w:t>
            </w:r>
            <w:r>
              <w:t xml:space="preserve">ticket in the ServiceNow ITSM platform. All access requests, consent approvals, and governance actions must be initiated, approved, and closed via a ServiceNow RITM, which serves as the system of record.</w:t>
            </w:r>
          </w:p>
        </w:tc>
      </w:tr>
      <w:tr>
        <w:tc>
          <w:tcPr/>
          <w:p>
            <w:pPr>
              <w:pStyle w:val="Compact"/>
            </w:pPr>
            <w:r>
              <w:rPr>
                <w:b/>
                <w:bCs/>
              </w:rPr>
              <w:t xml:space="preserve">Break-Glass Account</w:t>
            </w:r>
          </w:p>
        </w:tc>
        <w:tc>
          <w:tcPr/>
          <w:p>
            <w:pPr>
              <w:pStyle w:val="Compact"/>
            </w:pPr>
            <w:r>
              <w:t xml:space="preserve">An emergency access account held outside the normal PIM governance model, used only when standard administrative access is unavailable. Break-glass activation triggers mandatory notification and post-incident review.</w:t>
            </w:r>
          </w:p>
        </w:tc>
      </w:tr>
      <w:tr>
        <w:tc>
          <w:tcPr/>
          <w:p>
            <w:pPr>
              <w:pStyle w:val="Compact"/>
            </w:pPr>
            <w:r>
              <w:rPr>
                <w:b/>
                <w:bCs/>
              </w:rPr>
              <w:t xml:space="preserve">Ownership Hierarchy</w:t>
            </w:r>
          </w:p>
        </w:tc>
        <w:tc>
          <w:tcPr/>
          <w:p>
            <w:pPr>
              <w:pStyle w:val="Compact"/>
            </w:pPr>
            <w:r>
              <w:t xml:space="preserve">The three-layer organizational ownership model: Layer 1 = IGO (tenant-wide authority), Layer 2 = Departmental Owner (department-level accountability), Layer 3 = Application Owner (application-specific accountability).</w:t>
            </w:r>
          </w:p>
        </w:tc>
      </w:tr>
      <w:tr>
        <w:tc>
          <w:tcPr/>
          <w:p>
            <w:pPr>
              <w:pStyle w:val="Compact"/>
            </w:pPr>
            <w:r>
              <w:rPr>
                <w:b/>
                <w:bCs/>
              </w:rPr>
              <w:t xml:space="preserve">Entra-HelpDesk-Operators PAG</w:t>
            </w:r>
          </w:p>
        </w:tc>
        <w:tc>
          <w:tcPr/>
          <w:p>
            <w:pPr>
              <w:pStyle w:val="Compact"/>
            </w:pPr>
            <w:r>
              <w:t xml:space="preserve">The agency’s Privileged Access Group through which Help Desk Operators receive time-bound activation of Application Administrator and Hybrid Identity Administrator roles. This PAG is the implementation mechanism for the Help Desk governance role.</w:t>
            </w:r>
          </w:p>
        </w:tc>
      </w:tr>
      <w:tr>
        <w:tc>
          <w:tcPr/>
          <w:p>
            <w:pPr>
              <w:pStyle w:val="Compact"/>
            </w:pPr>
            <w:r>
              <w:rPr>
                <w:b/>
                <w:bCs/>
              </w:rPr>
              <w:t xml:space="preserve">Least Privilege</w:t>
            </w:r>
          </w:p>
        </w:tc>
        <w:tc>
          <w:tcPr/>
          <w:p>
            <w:pPr>
              <w:pStyle w:val="Compact"/>
            </w:pPr>
            <w:r>
              <w:t xml:space="preserve">The security principle that any user, application, or system should have only the minimum permissions necessary to perform its function. Least privilege is the central design principle of this governance model.</w:t>
            </w:r>
          </w:p>
        </w:tc>
      </w:tr>
      <w:tr>
        <w:tc>
          <w:tcPr/>
          <w:p>
            <w:pPr>
              <w:pStyle w:val="Compact"/>
            </w:pPr>
            <w:r>
              <w:rPr>
                <w:b/>
                <w:bCs/>
              </w:rPr>
              <w:t xml:space="preserve">Consent Grant</w:t>
            </w:r>
          </w:p>
        </w:tc>
        <w:tc>
          <w:tcPr/>
          <w:p>
            <w:pPr>
              <w:pStyle w:val="Compact"/>
            </w:pPr>
            <w:r>
              <w:t xml:space="preserve">The specific record created in Entra ID when Admin Consent is approved, binding the permission scope to the Service Principal. Consent Grants are logged, audited, and subject to periodic review and revocation.</w:t>
            </w:r>
          </w:p>
        </w:tc>
      </w:tr>
      <w:tr>
        <w:tc>
          <w:tcPr/>
          <w:p>
            <w:pPr>
              <w:pStyle w:val="Compact"/>
            </w:pPr>
            <w:r>
              <w:rPr>
                <w:b/>
                <w:bCs/>
              </w:rPr>
              <w:t xml:space="preserve">Application Registry</w:t>
            </w:r>
          </w:p>
        </w:tc>
        <w:tc>
          <w:tcPr/>
          <w:p>
            <w:pPr>
              <w:pStyle w:val="Compact"/>
            </w:pPr>
            <w:r>
              <w:t xml:space="preserve">The agency’s authoritative inventory of all Enterprise Applications in the Entra ID tenant, including ownership, risk classification, consent grants, and review status. Maintained by the IGO office.</w:t>
            </w:r>
          </w:p>
        </w:tc>
      </w:tr>
    </w:tbl>
    <w:bookmarkEnd w:id="313"/>
    <w:bookmarkStart w:id="316" w:name="governance-roles-and-responsibilities"/>
    <w:p>
      <w:pPr>
        <w:pStyle w:val="Heading2"/>
      </w:pPr>
      <w:r>
        <w:t xml:space="preserve">Governance roles and responsibilities</w:t>
      </w:r>
    </w:p>
    <w:bookmarkStart w:id="314" w:name="role-definitions"/>
    <w:p>
      <w:pPr>
        <w:pStyle w:val="Heading3"/>
      </w:pPr>
      <w:r>
        <w:t xml:space="preserve">Role definitions</w:t>
      </w:r>
    </w:p>
    <w:p>
      <w:pPr>
        <w:pStyle w:val="FirstParagraph"/>
      </w:pPr>
      <w:r>
        <w:t xml:space="preserve">The following roles constitute the complete governance structure for enterprise</w:t>
      </w:r>
      <w:r>
        <w:t xml:space="preserve"> </w:t>
      </w:r>
      <w:r>
        <w:t xml:space="preserve">application access. Each role is defined with its associated Entra ID role or</w:t>
      </w:r>
      <w:r>
        <w:t xml:space="preserve"> </w:t>
      </w:r>
      <w:r>
        <w:t xml:space="preserve">group, key responsibilities, and approval authority level.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 name</w:t>
            </w:r>
          </w:p>
        </w:tc>
        <w:tc>
          <w:tcPr/>
          <w:p>
            <w:pPr>
              <w:pStyle w:val="Compact"/>
            </w:pPr>
            <w:r>
              <w:t xml:space="preserve">Entra role / group</w:t>
            </w:r>
          </w:p>
        </w:tc>
        <w:tc>
          <w:tcPr/>
          <w:p>
            <w:pPr>
              <w:pStyle w:val="Compact"/>
            </w:pPr>
            <w:r>
              <w:t xml:space="preserve">Key responsibilities</w:t>
            </w:r>
          </w:p>
        </w:tc>
        <w:tc>
          <w:tcPr/>
          <w:p>
            <w:pPr>
              <w:pStyle w:val="Compact"/>
            </w:pPr>
            <w:r>
              <w:t xml:space="preserve">Approval authority level</w:t>
            </w:r>
          </w:p>
        </w:tc>
      </w:tr>
      <w:tr>
        <w:tc>
          <w:tcPr/>
          <w:p>
            <w:pPr>
              <w:pStyle w:val="Compact"/>
            </w:pPr>
            <w:r>
              <w:rPr>
                <w:b/>
                <w:bCs/>
              </w:rPr>
              <w:t xml:space="preserve">Identity Governance Officer (IGO)</w:t>
            </w:r>
          </w:p>
        </w:tc>
        <w:tc>
          <w:tcPr/>
          <w:p>
            <w:pPr>
              <w:pStyle w:val="Compact"/>
            </w:pPr>
            <w:r>
              <w:t xml:space="preserve">Privileged Role Administrator; Global Reader; member of IGO-Approvers security group</w:t>
            </w:r>
          </w:p>
        </w:tc>
        <w:tc>
          <w:tcPr/>
          <w:p>
            <w:pPr>
              <w:pStyle w:val="Compact"/>
            </w:pPr>
            <w:r>
              <w:t xml:space="preserve">Final authority on all Tier 1 application actions; approves all Admin Consent grants; approves policy exceptions and waivers; conducts annual governance review; maintains Application Registry; assigns Risk Tiers to all Enterprise Applications; receives all break-glass activation alerts</w:t>
            </w:r>
          </w:p>
        </w:tc>
        <w:tc>
          <w:tcPr/>
          <w:p>
            <w:pPr>
              <w:pStyle w:val="Compact"/>
            </w:pPr>
            <w:r>
              <w:rPr>
                <w:b/>
                <w:bCs/>
              </w:rPr>
              <w:t xml:space="preserve">Level 1 (highest)</w:t>
            </w:r>
            <w:r>
              <w:t xml:space="preserve"> </w:t>
            </w:r>
            <w:r>
              <w:t xml:space="preserve">— can approve all actions</w:t>
            </w:r>
          </w:p>
        </w:tc>
      </w:tr>
      <w:tr>
        <w:tc>
          <w:tcPr/>
          <w:p>
            <w:pPr>
              <w:pStyle w:val="Compact"/>
            </w:pPr>
            <w:r>
              <w:rPr>
                <w:b/>
                <w:bCs/>
              </w:rPr>
              <w:t xml:space="preserve">Global Administrator</w:t>
            </w:r>
          </w:p>
        </w:tc>
        <w:tc>
          <w:tcPr/>
          <w:p>
            <w:pPr>
              <w:pStyle w:val="Compact"/>
            </w:pPr>
            <w:r>
              <w:t xml:space="preserve">Global Administrator (Entra ID built-in)</w:t>
            </w:r>
          </w:p>
        </w:tc>
        <w:tc>
          <w:tcPr/>
          <w:p>
            <w:pPr>
              <w:pStyle w:val="Compact"/>
            </w:pPr>
            <w:r>
              <w:t xml:space="preserve">Emergency and break-glass use only; shall not be used for routine operations; must be activated via break-glass procedure; every use is automatically alerted to IGO and CISO</w:t>
            </w:r>
          </w:p>
        </w:tc>
        <w:tc>
          <w:tcPr/>
          <w:p>
            <w:pPr>
              <w:pStyle w:val="Compact"/>
            </w:pPr>
            <w:r>
              <w:rPr>
                <w:b/>
                <w:bCs/>
              </w:rPr>
              <w:t xml:space="preserve">Break-glass only</w:t>
            </w:r>
            <w:r>
              <w:t xml:space="preserve"> </w:t>
            </w:r>
            <w:r>
              <w:t xml:space="preserve">— not for routine use</w:t>
            </w:r>
          </w:p>
        </w:tc>
      </w:tr>
      <w:tr>
        <w:tc>
          <w:tcPr/>
          <w:p>
            <w:pPr>
              <w:pStyle w:val="Compact"/>
            </w:pPr>
            <w:r>
              <w:rPr>
                <w:b/>
                <w:bCs/>
              </w:rPr>
              <w:t xml:space="preserve">Privileged Role Administrator</w:t>
            </w:r>
          </w:p>
        </w:tc>
        <w:tc>
          <w:tcPr/>
          <w:p>
            <w:pPr>
              <w:pStyle w:val="Compact"/>
            </w:pPr>
            <w:r>
              <w:t xml:space="preserve">Privileged Role Administrator (Entra ID built-in, via PIM)</w:t>
            </w:r>
          </w:p>
        </w:tc>
        <w:tc>
          <w:tcPr/>
          <w:p>
            <w:pPr>
              <w:pStyle w:val="Compact"/>
            </w:pPr>
            <w:r>
              <w:t xml:space="preserve">Manages PIM policies and activation settings; assigns eligible role memberships; reviews PIM activation logs; manages Privileged Access Group configurations</w:t>
            </w:r>
          </w:p>
        </w:tc>
        <w:tc>
          <w:tcPr/>
          <w:p>
            <w:pPr>
              <w:pStyle w:val="Compact"/>
            </w:pPr>
            <w:r>
              <w:rPr>
                <w:b/>
                <w:bCs/>
              </w:rPr>
              <w:t xml:space="preserve">Level 2</w:t>
            </w:r>
            <w:r>
              <w:t xml:space="preserve"> </w:t>
            </w:r>
            <w:r>
              <w:t xml:space="preserve">— PIM and role management actions</w:t>
            </w:r>
          </w:p>
        </w:tc>
      </w:tr>
      <w:tr>
        <w:tc>
          <w:tcPr/>
          <w:p>
            <w:pPr>
              <w:pStyle w:val="Compact"/>
            </w:pPr>
            <w:r>
              <w:rPr>
                <w:b/>
                <w:bCs/>
              </w:rPr>
              <w:t xml:space="preserve">Application Owner (Ownership Layer 3)</w:t>
            </w:r>
          </w:p>
        </w:tc>
        <w:tc>
          <w:tcPr/>
          <w:p>
            <w:pPr>
              <w:pStyle w:val="Compact"/>
            </w:pPr>
            <w:r>
              <w:t xml:space="preserve">Named in Enterprise App → Owners tab; member of App-Owners security group</w:t>
            </w:r>
          </w:p>
        </w:tc>
        <w:tc>
          <w:tcPr/>
          <w:p>
            <w:pPr>
              <w:pStyle w:val="Compact"/>
            </w:pPr>
            <w:r>
              <w:t xml:space="preserve">First line of governance accountability for assigned application; approves or denies access requests for their application; conducts quarterly access reviews (Tier 1) or semi-annual (Tier 2); submits Admin Consent requests with business justification; maintains accuracy of application metadata in Registry; notifies IGO of any material change in application scope</w:t>
            </w:r>
          </w:p>
        </w:tc>
        <w:tc>
          <w:tcPr/>
          <w:p>
            <w:pPr>
              <w:pStyle w:val="Compact"/>
            </w:pPr>
            <w:r>
              <w:rPr>
                <w:b/>
                <w:bCs/>
              </w:rPr>
              <w:t xml:space="preserve">Level 3</w:t>
            </w:r>
            <w:r>
              <w:t xml:space="preserve"> </w:t>
            </w:r>
            <w:r>
              <w:t xml:space="preserve">— application-level access approvals</w:t>
            </w:r>
          </w:p>
        </w:tc>
      </w:tr>
      <w:tr>
        <w:tc>
          <w:tcPr/>
          <w:p>
            <w:pPr>
              <w:pStyle w:val="Compact"/>
            </w:pPr>
            <w:r>
              <w:rPr>
                <w:b/>
                <w:bCs/>
              </w:rPr>
              <w:t xml:space="preserve">Departmental Owner (Ownership Layer 2)</w:t>
            </w:r>
          </w:p>
        </w:tc>
        <w:tc>
          <w:tcPr/>
          <w:p>
            <w:pPr>
              <w:pStyle w:val="Compact"/>
            </w:pPr>
            <w:r>
              <w:t xml:space="preserve">Member of Dept-Owners-[DeptCode] security group</w:t>
            </w:r>
          </w:p>
        </w:tc>
        <w:tc>
          <w:tcPr/>
          <w:p>
            <w:pPr>
              <w:pStyle w:val="Compact"/>
            </w:pPr>
            <w:r>
              <w:t xml:space="preserve">Validates business justification for access requests; approves Tier 3 application access requests; confirms staffing changes that affect application access; escalates unresolved access requests to Application Owner; reviews department-level group memberships semi-annually</w:t>
            </w:r>
          </w:p>
        </w:tc>
        <w:tc>
          <w:tcPr/>
          <w:p>
            <w:pPr>
              <w:pStyle w:val="Compact"/>
            </w:pPr>
            <w:r>
              <w:rPr>
                <w:b/>
                <w:bCs/>
              </w:rPr>
              <w:t xml:space="preserve">Level 4</w:t>
            </w:r>
            <w:r>
              <w:t xml:space="preserve"> </w:t>
            </w:r>
            <w:r>
              <w:t xml:space="preserve">— departmental access validation</w:t>
            </w:r>
          </w:p>
        </w:tc>
      </w:tr>
      <w:tr>
        <w:tc>
          <w:tcPr/>
          <w:p>
            <w:pPr>
              <w:pStyle w:val="Compact"/>
            </w:pPr>
            <w:r>
              <w:rPr>
                <w:b/>
                <w:bCs/>
              </w:rPr>
              <w:t xml:space="preserve">Help Desk Operator</w:t>
            </w:r>
          </w:p>
        </w:tc>
        <w:tc>
          <w:tcPr/>
          <w:p>
            <w:pPr>
              <w:pStyle w:val="Compact"/>
            </w:pPr>
            <w:r>
              <w:t xml:space="preserve">Entra-HelpDesk-Operators PAG (grants Application Administrator + Hybrid Identity Administrator via PIM activation)</w:t>
            </w:r>
          </w:p>
        </w:tc>
        <w:tc>
          <w:tcPr/>
          <w:p>
            <w:pPr>
              <w:pStyle w:val="Compact"/>
            </w:pPr>
            <w:r>
              <w:t xml:space="preserve">Executes approved access changes in Entra ID (group assignments, app assignments); must activate role via PIM before performing any Entra action; closes ServiceNow RITM with execution confirmation; does not approve access — execution only; triages Microsoft Security notification emails per the Microsoft Security notification section; escalates anomalous consent or permission events to IGO</w:t>
            </w:r>
          </w:p>
        </w:tc>
        <w:tc>
          <w:tcPr/>
          <w:p>
            <w:pPr>
              <w:pStyle w:val="Compact"/>
            </w:pPr>
            <w:r>
              <w:rPr>
                <w:b/>
                <w:bCs/>
              </w:rPr>
              <w:t xml:space="preserve">Execution only</w:t>
            </w:r>
            <w:r>
              <w:t xml:space="preserve"> </w:t>
            </w:r>
            <w:r>
              <w:t xml:space="preserve">— no approval authority</w:t>
            </w:r>
          </w:p>
        </w:tc>
      </w:tr>
      <w:tr>
        <w:tc>
          <w:tcPr/>
          <w:p>
            <w:pPr>
              <w:pStyle w:val="Compact"/>
            </w:pPr>
            <w:r>
              <w:rPr>
                <w:b/>
                <w:bCs/>
              </w:rPr>
              <w:t xml:space="preserve">End User / Requester</w:t>
            </w:r>
          </w:p>
        </w:tc>
        <w:tc>
          <w:tcPr/>
          <w:p>
            <w:pPr>
              <w:pStyle w:val="Compact"/>
            </w:pPr>
            <w:r>
              <w:t xml:space="preserve">Standard user account (no elevated role)</w:t>
            </w:r>
          </w:p>
        </w:tc>
        <w:tc>
          <w:tcPr/>
          <w:p>
            <w:pPr>
              <w:pStyle w:val="Compact"/>
            </w:pPr>
            <w:r>
              <w:t xml:space="preserve">Submits access requests via ServiceNow catalog; provides business justification for access needs; acknowledges acceptable use requirements upon access grant; reports unauthorized access or anomalous application behavior</w:t>
            </w:r>
          </w:p>
        </w:tc>
        <w:tc>
          <w:tcPr/>
          <w:p>
            <w:pPr>
              <w:pStyle w:val="Compact"/>
            </w:pPr>
            <w:r>
              <w:rPr>
                <w:b/>
                <w:bCs/>
              </w:rPr>
              <w:t xml:space="preserve">None</w:t>
            </w:r>
            <w:r>
              <w:t xml:space="preserve"> </w:t>
            </w:r>
            <w:r>
              <w:t xml:space="preserve">— requestor only</w:t>
            </w:r>
          </w:p>
        </w:tc>
      </w:tr>
      <w:tr>
        <w:tc>
          <w:tcPr/>
          <w:p>
            <w:pPr>
              <w:pStyle w:val="Compact"/>
            </w:pPr>
            <w:r>
              <w:rPr>
                <w:b/>
                <w:bCs/>
              </w:rPr>
              <w:t xml:space="preserve">ServiceNow Workflow Automation</w:t>
            </w:r>
          </w:p>
        </w:tc>
        <w:tc>
          <w:tcPr/>
          <w:p>
            <w:pPr>
              <w:pStyle w:val="Compact"/>
            </w:pPr>
            <w:r>
              <w:t xml:space="preserve">ServiceNow Integration Service Account (Entra ID service account, no interactive sign-in)</w:t>
            </w:r>
          </w:p>
        </w:tc>
        <w:tc>
          <w:tcPr/>
          <w:p>
            <w:pPr>
              <w:pStyle w:val="Compact"/>
            </w:pPr>
            <w:r>
              <w:t xml:space="preserve">Routes RITM tickets to approvers based on risk tier; sends automated notifications at each workflow stage; logs all approval actions to RITM audit trail; enforces SLA timers and escalation triggers</w:t>
            </w:r>
          </w:p>
        </w:tc>
        <w:tc>
          <w:tcPr/>
          <w:p>
            <w:pPr>
              <w:pStyle w:val="Compact"/>
            </w:pPr>
            <w:r>
              <w:rPr>
                <w:b/>
                <w:bCs/>
              </w:rPr>
              <w:t xml:space="preserve">System actor</w:t>
            </w:r>
            <w:r>
              <w:t xml:space="preserve"> </w:t>
            </w:r>
            <w:r>
              <w:t xml:space="preserve">— no human approval authority</w:t>
            </w:r>
          </w:p>
        </w:tc>
      </w:tr>
    </w:tbl>
    <w:p>
      <w:pPr>
        <w:pStyle w:val="BodyText"/>
      </w:pPr>
      <w:r>
        <w:rPr>
          <w:b/>
          <w:bCs/>
        </w:rPr>
        <w:t xml:space="preserve">No native Help Desk Entra role</w:t>
      </w:r>
    </w:p>
    <w:p>
      <w:pPr>
        <w:pStyle w:val="BodyText"/>
      </w:pPr>
      <w:r>
        <w:t xml:space="preserve">Microsoft Entra ID does not provide a native</w:t>
      </w:r>
      <w:r>
        <w:t xml:space="preserve"> </w:t>
      </w:r>
      <w:r>
        <w:t xml:space="preserve">“Help Desk”</w:t>
      </w:r>
      <w:r>
        <w:t xml:space="preserve"> </w:t>
      </w:r>
      <w:r>
        <w:t xml:space="preserve">role with the combined</w:t>
      </w:r>
      <w:r>
        <w:t xml:space="preserve"> </w:t>
      </w:r>
      <w:r>
        <w:t xml:space="preserve">capabilities required for identity operations (application assignment + hybrid</w:t>
      </w:r>
      <w:r>
        <w:t xml:space="preserve"> </w:t>
      </w:r>
      <w:r>
        <w:t xml:space="preserve">identity management). The</w:t>
      </w:r>
      <w:r>
        <w:t xml:space="preserve"> </w:t>
      </w:r>
      <w:r>
        <w:rPr>
          <w:b/>
          <w:bCs/>
        </w:rPr>
        <w:t xml:space="preserve">Entra-HelpDesk-Operators PAG</w:t>
      </w:r>
      <w:r>
        <w:t xml:space="preserve"> </w:t>
      </w:r>
      <w:r>
        <w:t xml:space="preserve">is the agency’s</w:t>
      </w:r>
      <w:r>
        <w:t xml:space="preserve"> </w:t>
      </w:r>
      <w:r>
        <w:t xml:space="preserve">implementation mechanism, granting time-bound, just-in-time activation of</w:t>
      </w:r>
      <w:r>
        <w:t xml:space="preserve"> </w:t>
      </w:r>
      <w:r>
        <w:t xml:space="preserve">Application Administrator and Hybrid Identity Administrator roles through PIM.</w:t>
      </w:r>
      <w:r>
        <w:t xml:space="preserve"> </w:t>
      </w:r>
      <w:r>
        <w:t xml:space="preserve">Help Desk Operators must</w:t>
      </w:r>
      <w:r>
        <w:t xml:space="preserve"> </w:t>
      </w:r>
      <w:r>
        <w:rPr>
          <w:b/>
          <w:bCs/>
        </w:rPr>
        <w:t xml:space="preserve">never</w:t>
      </w:r>
      <w:r>
        <w:t xml:space="preserve"> </w:t>
      </w:r>
      <w:r>
        <w:t xml:space="preserve">be granted these roles as permanent</w:t>
      </w:r>
      <w:r>
        <w:t xml:space="preserve"> </w:t>
      </w:r>
      <w:r>
        <w:t xml:space="preserve">assignments. All activations must be logged and subject to quarterly review.</w:t>
      </w:r>
    </w:p>
    <w:bookmarkEnd w:id="314"/>
    <w:bookmarkStart w:id="315" w:name="raci-matrix"/>
    <w:p>
      <w:pPr>
        <w:pStyle w:val="Heading3"/>
      </w:pPr>
      <w:r>
        <w:t xml:space="preserve">RACI matrix</w:t>
      </w:r>
    </w:p>
    <w:p>
      <w:pPr>
        <w:pStyle w:val="FirstParagraph"/>
      </w:pPr>
      <w:r>
        <w:rPr>
          <w:b/>
          <w:bCs/>
        </w:rPr>
        <w:t xml:space="preserve">Key:</w:t>
      </w:r>
      <w:r>
        <w:t xml:space="preserve"> </w:t>
      </w:r>
      <w:r>
        <w:t xml:space="preserve">R = Responsible | A = Accountable | C = Consulted | I = Informed</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Task / activity</w:t>
            </w:r>
          </w:p>
        </w:tc>
        <w:tc>
          <w:tcPr/>
          <w:p>
            <w:pPr>
              <w:pStyle w:val="Compact"/>
            </w:pPr>
            <w:r>
              <w:t xml:space="preserve">IGO</w:t>
            </w:r>
          </w:p>
        </w:tc>
        <w:tc>
          <w:tcPr/>
          <w:p>
            <w:pPr>
              <w:pStyle w:val="Compact"/>
            </w:pPr>
            <w:r>
              <w:t xml:space="preserve">App Owner</w:t>
            </w:r>
          </w:p>
        </w:tc>
        <w:tc>
          <w:tcPr/>
          <w:p>
            <w:pPr>
              <w:pStyle w:val="Compact"/>
            </w:pPr>
            <w:r>
              <w:t xml:space="preserve">Dept Owner</w:t>
            </w:r>
          </w:p>
        </w:tc>
        <w:tc>
          <w:tcPr/>
          <w:p>
            <w:pPr>
              <w:pStyle w:val="Compact"/>
            </w:pPr>
            <w:r>
              <w:t xml:space="preserve">Help Desk</w:t>
            </w:r>
          </w:p>
        </w:tc>
        <w:tc>
          <w:tcPr/>
          <w:p>
            <w:pPr>
              <w:pStyle w:val="Compact"/>
            </w:pPr>
            <w:r>
              <w:t xml:space="preserve">End User</w:t>
            </w:r>
          </w:p>
        </w:tc>
        <w:tc>
          <w:tcPr/>
          <w:p>
            <w:pPr>
              <w:pStyle w:val="Compact"/>
            </w:pPr>
            <w:r>
              <w:t xml:space="preserve">Priv. Role Admin</w:t>
            </w:r>
          </w:p>
        </w:tc>
      </w:tr>
      <w:tr>
        <w:tc>
          <w:tcPr/>
          <w:p>
            <w:pPr>
              <w:pStyle w:val="Compact"/>
            </w:pPr>
            <w:r>
              <w:t xml:space="preserve">Enterprise App Registration (new app)</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r>
      <w:tr>
        <w:tc>
          <w:tcPr/>
          <w:p>
            <w:pPr>
              <w:pStyle w:val="Compact"/>
            </w:pPr>
            <w:r>
              <w:t xml:space="preserve">Risk Tier Classification</w:t>
            </w:r>
          </w:p>
        </w:tc>
        <w:tc>
          <w:tcPr/>
          <w:p>
            <w:pPr>
              <w:pStyle w:val="Compact"/>
            </w:pPr>
            <w:r>
              <w:t xml:space="preserve">A/R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t xml:space="preserve">—</w:t>
            </w:r>
          </w:p>
        </w:tc>
        <w:tc>
          <w:tcPr/>
          <w:p>
            <w:pPr>
              <w:pStyle w:val="Compact"/>
            </w:pPr>
            <w:r>
              <w:t xml:space="preserve">I</w:t>
            </w:r>
          </w:p>
        </w:tc>
      </w:tr>
      <w:tr>
        <w:tc>
          <w:tcPr/>
          <w:p>
            <w:pPr>
              <w:pStyle w:val="Compact"/>
            </w:pPr>
            <w:r>
              <w:t xml:space="preserve">Admin Consent Approval (Tier 1)</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Admin Consent Approval (Tier 2)</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Admin Consent Approval (Tier 3)</w:t>
            </w:r>
          </w:p>
        </w:tc>
        <w:tc>
          <w:tcPr/>
          <w:p>
            <w:pPr>
              <w:pStyle w:val="Compact"/>
            </w:pPr>
            <w:r>
              <w:t xml:space="preserve">I</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Group Assignment to Enterprise App</w:t>
            </w:r>
          </w:p>
        </w:tc>
        <w:tc>
          <w:tcPr/>
          <w:p>
            <w:pPr>
              <w:pStyle w:val="Compact"/>
            </w:pPr>
            <w:r>
              <w:t xml:space="preserve">I</w:t>
            </w:r>
          </w:p>
        </w:tc>
        <w:tc>
          <w:tcPr/>
          <w:p>
            <w:pPr>
              <w:pStyle w:val="Compact"/>
            </w:pPr>
            <w:r>
              <w:t xml:space="preserve">A</w:t>
            </w:r>
          </w:p>
        </w:tc>
        <w:tc>
          <w:tcPr/>
          <w:p>
            <w:pPr>
              <w:pStyle w:val="Compact"/>
            </w:pPr>
            <w:r>
              <w:t xml:space="preserve">C</w:t>
            </w:r>
          </w:p>
        </w:tc>
        <w:tc>
          <w:tcPr/>
          <w:p>
            <w:pPr>
              <w:pStyle w:val="Compact"/>
            </w:pPr>
            <w:r>
              <w:t xml:space="preserve">R</w:t>
            </w:r>
          </w:p>
        </w:tc>
        <w:tc>
          <w:tcPr/>
          <w:p>
            <w:pPr>
              <w:pStyle w:val="Compact"/>
            </w:pPr>
            <w:r>
              <w:t xml:space="preserve">I</w:t>
            </w:r>
          </w:p>
        </w:tc>
        <w:tc>
          <w:tcPr/>
          <w:p>
            <w:pPr>
              <w:pStyle w:val="Compact"/>
            </w:pPr>
            <w:r>
              <w:t xml:space="preserve">I</w:t>
            </w:r>
          </w:p>
        </w:tc>
      </w:tr>
      <w:tr>
        <w:tc>
          <w:tcPr/>
          <w:p>
            <w:pPr>
              <w:pStyle w:val="Compact"/>
            </w:pPr>
            <w:r>
              <w:t xml:space="preserve">Standard Access Request (end user)</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w:t>
            </w:r>
          </w:p>
        </w:tc>
      </w:tr>
      <w:tr>
        <w:tc>
          <w:tcPr/>
          <w:p>
            <w:pPr>
              <w:pStyle w:val="Compact"/>
            </w:pPr>
            <w:r>
              <w:t xml:space="preserve">Quarterly Access Review</w:t>
            </w:r>
          </w:p>
        </w:tc>
        <w:tc>
          <w:tcPr/>
          <w:p>
            <w:pPr>
              <w:pStyle w:val="Compact"/>
            </w:pPr>
            <w: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I</w:t>
            </w:r>
          </w:p>
        </w:tc>
      </w:tr>
      <w:tr>
        <w:tc>
          <w:tcPr/>
          <w:p>
            <w:pPr>
              <w:pStyle w:val="Compact"/>
            </w:pPr>
            <w:r>
              <w:t xml:space="preserve">Annual Governance Review</w:t>
            </w:r>
          </w:p>
        </w:tc>
        <w:tc>
          <w:tcPr/>
          <w:p>
            <w:pPr>
              <w:pStyle w:val="Compact"/>
            </w:pPr>
            <w:r>
              <w:t xml:space="preserve">A/R</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t xml:space="preserve">—</w:t>
            </w:r>
          </w:p>
        </w:tc>
        <w:tc>
          <w:tcPr/>
          <w:p>
            <w:pPr>
              <w:pStyle w:val="Compact"/>
            </w:pPr>
            <w:r>
              <w:t xml:space="preserve">C</w:t>
            </w:r>
          </w:p>
        </w:tc>
      </w:tr>
      <w:tr>
        <w:tc>
          <w:tcPr/>
          <w:p>
            <w:pPr>
              <w:pStyle w:val="Compact"/>
            </w:pPr>
            <w:r>
              <w:t xml:space="preserve">PIM Role Elevation (Help Desk)</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R</w:t>
            </w:r>
          </w:p>
        </w:tc>
        <w:tc>
          <w:tcPr/>
          <w:p>
            <w:pPr>
              <w:pStyle w:val="Compact"/>
            </w:pPr>
            <w:r>
              <w:t xml:space="preserve">—</w:t>
            </w:r>
          </w:p>
        </w:tc>
        <w:tc>
          <w:tcPr/>
          <w:p>
            <w:pPr>
              <w:pStyle w:val="Compact"/>
            </w:pPr>
            <w:r>
              <w:t xml:space="preserve">A</w:t>
            </w:r>
          </w:p>
        </w:tc>
      </w:tr>
      <w:tr>
        <w:tc>
          <w:tcPr/>
          <w:p>
            <w:pPr>
              <w:pStyle w:val="Compact"/>
            </w:pPr>
            <w:r>
              <w:t xml:space="preserve">Break-Glass Activation</w:t>
            </w:r>
          </w:p>
        </w:tc>
        <w:tc>
          <w:tcPr/>
          <w:p>
            <w:pPr>
              <w:pStyle w:val="Compact"/>
            </w:pPr>
            <w:r>
              <w:t xml:space="preserve">A</w:t>
            </w:r>
          </w:p>
        </w:tc>
        <w:tc>
          <w:tcPr/>
          <w:p>
            <w:pPr>
              <w:pStyle w:val="Compact"/>
            </w:pPr>
            <w:r>
              <w:t xml:space="preserve">I</w:t>
            </w:r>
          </w:p>
        </w:tc>
        <w:tc>
          <w:tcPr/>
          <w:p>
            <w:pPr>
              <w:pStyle w:val="Compact"/>
            </w:pPr>
            <w:r>
              <w:t xml:space="preserve">I</w:t>
            </w:r>
          </w:p>
        </w:tc>
        <w:tc>
          <w:tcPr/>
          <w:p>
            <w:pPr>
              <w:pStyle w:val="Compact"/>
            </w:pPr>
            <w:r>
              <w:t xml:space="preserve">I</w:t>
            </w:r>
          </w:p>
        </w:tc>
        <w:tc>
          <w:tcPr/>
          <w:p>
            <w:pPr>
              <w:pStyle w:val="Compact"/>
            </w:pPr>
            <w:r>
              <w:t xml:space="preserve">—</w:t>
            </w:r>
          </w:p>
        </w:tc>
        <w:tc>
          <w:tcPr/>
          <w:p>
            <w:pPr>
              <w:pStyle w:val="Compact"/>
            </w:pPr>
            <w:r>
              <w:t xml:space="preserve">R</w:t>
            </w:r>
          </w:p>
        </w:tc>
      </w:tr>
      <w:tr>
        <w:tc>
          <w:tcPr/>
          <w:p>
            <w:pPr>
              <w:pStyle w:val="Compact"/>
            </w:pPr>
            <w:r>
              <w:t xml:space="preserve">Audit Log Review</w:t>
            </w:r>
          </w:p>
        </w:tc>
        <w:tc>
          <w:tcPr/>
          <w:p>
            <w:pPr>
              <w:pStyle w:val="Compact"/>
            </w:pPr>
            <w:r>
              <w:t xml:space="preserve">A/R</w:t>
            </w:r>
          </w:p>
        </w:tc>
        <w:tc>
          <w:tcPr/>
          <w:p>
            <w:pPr>
              <w:pStyle w:val="Compact"/>
            </w:pPr>
            <w:r>
              <w:t xml:space="preserve">C</w:t>
            </w:r>
          </w:p>
        </w:tc>
        <w:tc>
          <w:tcPr/>
          <w:p>
            <w:pPr>
              <w:pStyle w:val="Compact"/>
            </w:pPr>
            <w:r>
              <w:t xml:space="preserve">I</w:t>
            </w:r>
          </w:p>
        </w:tc>
        <w:tc>
          <w:tcPr/>
          <w:p>
            <w:pPr>
              <w:pStyle w:val="Compact"/>
            </w:pPr>
            <w:r>
              <w:t xml:space="preserve">R</w:t>
            </w:r>
          </w:p>
        </w:tc>
        <w:tc>
          <w:tcPr/>
          <w:p>
            <w:pPr>
              <w:pStyle w:val="Compact"/>
            </w:pPr>
            <w:r>
              <w:t xml:space="preserve">—</w:t>
            </w:r>
          </w:p>
        </w:tc>
        <w:tc>
          <w:tcPr/>
          <w:p>
            <w:pPr>
              <w:pStyle w:val="Compact"/>
            </w:pPr>
            <w:r>
              <w:t xml:space="preserve">C</w:t>
            </w:r>
          </w:p>
        </w:tc>
      </w:tr>
      <w:tr>
        <w:tc>
          <w:tcPr/>
          <w:p>
            <w:pPr>
              <w:pStyle w:val="Compact"/>
            </w:pPr>
            <w:r>
              <w:t xml:space="preserve">Orphaned Application Remediation</w:t>
            </w:r>
          </w:p>
        </w:tc>
        <w:tc>
          <w:tcPr/>
          <w:p>
            <w:pPr>
              <w:pStyle w:val="Compact"/>
            </w:pPr>
            <w:r>
              <w:t xml:space="preserve">A/R</w:t>
            </w:r>
          </w:p>
        </w:tc>
        <w:tc>
          <w:tcPr/>
          <w:p>
            <w:pPr>
              <w:pStyle w:val="Compact"/>
            </w:pPr>
            <w:r>
              <w:t xml:space="preserve">—</w:t>
            </w:r>
          </w:p>
        </w:tc>
        <w:tc>
          <w:tcPr/>
          <w:p>
            <w:pPr>
              <w:pStyle w:val="Compact"/>
            </w:pPr>
            <w:r>
              <w:t xml:space="preserve">C</w:t>
            </w:r>
          </w:p>
        </w:tc>
        <w:tc>
          <w:tcPr/>
          <w:p>
            <w:pPr>
              <w:pStyle w:val="Compact"/>
            </w:pPr>
            <w:r>
              <w:t xml:space="preserve">R</w:t>
            </w:r>
          </w:p>
        </w:tc>
        <w:tc>
          <w:tcPr/>
          <w:p>
            <w:pPr>
              <w:pStyle w:val="Compact"/>
            </w:pPr>
            <w:r>
              <w:t xml:space="preserve">—</w:t>
            </w:r>
          </w:p>
        </w:tc>
        <w:tc>
          <w:tcPr/>
          <w:p>
            <w:pPr>
              <w:pStyle w:val="Compact"/>
            </w:pPr>
            <w:r>
              <w:t xml:space="preserve">I</w:t>
            </w:r>
          </w:p>
        </w:tc>
      </w:tr>
    </w:tbl>
    <w:bookmarkEnd w:id="315"/>
    <w:bookmarkEnd w:id="316"/>
    <w:bookmarkStart w:id="321" w:name="Xf6085adc2fdada92d039719b980d8731f83010d"/>
    <w:p>
      <w:pPr>
        <w:pStyle w:val="Heading2"/>
      </w:pPr>
      <w:r>
        <w:t xml:space="preserve">Application risk classification framework</w:t>
      </w:r>
    </w:p>
    <w:p>
      <w:pPr>
        <w:pStyle w:val="FirstParagraph"/>
      </w:pPr>
      <w:r>
        <w:t xml:space="preserve">All Enterprise Applications in the agency’s Entra ID tenant must be classified</w:t>
      </w:r>
      <w:r>
        <w:t xml:space="preserve"> </w:t>
      </w:r>
      <w:r>
        <w:t xml:space="preserve">under the three-tier risk model defined in this section. Risk classification is</w:t>
      </w:r>
      <w:r>
        <w:t xml:space="preserve"> </w:t>
      </w:r>
      <w:r>
        <w:t xml:space="preserve">assigned by the IGO at the time of application registration and must be</w:t>
      </w:r>
      <w:r>
        <w:t xml:space="preserve"> </w:t>
      </w:r>
      <w:r>
        <w:t xml:space="preserve">re-evaluated at each annual governance review or whenever a material change</w:t>
      </w:r>
      <w:r>
        <w:t xml:space="preserve"> </w:t>
      </w:r>
      <w:r>
        <w:t xml:space="preserve">occurs to the application’s permission scope, data access profile, or user</w:t>
      </w:r>
      <w:r>
        <w:t xml:space="preserve"> </w:t>
      </w:r>
      <w:r>
        <w:t xml:space="preserve">population.</w:t>
      </w:r>
    </w:p>
    <w:p>
      <w:pPr>
        <w:pStyle w:val="BodyText"/>
      </w:pPr>
      <w:r>
        <w:rPr>
          <w:b/>
          <w:bCs/>
        </w:rPr>
        <w:t xml:space="preserve">Classification is a governance obligation</w:t>
      </w:r>
    </w:p>
    <w:p>
      <w:pPr>
        <w:pStyle w:val="BodyText"/>
      </w:pPr>
      <w:r>
        <w:t xml:space="preserve">Every Enterprise Application must have an assigned Risk Tier before access may be</w:t>
      </w:r>
      <w:r>
        <w:t xml:space="preserve"> </w:t>
      </w:r>
      <w:r>
        <w:t xml:space="preserve">granted to any user or group. Applications discovered without a Risk Tier</w:t>
      </w:r>
      <w:r>
        <w:t xml:space="preserve"> </w:t>
      </w:r>
      <w:r>
        <w:t xml:space="preserve">classification are treated as</w:t>
      </w:r>
      <w:r>
        <w:t xml:space="preserve"> </w:t>
      </w:r>
      <w:r>
        <w:rPr>
          <w:b/>
          <w:bCs/>
        </w:rPr>
        <w:t xml:space="preserve">Tier 1 (High Risk)</w:t>
      </w:r>
      <w:r>
        <w:t xml:space="preserve"> </w:t>
      </w:r>
      <w:r>
        <w:t xml:space="preserve">until formally classified by</w:t>
      </w:r>
      <w:r>
        <w:t xml:space="preserve"> </w:t>
      </w:r>
      <w:r>
        <w:t xml:space="preserve">the IGO. No exceptions are permitted.</w:t>
      </w:r>
    </w:p>
    <w:bookmarkStart w:id="317" w:name="tier-1-high-risk"/>
    <w:p>
      <w:pPr>
        <w:pStyle w:val="Heading3"/>
      </w:pPr>
      <w:r>
        <w:t xml:space="preserve">Tier 1 — high risk</w:t>
      </w:r>
    </w:p>
    <w:p>
      <w:pPr>
        <w:pStyle w:val="FirstParagraph"/>
      </w:pPr>
      <w:r>
        <w:t xml:space="preserve">An application is classified Tier 1 if it meets</w:t>
      </w:r>
      <w:r>
        <w:t xml:space="preserve"> </w:t>
      </w:r>
      <w:r>
        <w:rPr>
          <w:b/>
          <w:bCs/>
        </w:rPr>
        <w:t xml:space="preserve">one or more</w:t>
      </w:r>
      <w:r>
        <w:t xml:space="preserve"> </w:t>
      </w:r>
      <w:r>
        <w:t xml:space="preserve">of the following</w:t>
      </w:r>
      <w:r>
        <w:t xml:space="preserve"> </w:t>
      </w:r>
      <w:r>
        <w:t xml:space="preserve">criteria:</w:t>
      </w:r>
    </w:p>
    <w:p>
      <w:pPr>
        <w:pStyle w:val="Compact"/>
        <w:numPr>
          <w:ilvl w:val="0"/>
          <w:numId w:val="1159"/>
        </w:numPr>
      </w:pPr>
      <w:r>
        <w:t xml:space="preserve">Uses</w:t>
      </w:r>
      <w:r>
        <w:t xml:space="preserve"> </w:t>
      </w:r>
      <w:r>
        <w:rPr>
          <w:b/>
          <w:bCs/>
        </w:rPr>
        <w:t xml:space="preserve">Application Permissions</w:t>
      </w:r>
      <w:r>
        <w:t xml:space="preserve"> </w:t>
      </w:r>
      <w:r>
        <w:t xml:space="preserve">(not Delegated Permissions) — i.e., acts</w:t>
      </w:r>
      <w:r>
        <w:t xml:space="preserve"> </w:t>
      </w:r>
      <w:r>
        <w:t xml:space="preserve">without a signed-in user context</w:t>
      </w:r>
    </w:p>
    <w:p>
      <w:pPr>
        <w:pStyle w:val="Compact"/>
        <w:numPr>
          <w:ilvl w:val="0"/>
          <w:numId w:val="1159"/>
        </w:numPr>
      </w:pPr>
      <w:r>
        <w:t xml:space="preserve">Has access to</w:t>
      </w:r>
      <w:r>
        <w:t xml:space="preserve"> </w:t>
      </w:r>
      <w:r>
        <w:rPr>
          <w:b/>
          <w:bCs/>
        </w:rPr>
        <w:t xml:space="preserve">all users’ data</w:t>
      </w:r>
      <w:r>
        <w:t xml:space="preserve"> </w:t>
      </w:r>
      <w:r>
        <w:t xml:space="preserve">or tenant-wide organizational data</w:t>
      </w:r>
    </w:p>
    <w:p>
      <w:pPr>
        <w:pStyle w:val="Compact"/>
        <w:numPr>
          <w:ilvl w:val="0"/>
          <w:numId w:val="1159"/>
        </w:numPr>
      </w:pPr>
      <w:r>
        <w:t xml:space="preserve">Processes, stores, or transmits</w:t>
      </w:r>
      <w:r>
        <w:t xml:space="preserve"> </w:t>
      </w:r>
      <w:r>
        <w:rPr>
          <w:b/>
          <w:bCs/>
        </w:rPr>
        <w:t xml:space="preserve">financial, HR, payroll, health, or sensitive</w:t>
      </w:r>
      <w:r>
        <w:rPr>
          <w:b/>
          <w:bCs/>
        </w:rPr>
        <w:t xml:space="preserve"> </w:t>
      </w:r>
      <w:r>
        <w:rPr>
          <w:b/>
          <w:bCs/>
        </w:rPr>
        <w:t xml:space="preserve">PII data</w:t>
      </w:r>
    </w:p>
    <w:p>
      <w:pPr>
        <w:pStyle w:val="Compact"/>
        <w:numPr>
          <w:ilvl w:val="0"/>
          <w:numId w:val="1159"/>
        </w:numPr>
      </w:pPr>
      <w:r>
        <w:t xml:space="preserve">Is operated by an</w:t>
      </w:r>
      <w:r>
        <w:t xml:space="preserve"> </w:t>
      </w:r>
      <w:r>
        <w:rPr>
          <w:b/>
          <w:bCs/>
        </w:rPr>
        <w:t xml:space="preserve">external party or third-party ISV</w:t>
      </w:r>
      <w:r>
        <w:t xml:space="preserve"> </w:t>
      </w:r>
      <w:r>
        <w:t xml:space="preserve">(vendor-managed</w:t>
      </w:r>
      <w:r>
        <w:t xml:space="preserve"> </w:t>
      </w:r>
      <w:r>
        <w:t xml:space="preserve">application)</w:t>
      </w:r>
    </w:p>
    <w:p>
      <w:pPr>
        <w:pStyle w:val="Compact"/>
        <w:numPr>
          <w:ilvl w:val="0"/>
          <w:numId w:val="1159"/>
        </w:numPr>
      </w:pPr>
      <w:r>
        <w:t xml:space="preserve">Is</w:t>
      </w:r>
      <w:r>
        <w:t xml:space="preserve"> </w:t>
      </w:r>
      <w:r>
        <w:rPr>
          <w:b/>
          <w:bCs/>
        </w:rPr>
        <w:t xml:space="preserve">externally facing</w:t>
      </w:r>
      <w:r>
        <w:t xml:space="preserve"> </w:t>
      </w:r>
      <w:r>
        <w:t xml:space="preserve">and accessible outside the agency network perimeter</w:t>
      </w:r>
    </w:p>
    <w:p>
      <w:pPr>
        <w:pStyle w:val="Compact"/>
        <w:numPr>
          <w:ilvl w:val="0"/>
          <w:numId w:val="1159"/>
        </w:numPr>
      </w:pPr>
      <w:r>
        <w:t xml:space="preserve">Has been granted one or more</w:t>
      </w:r>
      <w:r>
        <w:t xml:space="preserve"> </w:t>
      </w:r>
      <w:r>
        <w:rPr>
          <w:b/>
          <w:bCs/>
        </w:rPr>
        <w:t xml:space="preserve">highly privileged Microsoft Graph permissions</w:t>
      </w:r>
      <w:r>
        <w:t xml:space="preserve"> </w:t>
      </w:r>
      <w:r>
        <w:t xml:space="preserve">(e.g., Mail.ReadWrite.All, User.ReadWrite.All, Files.ReadWrite.All at</w:t>
      </w:r>
      <w:r>
        <w:t xml:space="preserve"> </w:t>
      </w:r>
      <w:r>
        <w:t xml:space="preserve">application level)</w:t>
      </w:r>
    </w:p>
    <w:p>
      <w:pPr>
        <w:pStyle w:val="Compact"/>
        <w:numPr>
          <w:ilvl w:val="0"/>
          <w:numId w:val="1159"/>
        </w:numPr>
      </w:pPr>
      <w:r>
        <w:t xml:space="preserve">Has no named Application Owner (orphaned — automatic Tier 1 classification</w:t>
      </w:r>
      <w:r>
        <w:t xml:space="preserve"> </w:t>
      </w:r>
      <w:r>
        <w:t xml:space="preserve">applies)</w:t>
      </w:r>
    </w:p>
    <w:p>
      <w:pPr>
        <w:pStyle w:val="FirstParagraph"/>
      </w:pPr>
      <w:r>
        <w:rPr>
          <w:b/>
          <w:bCs/>
        </w:rPr>
        <w:t xml:space="preserve">Tier 1 governance requirements:</w:t>
      </w:r>
    </w:p>
    <w:p>
      <w:pPr>
        <w:pStyle w:val="Compact"/>
        <w:numPr>
          <w:ilvl w:val="0"/>
          <w:numId w:val="1160"/>
        </w:numPr>
      </w:pPr>
      <w:r>
        <w:t xml:space="preserve">IGO approval required for all Admin Consent grants</w:t>
      </w:r>
    </w:p>
    <w:p>
      <w:pPr>
        <w:pStyle w:val="Compact"/>
        <w:numPr>
          <w:ilvl w:val="0"/>
          <w:numId w:val="1160"/>
        </w:numPr>
      </w:pPr>
      <w:r>
        <w:t xml:space="preserve">Executive sign-off (CISO or Deputy CISO) required for initial provisioning</w:t>
      </w:r>
    </w:p>
    <w:p>
      <w:pPr>
        <w:pStyle w:val="Compact"/>
        <w:numPr>
          <w:ilvl w:val="0"/>
          <w:numId w:val="1160"/>
        </w:numPr>
      </w:pPr>
      <w:r>
        <w:t xml:space="preserve">Named Application Owner is</w:t>
      </w:r>
      <w:r>
        <w:t xml:space="preserve"> </w:t>
      </w:r>
      <w:r>
        <w:rPr>
          <w:b/>
          <w:bCs/>
        </w:rPr>
        <w:t xml:space="preserve">mandatory</w:t>
      </w:r>
      <w:r>
        <w:t xml:space="preserve"> </w:t>
      </w:r>
      <w:r>
        <w:t xml:space="preserve">— application cannot remain active</w:t>
      </w:r>
      <w:r>
        <w:t xml:space="preserve"> </w:t>
      </w:r>
      <w:r>
        <w:t xml:space="preserve">without one</w:t>
      </w:r>
    </w:p>
    <w:p>
      <w:pPr>
        <w:pStyle w:val="Compact"/>
        <w:numPr>
          <w:ilvl w:val="0"/>
          <w:numId w:val="1160"/>
        </w:numPr>
      </w:pPr>
      <w:r>
        <w:t xml:space="preserve">Quarterly access review conducted by Application Owner</w:t>
      </w:r>
    </w:p>
    <w:p>
      <w:pPr>
        <w:pStyle w:val="Compact"/>
        <w:numPr>
          <w:ilvl w:val="0"/>
          <w:numId w:val="1160"/>
        </w:numPr>
      </w:pPr>
      <w:r>
        <w:t xml:space="preserve">All consent grants logged in both ServiceNow and Entra audit log</w:t>
      </w:r>
    </w:p>
    <w:p>
      <w:pPr>
        <w:pStyle w:val="Compact"/>
        <w:numPr>
          <w:ilvl w:val="0"/>
          <w:numId w:val="1160"/>
        </w:numPr>
      </w:pPr>
      <w:r>
        <w:t xml:space="preserve">SIEM alerting enabled for all permission changes</w:t>
      </w:r>
    </w:p>
    <w:p>
      <w:pPr>
        <w:pStyle w:val="Compact"/>
        <w:numPr>
          <w:ilvl w:val="0"/>
          <w:numId w:val="1160"/>
        </w:numPr>
      </w:pPr>
      <w:r>
        <w:t xml:space="preserve">Named Backup/Delegate Application Owner required</w:t>
      </w:r>
    </w:p>
    <w:bookmarkEnd w:id="317"/>
    <w:bookmarkStart w:id="318" w:name="tier-2-moderate-risk"/>
    <w:p>
      <w:pPr>
        <w:pStyle w:val="Heading3"/>
      </w:pPr>
      <w:r>
        <w:t xml:space="preserve">Tier 2 — moderate risk</w:t>
      </w:r>
    </w:p>
    <w:p>
      <w:pPr>
        <w:pStyle w:val="FirstParagraph"/>
      </w:pPr>
      <w:r>
        <w:t xml:space="preserve">An application is classified Tier 2 if it meets the following criteria (and does</w:t>
      </w:r>
      <w:r>
        <w:t xml:space="preserve"> </w:t>
      </w:r>
      <w:r>
        <w:t xml:space="preserve">not qualify for Tier 1):</w:t>
      </w:r>
    </w:p>
    <w:p>
      <w:pPr>
        <w:pStyle w:val="Compact"/>
        <w:numPr>
          <w:ilvl w:val="0"/>
          <w:numId w:val="1161"/>
        </w:numPr>
      </w:pPr>
      <w:r>
        <w:t xml:space="preserve">Uses</w:t>
      </w:r>
      <w:r>
        <w:t xml:space="preserve"> </w:t>
      </w:r>
      <w:r>
        <w:rPr>
          <w:b/>
          <w:bCs/>
        </w:rPr>
        <w:t xml:space="preserve">Delegated Permissions with broad scope</w:t>
      </w:r>
      <w:r>
        <w:t xml:space="preserve"> </w:t>
      </w:r>
      <w:r>
        <w:t xml:space="preserve">(e.g., Files.ReadWrite,</w:t>
      </w:r>
      <w:r>
        <w:t xml:space="preserve"> </w:t>
      </w:r>
      <w:r>
        <w:t xml:space="preserve">Mail.Read on behalf of user)</w:t>
      </w:r>
    </w:p>
    <w:p>
      <w:pPr>
        <w:pStyle w:val="Compact"/>
        <w:numPr>
          <w:ilvl w:val="0"/>
          <w:numId w:val="1161"/>
        </w:numPr>
      </w:pPr>
      <w:r>
        <w:t xml:space="preserve">Is an</w:t>
      </w:r>
      <w:r>
        <w:t xml:space="preserve"> </w:t>
      </w:r>
      <w:r>
        <w:rPr>
          <w:b/>
          <w:bCs/>
        </w:rPr>
        <w:t xml:space="preserve">internal business application</w:t>
      </w:r>
      <w:r>
        <w:t xml:space="preserve"> </w:t>
      </w:r>
      <w:r>
        <w:t xml:space="preserve">serving a defined department or user</w:t>
      </w:r>
      <w:r>
        <w:t xml:space="preserve"> </w:t>
      </w:r>
      <w:r>
        <w:t xml:space="preserve">population</w:t>
      </w:r>
    </w:p>
    <w:p>
      <w:pPr>
        <w:pStyle w:val="Compact"/>
        <w:numPr>
          <w:ilvl w:val="0"/>
          <w:numId w:val="1161"/>
        </w:numPr>
      </w:pPr>
      <w:r>
        <w:t xml:space="preserve">Has access to</w:t>
      </w:r>
      <w:r>
        <w:t xml:space="preserve"> </w:t>
      </w:r>
      <w:r>
        <w:rPr>
          <w:b/>
          <w:bCs/>
        </w:rPr>
        <w:t xml:space="preserve">department-level data</w:t>
      </w:r>
      <w:r>
        <w:t xml:space="preserve"> </w:t>
      </w:r>
      <w:r>
        <w:t xml:space="preserve">but not tenant-wide data</w:t>
      </w:r>
    </w:p>
    <w:p>
      <w:pPr>
        <w:pStyle w:val="Compact"/>
        <w:numPr>
          <w:ilvl w:val="0"/>
          <w:numId w:val="1161"/>
        </w:numPr>
      </w:pPr>
      <w:r>
        <w:t xml:space="preserve">Handles</w:t>
      </w:r>
      <w:r>
        <w:t xml:space="preserve"> </w:t>
      </w:r>
      <w:r>
        <w:rPr>
          <w:b/>
          <w:bCs/>
        </w:rPr>
        <w:t xml:space="preserve">business-sensitive but non-PII data</w:t>
      </w:r>
      <w:r>
        <w:t xml:space="preserve"> </w:t>
      </w:r>
      <w:r>
        <w:t xml:space="preserve">(e.g., internal reports,</w:t>
      </w:r>
      <w:r>
        <w:t xml:space="preserve"> </w:t>
      </w:r>
      <w:r>
        <w:t xml:space="preserve">project data)</w:t>
      </w:r>
    </w:p>
    <w:p>
      <w:pPr>
        <w:pStyle w:val="Compact"/>
        <w:numPr>
          <w:ilvl w:val="0"/>
          <w:numId w:val="1161"/>
        </w:numPr>
      </w:pPr>
      <w:r>
        <w:t xml:space="preserve">Is operated and maintained by an internal team with defined ownership</w:t>
      </w:r>
    </w:p>
    <w:p>
      <w:pPr>
        <w:pStyle w:val="FirstParagraph"/>
      </w:pPr>
      <w:r>
        <w:rPr>
          <w:b/>
          <w:bCs/>
        </w:rPr>
        <w:t xml:space="preserve">Tier 2 governance requirements:</w:t>
      </w:r>
    </w:p>
    <w:p>
      <w:pPr>
        <w:pStyle w:val="Compact"/>
        <w:numPr>
          <w:ilvl w:val="0"/>
          <w:numId w:val="1162"/>
        </w:numPr>
      </w:pPr>
      <w:r>
        <w:t xml:space="preserve">Application Owner approval required for Admin Consent; IGO review required</w:t>
      </w:r>
      <w:r>
        <w:t xml:space="preserve"> </w:t>
      </w:r>
      <w:r>
        <w:t xml:space="preserve">before grant</w:t>
      </w:r>
    </w:p>
    <w:p>
      <w:pPr>
        <w:pStyle w:val="Compact"/>
        <w:numPr>
          <w:ilvl w:val="0"/>
          <w:numId w:val="1162"/>
        </w:numPr>
      </w:pPr>
      <w:r>
        <w:t xml:space="preserve">Named Application Owner is mandatory</w:t>
      </w:r>
    </w:p>
    <w:p>
      <w:pPr>
        <w:pStyle w:val="Compact"/>
        <w:numPr>
          <w:ilvl w:val="0"/>
          <w:numId w:val="1162"/>
        </w:numPr>
      </w:pPr>
      <w:r>
        <w:t xml:space="preserve">Semi-annual access review</w:t>
      </w:r>
    </w:p>
    <w:p>
      <w:pPr>
        <w:pStyle w:val="Compact"/>
        <w:numPr>
          <w:ilvl w:val="0"/>
          <w:numId w:val="1162"/>
        </w:numPr>
      </w:pPr>
      <w:r>
        <w:t xml:space="preserve">Consent grants logged in ServiceNow</w:t>
      </w:r>
    </w:p>
    <w:bookmarkEnd w:id="318"/>
    <w:bookmarkStart w:id="319" w:name="tier-3-low-risk"/>
    <w:p>
      <w:pPr>
        <w:pStyle w:val="Heading3"/>
      </w:pPr>
      <w:r>
        <w:t xml:space="preserve">Tier 3 — low risk</w:t>
      </w:r>
    </w:p>
    <w:p>
      <w:pPr>
        <w:pStyle w:val="FirstParagraph"/>
      </w:pPr>
      <w:r>
        <w:t xml:space="preserve">An application is classified Tier 3 if it meets all of the following criteria:</w:t>
      </w:r>
    </w:p>
    <w:p>
      <w:pPr>
        <w:pStyle w:val="Compact"/>
        <w:numPr>
          <w:ilvl w:val="0"/>
          <w:numId w:val="1163"/>
        </w:numPr>
      </w:pPr>
      <w:r>
        <w:t xml:space="preserve">Requests only</w:t>
      </w:r>
      <w:r>
        <w:t xml:space="preserve"> </w:t>
      </w:r>
      <w:r>
        <w:rPr>
          <w:b/>
          <w:bCs/>
        </w:rPr>
        <w:t xml:space="preserve">minimal delegated permissions</w:t>
      </w:r>
      <w:r>
        <w:t xml:space="preserve"> </w:t>
      </w:r>
      <w:r>
        <w:t xml:space="preserve">(e.g., User.Read, openid,</w:t>
      </w:r>
      <w:r>
        <w:t xml:space="preserve"> </w:t>
      </w:r>
      <w:r>
        <w:t xml:space="preserve">profile, email)</w:t>
      </w:r>
    </w:p>
    <w:p>
      <w:pPr>
        <w:pStyle w:val="Compact"/>
        <w:numPr>
          <w:ilvl w:val="0"/>
          <w:numId w:val="1163"/>
        </w:numPr>
      </w:pPr>
      <w:r>
        <w:t xml:space="preserve">Is an</w:t>
      </w:r>
      <w:r>
        <w:t xml:space="preserve"> </w:t>
      </w:r>
      <w:r>
        <w:rPr>
          <w:b/>
          <w:bCs/>
        </w:rPr>
        <w:t xml:space="preserve">internal productivity tool</w:t>
      </w:r>
      <w:r>
        <w:t xml:space="preserve"> </w:t>
      </w:r>
      <w:r>
        <w:t xml:space="preserve">with limited data access</w:t>
      </w:r>
    </w:p>
    <w:p>
      <w:pPr>
        <w:pStyle w:val="Compact"/>
        <w:numPr>
          <w:ilvl w:val="0"/>
          <w:numId w:val="1163"/>
        </w:numPr>
      </w:pPr>
      <w:r>
        <w:t xml:space="preserve">Does</w:t>
      </w:r>
      <w:r>
        <w:t xml:space="preserve"> </w:t>
      </w:r>
      <w:r>
        <w:rPr>
          <w:b/>
          <w:bCs/>
        </w:rPr>
        <w:t xml:space="preserve">not</w:t>
      </w:r>
      <w:r>
        <w:t xml:space="preserve"> </w:t>
      </w:r>
      <w:r>
        <w:t xml:space="preserve">access sensitive, financial, health, or PII data</w:t>
      </w:r>
    </w:p>
    <w:p>
      <w:pPr>
        <w:pStyle w:val="Compact"/>
        <w:numPr>
          <w:ilvl w:val="0"/>
          <w:numId w:val="1163"/>
        </w:numPr>
      </w:pPr>
      <w:r>
        <w:t xml:space="preserve">User population is defined and limited (e.g., a single team or department)</w:t>
      </w:r>
    </w:p>
    <w:p>
      <w:pPr>
        <w:pStyle w:val="Compact"/>
        <w:numPr>
          <w:ilvl w:val="0"/>
          <w:numId w:val="1163"/>
        </w:numPr>
      </w:pPr>
      <w:r>
        <w:t xml:space="preserve">Is operated by an internal team with defined ownership</w:t>
      </w:r>
    </w:p>
    <w:p>
      <w:pPr>
        <w:pStyle w:val="FirstParagraph"/>
      </w:pPr>
      <w:r>
        <w:rPr>
          <w:b/>
          <w:bCs/>
        </w:rPr>
        <w:t xml:space="preserve">Tier 3 governance requirements:</w:t>
      </w:r>
    </w:p>
    <w:p>
      <w:pPr>
        <w:pStyle w:val="Compact"/>
        <w:numPr>
          <w:ilvl w:val="0"/>
          <w:numId w:val="1164"/>
        </w:numPr>
      </w:pPr>
      <w:r>
        <w:t xml:space="preserve">Departmental Owner approval sufficient for access requests</w:t>
      </w:r>
    </w:p>
    <w:p>
      <w:pPr>
        <w:pStyle w:val="Compact"/>
        <w:numPr>
          <w:ilvl w:val="0"/>
          <w:numId w:val="1164"/>
        </w:numPr>
      </w:pPr>
      <w:r>
        <w:t xml:space="preserve">Application Owner approval required for any Admin Consent</w:t>
      </w:r>
    </w:p>
    <w:p>
      <w:pPr>
        <w:pStyle w:val="Compact"/>
        <w:numPr>
          <w:ilvl w:val="0"/>
          <w:numId w:val="1164"/>
        </w:numPr>
      </w:pPr>
      <w:r>
        <w:t xml:space="preserve">Annual access review</w:t>
      </w:r>
    </w:p>
    <w:p>
      <w:pPr>
        <w:pStyle w:val="Compact"/>
        <w:numPr>
          <w:ilvl w:val="0"/>
          <w:numId w:val="1164"/>
        </w:numPr>
      </w:pPr>
      <w:r>
        <w:t xml:space="preserve">Standard RITM logging in ServiceNow</w:t>
      </w:r>
    </w:p>
    <w:bookmarkEnd w:id="319"/>
    <w:bookmarkStart w:id="320" w:name="risk-classification-matrix"/>
    <w:p>
      <w:pPr>
        <w:pStyle w:val="Heading3"/>
      </w:pPr>
      <w:r>
        <w:t xml:space="preserve">Risk classification matrix</w:t>
      </w:r>
    </w:p>
    <w:p>
      <w:pPr>
        <w:pStyle w:val="FirstParagraph"/>
      </w:pPr>
      <w:r>
        <w:t xml:space="preserve">The following matrix provides detailed classification guidance, including</w:t>
      </w:r>
      <w:r>
        <w:t xml:space="preserve"> </w:t>
      </w:r>
      <w:r>
        <w:t xml:space="preserve">permission scope examples and the required approval chains for each tier.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Classification criterion</w:t>
            </w:r>
          </w:p>
        </w:tc>
        <w:tc>
          <w:tcPr/>
          <w:p>
            <w:pPr>
              <w:pStyle w:val="Compact"/>
            </w:pPr>
            <w:r>
              <w:t xml:space="preserve">Tier 1 — high risk</w:t>
            </w:r>
          </w:p>
        </w:tc>
        <w:tc>
          <w:tcPr/>
          <w:p>
            <w:pPr>
              <w:pStyle w:val="Compact"/>
            </w:pPr>
            <w:r>
              <w:t xml:space="preserve">Tier 2 — moderate risk</w:t>
            </w:r>
          </w:p>
        </w:tc>
        <w:tc>
          <w:tcPr/>
          <w:p>
            <w:pPr>
              <w:pStyle w:val="Compact"/>
            </w:pPr>
            <w:r>
              <w:t xml:space="preserve">Tier 3 — low risk</w:t>
            </w:r>
          </w:p>
        </w:tc>
      </w:tr>
      <w:tr>
        <w:tc>
          <w:tcPr/>
          <w:p>
            <w:pPr>
              <w:pStyle w:val="Compact"/>
            </w:pPr>
            <w:r>
              <w:rPr>
                <w:b/>
                <w:bCs/>
              </w:rPr>
              <w:t xml:space="preserve">Permission Type</w:t>
            </w:r>
          </w:p>
        </w:tc>
        <w:tc>
          <w:tcPr/>
          <w:p>
            <w:pPr>
              <w:pStyle w:val="Compact"/>
            </w:pPr>
            <w:r>
              <w:t xml:space="preserve">Application Permissions (any)</w:t>
            </w:r>
          </w:p>
        </w:tc>
        <w:tc>
          <w:tcPr/>
          <w:p>
            <w:pPr>
              <w:pStyle w:val="Compact"/>
            </w:pPr>
            <w:r>
              <w:t xml:space="preserve">Delegated — broad scope</w:t>
            </w:r>
          </w:p>
        </w:tc>
        <w:tc>
          <w:tcPr/>
          <w:p>
            <w:pPr>
              <w:pStyle w:val="Compact"/>
            </w:pPr>
            <w:r>
              <w:t xml:space="preserve">Delegated — minimal scope</w:t>
            </w:r>
          </w:p>
        </w:tc>
      </w:tr>
      <w:tr>
        <w:tc>
          <w:tcPr/>
          <w:p>
            <w:pPr>
              <w:pStyle w:val="Compact"/>
            </w:pPr>
            <w:r>
              <w:rPr>
                <w:b/>
                <w:bCs/>
              </w:rPr>
              <w:t xml:space="preserve">Data Sensitivity</w:t>
            </w:r>
          </w:p>
        </w:tc>
        <w:tc>
          <w:tcPr/>
          <w:p>
            <w:pPr>
              <w:pStyle w:val="Compact"/>
            </w:pPr>
            <w:r>
              <w:t xml:space="preserve">PII, PHI, financial, HR, tenant-wide</w:t>
            </w:r>
          </w:p>
        </w:tc>
        <w:tc>
          <w:tcPr/>
          <w:p>
            <w:pPr>
              <w:pStyle w:val="Compact"/>
            </w:pPr>
            <w:r>
              <w:t xml:space="preserve">Business-sensitive, department-level</w:t>
            </w:r>
          </w:p>
        </w:tc>
        <w:tc>
          <w:tcPr/>
          <w:p>
            <w:pPr>
              <w:pStyle w:val="Compact"/>
            </w:pPr>
            <w:r>
              <w:t xml:space="preserve">Non-sensitive, user profile only</w:t>
            </w:r>
          </w:p>
        </w:tc>
      </w:tr>
      <w:tr>
        <w:tc>
          <w:tcPr/>
          <w:p>
            <w:pPr>
              <w:pStyle w:val="Compact"/>
            </w:pPr>
            <w:r>
              <w:rPr>
                <w:b/>
                <w:bCs/>
              </w:rPr>
              <w:t xml:space="preserve">Operator Type</w:t>
            </w:r>
          </w:p>
        </w:tc>
        <w:tc>
          <w:tcPr/>
          <w:p>
            <w:pPr>
              <w:pStyle w:val="Compact"/>
            </w:pPr>
            <w:r>
              <w:t xml:space="preserve">External/ISV or no owner</w:t>
            </w:r>
          </w:p>
        </w:tc>
        <w:tc>
          <w:tcPr/>
          <w:p>
            <w:pPr>
              <w:pStyle w:val="Compact"/>
            </w:pPr>
            <w:r>
              <w:t xml:space="preserve">Internal with ownership</w:t>
            </w:r>
          </w:p>
        </w:tc>
        <w:tc>
          <w:tcPr/>
          <w:p>
            <w:pPr>
              <w:pStyle w:val="Compact"/>
            </w:pPr>
            <w:r>
              <w:t xml:space="preserve">Internal, limited scope</w:t>
            </w:r>
          </w:p>
        </w:tc>
      </w:tr>
      <w:tr>
        <w:tc>
          <w:tcPr/>
          <w:p>
            <w:pPr>
              <w:pStyle w:val="Compact"/>
            </w:pPr>
            <w:r>
              <w:rPr>
                <w:b/>
                <w:bCs/>
              </w:rPr>
              <w:t xml:space="preserve">User Population</w:t>
            </w:r>
          </w:p>
        </w:tc>
        <w:tc>
          <w:tcPr/>
          <w:p>
            <w:pPr>
              <w:pStyle w:val="Compact"/>
            </w:pPr>
            <w:r>
              <w:t xml:space="preserve">All users or undetermined</w:t>
            </w:r>
          </w:p>
        </w:tc>
        <w:tc>
          <w:tcPr/>
          <w:p>
            <w:pPr>
              <w:pStyle w:val="Compact"/>
            </w:pPr>
            <w:r>
              <w:t xml:space="preserve">Department-level</w:t>
            </w:r>
          </w:p>
        </w:tc>
        <w:tc>
          <w:tcPr/>
          <w:p>
            <w:pPr>
              <w:pStyle w:val="Compact"/>
            </w:pPr>
            <w:r>
              <w:t xml:space="preserve">Team or small group</w:t>
            </w:r>
          </w:p>
        </w:tc>
      </w:tr>
      <w:tr>
        <w:tc>
          <w:tcPr/>
          <w:p>
            <w:pPr>
              <w:pStyle w:val="Compact"/>
            </w:pPr>
            <w:r>
              <w:rPr>
                <w:b/>
                <w:bCs/>
              </w:rPr>
              <w:t xml:space="preserve">External Exposure</w:t>
            </w:r>
          </w:p>
        </w:tc>
        <w:tc>
          <w:tcPr/>
          <w:p>
            <w:pPr>
              <w:pStyle w:val="Compact"/>
            </w:pPr>
            <w:r>
              <w:t xml:space="preserve">Yes (internet-facing)</w:t>
            </w:r>
          </w:p>
        </w:tc>
        <w:tc>
          <w:tcPr/>
          <w:p>
            <w:pPr>
              <w:pStyle w:val="Compact"/>
            </w:pPr>
            <w:r>
              <w:t xml:space="preserve">Internal with some federation</w:t>
            </w:r>
          </w:p>
        </w:tc>
        <w:tc>
          <w:tcPr/>
          <w:p>
            <w:pPr>
              <w:pStyle w:val="Compact"/>
            </w:pPr>
            <w:r>
              <w:t xml:space="preserve">Fully internal</w:t>
            </w:r>
          </w:p>
        </w:tc>
      </w:tr>
      <w:tr>
        <w:tc>
          <w:tcPr/>
          <w:p>
            <w:pPr>
              <w:pStyle w:val="Compact"/>
            </w:pPr>
            <w:r>
              <w:rPr>
                <w:b/>
                <w:bCs/>
              </w:rPr>
              <w:t xml:space="preserve">Admin Consent Approver</w:t>
            </w:r>
          </w:p>
        </w:tc>
        <w:tc>
          <w:tcPr/>
          <w:p>
            <w:pPr>
              <w:pStyle w:val="Compact"/>
            </w:pPr>
            <w:r>
              <w:t xml:space="preserve">IGO only</w:t>
            </w:r>
          </w:p>
        </w:tc>
        <w:tc>
          <w:tcPr/>
          <w:p>
            <w:pPr>
              <w:pStyle w:val="Compact"/>
            </w:pPr>
            <w:r>
              <w:t xml:space="preserve">App Owner + IGO review</w:t>
            </w:r>
          </w:p>
        </w:tc>
        <w:tc>
          <w:tcPr/>
          <w:p>
            <w:pPr>
              <w:pStyle w:val="Compact"/>
            </w:pPr>
            <w:r>
              <w:t xml:space="preserve">App Owner</w:t>
            </w:r>
          </w:p>
        </w:tc>
      </w:tr>
      <w:tr>
        <w:tc>
          <w:tcPr/>
          <w:p>
            <w:pPr>
              <w:pStyle w:val="Compact"/>
            </w:pPr>
            <w:r>
              <w:rPr>
                <w:b/>
                <w:bCs/>
              </w:rPr>
              <w:t xml:space="preserve">Access Request Approver</w:t>
            </w:r>
          </w:p>
        </w:tc>
        <w:tc>
          <w:tcPr/>
          <w:p>
            <w:pPr>
              <w:pStyle w:val="Compact"/>
            </w:pPr>
            <w:r>
              <w:t xml:space="preserve">App Owner + IGO notification</w:t>
            </w:r>
          </w:p>
        </w:tc>
        <w:tc>
          <w:tcPr/>
          <w:p>
            <w:pPr>
              <w:pStyle w:val="Compact"/>
            </w:pPr>
            <w:r>
              <w:t xml:space="preserve">App Owner</w:t>
            </w:r>
          </w:p>
        </w:tc>
        <w:tc>
          <w:tcPr/>
          <w:p>
            <w:pPr>
              <w:pStyle w:val="Compact"/>
            </w:pPr>
            <w:r>
              <w:t xml:space="preserve">Departmental Owner</w:t>
            </w:r>
          </w:p>
        </w:tc>
      </w:tr>
      <w:tr>
        <w:tc>
          <w:tcPr/>
          <w:p>
            <w:pPr>
              <w:pStyle w:val="Compact"/>
            </w:pPr>
            <w:r>
              <w:rPr>
                <w:b/>
                <w:bCs/>
              </w:rPr>
              <w:t xml:space="preserve">Access Review Frequency</w:t>
            </w:r>
          </w:p>
        </w:tc>
        <w:tc>
          <w:tcPr/>
          <w:p>
            <w:pPr>
              <w:pStyle w:val="Compact"/>
            </w:pPr>
            <w:r>
              <w:t xml:space="preserve">Quarterly</w:t>
            </w:r>
          </w:p>
        </w:tc>
        <w:tc>
          <w:tcPr/>
          <w:p>
            <w:pPr>
              <w:pStyle w:val="Compact"/>
            </w:pPr>
            <w:r>
              <w:t xml:space="preserve">Semi-annual</w:t>
            </w:r>
          </w:p>
        </w:tc>
        <w:tc>
          <w:tcPr/>
          <w:p>
            <w:pPr>
              <w:pStyle w:val="Compact"/>
            </w:pPr>
            <w:r>
              <w:t xml:space="preserve">Annual</w:t>
            </w:r>
          </w:p>
        </w:tc>
      </w:tr>
      <w:tr>
        <w:tc>
          <w:tcPr/>
          <w:p>
            <w:pPr>
              <w:pStyle w:val="Compact"/>
            </w:pPr>
            <w:r>
              <w:rPr>
                <w:b/>
                <w:bCs/>
              </w:rPr>
              <w:t xml:space="preserve">App Owner Required</w:t>
            </w:r>
          </w:p>
        </w:tc>
        <w:tc>
          <w:tcPr/>
          <w:p>
            <w:pPr>
              <w:pStyle w:val="Compact"/>
            </w:pPr>
            <w:r>
              <w:t xml:space="preserve">Mandatory + Backup Owner</w:t>
            </w:r>
          </w:p>
        </w:tc>
        <w:tc>
          <w:tcPr/>
          <w:p>
            <w:pPr>
              <w:pStyle w:val="Compact"/>
            </w:pPr>
            <w:r>
              <w:t xml:space="preserve">Mandatory</w:t>
            </w:r>
          </w:p>
        </w:tc>
        <w:tc>
          <w:tcPr/>
          <w:p>
            <w:pPr>
              <w:pStyle w:val="Compact"/>
            </w:pPr>
            <w:r>
              <w:t xml:space="preserve">Required</w:t>
            </w:r>
          </w:p>
        </w:tc>
      </w:tr>
      <w:tr>
        <w:tc>
          <w:tcPr/>
          <w:p>
            <w:pPr>
              <w:pStyle w:val="Compact"/>
            </w:pPr>
            <w:r>
              <w:rPr>
                <w:b/>
                <w:bCs/>
              </w:rPr>
              <w:t xml:space="preserve">Executive Sign-Off (Initial)</w:t>
            </w:r>
          </w:p>
        </w:tc>
        <w:tc>
          <w:tcPr/>
          <w:p>
            <w:pPr>
              <w:pStyle w:val="Compact"/>
            </w:pPr>
            <w:r>
              <w:t xml:space="preserve">Yes (CISO or Deputy)</w:t>
            </w:r>
          </w:p>
        </w:tc>
        <w:tc>
          <w:tcPr/>
          <w:p>
            <w:pPr>
              <w:pStyle w:val="Compact"/>
            </w:pPr>
            <w:r>
              <w:t xml:space="preserve">No</w:t>
            </w:r>
          </w:p>
        </w:tc>
        <w:tc>
          <w:tcPr/>
          <w:p>
            <w:pPr>
              <w:pStyle w:val="Compact"/>
            </w:pPr>
            <w:r>
              <w:t xml:space="preserve">No</w:t>
            </w:r>
          </w:p>
        </w:tc>
      </w:tr>
      <w:tr>
        <w:tc>
          <w:tcPr/>
          <w:p>
            <w:pPr>
              <w:pStyle w:val="Compact"/>
            </w:pPr>
            <w:r>
              <w:rPr>
                <w:b/>
                <w:bCs/>
              </w:rPr>
              <w:t xml:space="preserve">SIEM Alert Required</w:t>
            </w:r>
          </w:p>
        </w:tc>
        <w:tc>
          <w:tcPr/>
          <w:p>
            <w:pPr>
              <w:pStyle w:val="Compact"/>
            </w:pPr>
            <w:r>
              <w:t xml:space="preserve">Yes — all permission changes</w:t>
            </w:r>
          </w:p>
        </w:tc>
        <w:tc>
          <w:tcPr/>
          <w:p>
            <w:pPr>
              <w:pStyle w:val="Compact"/>
            </w:pPr>
            <w:r>
              <w:t xml:space="preserve">Yes — consent grants only</w:t>
            </w:r>
          </w:p>
        </w:tc>
        <w:tc>
          <w:tcPr/>
          <w:p>
            <w:pPr>
              <w:pStyle w:val="Compact"/>
            </w:pPr>
            <w:r>
              <w:t xml:space="preserve">No (standard audit log)</w:t>
            </w:r>
          </w:p>
        </w:tc>
      </w:tr>
      <w:tr>
        <w:tc>
          <w:tcPr/>
          <w:p>
            <w:pPr>
              <w:pStyle w:val="Compact"/>
            </w:pPr>
            <w:r>
              <w:rPr>
                <w:b/>
                <w:bCs/>
              </w:rPr>
              <w:t xml:space="preserve">Example Permission Scopes</w:t>
            </w:r>
          </w:p>
        </w:tc>
        <w:tc>
          <w:tcPr/>
          <w:p>
            <w:pPr>
              <w:pStyle w:val="Compact"/>
            </w:pPr>
            <w:r>
              <w:t xml:space="preserve">Mail.ReadWrite.All (App), User.ReadWrite.All (App), Files.ReadWrite.All (App), Directory.ReadWrite.All (App)</w:t>
            </w:r>
          </w:p>
        </w:tc>
        <w:tc>
          <w:tcPr/>
          <w:p>
            <w:pPr>
              <w:pStyle w:val="Compact"/>
            </w:pPr>
            <w:r>
              <w:t xml:space="preserve">Files.ReadWrite (Delegated), Calendars.ReadWrite (Delegated), Mail.Read (Delegated)</w:t>
            </w:r>
          </w:p>
        </w:tc>
        <w:tc>
          <w:tcPr/>
          <w:p>
            <w:pPr>
              <w:pStyle w:val="Compact"/>
            </w:pPr>
            <w:r>
              <w:t xml:space="preserve">User.Read (Delegated), openid, profile, email, offline_access</w:t>
            </w:r>
          </w:p>
        </w:tc>
      </w:tr>
      <w:tr>
        <w:tc>
          <w:tcPr/>
          <w:p>
            <w:pPr>
              <w:pStyle w:val="Compact"/>
            </w:pPr>
            <w:r>
              <w:rPr>
                <w:b/>
                <w:bCs/>
              </w:rPr>
              <w:t xml:space="preserve">Example Applications</w:t>
            </w:r>
          </w:p>
        </w:tc>
        <w:tc>
          <w:tcPr/>
          <w:p>
            <w:pPr>
              <w:pStyle w:val="Compact"/>
            </w:pPr>
            <w:r>
              <w:t xml:space="preserve">Payroll systems, HR platforms, third-party SIEM connectors, external partner portals</w:t>
            </w:r>
          </w:p>
        </w:tc>
        <w:tc>
          <w:tcPr/>
          <w:p>
            <w:pPr>
              <w:pStyle w:val="Compact"/>
            </w:pPr>
            <w:r>
              <w:t xml:space="preserve">Internal project management tools, department reporting apps, internal SharePoint integrations</w:t>
            </w:r>
          </w:p>
        </w:tc>
        <w:tc>
          <w:tcPr/>
          <w:p>
            <w:pPr>
              <w:pStyle w:val="Compact"/>
            </w:pPr>
            <w:r>
              <w:t xml:space="preserve">Internal productivity tools, single-sign-on only applications, read-only dashboards</w:t>
            </w:r>
          </w:p>
        </w:tc>
      </w:tr>
    </w:tbl>
    <w:p>
      <w:pPr>
        <w:pStyle w:val="BodyText"/>
      </w:pPr>
      <w:r>
        <w:rPr>
          <w:b/>
          <w:bCs/>
        </w:rPr>
        <w:t xml:space="preserve">Reclassification</w:t>
      </w:r>
    </w:p>
    <w:p>
      <w:pPr>
        <w:pStyle w:val="BodyText"/>
      </w:pPr>
      <w:r>
        <w:t xml:space="preserve">Risk Tier reclassification may be triggered at any time by: (1) a change in the</w:t>
      </w:r>
      <w:r>
        <w:t xml:space="preserve"> </w:t>
      </w:r>
      <w:r>
        <w:t xml:space="preserve">application’s requested permission scope, (2) a change in the data the</w:t>
      </w:r>
      <w:r>
        <w:t xml:space="preserve"> </w:t>
      </w:r>
      <w:r>
        <w:t xml:space="preserve">application accesses, (3) a change in the application’s operator or ownership, or</w:t>
      </w:r>
      <w:r>
        <w:t xml:space="preserve"> </w:t>
      </w:r>
      <w:r>
        <w:t xml:space="preserve">(4) a security incident involving the application. Reclassification requests must</w:t>
      </w:r>
      <w:r>
        <w:t xml:space="preserve"> </w:t>
      </w:r>
      <w:r>
        <w:t xml:space="preserve">be submitted to the IGO via ServiceNow RITM. Downgrade reclassification (e.g.,</w:t>
      </w:r>
      <w:r>
        <w:t xml:space="preserve"> </w:t>
      </w:r>
      <w:r>
        <w:t xml:space="preserve">Tier 1 to Tier 2) requires IGO approval with documented justification.</w:t>
      </w:r>
    </w:p>
    <w:bookmarkEnd w:id="320"/>
    <w:bookmarkEnd w:id="321"/>
    <w:bookmarkStart w:id="329" w:name="application-ownership-model"/>
    <w:p>
      <w:pPr>
        <w:pStyle w:val="Heading2"/>
      </w:pPr>
      <w:r>
        <w:t xml:space="preserve">Application ownership model</w:t>
      </w:r>
    </w:p>
    <w:bookmarkStart w:id="322" w:name="ownership-requirement"/>
    <w:p>
      <w:pPr>
        <w:pStyle w:val="Heading3"/>
      </w:pPr>
      <w:r>
        <w:t xml:space="preserve">Ownership requirement</w:t>
      </w:r>
    </w:p>
    <w:p>
      <w:pPr>
        <w:pStyle w:val="FirstParagraph"/>
      </w:pPr>
      <w:r>
        <w:t xml:space="preserve">Every Enterprise Application in the agency’s Entra ID tenant must have a named,</w:t>
      </w:r>
      <w:r>
        <w:t xml:space="preserve"> </w:t>
      </w:r>
      <w:r>
        <w:t xml:space="preserve">individual Application Owner. Group ownership is not permitted. The Application</w:t>
      </w:r>
      <w:r>
        <w:t xml:space="preserve"> </w:t>
      </w:r>
      <w:r>
        <w:t xml:space="preserve">Owner is the primary accountable party for the application’s access governance,</w:t>
      </w:r>
      <w:r>
        <w:t xml:space="preserve"> </w:t>
      </w:r>
      <w:r>
        <w:t xml:space="preserve">consent grants, and access review obligations. Assignment of an Application Owner</w:t>
      </w:r>
      <w:r>
        <w:t xml:space="preserve"> </w:t>
      </w:r>
      <w:r>
        <w:t xml:space="preserve">is a prerequisite for application activation in the tenant.</w:t>
      </w:r>
    </w:p>
    <w:bookmarkEnd w:id="322"/>
    <w:bookmarkStart w:id="323" w:name="application-owner-responsibilities"/>
    <w:p>
      <w:pPr>
        <w:pStyle w:val="Heading3"/>
      </w:pPr>
      <w:r>
        <w:t xml:space="preserve">Application Owner responsibilities</w:t>
      </w:r>
    </w:p>
    <w:p>
      <w:pPr>
        <w:pStyle w:val="FirstParagraph"/>
      </w:pPr>
      <w:r>
        <w:t xml:space="preserve">The Application Owner must:</w:t>
      </w:r>
    </w:p>
    <w:p>
      <w:pPr>
        <w:pStyle w:val="Compact"/>
        <w:numPr>
          <w:ilvl w:val="0"/>
          <w:numId w:val="1165"/>
        </w:numPr>
      </w:pPr>
      <w:r>
        <w:t xml:space="preserve">Maintain accurate application metadata in the Application Registry (name,</w:t>
      </w:r>
      <w:r>
        <w:t xml:space="preserve"> </w:t>
      </w:r>
      <w:r>
        <w:t xml:space="preserve">purpose, data classification, user population)</w:t>
      </w:r>
    </w:p>
    <w:p>
      <w:pPr>
        <w:pStyle w:val="Compact"/>
        <w:numPr>
          <w:ilvl w:val="0"/>
          <w:numId w:val="1165"/>
        </w:numPr>
      </w:pPr>
      <w:r>
        <w:t xml:space="preserve">Approve or deny all access requests submitted through ServiceNow within the</w:t>
      </w:r>
      <w:r>
        <w:t xml:space="preserve"> </w:t>
      </w:r>
      <w:r>
        <w:t xml:space="preserve">applicable SLA</w:t>
      </w:r>
    </w:p>
    <w:p>
      <w:pPr>
        <w:pStyle w:val="Compact"/>
        <w:numPr>
          <w:ilvl w:val="0"/>
          <w:numId w:val="1165"/>
        </w:numPr>
      </w:pPr>
      <w:r>
        <w:t xml:space="preserve">Conduct scheduled access reviews (quarterly for Tier 1, semi-annual for Tier</w:t>
      </w:r>
      <w:r>
        <w:t xml:space="preserve"> </w:t>
      </w:r>
      <w:r>
        <w:t xml:space="preserve">2, annual for Tier 3) and certify or revoke user group memberships</w:t>
      </w:r>
    </w:p>
    <w:p>
      <w:pPr>
        <w:pStyle w:val="Compact"/>
        <w:numPr>
          <w:ilvl w:val="0"/>
          <w:numId w:val="1165"/>
        </w:numPr>
      </w:pPr>
      <w:r>
        <w:t xml:space="preserve">Submit formal Admin Consent requests to the IGO with documented business</w:t>
      </w:r>
      <w:r>
        <w:t xml:space="preserve"> </w:t>
      </w:r>
      <w:r>
        <w:t xml:space="preserve">justification and least-privilege analysis for every new or modified</w:t>
      </w:r>
      <w:r>
        <w:t xml:space="preserve"> </w:t>
      </w:r>
      <w:r>
        <w:t xml:space="preserve">permission scope</w:t>
      </w:r>
    </w:p>
    <w:p>
      <w:pPr>
        <w:pStyle w:val="Compact"/>
        <w:numPr>
          <w:ilvl w:val="0"/>
          <w:numId w:val="1165"/>
        </w:numPr>
      </w:pPr>
      <w:r>
        <w:t xml:space="preserve">Notify the IGO of any material change to the application’s data access</w:t>
      </w:r>
      <w:r>
        <w:t xml:space="preserve"> </w:t>
      </w:r>
      <w:r>
        <w:t xml:space="preserve">profile, permission scope, or operator within 5 business days of discovery</w:t>
      </w:r>
    </w:p>
    <w:p>
      <w:pPr>
        <w:pStyle w:val="Compact"/>
        <w:numPr>
          <w:ilvl w:val="0"/>
          <w:numId w:val="1165"/>
        </w:numPr>
      </w:pPr>
      <w:r>
        <w:t xml:space="preserve">Review and acknowledge Microsoft Security notification emails that pertain to</w:t>
      </w:r>
      <w:r>
        <w:t xml:space="preserve"> </w:t>
      </w:r>
      <w:r>
        <w:t xml:space="preserve">their application (per the Microsoft Security notification section)</w:t>
      </w:r>
    </w:p>
    <w:p>
      <w:pPr>
        <w:pStyle w:val="Compact"/>
        <w:numPr>
          <w:ilvl w:val="0"/>
          <w:numId w:val="1165"/>
        </w:numPr>
      </w:pPr>
      <w:r>
        <w:t xml:space="preserve">Coordinate with the Help Desk to execute approved access changes</w:t>
      </w:r>
    </w:p>
    <w:p>
      <w:pPr>
        <w:pStyle w:val="Compact"/>
        <w:numPr>
          <w:ilvl w:val="0"/>
          <w:numId w:val="1165"/>
        </w:numPr>
      </w:pPr>
      <w:r>
        <w:t xml:space="preserve">Maintain awareness of current group memberships assigned to the application</w:t>
      </w:r>
      <w:r>
        <w:t xml:space="preserve"> </w:t>
      </w:r>
      <w:r>
        <w:t xml:space="preserve">and ensure accuracy</w:t>
      </w:r>
    </w:p>
    <w:p>
      <w:pPr>
        <w:pStyle w:val="Compact"/>
        <w:numPr>
          <w:ilvl w:val="0"/>
          <w:numId w:val="1165"/>
        </w:numPr>
      </w:pPr>
      <w:r>
        <w:t xml:space="preserve">Complete annual Application Owner training as required by the IGO</w:t>
      </w:r>
    </w:p>
    <w:p>
      <w:pPr>
        <w:pStyle w:val="Compact"/>
        <w:numPr>
          <w:ilvl w:val="0"/>
          <w:numId w:val="1165"/>
        </w:numPr>
      </w:pPr>
      <w:r>
        <w:t xml:space="preserve">Ensure their Backup/Delegate Owner is current and capable of assuming</w:t>
      </w:r>
      <w:r>
        <w:t xml:space="preserve"> </w:t>
      </w:r>
      <w:r>
        <w:t xml:space="preserve">responsibilities during absences</w:t>
      </w:r>
    </w:p>
    <w:bookmarkEnd w:id="323"/>
    <w:bookmarkStart w:id="324" w:name="backup-delegate-owner-requirement"/>
    <w:p>
      <w:pPr>
        <w:pStyle w:val="Heading3"/>
      </w:pPr>
      <w:r>
        <w:t xml:space="preserve">Backup / delegate owner requirement</w:t>
      </w:r>
    </w:p>
    <w:p>
      <w:pPr>
        <w:pStyle w:val="FirstParagraph"/>
      </w:pPr>
      <w:r>
        <w:t xml:space="preserve">All Tier 1 applications must have a named Backup/Delegate Application Owner. Tier</w:t>
      </w:r>
      <w:r>
        <w:t xml:space="preserve"> </w:t>
      </w:r>
      <w:r>
        <w:t xml:space="preserve">2 applications are strongly recommended to designate a Backup Owner. The Backup</w:t>
      </w:r>
      <w:r>
        <w:t xml:space="preserve"> </w:t>
      </w:r>
      <w:r>
        <w:t xml:space="preserve">Owner must have sufficient knowledge of the application to conduct access reviews</w:t>
      </w:r>
      <w:r>
        <w:t xml:space="preserve"> </w:t>
      </w:r>
      <w:r>
        <w:t xml:space="preserve">and respond to Admin Consent requests in the primary owner’s absence. The Backup</w:t>
      </w:r>
      <w:r>
        <w:t xml:space="preserve"> </w:t>
      </w:r>
      <w:r>
        <w:t xml:space="preserve">Owner is recorded in the Application Registry and named in the Entra ID</w:t>
      </w:r>
      <w:r>
        <w:t xml:space="preserve"> </w:t>
      </w:r>
      <w:r>
        <w:t xml:space="preserve">Enterprise Application Owners tab.</w:t>
      </w:r>
    </w:p>
    <w:bookmarkEnd w:id="324"/>
    <w:bookmarkStart w:id="325" w:name="application-registry"/>
    <w:p>
      <w:pPr>
        <w:pStyle w:val="Heading3"/>
      </w:pPr>
      <w:r>
        <w:t xml:space="preserve">Application Registry</w:t>
      </w:r>
    </w:p>
    <w:p>
      <w:pPr>
        <w:pStyle w:val="FirstParagraph"/>
      </w:pPr>
      <w:r>
        <w:t xml:space="preserve">The IGO office maintains the Application Registry as the authoritative inventory</w:t>
      </w:r>
      <w:r>
        <w:t xml:space="preserve"> </w:t>
      </w:r>
      <w:r>
        <w:t xml:space="preserve">of all Enterprise Applications in the tenant. The Registry contains the following</w:t>
      </w:r>
      <w:r>
        <w:t xml:space="preserve"> </w:t>
      </w:r>
      <w:r>
        <w:t xml:space="preserve">fields for each application: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Registry field</w:t>
            </w:r>
          </w:p>
        </w:tc>
        <w:tc>
          <w:tcPr/>
          <w:p>
            <w:pPr>
              <w:pStyle w:val="Compact"/>
            </w:pPr>
            <w:r>
              <w:t xml:space="preserve">Description</w:t>
            </w:r>
          </w:p>
        </w:tc>
        <w:tc>
          <w:tcPr/>
          <w:p>
            <w:pPr>
              <w:pStyle w:val="Compact"/>
            </w:pPr>
            <w:r>
              <w:t xml:space="preserve">Maintained by</w:t>
            </w:r>
          </w:p>
        </w:tc>
      </w:tr>
      <w:tr>
        <w:tc>
          <w:tcPr/>
          <w:p>
            <w:pPr>
              <w:pStyle w:val="Compact"/>
            </w:pPr>
            <w:r>
              <w:t xml:space="preserve">Application Name</w:t>
            </w:r>
          </w:p>
        </w:tc>
        <w:tc>
          <w:tcPr/>
          <w:p>
            <w:pPr>
              <w:pStyle w:val="Compact"/>
            </w:pPr>
            <w:r>
              <w:t xml:space="preserve">Display name in Entra ID</w:t>
            </w:r>
          </w:p>
        </w:tc>
        <w:tc>
          <w:tcPr/>
          <w:p>
            <w:pPr>
              <w:pStyle w:val="Compact"/>
            </w:pPr>
            <w:r>
              <w:t xml:space="preserve">Application Owner</w:t>
            </w:r>
          </w:p>
        </w:tc>
      </w:tr>
      <w:tr>
        <w:tc>
          <w:tcPr/>
          <w:p>
            <w:pPr>
              <w:pStyle w:val="Compact"/>
            </w:pPr>
            <w:r>
              <w:t xml:space="preserve">Application (Client) ID</w:t>
            </w:r>
          </w:p>
        </w:tc>
        <w:tc>
          <w:tcPr/>
          <w:p>
            <w:pPr>
              <w:pStyle w:val="Compact"/>
            </w:pPr>
            <w:r>
              <w:t xml:space="preserve">Unique identifier from Entra ID</w:t>
            </w:r>
          </w:p>
        </w:tc>
        <w:tc>
          <w:tcPr/>
          <w:p>
            <w:pPr>
              <w:pStyle w:val="Compact"/>
            </w:pPr>
            <w:r>
              <w:t xml:space="preserve">Help Desk (system-generated)</w:t>
            </w:r>
          </w:p>
        </w:tc>
      </w:tr>
      <w:tr>
        <w:tc>
          <w:tcPr/>
          <w:p>
            <w:pPr>
              <w:pStyle w:val="Compact"/>
            </w:pPr>
            <w:r>
              <w:t xml:space="preserve">Object ID</w:t>
            </w:r>
          </w:p>
        </w:tc>
        <w:tc>
          <w:tcPr/>
          <w:p>
            <w:pPr>
              <w:pStyle w:val="Compact"/>
            </w:pPr>
            <w:r>
              <w:t xml:space="preserve">Service Principal Object ID in Entra</w:t>
            </w:r>
          </w:p>
        </w:tc>
        <w:tc>
          <w:tcPr/>
          <w:p>
            <w:pPr>
              <w:pStyle w:val="Compact"/>
            </w:pPr>
            <w:r>
              <w:t xml:space="preserve">Help Desk (system-generated)</w:t>
            </w:r>
          </w:p>
        </w:tc>
      </w:tr>
      <w:tr>
        <w:tc>
          <w:tcPr/>
          <w:p>
            <w:pPr>
              <w:pStyle w:val="Compact"/>
            </w:pPr>
            <w:r>
              <w:t xml:space="preserve">Application Owner (Primary)</w:t>
            </w:r>
          </w:p>
        </w:tc>
        <w:tc>
          <w:tcPr/>
          <w:p>
            <w:pPr>
              <w:pStyle w:val="Compact"/>
            </w:pPr>
            <w:r>
              <w:t xml:space="preserve">Named individual with contact info</w:t>
            </w:r>
          </w:p>
        </w:tc>
        <w:tc>
          <w:tcPr/>
          <w:p>
            <w:pPr>
              <w:pStyle w:val="Compact"/>
            </w:pPr>
            <w:r>
              <w:t xml:space="preserve">Application Owner / IGO</w:t>
            </w:r>
          </w:p>
        </w:tc>
      </w:tr>
      <w:tr>
        <w:tc>
          <w:tcPr/>
          <w:p>
            <w:pPr>
              <w:pStyle w:val="Compact"/>
            </w:pPr>
            <w:r>
              <w:t xml:space="preserve">Application Owner (Backup)</w:t>
            </w:r>
          </w:p>
        </w:tc>
        <w:tc>
          <w:tcPr/>
          <w:p>
            <w:pPr>
              <w:pStyle w:val="Compact"/>
            </w:pPr>
            <w:r>
              <w:t xml:space="preserve">Named individual with contact info</w:t>
            </w:r>
          </w:p>
        </w:tc>
        <w:tc>
          <w:tcPr/>
          <w:p>
            <w:pPr>
              <w:pStyle w:val="Compact"/>
            </w:pPr>
            <w:r>
              <w:t xml:space="preserve">Application Owner / IGO</w:t>
            </w:r>
          </w:p>
        </w:tc>
      </w:tr>
      <w:tr>
        <w:tc>
          <w:tcPr/>
          <w:p>
            <w:pPr>
              <w:pStyle w:val="Compact"/>
            </w:pPr>
            <w:r>
              <w:t xml:space="preserve">Departmental Owner</w:t>
            </w:r>
          </w:p>
        </w:tc>
        <w:tc>
          <w:tcPr/>
          <w:p>
            <w:pPr>
              <w:pStyle w:val="Compact"/>
            </w:pPr>
            <w:r>
              <w:t xml:space="preserve">Named individual with department</w:t>
            </w:r>
          </w:p>
        </w:tc>
        <w:tc>
          <w:tcPr/>
          <w:p>
            <w:pPr>
              <w:pStyle w:val="Compact"/>
            </w:pPr>
            <w:r>
              <w:t xml:space="preserve">Departmental Owner / IGO</w:t>
            </w:r>
          </w:p>
        </w:tc>
      </w:tr>
      <w:tr>
        <w:tc>
          <w:tcPr/>
          <w:p>
            <w:pPr>
              <w:pStyle w:val="Compact"/>
            </w:pPr>
            <w:r>
              <w:t xml:space="preserve">Risk Tier</w:t>
            </w:r>
          </w:p>
        </w:tc>
        <w:tc>
          <w:tcPr/>
          <w:p>
            <w:pPr>
              <w:pStyle w:val="Compact"/>
            </w:pPr>
            <w:r>
              <w:t xml:space="preserve">Tier 1 / 2 / 3</w:t>
            </w:r>
          </w:p>
        </w:tc>
        <w:tc>
          <w:tcPr/>
          <w:p>
            <w:pPr>
              <w:pStyle w:val="Compact"/>
            </w:pPr>
            <w:r>
              <w:t xml:space="preserve">IGO</w:t>
            </w:r>
          </w:p>
        </w:tc>
      </w:tr>
      <w:tr>
        <w:tc>
          <w:tcPr/>
          <w:p>
            <w:pPr>
              <w:pStyle w:val="Compact"/>
            </w:pPr>
            <w:r>
              <w:t xml:space="preserve">Data Classification</w:t>
            </w:r>
          </w:p>
        </w:tc>
        <w:tc>
          <w:tcPr/>
          <w:p>
            <w:pPr>
              <w:pStyle w:val="Compact"/>
            </w:pPr>
            <w:r>
              <w:t xml:space="preserve">Sensitivity of data accessed</w:t>
            </w:r>
          </w:p>
        </w:tc>
        <w:tc>
          <w:tcPr/>
          <w:p>
            <w:pPr>
              <w:pStyle w:val="Compact"/>
            </w:pPr>
            <w:r>
              <w:t xml:space="preserve">Application Owner + IGO</w:t>
            </w:r>
          </w:p>
        </w:tc>
      </w:tr>
      <w:tr>
        <w:tc>
          <w:tcPr/>
          <w:p>
            <w:pPr>
              <w:pStyle w:val="Compact"/>
            </w:pPr>
            <w:r>
              <w:t xml:space="preserve">Admin Consent Status</w:t>
            </w:r>
          </w:p>
        </w:tc>
        <w:tc>
          <w:tcPr/>
          <w:p>
            <w:pPr>
              <w:pStyle w:val="Compact"/>
            </w:pPr>
            <w:r>
              <w:t xml:space="preserve">Granted / Pending / Not Required</w:t>
            </w:r>
          </w:p>
        </w:tc>
        <w:tc>
          <w:tcPr/>
          <w:p>
            <w:pPr>
              <w:pStyle w:val="Compact"/>
            </w:pPr>
            <w:r>
              <w:t xml:space="preserve">IGO</w:t>
            </w:r>
          </w:p>
        </w:tc>
      </w:tr>
      <w:tr>
        <w:tc>
          <w:tcPr/>
          <w:p>
            <w:pPr>
              <w:pStyle w:val="Compact"/>
            </w:pPr>
            <w:r>
              <w:t xml:space="preserve">Permission Scopes Granted</w:t>
            </w:r>
          </w:p>
        </w:tc>
        <w:tc>
          <w:tcPr/>
          <w:p>
            <w:pPr>
              <w:pStyle w:val="Compact"/>
            </w:pPr>
            <w:r>
              <w:t xml:space="preserve">List of all consented permissions</w:t>
            </w:r>
          </w:p>
        </w:tc>
        <w:tc>
          <w:tcPr/>
          <w:p>
            <w:pPr>
              <w:pStyle w:val="Compact"/>
            </w:pPr>
            <w:r>
              <w:t xml:space="preserve">IGO</w:t>
            </w:r>
          </w:p>
        </w:tc>
      </w:tr>
      <w:tr>
        <w:tc>
          <w:tcPr/>
          <w:p>
            <w:pPr>
              <w:pStyle w:val="Compact"/>
            </w:pPr>
            <w:r>
              <w:t xml:space="preserve">Last Access Review Date</w:t>
            </w:r>
          </w:p>
        </w:tc>
        <w:tc>
          <w:tcPr/>
          <w:p>
            <w:pPr>
              <w:pStyle w:val="Compact"/>
            </w:pPr>
            <w:r>
              <w:t xml:space="preserve">Date of most recent completed review</w:t>
            </w:r>
          </w:p>
        </w:tc>
        <w:tc>
          <w:tcPr/>
          <w:p>
            <w:pPr>
              <w:pStyle w:val="Compact"/>
            </w:pPr>
            <w:r>
              <w:t xml:space="preserve">Application Owner</w:t>
            </w:r>
          </w:p>
        </w:tc>
      </w:tr>
      <w:tr>
        <w:tc>
          <w:tcPr/>
          <w:p>
            <w:pPr>
              <w:pStyle w:val="Compact"/>
            </w:pPr>
            <w:r>
              <w:t xml:space="preserve">Next Review Due Date</w:t>
            </w:r>
          </w:p>
        </w:tc>
        <w:tc>
          <w:tcPr/>
          <w:p>
            <w:pPr>
              <w:pStyle w:val="Compact"/>
            </w:pPr>
            <w:r>
              <w:t xml:space="preserve">Calculated from review frequency</w:t>
            </w:r>
          </w:p>
        </w:tc>
        <w:tc>
          <w:tcPr/>
          <w:p>
            <w:pPr>
              <w:pStyle w:val="Compact"/>
            </w:pPr>
            <w:r>
              <w:t xml:space="preserve">IGO (automated)</w:t>
            </w:r>
          </w:p>
        </w:tc>
      </w:tr>
      <w:tr>
        <w:tc>
          <w:tcPr/>
          <w:p>
            <w:pPr>
              <w:pStyle w:val="Compact"/>
            </w:pPr>
            <w:r>
              <w:t xml:space="preserve">ServiceNow RITM (Initial Provisioning)</w:t>
            </w:r>
          </w:p>
        </w:tc>
        <w:tc>
          <w:tcPr/>
          <w:p>
            <w:pPr>
              <w:pStyle w:val="Compact"/>
            </w:pPr>
            <w:r>
              <w:t xml:space="preserve">Reference to originating RITM</w:t>
            </w:r>
          </w:p>
        </w:tc>
        <w:tc>
          <w:tcPr/>
          <w:p>
            <w:pPr>
              <w:pStyle w:val="Compact"/>
            </w:pPr>
            <w:r>
              <w:t xml:space="preserve">Help Desk</w:t>
            </w:r>
          </w:p>
        </w:tc>
      </w:tr>
      <w:tr>
        <w:tc>
          <w:tcPr/>
          <w:p>
            <w:pPr>
              <w:pStyle w:val="Compact"/>
            </w:pPr>
            <w:r>
              <w:t xml:space="preserve">Date Added to Tenant</w:t>
            </w:r>
          </w:p>
        </w:tc>
        <w:tc>
          <w:tcPr/>
          <w:p>
            <w:pPr>
              <w:pStyle w:val="Compact"/>
            </w:pPr>
            <w:r>
              <w:t xml:space="preserve">Registration date</w:t>
            </w:r>
          </w:p>
        </w:tc>
        <w:tc>
          <w:tcPr/>
          <w:p>
            <w:pPr>
              <w:pStyle w:val="Compact"/>
            </w:pPr>
            <w:r>
              <w:t xml:space="preserve">System</w:t>
            </w:r>
          </w:p>
        </w:tc>
      </w:tr>
      <w:tr>
        <w:tc>
          <w:tcPr/>
          <w:p>
            <w:pPr>
              <w:pStyle w:val="Compact"/>
            </w:pPr>
            <w:r>
              <w:t xml:space="preserve">Active / Inactive Status</w:t>
            </w:r>
          </w:p>
        </w:tc>
        <w:tc>
          <w:tcPr/>
          <w:p>
            <w:pPr>
              <w:pStyle w:val="Compact"/>
            </w:pPr>
            <w:r>
              <w:t xml:space="preserve">Current operational status</w:t>
            </w:r>
          </w:p>
        </w:tc>
        <w:tc>
          <w:tcPr/>
          <w:p>
            <w:pPr>
              <w:pStyle w:val="Compact"/>
            </w:pPr>
            <w:r>
              <w:t xml:space="preserve">Application Owner</w:t>
            </w:r>
          </w:p>
        </w:tc>
      </w:tr>
    </w:tbl>
    <w:bookmarkEnd w:id="325"/>
    <w:bookmarkStart w:id="326" w:name="Xd324b39f3dc779c5d4ba6aa2cf4efe048f924d5"/>
    <w:p>
      <w:pPr>
        <w:pStyle w:val="Heading3"/>
      </w:pPr>
      <w:r>
        <w:t xml:space="preserve">Assigning and updating Application Owners in Entra ID</w:t>
      </w:r>
    </w:p>
    <w:p>
      <w:pPr>
        <w:pStyle w:val="FirstParagraph"/>
      </w:pPr>
      <w:r>
        <w:t xml:space="preserve">Application Owners are assigned directly within the Entra ID portal. The</w:t>
      </w:r>
      <w:r>
        <w:t xml:space="preserve"> </w:t>
      </w:r>
      <w:r>
        <w:t xml:space="preserve">procedure is as follows:</w:t>
      </w:r>
    </w:p>
    <w:p>
      <w:pPr>
        <w:pStyle w:val="Compact"/>
        <w:numPr>
          <w:ilvl w:val="0"/>
          <w:numId w:val="1166"/>
        </w:numPr>
      </w:pPr>
      <w:r>
        <w:t xml:space="preserve">Navigate to</w:t>
      </w:r>
      <w:r>
        <w:t xml:space="preserve"> </w:t>
      </w:r>
      <w:r>
        <w:rPr>
          <w:b/>
          <w:bCs/>
        </w:rPr>
        <w:t xml:space="preserve">Microsoft Entra admin center → Applications → Enterprise</w:t>
      </w:r>
      <w:r>
        <w:rPr>
          <w:b/>
          <w:bCs/>
        </w:rPr>
        <w:t xml:space="preserve"> </w:t>
      </w:r>
      <w:r>
        <w:rPr>
          <w:b/>
          <w:bCs/>
        </w:rPr>
        <w:t xml:space="preserve">Applications</w:t>
      </w:r>
    </w:p>
    <w:p>
      <w:pPr>
        <w:pStyle w:val="Compact"/>
        <w:numPr>
          <w:ilvl w:val="0"/>
          <w:numId w:val="1166"/>
        </w:numPr>
      </w:pPr>
      <w:r>
        <w:t xml:space="preserve">Select the target Enterprise Application by display name or Application ID</w:t>
      </w:r>
    </w:p>
    <w:p>
      <w:pPr>
        <w:pStyle w:val="Compact"/>
        <w:numPr>
          <w:ilvl w:val="0"/>
          <w:numId w:val="1166"/>
        </w:numPr>
      </w:pPr>
      <w:r>
        <w:t xml:space="preserve">In the application blade, select</w:t>
      </w:r>
      <w:r>
        <w:t xml:space="preserve"> </w:t>
      </w:r>
      <w:r>
        <w:rPr>
          <w:b/>
          <w:bCs/>
        </w:rPr>
        <w:t xml:space="preserve">Owners</w:t>
      </w:r>
      <w:r>
        <w:t xml:space="preserve"> </w:t>
      </w:r>
      <w:r>
        <w:t xml:space="preserve">from the left navigation panel</w:t>
      </w:r>
    </w:p>
    <w:p>
      <w:pPr>
        <w:pStyle w:val="Compact"/>
        <w:numPr>
          <w:ilvl w:val="0"/>
          <w:numId w:val="1166"/>
        </w:numPr>
      </w:pPr>
      <w:r>
        <w:t xml:space="preserve">Select</w:t>
      </w:r>
      <w:r>
        <w:t xml:space="preserve"> </w:t>
      </w:r>
      <w:r>
        <w:rPr>
          <w:b/>
          <w:bCs/>
        </w:rPr>
        <w:t xml:space="preserve">Add owners</w:t>
      </w:r>
      <w:r>
        <w:t xml:space="preserve"> </w:t>
      </w:r>
      <w:r>
        <w:t xml:space="preserve">and search for the named individual by UPN or display</w:t>
      </w:r>
      <w:r>
        <w:t xml:space="preserve"> </w:t>
      </w:r>
      <w:r>
        <w:t xml:space="preserve">name</w:t>
      </w:r>
    </w:p>
    <w:p>
      <w:pPr>
        <w:pStyle w:val="Compact"/>
        <w:numPr>
          <w:ilvl w:val="0"/>
          <w:numId w:val="1166"/>
        </w:numPr>
      </w:pPr>
      <w:r>
        <w:t xml:space="preserve">Confirm the assignment; the new owner will receive an automated notification</w:t>
      </w:r>
      <w:r>
        <w:t xml:space="preserve"> </w:t>
      </w:r>
      <w:r>
        <w:t xml:space="preserve">via ServiceNow RITM closure</w:t>
      </w:r>
    </w:p>
    <w:p>
      <w:pPr>
        <w:pStyle w:val="Compact"/>
        <w:numPr>
          <w:ilvl w:val="0"/>
          <w:numId w:val="1166"/>
        </w:numPr>
      </w:pPr>
      <w:r>
        <w:t xml:space="preserve">Update the Application Registry to reflect the change within 1 business day</w:t>
      </w:r>
    </w:p>
    <w:p>
      <w:pPr>
        <w:pStyle w:val="FirstParagraph"/>
      </w:pPr>
      <w:r>
        <w:rPr>
          <w:b/>
          <w:bCs/>
        </w:rPr>
        <w:t xml:space="preserve">Entra ID Owners tab</w:t>
      </w:r>
    </w:p>
    <w:p>
      <w:pPr>
        <w:pStyle w:val="BodyText"/>
      </w:pPr>
      <w:r>
        <w:t xml:space="preserve">The Entra ID Enterprise Application Owners tab does not confer any Entra</w:t>
      </w:r>
      <w:r>
        <w:t xml:space="preserve"> </w:t>
      </w:r>
      <w:r>
        <w:t xml:space="preserve">administrative role to the assigned individual. It is a metadata designation used</w:t>
      </w:r>
      <w:r>
        <w:t xml:space="preserve"> </w:t>
      </w:r>
      <w:r>
        <w:t xml:space="preserve">for governance tracking. Operational capabilities (PIM elevation, group</w:t>
      </w:r>
      <w:r>
        <w:t xml:space="preserve"> </w:t>
      </w:r>
      <w:r>
        <w:t xml:space="preserve">assignment) are granted separately through the Help Desk PAG or other role</w:t>
      </w:r>
      <w:r>
        <w:t xml:space="preserve"> </w:t>
      </w:r>
      <w:r>
        <w:t xml:space="preserve">assignments as defined in the Governance roles and responsibilities section.</w:t>
      </w:r>
    </w:p>
    <w:bookmarkEnd w:id="326"/>
    <w:bookmarkStart w:id="327" w:name="ownership-transfer-procedure"/>
    <w:p>
      <w:pPr>
        <w:pStyle w:val="Heading3"/>
      </w:pPr>
      <w:r>
        <w:t xml:space="preserve">Ownership transfer procedure</w:t>
      </w:r>
    </w:p>
    <w:p>
      <w:pPr>
        <w:pStyle w:val="FirstParagraph"/>
      </w:pPr>
      <w:r>
        <w:t xml:space="preserve">When a named Application Owner departs the agency, transfers to a different role,</w:t>
      </w:r>
      <w:r>
        <w:t xml:space="preserve"> </w:t>
      </w:r>
      <w:r>
        <w:t xml:space="preserve">or is otherwise unable to fulfill ownership responsibilities, the following</w:t>
      </w:r>
      <w:r>
        <w:t xml:space="preserve"> </w:t>
      </w:r>
      <w:r>
        <w:t xml:space="preserve">procedure must be followed:</w:t>
      </w:r>
    </w:p>
    <w:p>
      <w:pPr>
        <w:pStyle w:val="Compact"/>
        <w:numPr>
          <w:ilvl w:val="0"/>
          <w:numId w:val="1167"/>
        </w:numPr>
      </w:pPr>
      <w:r>
        <w:t xml:space="preserve">Departing owner (or their supervisor) submits a ServiceNow RITM for</w:t>
      </w:r>
      <w:r>
        <w:t xml:space="preserve"> </w:t>
      </w:r>
      <w:r>
        <w:t xml:space="preserve">Application Owner Transfer at least 10 business days before the effective</w:t>
      </w:r>
      <w:r>
        <w:t xml:space="preserve"> </w:t>
      </w:r>
      <w:r>
        <w:t xml:space="preserve">departure date</w:t>
      </w:r>
    </w:p>
    <w:p>
      <w:pPr>
        <w:pStyle w:val="Compact"/>
        <w:numPr>
          <w:ilvl w:val="0"/>
          <w:numId w:val="1167"/>
        </w:numPr>
      </w:pPr>
      <w:r>
        <w:t xml:space="preserve">The Departmental Owner nominates a successor Application Owner and submits</w:t>
      </w:r>
      <w:r>
        <w:t xml:space="preserve"> </w:t>
      </w:r>
      <w:r>
        <w:t xml:space="preserve">formal nomination to IGO</w:t>
      </w:r>
    </w:p>
    <w:p>
      <w:pPr>
        <w:pStyle w:val="Compact"/>
        <w:numPr>
          <w:ilvl w:val="0"/>
          <w:numId w:val="1167"/>
        </w:numPr>
      </w:pPr>
      <w:r>
        <w:t xml:space="preserve">IGO reviews and approves the nomination</w:t>
      </w:r>
    </w:p>
    <w:p>
      <w:pPr>
        <w:pStyle w:val="Compact"/>
        <w:numPr>
          <w:ilvl w:val="0"/>
          <w:numId w:val="1167"/>
        </w:numPr>
      </w:pPr>
      <w:r>
        <w:t xml:space="preserve">Help Desk updates the Entra ID Owners tab and Application Registry upon IGO</w:t>
      </w:r>
      <w:r>
        <w:t xml:space="preserve"> </w:t>
      </w:r>
      <w:r>
        <w:t xml:space="preserve">approval</w:t>
      </w:r>
    </w:p>
    <w:p>
      <w:pPr>
        <w:pStyle w:val="Compact"/>
        <w:numPr>
          <w:ilvl w:val="0"/>
          <w:numId w:val="1167"/>
        </w:numPr>
      </w:pPr>
      <w:r>
        <w:t xml:space="preserve">Successor Application Owner completes Application Owner briefing within 5</w:t>
      </w:r>
      <w:r>
        <w:t xml:space="preserve"> </w:t>
      </w:r>
      <w:r>
        <w:t xml:space="preserve">business days of assignment</w:t>
      </w:r>
    </w:p>
    <w:p>
      <w:pPr>
        <w:pStyle w:val="Compact"/>
        <w:numPr>
          <w:ilvl w:val="0"/>
          <w:numId w:val="1167"/>
        </w:numPr>
      </w:pPr>
      <w:r>
        <w:t xml:space="preserve">Any in-progress access reviews or pending Admin Consent requests are</w:t>
      </w:r>
      <w:r>
        <w:t xml:space="preserve"> </w:t>
      </w:r>
      <w:r>
        <w:t xml:space="preserve">transferred to the successor owner</w:t>
      </w:r>
    </w:p>
    <w:bookmarkEnd w:id="327"/>
    <w:bookmarkStart w:id="328" w:name="orphaned-application-policy"/>
    <w:p>
      <w:pPr>
        <w:pStyle w:val="Heading3"/>
      </w:pPr>
      <w:r>
        <w:t xml:space="preserve">Orphaned application policy</w:t>
      </w:r>
    </w:p>
    <w:p>
      <w:pPr>
        <w:pStyle w:val="FirstParagraph"/>
      </w:pPr>
      <w:r>
        <w:t xml:space="preserve">An application is considered</w:t>
      </w:r>
      <w:r>
        <w:t xml:space="preserve"> </w:t>
      </w:r>
      <w:r>
        <w:rPr>
          <w:b/>
          <w:bCs/>
        </w:rPr>
        <w:t xml:space="preserve">orphaned</w:t>
      </w:r>
      <w:r>
        <w:t xml:space="preserve"> </w:t>
      </w:r>
      <w:r>
        <w:t xml:space="preserve">if it has no named Application Owner on</w:t>
      </w:r>
      <w:r>
        <w:t xml:space="preserve"> </w:t>
      </w:r>
      <w:r>
        <w:t xml:space="preserve">record in the Application Registry or in the Entra ID Owners tab. The following</w:t>
      </w:r>
      <w:r>
        <w:t xml:space="preserve"> </w:t>
      </w:r>
      <w:r>
        <w:t xml:space="preserve">mandatory policy applies to all orphaned applications:</w:t>
      </w:r>
    </w:p>
    <w:p>
      <w:pPr>
        <w:pStyle w:val="Compact"/>
        <w:numPr>
          <w:ilvl w:val="0"/>
          <w:numId w:val="1168"/>
        </w:numPr>
      </w:pPr>
      <w:r>
        <w:t xml:space="preserve">Orphaned applications are</w:t>
      </w:r>
      <w:r>
        <w:t xml:space="preserve"> </w:t>
      </w:r>
      <w:r>
        <w:rPr>
          <w:b/>
          <w:bCs/>
        </w:rPr>
        <w:t xml:space="preserve">automatically reclassified as Tier 1 (High Risk)</w:t>
      </w:r>
      <w:r>
        <w:t xml:space="preserve"> </w:t>
      </w:r>
      <w:r>
        <w:t xml:space="preserve">pending owner assignment</w:t>
      </w:r>
    </w:p>
    <w:p>
      <w:pPr>
        <w:pStyle w:val="Compact"/>
        <w:numPr>
          <w:ilvl w:val="0"/>
          <w:numId w:val="1168"/>
        </w:numPr>
      </w:pPr>
      <w:r>
        <w:t xml:space="preserve">The IGO assumes interim ownership responsibility</w:t>
      </w:r>
    </w:p>
    <w:p>
      <w:pPr>
        <w:pStyle w:val="Compact"/>
        <w:numPr>
          <w:ilvl w:val="0"/>
          <w:numId w:val="1168"/>
        </w:numPr>
      </w:pPr>
      <w:r>
        <w:t xml:space="preserve">A ServiceNow RITM is automatically generated and assigned to the IGO office</w:t>
      </w:r>
      <w:r>
        <w:t xml:space="preserve"> </w:t>
      </w:r>
      <w:r>
        <w:t xml:space="preserve">for ownership resolution</w:t>
      </w:r>
    </w:p>
    <w:p>
      <w:pPr>
        <w:pStyle w:val="Compact"/>
        <w:numPr>
          <w:ilvl w:val="0"/>
          <w:numId w:val="1168"/>
        </w:numPr>
      </w:pPr>
      <w:r>
        <w:t xml:space="preserve">The IGO has</w:t>
      </w:r>
      <w:r>
        <w:t xml:space="preserve"> </w:t>
      </w:r>
      <w:r>
        <w:rPr>
          <w:b/>
          <w:bCs/>
        </w:rPr>
        <w:t xml:space="preserve">30 calendar days</w:t>
      </w:r>
      <w:r>
        <w:t xml:space="preserve"> </w:t>
      </w:r>
      <w:r>
        <w:t xml:space="preserve">to resolve ownership — either by assigning a</w:t>
      </w:r>
      <w:r>
        <w:t xml:space="preserve"> </w:t>
      </w:r>
      <w:r>
        <w:t xml:space="preserve">new owner or initiating decommissioning</w:t>
      </w:r>
    </w:p>
    <w:p>
      <w:pPr>
        <w:pStyle w:val="Compact"/>
        <w:numPr>
          <w:ilvl w:val="0"/>
          <w:numId w:val="1168"/>
        </w:numPr>
      </w:pPr>
      <w:r>
        <w:t xml:space="preserve">If ownership is not resolved within 30 days, access to the application is</w:t>
      </w:r>
      <w:r>
        <w:t xml:space="preserve"> </w:t>
      </w:r>
      <w:r>
        <w:t xml:space="preserve">suspended pending resolution</w:t>
      </w:r>
    </w:p>
    <w:p>
      <w:pPr>
        <w:pStyle w:val="Compact"/>
        <w:numPr>
          <w:ilvl w:val="0"/>
          <w:numId w:val="1168"/>
        </w:numPr>
      </w:pPr>
      <w:r>
        <w:t xml:space="preserve">All access suspensions are logged and communicated to the relevant</w:t>
      </w:r>
      <w:r>
        <w:t xml:space="preserve"> </w:t>
      </w:r>
      <w:r>
        <w:t xml:space="preserve">Departmental Owner and CISO</w:t>
      </w:r>
    </w:p>
    <w:bookmarkEnd w:id="328"/>
    <w:bookmarkEnd w:id="329"/>
    <w:bookmarkStart w:id="335" w:name="access-request-and-approval-workflows"/>
    <w:p>
      <w:pPr>
        <w:pStyle w:val="Heading2"/>
      </w:pPr>
      <w:r>
        <w:t xml:space="preserve">Access request and approval workflows</w:t>
      </w:r>
    </w:p>
    <w:p>
      <w:pPr>
        <w:pStyle w:val="FirstParagraph"/>
      </w:pPr>
      <w:r>
        <w:t xml:space="preserve">This section defines the three primary access workflows used for enterprise</w:t>
      </w:r>
      <w:r>
        <w:t xml:space="preserve"> </w:t>
      </w:r>
      <w:r>
        <w:t xml:space="preserve">application access governance. Each workflow must be initiated via a ServiceNow</w:t>
      </w:r>
      <w:r>
        <w:t xml:space="preserve"> </w:t>
      </w:r>
      <w:r>
        <w:t xml:space="preserve">RITM. No Entra ID access changes may be executed without a corresponding open and</w:t>
      </w:r>
      <w:r>
        <w:t xml:space="preserve"> </w:t>
      </w:r>
      <w:r>
        <w:t xml:space="preserve">approved RITM. All workflows are auditable end-to-end through ServiceNow and</w:t>
      </w:r>
      <w:r>
        <w:t xml:space="preserve"> </w:t>
      </w:r>
      <w:r>
        <w:t xml:space="preserve">Entra audit logs.</w:t>
      </w:r>
    </w:p>
    <w:bookmarkStart w:id="330" w:name="X852c25f2aa7a5e63ce72ec9a3d8d6180f8c1691"/>
    <w:p>
      <w:pPr>
        <w:pStyle w:val="Heading3"/>
      </w:pPr>
      <w:r>
        <w:t xml:space="preserve">Workflow A — standard group-based access request</w:t>
      </w:r>
    </w:p>
    <w:p>
      <w:pPr>
        <w:pStyle w:val="FirstParagraph"/>
      </w:pPr>
      <w:r>
        <w:t xml:space="preserve">This workflow governs the standard path for an end user requesting access to an</w:t>
      </w:r>
      <w:r>
        <w:t xml:space="preserve"> </w:t>
      </w:r>
      <w:r>
        <w:t xml:space="preserve">Enterprise Application through group membership. Group-based access is the</w:t>
      </w:r>
      <w:r>
        <w:t xml:space="preserve"> </w:t>
      </w:r>
      <w:r>
        <w:rPr>
          <w:b/>
          <w:bCs/>
        </w:rPr>
        <w:t xml:space="preserve">mandatory and exclusive method</w:t>
      </w:r>
      <w:r>
        <w:t xml:space="preserve"> </w:t>
      </w:r>
      <w:r>
        <w:t xml:space="preserve">for assigning users to Enterprise</w:t>
      </w:r>
      <w:r>
        <w:t xml:space="preserve"> </w:t>
      </w:r>
      <w:r>
        <w:t xml:space="preserve">Applications. Direct individual user assignments to Enterprise Applications are</w:t>
      </w:r>
      <w:r>
        <w:t xml:space="preserve"> </w:t>
      </w:r>
      <w:r>
        <w:t xml:space="preserve">not permitted.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Tool / system</w:t>
            </w:r>
          </w:p>
        </w:tc>
        <w:tc>
          <w:tcPr/>
          <w:p>
            <w:pPr>
              <w:pStyle w:val="Compact"/>
            </w:pPr>
            <w:r>
              <w:t xml:space="preserve">SLA</w:t>
            </w:r>
          </w:p>
        </w:tc>
        <w:tc>
          <w:tcPr/>
          <w:p>
            <w:pPr>
              <w:pStyle w:val="Compact"/>
            </w:pPr>
            <w:r>
              <w:t xml:space="preserve">Outcome</w:t>
            </w:r>
          </w:p>
        </w:tc>
      </w:tr>
      <w:tr>
        <w:tc>
          <w:tcPr/>
          <w:p>
            <w:pPr>
              <w:pStyle w:val="Compact"/>
            </w:pPr>
            <w:r>
              <w:rPr>
                <w:b/>
                <w:bCs/>
              </w:rPr>
              <w:t xml:space="preserve">1</w:t>
            </w:r>
          </w:p>
        </w:tc>
        <w:tc>
          <w:tcPr/>
          <w:p>
            <w:pPr>
              <w:pStyle w:val="Compact"/>
            </w:pPr>
            <w:r>
              <w:t xml:space="preserve">User submits access request via ServiceNow catalog item. Must include: application name, business justification, manager name, and required access role/group.</w:t>
            </w:r>
          </w:p>
        </w:tc>
        <w:tc>
          <w:tcPr/>
          <w:p>
            <w:pPr>
              <w:pStyle w:val="Compact"/>
            </w:pPr>
            <w:r>
              <w:t xml:space="preserve">End User / Requester</w:t>
            </w:r>
          </w:p>
        </w:tc>
        <w:tc>
          <w:tcPr/>
          <w:p>
            <w:pPr>
              <w:pStyle w:val="Compact"/>
            </w:pPr>
            <w:r>
              <w:t xml:space="preserve">ServiceNow (self-service portal)</w:t>
            </w:r>
          </w:p>
        </w:tc>
        <w:tc>
          <w:tcPr/>
          <w:p>
            <w:pPr>
              <w:pStyle w:val="Compact"/>
            </w:pPr>
            <w:r>
              <w:t xml:space="preserve">Immediate (user action)</w:t>
            </w:r>
          </w:p>
        </w:tc>
        <w:tc>
          <w:tcPr/>
          <w:p>
            <w:pPr>
              <w:pStyle w:val="Compact"/>
            </w:pPr>
            <w:r>
              <w:t xml:space="preserve">RITM created; routed to Departmental Owner</w:t>
            </w:r>
          </w:p>
        </w:tc>
      </w:tr>
      <w:tr>
        <w:tc>
          <w:tcPr/>
          <w:p>
            <w:pPr>
              <w:pStyle w:val="Compact"/>
            </w:pPr>
            <w:r>
              <w:rPr>
                <w:b/>
                <w:bCs/>
              </w:rPr>
              <w:t xml:space="preserve">2</w:t>
            </w:r>
          </w:p>
        </w:tc>
        <w:tc>
          <w:tcPr/>
          <w:p>
            <w:pPr>
              <w:pStyle w:val="Compact"/>
            </w:pPr>
            <w:r>
              <w:t xml:space="preserve">Departmental Owner reviews business justification. Confirms requester’s role legitimacy and department membership. Approves or denies the request.</w:t>
            </w:r>
          </w:p>
        </w:tc>
        <w:tc>
          <w:tcPr/>
          <w:p>
            <w:pPr>
              <w:pStyle w:val="Compact"/>
            </w:pPr>
            <w:r>
              <w:t xml:space="preserve">Departmental Owner</w:t>
            </w:r>
          </w:p>
        </w:tc>
        <w:tc>
          <w:tcPr/>
          <w:p>
            <w:pPr>
              <w:pStyle w:val="Compact"/>
            </w:pPr>
            <w:r>
              <w:t xml:space="preserve">ServiceNow (approval task)</w:t>
            </w:r>
          </w:p>
        </w:tc>
        <w:tc>
          <w:tcPr/>
          <w:p>
            <w:pPr>
              <w:pStyle w:val="Compact"/>
            </w:pPr>
            <w:r>
              <w:t xml:space="preserve">1 business day</w:t>
            </w:r>
          </w:p>
        </w:tc>
        <w:tc>
          <w:tcPr/>
          <w:p>
            <w:pPr>
              <w:pStyle w:val="Compact"/>
            </w:pPr>
            <w:r>
              <w:t xml:space="preserve">RITM routed to App Owner (if approved) or closed denied</w:t>
            </w:r>
          </w:p>
        </w:tc>
      </w:tr>
      <w:tr>
        <w:tc>
          <w:tcPr/>
          <w:p>
            <w:pPr>
              <w:pStyle w:val="Compact"/>
            </w:pPr>
            <w:r>
              <w:rPr>
                <w:b/>
                <w:bCs/>
              </w:rPr>
              <w:t xml:space="preserve">3</w:t>
            </w:r>
          </w:p>
        </w:tc>
        <w:tc>
          <w:tcPr/>
          <w:p>
            <w:pPr>
              <w:pStyle w:val="Compact"/>
            </w:pPr>
            <w:r>
              <w:t xml:space="preserve">Application Owner reviews the approved request against application access policy. Confirms the requested group is appropriate. Approves or denies with documented reason.</w:t>
            </w:r>
          </w:p>
        </w:tc>
        <w:tc>
          <w:tcPr/>
          <w:p>
            <w:pPr>
              <w:pStyle w:val="Compact"/>
            </w:pPr>
            <w:r>
              <w:t xml:space="preserve">Application Owner</w:t>
            </w:r>
          </w:p>
        </w:tc>
        <w:tc>
          <w:tcPr/>
          <w:p>
            <w:pPr>
              <w:pStyle w:val="Compact"/>
            </w:pPr>
            <w:r>
              <w:t xml:space="preserve">ServiceNow (approval task)</w:t>
            </w:r>
          </w:p>
        </w:tc>
        <w:tc>
          <w:tcPr/>
          <w:p>
            <w:pPr>
              <w:pStyle w:val="Compact"/>
            </w:pPr>
            <w:r>
              <w:t xml:space="preserve">2 business days</w:t>
            </w:r>
          </w:p>
        </w:tc>
        <w:tc>
          <w:tcPr/>
          <w:p>
            <w:pPr>
              <w:pStyle w:val="Compact"/>
            </w:pPr>
            <w:r>
              <w:t xml:space="preserve">RITM routed to Help Desk for execution (if approved) or closed denied</w:t>
            </w:r>
          </w:p>
        </w:tc>
      </w:tr>
      <w:tr>
        <w:tc>
          <w:tcPr/>
          <w:p>
            <w:pPr>
              <w:pStyle w:val="Compact"/>
            </w:pPr>
            <w:r>
              <w:rPr>
                <w:b/>
                <w:bCs/>
              </w:rPr>
              <w:t xml:space="preserve">4</w:t>
            </w:r>
          </w:p>
        </w:tc>
        <w:tc>
          <w:tcPr/>
          <w:p>
            <w:pPr>
              <w:pStyle w:val="Compact"/>
            </w:pPr>
            <w:r>
              <w:t xml:space="preserve">IGO is notified of all Tier 1 access approvals before execution. IGO may intervene and escalate review within 4 business hours of notification.</w:t>
            </w:r>
          </w:p>
        </w:tc>
        <w:tc>
          <w:tcPr/>
          <w:p>
            <w:pPr>
              <w:pStyle w:val="Compact"/>
            </w:pPr>
            <w:r>
              <w:t xml:space="preserve">IGO (notification only for Tier 2/3)</w:t>
            </w:r>
          </w:p>
        </w:tc>
        <w:tc>
          <w:tcPr/>
          <w:p>
            <w:pPr>
              <w:pStyle w:val="Compact"/>
            </w:pPr>
            <w:r>
              <w:t xml:space="preserve">ServiceNow (automated notification)</w:t>
            </w:r>
          </w:p>
        </w:tc>
        <w:tc>
          <w:tcPr/>
          <w:p>
            <w:pPr>
              <w:pStyle w:val="Compact"/>
            </w:pPr>
            <w:r>
              <w:t xml:space="preserve">IGO review window: 4 hours (Tier 1 only)</w:t>
            </w:r>
          </w:p>
        </w:tc>
        <w:tc>
          <w:tcPr/>
          <w:p>
            <w:pPr>
              <w:pStyle w:val="Compact"/>
            </w:pPr>
            <w:r>
              <w:t xml:space="preserve">IGO acknowledgement logged; execution proceeds if no hold placed</w:t>
            </w:r>
          </w:p>
        </w:tc>
      </w:tr>
      <w:tr>
        <w:tc>
          <w:tcPr/>
          <w:p>
            <w:pPr>
              <w:pStyle w:val="Compact"/>
            </w:pPr>
            <w:r>
              <w:rPr>
                <w:b/>
                <w:bCs/>
              </w:rPr>
              <w:t xml:space="preserve">5</w:t>
            </w:r>
          </w:p>
        </w:tc>
        <w:tc>
          <w:tcPr/>
          <w:p>
            <w:pPr>
              <w:pStyle w:val="Compact"/>
            </w:pPr>
            <w:r>
              <w:t xml:space="preserve">Help Desk Operator activates Application Administrator role via PIM (Entra-HelpDesk-Operators PAG). Records PIM activation time in RITM work notes.</w:t>
            </w:r>
          </w:p>
        </w:tc>
        <w:tc>
          <w:tcPr/>
          <w:p>
            <w:pPr>
              <w:pStyle w:val="Compact"/>
            </w:pPr>
            <w:r>
              <w:t xml:space="preserve">Help Desk Operator</w:t>
            </w:r>
          </w:p>
        </w:tc>
        <w:tc>
          <w:tcPr/>
          <w:p>
            <w:pPr>
              <w:pStyle w:val="Compact"/>
            </w:pPr>
            <w:r>
              <w:t xml:space="preserve">Entra ID PIM portal</w:t>
            </w:r>
          </w:p>
        </w:tc>
        <w:tc>
          <w:tcPr/>
          <w:p>
            <w:pPr>
              <w:pStyle w:val="Compact"/>
            </w:pPr>
            <w:r>
              <w:t xml:space="preserve">Same day as RITM assignment</w:t>
            </w:r>
          </w:p>
        </w:tc>
        <w:tc>
          <w:tcPr/>
          <w:p>
            <w:pPr>
              <w:pStyle w:val="Compact"/>
            </w:pPr>
            <w:r>
              <w:t xml:space="preserve">PIM activation logged in Entra audit log</w:t>
            </w:r>
          </w:p>
        </w:tc>
      </w:tr>
      <w:tr>
        <w:tc>
          <w:tcPr/>
          <w:p>
            <w:pPr>
              <w:pStyle w:val="Compact"/>
            </w:pPr>
            <w:r>
              <w:rPr>
                <w:b/>
                <w:bCs/>
              </w:rPr>
              <w:t xml:space="preserve">6</w:t>
            </w:r>
          </w:p>
        </w:tc>
        <w:tc>
          <w:tcPr/>
          <w:p>
            <w:pPr>
              <w:pStyle w:val="Compact"/>
            </w:pPr>
            <w:r>
              <w:t xml:space="preserve">Help Desk Operator executes group membership addition: adds the approved user to the designated access security group in Entra ID. Confirms assignment in Entra portal and records object IDs in RITM.</w:t>
            </w:r>
          </w:p>
        </w:tc>
        <w:tc>
          <w:tcPr/>
          <w:p>
            <w:pPr>
              <w:pStyle w:val="Compact"/>
            </w:pPr>
            <w:r>
              <w:t xml:space="preserve">Help Desk Operator</w:t>
            </w:r>
          </w:p>
        </w:tc>
        <w:tc>
          <w:tcPr/>
          <w:p>
            <w:pPr>
              <w:pStyle w:val="Compact"/>
            </w:pPr>
            <w:r>
              <w:t xml:space="preserve">Microsoft Entra admin center → Groups</w:t>
            </w:r>
          </w:p>
        </w:tc>
        <w:tc>
          <w:tcPr/>
          <w:p>
            <w:pPr>
              <w:pStyle w:val="Compact"/>
            </w:pPr>
            <w:r>
              <w:t xml:space="preserve">Within PIM activation window</w:t>
            </w:r>
          </w:p>
        </w:tc>
        <w:tc>
          <w:tcPr/>
          <w:p>
            <w:pPr>
              <w:pStyle w:val="Compact"/>
            </w:pPr>
            <w:r>
              <w:t xml:space="preserve">User added to group; group-based access to Enterprise App propagates</w:t>
            </w:r>
          </w:p>
        </w:tc>
      </w:tr>
      <w:tr>
        <w:tc>
          <w:tcPr/>
          <w:p>
            <w:pPr>
              <w:pStyle w:val="Compact"/>
            </w:pPr>
            <w:r>
              <w:rPr>
                <w:b/>
                <w:bCs/>
              </w:rPr>
              <w:t xml:space="preserve">7</w:t>
            </w:r>
          </w:p>
        </w:tc>
        <w:tc>
          <w:tcPr/>
          <w:p>
            <w:pPr>
              <w:pStyle w:val="Compact"/>
            </w:pPr>
            <w:r>
              <w:t xml:space="preserve">Help Desk Operator closes RITM with full execution log: timestamp, operator UPN, group name, group Object ID, user UPN added, Entra audit log reference.</w:t>
            </w:r>
          </w:p>
        </w:tc>
        <w:tc>
          <w:tcPr/>
          <w:p>
            <w:pPr>
              <w:pStyle w:val="Compact"/>
            </w:pPr>
            <w:r>
              <w:t xml:space="preserve">Help Desk Operator</w:t>
            </w:r>
          </w:p>
        </w:tc>
        <w:tc>
          <w:tcPr/>
          <w:p>
            <w:pPr>
              <w:pStyle w:val="Compact"/>
            </w:pPr>
            <w:r>
              <w:t xml:space="preserve">ServiceNow</w:t>
            </w:r>
          </w:p>
        </w:tc>
        <w:tc>
          <w:tcPr/>
          <w:p>
            <w:pPr>
              <w:pStyle w:val="Compact"/>
            </w:pPr>
            <w:r>
              <w:t xml:space="preserve">Within 1 hour of execution</w:t>
            </w:r>
          </w:p>
        </w:tc>
        <w:tc>
          <w:tcPr/>
          <w:p>
            <w:pPr>
              <w:pStyle w:val="Compact"/>
            </w:pPr>
            <w:r>
              <w:t xml:space="preserve">RITM resolved and closed; audit trail complete</w:t>
            </w:r>
          </w:p>
        </w:tc>
      </w:tr>
      <w:tr>
        <w:tc>
          <w:tcPr/>
          <w:p>
            <w:pPr>
              <w:pStyle w:val="Compact"/>
            </w:pPr>
            <w:r>
              <w:rPr>
                <w:b/>
                <w:bCs/>
              </w:rPr>
              <w:t xml:space="preserve">8</w:t>
            </w:r>
          </w:p>
        </w:tc>
        <w:tc>
          <w:tcPr/>
          <w:p>
            <w:pPr>
              <w:pStyle w:val="Compact"/>
            </w:pPr>
            <w:r>
              <w:t xml:space="preserve">End user receives automated notification confirming access grant. Notification includes application name, effective date, and acceptable use acknowledgement requirement.</w:t>
            </w:r>
          </w:p>
        </w:tc>
        <w:tc>
          <w:tcPr/>
          <w:p>
            <w:pPr>
              <w:pStyle w:val="Compact"/>
            </w:pPr>
            <w:r>
              <w:t xml:space="preserve">ServiceNow Automation</w:t>
            </w:r>
          </w:p>
        </w:tc>
        <w:tc>
          <w:tcPr/>
          <w:p>
            <w:pPr>
              <w:pStyle w:val="Compact"/>
            </w:pPr>
            <w:r>
              <w:t xml:space="preserve">ServiceNow (email notification)</w:t>
            </w:r>
          </w:p>
        </w:tc>
        <w:tc>
          <w:tcPr/>
          <w:p>
            <w:pPr>
              <w:pStyle w:val="Compact"/>
            </w:pPr>
            <w:r>
              <w:t xml:space="preserve">Automated on RITM close</w:t>
            </w:r>
          </w:p>
        </w:tc>
        <w:tc>
          <w:tcPr/>
          <w:p>
            <w:pPr>
              <w:pStyle w:val="Compact"/>
            </w:pPr>
            <w:r>
              <w:t xml:space="preserve">User notified and access confirmed</w:t>
            </w:r>
          </w:p>
        </w:tc>
      </w:tr>
    </w:tbl>
    <w:p>
      <w:pPr>
        <w:pStyle w:val="BodyText"/>
      </w:pPr>
      <w:r>
        <w:rPr>
          <w:b/>
          <w:bCs/>
        </w:rPr>
        <w:t xml:space="preserve">Total SLA — standard access request</w:t>
      </w:r>
    </w:p>
    <w:p>
      <w:pPr>
        <w:pStyle w:val="BodyText"/>
      </w:pPr>
      <w:r>
        <w:t xml:space="preserve">The end-to-end SLA for a standard group-based access request is</w:t>
      </w:r>
      <w:r>
        <w:t xml:space="preserve"> </w:t>
      </w:r>
      <w:r>
        <w:rPr>
          <w:b/>
          <w:bCs/>
        </w:rPr>
        <w:t xml:space="preserve">3 business</w:t>
      </w:r>
      <w:r>
        <w:rPr>
          <w:b/>
          <w:bCs/>
        </w:rPr>
        <w:t xml:space="preserve"> </w:t>
      </w:r>
      <w:r>
        <w:rPr>
          <w:b/>
          <w:bCs/>
        </w:rPr>
        <w:t xml:space="preserve">days</w:t>
      </w:r>
      <w:r>
        <w:t xml:space="preserve"> </w:t>
      </w:r>
      <w:r>
        <w:t xml:space="preserve">from RITM creation to access grant. This SLA applies to all tiers.</w:t>
      </w:r>
      <w:r>
        <w:t xml:space="preserve"> </w:t>
      </w:r>
      <w:r>
        <w:t xml:space="preserve">Failures to meet SLA at any step are escalated automatically by ServiceNow to the</w:t>
      </w:r>
      <w:r>
        <w:t xml:space="preserve"> </w:t>
      </w:r>
      <w:r>
        <w:t xml:space="preserve">next approval level. SLA breaches are reported in the monthly governance</w:t>
      </w:r>
      <w:r>
        <w:t xml:space="preserve"> </w:t>
      </w:r>
      <w:r>
        <w:t xml:space="preserve">dashboard to the IGO.</w:t>
      </w:r>
    </w:p>
    <w:bookmarkEnd w:id="330"/>
    <w:bookmarkStart w:id="332" w:name="workflow-b-admin-consent-request"/>
    <w:p>
      <w:pPr>
        <w:pStyle w:val="Heading3"/>
      </w:pPr>
      <w:r>
        <w:t xml:space="preserve">Workflow B — Admin Consent request</w:t>
      </w:r>
    </w:p>
    <w:p>
      <w:pPr>
        <w:pStyle w:val="FirstParagraph"/>
      </w:pPr>
      <w:r>
        <w:t xml:space="preserve">Admin Consent is one of the highest-risk operations in the Entra ID tenant. This</w:t>
      </w:r>
      <w:r>
        <w:t xml:space="preserve"> </w:t>
      </w:r>
      <w:r>
        <w:t xml:space="preserve">workflow governs all requests to grant tenant-wide API permissions to an</w:t>
      </w:r>
      <w:r>
        <w:t xml:space="preserve"> </w:t>
      </w:r>
      <w:r>
        <w:t xml:space="preserve">Enterprise Application. This workflow is triggered when: (a) a new application is</w:t>
      </w:r>
      <w:r>
        <w:t xml:space="preserve"> </w:t>
      </w:r>
      <w:r>
        <w:t xml:space="preserve">being provisioned and requires Admin Consent; or (b) an existing application is</w:t>
      </w:r>
      <w:r>
        <w:t xml:space="preserve"> </w:t>
      </w:r>
      <w:r>
        <w:t xml:space="preserve">requesting additional or modified permission scopes.</w:t>
      </w:r>
    </w:p>
    <w:p>
      <w:pPr>
        <w:pStyle w:val="BodyText"/>
      </w:pPr>
      <w:r>
        <w:rPr>
          <w:b/>
          <w:bCs/>
        </w:rPr>
        <w:t xml:space="preserve">Admin Consent is irreversible until explicitly revoked</w:t>
      </w:r>
    </w:p>
    <w:p>
      <w:pPr>
        <w:pStyle w:val="BodyText"/>
      </w:pPr>
      <w:r>
        <w:t xml:space="preserve">Once Admin Consent is granted, the application has immediate access to the</w:t>
      </w:r>
      <w:r>
        <w:t xml:space="preserve"> </w:t>
      </w:r>
      <w:r>
        <w:t xml:space="preserve">consented permission scope for all users in the tenant. Consent must be</w:t>
      </w:r>
      <w:r>
        <w:t xml:space="preserve"> </w:t>
      </w:r>
      <w:r>
        <w:t xml:space="preserve">explicitly revoked by an authorized administrator. Consent grants are permanent</w:t>
      </w:r>
      <w:r>
        <w:t xml:space="preserve"> </w:t>
      </w:r>
      <w:r>
        <w:t xml:space="preserve">until revoked — they do not expire. Every Admin Consent grant must be treated as</w:t>
      </w:r>
      <w:r>
        <w:t xml:space="preserve"> </w:t>
      </w:r>
      <w:r>
        <w:t xml:space="preserve">a security-critical action requiring rigorous review.</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Tool / system</w:t>
            </w:r>
          </w:p>
        </w:tc>
        <w:tc>
          <w:tcPr/>
          <w:p>
            <w:pPr>
              <w:pStyle w:val="Compact"/>
            </w:pPr>
            <w:r>
              <w:t xml:space="preserve">SLA</w:t>
            </w:r>
          </w:p>
        </w:tc>
        <w:tc>
          <w:tcPr/>
          <w:p>
            <w:pPr>
              <w:pStyle w:val="Compact"/>
            </w:pPr>
            <w:r>
              <w:t xml:space="preserve">Outcome</w:t>
            </w:r>
          </w:p>
        </w:tc>
      </w:tr>
      <w:tr>
        <w:tc>
          <w:tcPr/>
          <w:p>
            <w:pPr>
              <w:pStyle w:val="Compact"/>
            </w:pPr>
            <w:r>
              <w:rPr>
                <w:b/>
                <w:bCs/>
              </w:rPr>
              <w:t xml:space="preserve">1</w:t>
            </w:r>
          </w:p>
        </w:tc>
        <w:tc>
          <w:tcPr/>
          <w:p>
            <w:pPr>
              <w:pStyle w:val="Compact"/>
            </w:pPr>
            <w:r>
              <w:t xml:space="preserve">Application Owner submits Admin Consent Request RITM in ServiceNow. Must include: application name, Client ID, full list of permissions requested (with Microsoft Graph API names), business justification for each permission, and least-privilege analysis (why each permission is needed and why a narrower scope is insufficient).</w:t>
            </w:r>
          </w:p>
        </w:tc>
        <w:tc>
          <w:tcPr/>
          <w:p>
            <w:pPr>
              <w:pStyle w:val="Compact"/>
            </w:pPr>
            <w:r>
              <w:t xml:space="preserve">Application Owner</w:t>
            </w:r>
          </w:p>
        </w:tc>
        <w:tc>
          <w:tcPr/>
          <w:p>
            <w:pPr>
              <w:pStyle w:val="Compact"/>
            </w:pPr>
            <w:r>
              <w:t xml:space="preserve">ServiceNow (Admin Consent Request catalog item)</w:t>
            </w:r>
          </w:p>
        </w:tc>
        <w:tc>
          <w:tcPr/>
          <w:p>
            <w:pPr>
              <w:pStyle w:val="Compact"/>
            </w:pPr>
            <w:r>
              <w:t xml:space="preserve">Initiating action</w:t>
            </w:r>
          </w:p>
        </w:tc>
        <w:tc>
          <w:tcPr/>
          <w:p>
            <w:pPr>
              <w:pStyle w:val="Compact"/>
            </w:pPr>
            <w:r>
              <w:t xml:space="preserve">RITM created; risk tier lookup performed</w:t>
            </w:r>
          </w:p>
        </w:tc>
      </w:tr>
      <w:tr>
        <w:tc>
          <w:tcPr/>
          <w:p>
            <w:pPr>
              <w:pStyle w:val="Compact"/>
            </w:pPr>
            <w:r>
              <w:rPr>
                <w:b/>
                <w:bCs/>
              </w:rPr>
              <w:t xml:space="preserve">2</w:t>
            </w:r>
          </w:p>
        </w:tc>
        <w:tc>
          <w:tcPr/>
          <w:p>
            <w:pPr>
              <w:pStyle w:val="Compact"/>
            </w:pPr>
            <w:r>
              <w:t xml:space="preserve">ServiceNow automation looks up the application’s Risk Tier in the Application Registry and routes the RITM to the appropriate approval chain based on the tier decision table below.</w:t>
            </w:r>
          </w:p>
        </w:tc>
        <w:tc>
          <w:tcPr/>
          <w:p>
            <w:pPr>
              <w:pStyle w:val="Compact"/>
            </w:pPr>
            <w:r>
              <w:t xml:space="preserve">ServiceNow Automation</w:t>
            </w:r>
          </w:p>
        </w:tc>
        <w:tc>
          <w:tcPr/>
          <w:p>
            <w:pPr>
              <w:pStyle w:val="Compact"/>
            </w:pPr>
            <w:r>
              <w:t xml:space="preserve">ServiceNow + Application Registry</w:t>
            </w:r>
          </w:p>
        </w:tc>
        <w:tc>
          <w:tcPr/>
          <w:p>
            <w:pPr>
              <w:pStyle w:val="Compact"/>
            </w:pPr>
            <w:r>
              <w:t xml:space="preserve">Automated (immediate)</w:t>
            </w:r>
          </w:p>
        </w:tc>
        <w:tc>
          <w:tcPr/>
          <w:p>
            <w:pPr>
              <w:pStyle w:val="Compact"/>
            </w:pPr>
            <w:r>
              <w:t xml:space="preserve">RITM routed per tier-specific approval chain</w:t>
            </w:r>
          </w:p>
        </w:tc>
      </w:tr>
      <w:tr>
        <w:tc>
          <w:tcPr/>
          <w:p>
            <w:pPr>
              <w:pStyle w:val="Compact"/>
            </w:pPr>
            <w:r>
              <w:rPr>
                <w:b/>
                <w:bCs/>
              </w:rPr>
              <w:t xml:space="preserve">3</w:t>
            </w:r>
          </w:p>
        </w:tc>
        <w:tc>
          <w:tcPr/>
          <w:p>
            <w:pPr>
              <w:pStyle w:val="Compact"/>
            </w:pPr>
            <w:r>
              <w:rPr>
                <w:b/>
                <w:bCs/>
              </w:rPr>
              <w:t xml:space="preserve">Security review:</w:t>
            </w:r>
            <w:r>
              <w:t xml:space="preserve"> </w:t>
            </w:r>
            <w:r>
              <w:t xml:space="preserve">IGO office (or delegated security analyst) reviews the requested permissions against least-privilege principles. Validates that: (a) only necessary permissions are requested, (b) delegated permissions are used where application permissions are not required, (c) no permissions are flagged as critical risk without documented necessity.</w:t>
            </w:r>
          </w:p>
        </w:tc>
        <w:tc>
          <w:tcPr/>
          <w:p>
            <w:pPr>
              <w:pStyle w:val="Compact"/>
            </w:pPr>
            <w:r>
              <w:t xml:space="preserve">IGO / Security Analyst</w:t>
            </w:r>
          </w:p>
        </w:tc>
        <w:tc>
          <w:tcPr/>
          <w:p>
            <w:pPr>
              <w:pStyle w:val="Compact"/>
            </w:pPr>
            <w:r>
              <w:t xml:space="preserve">Microsoft Graph permissions reference; RITM review</w:t>
            </w:r>
          </w:p>
        </w:tc>
        <w:tc>
          <w:tcPr/>
          <w:p>
            <w:pPr>
              <w:pStyle w:val="Compact"/>
            </w:pPr>
            <w:r>
              <w:t xml:space="preserve">2 business days</w:t>
            </w:r>
          </w:p>
        </w:tc>
        <w:tc>
          <w:tcPr/>
          <w:p>
            <w:pPr>
              <w:pStyle w:val="Compact"/>
            </w:pPr>
            <w:r>
              <w:t xml:space="preserve">Security review finding documented in RITM</w:t>
            </w:r>
          </w:p>
        </w:tc>
      </w:tr>
      <w:tr>
        <w:tc>
          <w:tcPr/>
          <w:p>
            <w:pPr>
              <w:pStyle w:val="Compact"/>
            </w:pPr>
            <w:r>
              <w:rPr>
                <w:b/>
                <w:bCs/>
              </w:rPr>
              <w:t xml:space="preserve">4</w:t>
            </w:r>
          </w:p>
        </w:tc>
        <w:tc>
          <w:tcPr/>
          <w:p>
            <w:pPr>
              <w:pStyle w:val="Compact"/>
            </w:pPr>
            <w:r>
              <w:t xml:space="preserve">Approval by designated authority per risk tier (see Escalation Decision Table below). Approver documents decision in ServiceNow RITM with approval rationale.</w:t>
            </w:r>
          </w:p>
        </w:tc>
        <w:tc>
          <w:tcPr/>
          <w:p>
            <w:pPr>
              <w:pStyle w:val="Compact"/>
            </w:pPr>
            <w:r>
              <w:t xml:space="preserve">Per tier (see table)</w:t>
            </w:r>
          </w:p>
        </w:tc>
        <w:tc>
          <w:tcPr/>
          <w:p>
            <w:pPr>
              <w:pStyle w:val="Compact"/>
            </w:pPr>
            <w:r>
              <w:t xml:space="preserve">ServiceNow (approval task)</w:t>
            </w:r>
          </w:p>
        </w:tc>
        <w:tc>
          <w:tcPr/>
          <w:p>
            <w:pPr>
              <w:pStyle w:val="Compact"/>
            </w:pPr>
            <w:r>
              <w:t xml:space="preserve">3 business days (from Step 3)</w:t>
            </w:r>
          </w:p>
        </w:tc>
        <w:tc>
          <w:tcPr/>
          <w:p>
            <w:pPr>
              <w:pStyle w:val="Compact"/>
            </w:pPr>
            <w:r>
              <w:t xml:space="preserve">RITM approved or denied with documented rationale</w:t>
            </w:r>
          </w:p>
        </w:tc>
      </w:tr>
      <w:tr>
        <w:tc>
          <w:tcPr/>
          <w:p>
            <w:pPr>
              <w:pStyle w:val="Compact"/>
            </w:pPr>
            <w:r>
              <w:rPr>
                <w:b/>
                <w:bCs/>
              </w:rPr>
              <w:t xml:space="preserve">5</w:t>
            </w:r>
          </w:p>
        </w:tc>
        <w:tc>
          <w:tcPr/>
          <w:p>
            <w:pPr>
              <w:pStyle w:val="Compact"/>
            </w:pPr>
            <w:r>
              <w:t xml:space="preserve">If approved: Help Desk Operator activates Privileged Role via PIM. IGO or authorized administrator grants Admin Consent in Entra admin portal: Applications → Enterprise Applications → [App] → Permissions → Grant admin consent.</w:t>
            </w:r>
          </w:p>
        </w:tc>
        <w:tc>
          <w:tcPr/>
          <w:p>
            <w:pPr>
              <w:pStyle w:val="Compact"/>
            </w:pPr>
            <w:r>
              <w:t xml:space="preserve">Help Desk (PIM) + IGO or delegated authority (consent action)</w:t>
            </w:r>
          </w:p>
        </w:tc>
        <w:tc>
          <w:tcPr/>
          <w:p>
            <w:pPr>
              <w:pStyle w:val="Compact"/>
            </w:pPr>
            <w:r>
              <w:t xml:space="preserve">Entra ID admin portal</w:t>
            </w:r>
          </w:p>
        </w:tc>
        <w:tc>
          <w:tcPr/>
          <w:p>
            <w:pPr>
              <w:pStyle w:val="Compact"/>
            </w:pPr>
            <w:r>
              <w:t xml:space="preserve">Same day as final approval</w:t>
            </w:r>
          </w:p>
        </w:tc>
        <w:tc>
          <w:tcPr/>
          <w:p>
            <w:pPr>
              <w:pStyle w:val="Compact"/>
            </w:pPr>
            <w:r>
              <w:t xml:space="preserve">Consent granted; Entra audit log entry created</w:t>
            </w:r>
          </w:p>
        </w:tc>
      </w:tr>
      <w:tr>
        <w:tc>
          <w:tcPr/>
          <w:p>
            <w:pPr>
              <w:pStyle w:val="Compact"/>
            </w:pPr>
            <w:r>
              <w:rPr>
                <w:b/>
                <w:bCs/>
              </w:rPr>
              <w:t xml:space="preserve">6</w:t>
            </w:r>
          </w:p>
        </w:tc>
        <w:tc>
          <w:tcPr/>
          <w:p>
            <w:pPr>
              <w:pStyle w:val="Compact"/>
            </w:pPr>
            <w:r>
              <w:t xml:space="preserve">Consent grant logged in RITM with: consent timestamp, grantor UPN, permission scopes granted, Entra audit log entry reference number. RITM closed.</w:t>
            </w:r>
          </w:p>
        </w:tc>
        <w:tc>
          <w:tcPr/>
          <w:p>
            <w:pPr>
              <w:pStyle w:val="Compact"/>
            </w:pPr>
            <w:r>
              <w:t xml:space="preserve">Help Desk Operator</w:t>
            </w:r>
          </w:p>
        </w:tc>
        <w:tc>
          <w:tcPr/>
          <w:p>
            <w:pPr>
              <w:pStyle w:val="Compact"/>
            </w:pPr>
            <w:r>
              <w:t xml:space="preserve">ServiceNow</w:t>
            </w:r>
          </w:p>
        </w:tc>
        <w:tc>
          <w:tcPr/>
          <w:p>
            <w:pPr>
              <w:pStyle w:val="Compact"/>
            </w:pPr>
            <w:r>
              <w:t xml:space="preserve">Within 1 hour of consent grant</w:t>
            </w:r>
          </w:p>
        </w:tc>
        <w:tc>
          <w:tcPr/>
          <w:p>
            <w:pPr>
              <w:pStyle w:val="Compact"/>
            </w:pPr>
            <w:r>
              <w:t xml:space="preserve">Full audit record in both ServiceNow and Entra</w:t>
            </w:r>
          </w:p>
        </w:tc>
      </w:tr>
      <w:tr>
        <w:tc>
          <w:tcPr/>
          <w:p>
            <w:pPr>
              <w:pStyle w:val="Compact"/>
            </w:pPr>
            <w:r>
              <w:rPr>
                <w:b/>
                <w:bCs/>
              </w:rPr>
              <w:t xml:space="preserve">7</w:t>
            </w:r>
          </w:p>
        </w:tc>
        <w:tc>
          <w:tcPr/>
          <w:p>
            <w:pPr>
              <w:pStyle w:val="Compact"/>
            </w:pPr>
            <w:r>
              <w:t xml:space="preserve">Automated notification sent to Application Owner and requestor confirming consent grant. Application Registry updated with new permission scopes and consent grant date.</w:t>
            </w:r>
          </w:p>
        </w:tc>
        <w:tc>
          <w:tcPr/>
          <w:p>
            <w:pPr>
              <w:pStyle w:val="Compact"/>
            </w:pPr>
            <w:r>
              <w:t xml:space="preserve">ServiceNow Automation + IGO office</w:t>
            </w:r>
          </w:p>
        </w:tc>
        <w:tc>
          <w:tcPr/>
          <w:p>
            <w:pPr>
              <w:pStyle w:val="Compact"/>
            </w:pPr>
            <w:r>
              <w:t xml:space="preserve">ServiceNow; Application Registry</w:t>
            </w:r>
          </w:p>
        </w:tc>
        <w:tc>
          <w:tcPr/>
          <w:p>
            <w:pPr>
              <w:pStyle w:val="Compact"/>
            </w:pPr>
            <w:r>
              <w:t xml:space="preserve">Automated on RITM close</w:t>
            </w:r>
          </w:p>
        </w:tc>
        <w:tc>
          <w:tcPr/>
          <w:p>
            <w:pPr>
              <w:pStyle w:val="Compact"/>
            </w:pPr>
            <w:r>
              <w:t xml:space="preserve">Application Owner informed; Registry current</w:t>
            </w:r>
          </w:p>
        </w:tc>
      </w:tr>
    </w:tbl>
    <w:bookmarkStart w:id="331" w:name="admin-consent-escalation-decision-table"/>
    <w:p>
      <w:pPr>
        <w:pStyle w:val="Heading4"/>
      </w:pPr>
      <w:r>
        <w:t xml:space="preserve">Admin Consent escalation decision table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Application risk tier</w:t>
            </w:r>
          </w:p>
        </w:tc>
        <w:tc>
          <w:tcPr/>
          <w:p>
            <w:pPr>
              <w:pStyle w:val="Compact"/>
            </w:pPr>
            <w:r>
              <w:t xml:space="preserve">Approval chain</w:t>
            </w:r>
          </w:p>
        </w:tc>
        <w:tc>
          <w:tcPr/>
          <w:p>
            <w:pPr>
              <w:pStyle w:val="Compact"/>
            </w:pPr>
            <w:r>
              <w:t xml:space="preserve">Minimum approvers</w:t>
            </w:r>
          </w:p>
        </w:tc>
        <w:tc>
          <w:tcPr/>
          <w:p>
            <w:pPr>
              <w:pStyle w:val="Compact"/>
            </w:pPr>
            <w:r>
              <w:t xml:space="preserve">Total SLA</w:t>
            </w:r>
          </w:p>
        </w:tc>
      </w:tr>
      <w:tr>
        <w:tc>
          <w:tcPr/>
          <w:p>
            <w:pPr>
              <w:pStyle w:val="Compact"/>
            </w:pPr>
            <w:r>
              <w:rPr>
                <w:b/>
                <w:bCs/>
              </w:rPr>
              <w:t xml:space="preserve">Tier 1 — High Risk</w:t>
            </w:r>
          </w:p>
        </w:tc>
        <w:tc>
          <w:tcPr/>
          <w:p>
            <w:pPr>
              <w:pStyle w:val="Compact"/>
            </w:pPr>
            <w:r>
              <w:t xml:space="preserve">Application Owner submits → Security Review (IGO analyst) →</w:t>
            </w:r>
            <w:r>
              <w:t xml:space="preserve"> </w:t>
            </w:r>
            <w:r>
              <w:rPr>
                <w:b/>
                <w:bCs/>
              </w:rPr>
              <w:t xml:space="preserve">IGO final approval</w:t>
            </w:r>
            <w:r>
              <w:t xml:space="preserve"> </w:t>
            </w:r>
            <w:r>
              <w:t xml:space="preserve">→ CISO notification</w:t>
            </w:r>
          </w:p>
        </w:tc>
        <w:tc>
          <w:tcPr/>
          <w:p>
            <w:pPr>
              <w:pStyle w:val="Compact"/>
            </w:pPr>
            <w:r>
              <w:t xml:space="preserve">IGO (mandatory); CISO notified</w:t>
            </w:r>
          </w:p>
        </w:tc>
        <w:tc>
          <w:tcPr/>
          <w:p>
            <w:pPr>
              <w:pStyle w:val="Compact"/>
            </w:pPr>
            <w:r>
              <w:t xml:space="preserve">5 business days</w:t>
            </w:r>
          </w:p>
        </w:tc>
      </w:tr>
      <w:tr>
        <w:tc>
          <w:tcPr/>
          <w:p>
            <w:pPr>
              <w:pStyle w:val="Compact"/>
            </w:pPr>
            <w:r>
              <w:rPr>
                <w:b/>
                <w:bCs/>
              </w:rPr>
              <w:t xml:space="preserve">Tier 2 — Moderate Risk</w:t>
            </w:r>
          </w:p>
        </w:tc>
        <w:tc>
          <w:tcPr/>
          <w:p>
            <w:pPr>
              <w:pStyle w:val="Compact"/>
            </w:pPr>
            <w:r>
              <w:t xml:space="preserve">Application Owner submits → Security Review (IGO analyst) → Application Owner confirms →</w:t>
            </w:r>
            <w:r>
              <w:t xml:space="preserve"> </w:t>
            </w:r>
            <w:r>
              <w:rPr>
                <w:b/>
                <w:bCs/>
              </w:rPr>
              <w:t xml:space="preserve">IGO review and approval</w:t>
            </w:r>
          </w:p>
        </w:tc>
        <w:tc>
          <w:tcPr/>
          <w:p>
            <w:pPr>
              <w:pStyle w:val="Compact"/>
            </w:pPr>
            <w:r>
              <w:t xml:space="preserve">Application Owner + IGO</w:t>
            </w:r>
          </w:p>
        </w:tc>
        <w:tc>
          <w:tcPr/>
          <w:p>
            <w:pPr>
              <w:pStyle w:val="Compact"/>
            </w:pPr>
            <w:r>
              <w:t xml:space="preserve">5 business days</w:t>
            </w:r>
          </w:p>
        </w:tc>
      </w:tr>
      <w:tr>
        <w:tc>
          <w:tcPr/>
          <w:p>
            <w:pPr>
              <w:pStyle w:val="Compact"/>
            </w:pPr>
            <w:r>
              <w:rPr>
                <w:b/>
                <w:bCs/>
              </w:rPr>
              <w:t xml:space="preserve">Tier 3 — Low Risk</w:t>
            </w:r>
          </w:p>
        </w:tc>
        <w:tc>
          <w:tcPr/>
          <w:p>
            <w:pPr>
              <w:pStyle w:val="Compact"/>
            </w:pPr>
            <w:r>
              <w:t xml:space="preserve">Application Owner submits → Security Review (IGO analyst) →</w:t>
            </w:r>
            <w:r>
              <w:t xml:space="preserve"> </w:t>
            </w:r>
            <w:r>
              <w:rPr>
                <w:b/>
                <w:bCs/>
              </w:rPr>
              <w:t xml:space="preserve">Application Owner approval</w:t>
            </w:r>
            <w:r>
              <w:t xml:space="preserve"> </w:t>
            </w:r>
            <w:r>
              <w:t xml:space="preserve">→ IGO notified</w:t>
            </w:r>
          </w:p>
        </w:tc>
        <w:tc>
          <w:tcPr/>
          <w:p>
            <w:pPr>
              <w:pStyle w:val="Compact"/>
            </w:pPr>
            <w:r>
              <w:t xml:space="preserve">Application Owner; IGO informed</w:t>
            </w:r>
          </w:p>
        </w:tc>
        <w:tc>
          <w:tcPr/>
          <w:p>
            <w:pPr>
              <w:pStyle w:val="Compact"/>
            </w:pPr>
            <w:r>
              <w:t xml:space="preserve">3 business days</w:t>
            </w:r>
          </w:p>
        </w:tc>
      </w:tr>
      <w:tr>
        <w:tc>
          <w:tcPr/>
          <w:p>
            <w:pPr>
              <w:pStyle w:val="Compact"/>
            </w:pPr>
            <w:r>
              <w:rPr>
                <w:b/>
                <w:bCs/>
              </w:rPr>
              <w:t xml:space="preserve">Any Tier — Application Permission Type</w:t>
            </w:r>
          </w:p>
        </w:tc>
        <w:tc>
          <w:tcPr/>
          <w:p>
            <w:pPr>
              <w:pStyle w:val="Compact"/>
            </w:pPr>
            <w:r>
              <w:t xml:space="preserve">Regardless of tier:</w:t>
            </w:r>
            <w:r>
              <w:t xml:space="preserve"> </w:t>
            </w:r>
            <w:r>
              <w:rPr>
                <w:b/>
                <w:bCs/>
              </w:rPr>
              <w:t xml:space="preserve">IGO approval is mandatory</w:t>
            </w:r>
            <w:r>
              <w:t xml:space="preserve"> </w:t>
            </w:r>
            <w:r>
              <w:t xml:space="preserve">for any Application Permission (non-delegated). Automatic escalation to Tier 1 treatment.</w:t>
            </w:r>
          </w:p>
        </w:tc>
        <w:tc>
          <w:tcPr/>
          <w:p>
            <w:pPr>
              <w:pStyle w:val="Compact"/>
            </w:pPr>
            <w:r>
              <w:t xml:space="preserve">IGO (mandatory); CISO notified</w:t>
            </w:r>
          </w:p>
        </w:tc>
        <w:tc>
          <w:tcPr/>
          <w:p>
            <w:pPr>
              <w:pStyle w:val="Compact"/>
            </w:pPr>
            <w:r>
              <w:t xml:space="preserve">5 business days</w:t>
            </w:r>
          </w:p>
        </w:tc>
      </w:tr>
      <w:tr>
        <w:tc>
          <w:tcPr/>
          <w:p>
            <w:pPr>
              <w:pStyle w:val="Compact"/>
            </w:pPr>
            <w:r>
              <w:rPr>
                <w:b/>
                <w:bCs/>
              </w:rPr>
              <w:t xml:space="preserve">Any Tier — Critical Scope</w:t>
            </w:r>
          </w:p>
        </w:tc>
        <w:tc>
          <w:tcPr/>
          <w:p>
            <w:pPr>
              <w:pStyle w:val="Compact"/>
            </w:pPr>
            <w:r>
              <w:t xml:space="preserve">If permission includes *.All at application level (e.g., Mail.ReadWrite.All): automatic escalation to IGO + CISO dual review regardless of tier.</w:t>
            </w:r>
          </w:p>
        </w:tc>
        <w:tc>
          <w:tcPr/>
          <w:p>
            <w:pPr>
              <w:pStyle w:val="Compact"/>
            </w:pPr>
            <w:r>
              <w:t xml:space="preserve">IGO + CISO (dual review)</w:t>
            </w:r>
          </w:p>
        </w:tc>
        <w:tc>
          <w:tcPr/>
          <w:p>
            <w:pPr>
              <w:pStyle w:val="Compact"/>
            </w:pPr>
            <w:r>
              <w:t xml:space="preserve">5 business days</w:t>
            </w:r>
          </w:p>
        </w:tc>
      </w:tr>
    </w:tbl>
    <w:bookmarkEnd w:id="331"/>
    <w:bookmarkEnd w:id="332"/>
    <w:bookmarkStart w:id="334" w:name="workflow-c-emergency-break-glass-access"/>
    <w:p>
      <w:pPr>
        <w:pStyle w:val="Heading3"/>
      </w:pPr>
      <w:r>
        <w:t xml:space="preserve">Workflow C — emergency / break-glass access</w:t>
      </w:r>
    </w:p>
    <w:p>
      <w:pPr>
        <w:pStyle w:val="FirstParagraph"/>
      </w:pPr>
      <w:r>
        <w:t xml:space="preserve">The Emergency Access Workflow is reserved for situations where standard access</w:t>
      </w:r>
      <w:r>
        <w:t xml:space="preserve"> </w:t>
      </w:r>
      <w:r>
        <w:t xml:space="preserve">channels are unavailable and immediate access is required to prevent or mitigate</w:t>
      </w:r>
      <w:r>
        <w:t xml:space="preserve"> </w:t>
      </w:r>
      <w:r>
        <w:t xml:space="preserve">a critical operational or security incident. Break-glass access invokes the</w:t>
      </w:r>
      <w:r>
        <w:t xml:space="preserve"> </w:t>
      </w:r>
      <w:r>
        <w:t xml:space="preserve">Global Administrator account or other emergency credentials outside the normal</w:t>
      </w:r>
      <w:r>
        <w:t xml:space="preserve"> </w:t>
      </w:r>
      <w:r>
        <w:t xml:space="preserve">PIM governance model.</w:t>
      </w:r>
    </w:p>
    <w:p>
      <w:pPr>
        <w:pStyle w:val="BodyText"/>
      </w:pPr>
      <w:r>
        <w:rPr>
          <w:b/>
          <w:bCs/>
        </w:rPr>
        <w:t xml:space="preserve">Break-glass is a last resort</w:t>
      </w:r>
    </w:p>
    <w:p>
      <w:pPr>
        <w:pStyle w:val="BodyText"/>
      </w:pPr>
      <w:r>
        <w:t xml:space="preserve">Break-glass activation must never be used for routine administrative convenience,</w:t>
      </w:r>
      <w:r>
        <w:t xml:space="preserve"> </w:t>
      </w:r>
      <w:r>
        <w:t xml:space="preserve">SLA bypass, or any non-emergency purpose. Every activation is automatically</w:t>
      </w:r>
      <w:r>
        <w:t xml:space="preserve"> </w:t>
      </w:r>
      <w:r>
        <w:t xml:space="preserve">alerted to the IGO and CISO and triggers a mandatory post-incident review. Misuse</w:t>
      </w:r>
      <w:r>
        <w:t xml:space="preserve"> </w:t>
      </w:r>
      <w:r>
        <w:t xml:space="preserve">of break-glass credentials is a serious security policy violation and will be</w:t>
      </w:r>
      <w:r>
        <w:t xml:space="preserve"> </w:t>
      </w:r>
      <w:r>
        <w:t xml:space="preserve">subject to disciplinary action.</w:t>
      </w:r>
    </w:p>
    <w:bookmarkStart w:id="333" w:name="emergency-access-invocation-criteria"/>
    <w:p>
      <w:pPr>
        <w:pStyle w:val="Heading4"/>
      </w:pPr>
      <w:r>
        <w:t xml:space="preserve">Emergency access invocation criteria</w:t>
      </w:r>
    </w:p>
    <w:p>
      <w:pPr>
        <w:pStyle w:val="FirstParagraph"/>
      </w:pPr>
      <w:r>
        <w:t xml:space="preserve">Break-glass access may be invoked</w:t>
      </w:r>
      <w:r>
        <w:t xml:space="preserve"> </w:t>
      </w:r>
      <w:r>
        <w:rPr>
          <w:b/>
          <w:bCs/>
        </w:rPr>
        <w:t xml:space="preserve">only</w:t>
      </w:r>
      <w:r>
        <w:t xml:space="preserve"> </w:t>
      </w:r>
      <w:r>
        <w:t xml:space="preserve">when all of the following conditions</w:t>
      </w:r>
      <w:r>
        <w:t xml:space="preserve"> </w:t>
      </w:r>
      <w:r>
        <w:t xml:space="preserve">are met:</w:t>
      </w:r>
    </w:p>
    <w:p>
      <w:pPr>
        <w:pStyle w:val="Compact"/>
        <w:numPr>
          <w:ilvl w:val="0"/>
          <w:numId w:val="1169"/>
        </w:numPr>
      </w:pPr>
      <w:r>
        <w:t xml:space="preserve">Standard PIM-based administrative access is unavailable (e.g., MFA failure,</w:t>
      </w:r>
      <w:r>
        <w:t xml:space="preserve"> </w:t>
      </w:r>
      <w:r>
        <w:t xml:space="preserve">Conditional Access lockout, PIM service outage)</w:t>
      </w:r>
    </w:p>
    <w:p>
      <w:pPr>
        <w:pStyle w:val="Compact"/>
        <w:numPr>
          <w:ilvl w:val="0"/>
          <w:numId w:val="1169"/>
        </w:numPr>
      </w:pPr>
      <w:r>
        <w:t xml:space="preserve">The situation constitutes an active security incident, critical service</w:t>
      </w:r>
      <w:r>
        <w:t xml:space="preserve"> </w:t>
      </w:r>
      <w:r>
        <w:t xml:space="preserve">disruption, or regulatory obligation requiring immediate action</w:t>
      </w:r>
    </w:p>
    <w:p>
      <w:pPr>
        <w:pStyle w:val="Compact"/>
        <w:numPr>
          <w:ilvl w:val="0"/>
          <w:numId w:val="1169"/>
        </w:numPr>
      </w:pPr>
      <w:r>
        <w:t xml:space="preserve">At least two senior administrators (IGO-level or equivalent) have been</w:t>
      </w:r>
      <w:r>
        <w:t xml:space="preserve"> </w:t>
      </w:r>
      <w:r>
        <w:t xml:space="preserve">contacted and are aware of the activation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Requirement</w:t>
            </w:r>
          </w:p>
        </w:tc>
        <w:tc>
          <w:tcPr/>
          <w:p>
            <w:pPr>
              <w:pStyle w:val="Compact"/>
            </w:pPr>
            <w:r>
              <w:t xml:space="preserve">Documentation</w:t>
            </w:r>
          </w:p>
        </w:tc>
      </w:tr>
      <w:tr>
        <w:tc>
          <w:tcPr/>
          <w:p>
            <w:pPr>
              <w:pStyle w:val="Compact"/>
            </w:pPr>
            <w:r>
              <w:rPr>
                <w:b/>
                <w:bCs/>
              </w:rPr>
              <w:t xml:space="preserve">1</w:t>
            </w:r>
          </w:p>
        </w:tc>
        <w:tc>
          <w:tcPr/>
          <w:p>
            <w:pPr>
              <w:pStyle w:val="Compact"/>
            </w:pPr>
            <w:r>
              <w:t xml:space="preserve">Senior administrator determines that standard access is unavailable and emergency criteria are met. Contacts a second senior administrator for dual awareness.</w:t>
            </w:r>
          </w:p>
        </w:tc>
        <w:tc>
          <w:tcPr/>
          <w:p>
            <w:pPr>
              <w:pStyle w:val="Compact"/>
            </w:pPr>
            <w:r>
              <w:t xml:space="preserve">Senior Administrator (requester)</w:t>
            </w:r>
          </w:p>
        </w:tc>
        <w:tc>
          <w:tcPr/>
          <w:p>
            <w:pPr>
              <w:pStyle w:val="Compact"/>
            </w:pPr>
            <w:r>
              <w:t xml:space="preserve">Two senior admins must be aware and in communication</w:t>
            </w:r>
          </w:p>
        </w:tc>
        <w:tc>
          <w:tcPr/>
          <w:p>
            <w:pPr>
              <w:pStyle w:val="Compact"/>
            </w:pPr>
            <w:r>
              <w:t xml:space="preserve">Voice/text communication logged</w:t>
            </w:r>
          </w:p>
        </w:tc>
      </w:tr>
      <w:tr>
        <w:tc>
          <w:tcPr/>
          <w:p>
            <w:pPr>
              <w:pStyle w:val="Compact"/>
            </w:pPr>
            <w:r>
              <w:rPr>
                <w:b/>
                <w:bCs/>
              </w:rPr>
              <w:t xml:space="preserve">2</w:t>
            </w:r>
          </w:p>
        </w:tc>
        <w:tc>
          <w:tcPr/>
          <w:p>
            <w:pPr>
              <w:pStyle w:val="Compact"/>
            </w:pPr>
            <w:r>
              <w:t xml:space="preserve">Both administrators verbally confirm and document the emergency invocation trigger. ServiceNow P1 ticket opened immediately with emergency justification.</w:t>
            </w:r>
          </w:p>
        </w:tc>
        <w:tc>
          <w:tcPr/>
          <w:p>
            <w:pPr>
              <w:pStyle w:val="Compact"/>
            </w:pPr>
            <w:r>
              <w:t xml:space="preserve">Both senior admins</w:t>
            </w:r>
          </w:p>
        </w:tc>
        <w:tc>
          <w:tcPr/>
          <w:p>
            <w:pPr>
              <w:pStyle w:val="Compact"/>
            </w:pPr>
            <w:r>
              <w:t xml:space="preserve">Dual approval documented; P1 ticket mandatory</w:t>
            </w:r>
          </w:p>
        </w:tc>
        <w:tc>
          <w:tcPr/>
          <w:p>
            <w:pPr>
              <w:pStyle w:val="Compact"/>
            </w:pPr>
            <w:r>
              <w:t xml:space="preserve">ServiceNow P1 ticket number recorded</w:t>
            </w:r>
          </w:p>
        </w:tc>
      </w:tr>
      <w:tr>
        <w:tc>
          <w:tcPr/>
          <w:p>
            <w:pPr>
              <w:pStyle w:val="Compact"/>
            </w:pPr>
            <w:r>
              <w:rPr>
                <w:b/>
                <w:bCs/>
              </w:rPr>
              <w:t xml:space="preserve">3</w:t>
            </w:r>
          </w:p>
        </w:tc>
        <w:tc>
          <w:tcPr/>
          <w:p>
            <w:pPr>
              <w:pStyle w:val="Compact"/>
            </w:pPr>
            <w:r>
              <w:t xml:space="preserve">Break-glass credentials retrieved from secure vault per agency break-glass procedure. Credentials retrieved only by both admins acting together (dual custody).</w:t>
            </w:r>
          </w:p>
        </w:tc>
        <w:tc>
          <w:tcPr/>
          <w:p>
            <w:pPr>
              <w:pStyle w:val="Compact"/>
            </w:pPr>
            <w:r>
              <w:t xml:space="preserve">Both senior admins (dual custody)</w:t>
            </w:r>
          </w:p>
        </w:tc>
        <w:tc>
          <w:tcPr/>
          <w:p>
            <w:pPr>
              <w:pStyle w:val="Compact"/>
            </w:pPr>
            <w:r>
              <w:t xml:space="preserve">Dual custody mandatory; single-party retrieval is prohibited</w:t>
            </w:r>
          </w:p>
        </w:tc>
        <w:tc>
          <w:tcPr/>
          <w:p>
            <w:pPr>
              <w:pStyle w:val="Compact"/>
            </w:pPr>
            <w:r>
              <w:t xml:space="preserve">Vault access logged (automated)</w:t>
            </w:r>
          </w:p>
        </w:tc>
      </w:tr>
      <w:tr>
        <w:tc>
          <w:tcPr/>
          <w:p>
            <w:pPr>
              <w:pStyle w:val="Compact"/>
            </w:pPr>
            <w:r>
              <w:rPr>
                <w:b/>
                <w:bCs/>
              </w:rPr>
              <w:t xml:space="preserve">4</w:t>
            </w:r>
          </w:p>
        </w:tc>
        <w:tc>
          <w:tcPr/>
          <w:p>
            <w:pPr>
              <w:pStyle w:val="Compact"/>
            </w:pPr>
            <w:r>
              <w:t xml:space="preserve">Break-glass account used to perform only the specific action required to address the emergency. No additional actions beyond the stated emergency scope permitted.</w:t>
            </w:r>
          </w:p>
        </w:tc>
        <w:tc>
          <w:tcPr/>
          <w:p>
            <w:pPr>
              <w:pStyle w:val="Compact"/>
            </w:pPr>
            <w:r>
              <w:t xml:space="preserve">Senior Administrator (acting)</w:t>
            </w:r>
          </w:p>
        </w:tc>
        <w:tc>
          <w:tcPr/>
          <w:p>
            <w:pPr>
              <w:pStyle w:val="Compact"/>
            </w:pPr>
            <w:r>
              <w:t xml:space="preserve">Scope-limited use only</w:t>
            </w:r>
          </w:p>
        </w:tc>
        <w:tc>
          <w:tcPr/>
          <w:p>
            <w:pPr>
              <w:pStyle w:val="Compact"/>
            </w:pPr>
            <w:r>
              <w:t xml:space="preserve">All actions logged in Entra audit log</w:t>
            </w:r>
          </w:p>
        </w:tc>
      </w:tr>
      <w:tr>
        <w:tc>
          <w:tcPr/>
          <w:p>
            <w:pPr>
              <w:pStyle w:val="Compact"/>
            </w:pPr>
            <w:r>
              <w:rPr>
                <w:b/>
                <w:bCs/>
              </w:rPr>
              <w:t xml:space="preserve">5</w:t>
            </w:r>
          </w:p>
        </w:tc>
        <w:tc>
          <w:tcPr/>
          <w:p>
            <w:pPr>
              <w:pStyle w:val="Compact"/>
            </w:pPr>
            <w:r>
              <w:t xml:space="preserve">Access terminated immediately upon emergency resolution. Maximum duration:</w:t>
            </w:r>
            <w:r>
              <w:t xml:space="preserve"> </w:t>
            </w:r>
            <w:r>
              <w:rPr>
                <w:b/>
                <w:bCs/>
              </w:rPr>
              <w:t xml:space="preserve">4 hours</w:t>
            </w:r>
            <w:r>
              <w:t xml:space="preserve">. Any extension requires documented exception approved by CISO.</w:t>
            </w:r>
          </w:p>
        </w:tc>
        <w:tc>
          <w:tcPr/>
          <w:p>
            <w:pPr>
              <w:pStyle w:val="Compact"/>
            </w:pPr>
            <w:r>
              <w:t xml:space="preserve">Senior Administrator</w:t>
            </w:r>
          </w:p>
        </w:tc>
        <w:tc>
          <w:tcPr/>
          <w:p>
            <w:pPr>
              <w:pStyle w:val="Compact"/>
            </w:pPr>
            <w:r>
              <w:t xml:space="preserve">4-hour maximum; CISO approval for extension</w:t>
            </w:r>
          </w:p>
        </w:tc>
        <w:tc>
          <w:tcPr/>
          <w:p>
            <w:pPr>
              <w:pStyle w:val="Compact"/>
            </w:pPr>
            <w:r>
              <w:t xml:space="preserve">Termination time logged in P1 ticket</w:t>
            </w:r>
          </w:p>
        </w:tc>
      </w:tr>
      <w:tr>
        <w:tc>
          <w:tcPr/>
          <w:p>
            <w:pPr>
              <w:pStyle w:val="Compact"/>
            </w:pPr>
            <w:r>
              <w:rPr>
                <w:b/>
                <w:bCs/>
              </w:rPr>
              <w:t xml:space="preserve">6</w:t>
            </w:r>
          </w:p>
        </w:tc>
        <w:tc>
          <w:tcPr/>
          <w:p>
            <w:pPr>
              <w:pStyle w:val="Compact"/>
            </w:pPr>
            <w:r>
              <w:t xml:space="preserve">Automated SIEM alert and email notification sent to IGO and CISO upon break-glass account sign-in detection (configured alert — see the Required SIEM alerts section).</w:t>
            </w:r>
          </w:p>
        </w:tc>
        <w:tc>
          <w:tcPr/>
          <w:p>
            <w:pPr>
              <w:pStyle w:val="Compact"/>
            </w:pPr>
            <w:r>
              <w:t xml:space="preserve">SIEM / Entra ID (automated)</w:t>
            </w:r>
          </w:p>
        </w:tc>
        <w:tc>
          <w:tcPr/>
          <w:p>
            <w:pPr>
              <w:pStyle w:val="Compact"/>
            </w:pPr>
            <w:r>
              <w:t xml:space="preserve">Automated alert — no manual trigger required</w:t>
            </w:r>
          </w:p>
        </w:tc>
        <w:tc>
          <w:tcPr/>
          <w:p>
            <w:pPr>
              <w:pStyle w:val="Compact"/>
            </w:pPr>
            <w:r>
              <w:t xml:space="preserve">SIEM alert logged; email sent</w:t>
            </w:r>
          </w:p>
        </w:tc>
      </w:tr>
      <w:tr>
        <w:tc>
          <w:tcPr/>
          <w:p>
            <w:pPr>
              <w:pStyle w:val="Compact"/>
            </w:pPr>
            <w:r>
              <w:rPr>
                <w:b/>
                <w:bCs/>
              </w:rPr>
              <w:t xml:space="preserve">7</w:t>
            </w:r>
          </w:p>
        </w:tc>
        <w:tc>
          <w:tcPr/>
          <w:p>
            <w:pPr>
              <w:pStyle w:val="Compact"/>
            </w:pPr>
            <w:r>
              <w:t xml:space="preserve">Mandatory post-incident review conducted within</w:t>
            </w:r>
            <w:r>
              <w:t xml:space="preserve"> </w:t>
            </w:r>
            <w:r>
              <w:rPr>
                <w:b/>
                <w:bCs/>
              </w:rPr>
              <w:t xml:space="preserve">24 hours</w:t>
            </w:r>
            <w:r>
              <w:t xml:space="preserve"> </w:t>
            </w:r>
            <w:r>
              <w:t xml:space="preserve">of break-glass activation. Full review of all actions taken, scope compliance, and necessity validation.</w:t>
            </w:r>
          </w:p>
        </w:tc>
        <w:tc>
          <w:tcPr/>
          <w:p>
            <w:pPr>
              <w:pStyle w:val="Compact"/>
            </w:pPr>
            <w:r>
              <w:t xml:space="preserve">IGO (leads review)</w:t>
            </w:r>
          </w:p>
        </w:tc>
        <w:tc>
          <w:tcPr/>
          <w:p>
            <w:pPr>
              <w:pStyle w:val="Compact"/>
            </w:pPr>
            <w:r>
              <w:t xml:space="preserve">24-hour deadline mandatory</w:t>
            </w:r>
          </w:p>
        </w:tc>
        <w:tc>
          <w:tcPr/>
          <w:p>
            <w:pPr>
              <w:pStyle w:val="Compact"/>
            </w:pPr>
            <w:r>
              <w:t xml:space="preserve">Incident report filed in ServiceNow; archived in governance records</w:t>
            </w:r>
          </w:p>
        </w:tc>
      </w:tr>
      <w:tr>
        <w:tc>
          <w:tcPr/>
          <w:p>
            <w:pPr>
              <w:pStyle w:val="Compact"/>
            </w:pPr>
            <w:r>
              <w:rPr>
                <w:b/>
                <w:bCs/>
              </w:rPr>
              <w:t xml:space="preserve">8</w:t>
            </w:r>
          </w:p>
        </w:tc>
        <w:tc>
          <w:tcPr/>
          <w:p>
            <w:pPr>
              <w:pStyle w:val="Compact"/>
            </w:pPr>
            <w:r>
              <w:t xml:space="preserve">Break-glass credentials rotated following each activation. New credentials stored in vault per dual custody procedure.</w:t>
            </w:r>
          </w:p>
        </w:tc>
        <w:tc>
          <w:tcPr/>
          <w:p>
            <w:pPr>
              <w:pStyle w:val="Compact"/>
            </w:pPr>
            <w:r>
              <w:t xml:space="preserve">Privileged Role Administrator</w:t>
            </w:r>
          </w:p>
        </w:tc>
        <w:tc>
          <w:tcPr/>
          <w:p>
            <w:pPr>
              <w:pStyle w:val="Compact"/>
            </w:pPr>
            <w:r>
              <w:t xml:space="preserve">Rotation mandatory after every activation</w:t>
            </w:r>
          </w:p>
        </w:tc>
        <w:tc>
          <w:tcPr/>
          <w:p>
            <w:pPr>
              <w:pStyle w:val="Compact"/>
            </w:pPr>
            <w:r>
              <w:t xml:space="preserve">Rotation logged in ServiceNow RITM</w:t>
            </w:r>
          </w:p>
        </w:tc>
      </w:tr>
    </w:tbl>
    <w:bookmarkEnd w:id="333"/>
    <w:bookmarkEnd w:id="334"/>
    <w:bookmarkEnd w:id="335"/>
    <w:bookmarkStart w:id="347" w:name="group-based-access-governance-model"/>
    <w:p>
      <w:pPr>
        <w:pStyle w:val="Heading2"/>
      </w:pPr>
      <w:r>
        <w:t xml:space="preserve">Group-based access governance model</w:t>
      </w:r>
    </w:p>
    <w:bookmarkStart w:id="336" w:name="Xb619170dbb03d744363d5f7e98d083fa8623809"/>
    <w:p>
      <w:pPr>
        <w:pStyle w:val="Heading3"/>
      </w:pPr>
      <w:r>
        <w:t xml:space="preserve">Policy requirement: group-based access is mandatory</w:t>
      </w:r>
    </w:p>
    <w:p>
      <w:pPr>
        <w:pStyle w:val="FirstParagraph"/>
      </w:pPr>
      <w:r>
        <w:t xml:space="preserve">The agency mandates that all user access to Enterprise Applications in Entra ID</w:t>
      </w:r>
      <w:r>
        <w:t xml:space="preserve"> </w:t>
      </w:r>
      <w:r>
        <w:t xml:space="preserve">be implemented through security group assignment.</w:t>
      </w:r>
      <w:r>
        <w:t xml:space="preserve"> </w:t>
      </w:r>
      <w:r>
        <w:rPr>
          <w:b/>
          <w:bCs/>
        </w:rPr>
        <w:t xml:space="preserve">Direct individual user</w:t>
      </w:r>
      <w:r>
        <w:rPr>
          <w:b/>
          <w:bCs/>
        </w:rPr>
        <w:t xml:space="preserve"> </w:t>
      </w:r>
      <w:r>
        <w:rPr>
          <w:b/>
          <w:bCs/>
        </w:rPr>
        <w:t xml:space="preserve">assignment to Enterprise Applications is prohibited.</w:t>
      </w:r>
      <w:r>
        <w:t xml:space="preserve"> </w:t>
      </w:r>
      <w:r>
        <w:t xml:space="preserve">Group-based access provides</w:t>
      </w:r>
      <w:r>
        <w:t xml:space="preserve"> </w:t>
      </w:r>
      <w:r>
        <w:t xml:space="preserve">scalable, auditable, and reviewable access control aligned with Zero Trust</w:t>
      </w:r>
      <w:r>
        <w:t xml:space="preserve"> </w:t>
      </w:r>
      <w:r>
        <w:t xml:space="preserve">principles and NIST AC-2 account management requirements. It ensures that access</w:t>
      </w:r>
      <w:r>
        <w:t xml:space="preserve"> </w:t>
      </w:r>
      <w:r>
        <w:t xml:space="preserve">reviews can be conducted at the group level, simplifying the governance burden on</w:t>
      </w:r>
      <w:r>
        <w:t xml:space="preserve"> </w:t>
      </w:r>
      <w:r>
        <w:t xml:space="preserve">Application Owners while maintaining individual-level accountability.</w:t>
      </w:r>
    </w:p>
    <w:p>
      <w:pPr>
        <w:pStyle w:val="BodyText"/>
      </w:pPr>
      <w:r>
        <w:rPr>
          <w:b/>
          <w:bCs/>
        </w:rPr>
        <w:t xml:space="preserve">Rationale for the group-based mandate:</w:t>
      </w:r>
    </w:p>
    <w:p>
      <w:pPr>
        <w:pStyle w:val="Compact"/>
        <w:numPr>
          <w:ilvl w:val="0"/>
          <w:numId w:val="1170"/>
        </w:numPr>
      </w:pPr>
      <w:r>
        <w:t xml:space="preserve">Enables efficient access reviews (review group membership rather than</w:t>
      </w:r>
      <w:r>
        <w:t xml:space="preserve"> </w:t>
      </w:r>
      <w:r>
        <w:t xml:space="preserve">individual app assignments)</w:t>
      </w:r>
    </w:p>
    <w:p>
      <w:pPr>
        <w:pStyle w:val="Compact"/>
        <w:numPr>
          <w:ilvl w:val="0"/>
          <w:numId w:val="1170"/>
        </w:numPr>
      </w:pPr>
      <w:r>
        <w:t xml:space="preserve">Simplifies onboarding and offboarding through group membership management</w:t>
      </w:r>
    </w:p>
    <w:p>
      <w:pPr>
        <w:pStyle w:val="Compact"/>
        <w:numPr>
          <w:ilvl w:val="0"/>
          <w:numId w:val="1170"/>
        </w:numPr>
      </w:pPr>
      <w:r>
        <w:t xml:space="preserve">Provides consistent, repeatable access patterns aligned with job functions</w:t>
      </w:r>
    </w:p>
    <w:p>
      <w:pPr>
        <w:pStyle w:val="Compact"/>
        <w:numPr>
          <w:ilvl w:val="0"/>
          <w:numId w:val="1170"/>
        </w:numPr>
      </w:pPr>
      <w:r>
        <w:t xml:space="preserve">Supports dynamic group rules for automated, policy-driven access based on user</w:t>
      </w:r>
      <w:r>
        <w:t xml:space="preserve"> </w:t>
      </w:r>
      <w:r>
        <w:t xml:space="preserve">attributes</w:t>
      </w:r>
    </w:p>
    <w:p>
      <w:pPr>
        <w:pStyle w:val="Compact"/>
        <w:numPr>
          <w:ilvl w:val="0"/>
          <w:numId w:val="1170"/>
        </w:numPr>
      </w:pPr>
      <w:r>
        <w:t xml:space="preserve">Creates a clear separation between access policy (group membership) and access</w:t>
      </w:r>
      <w:r>
        <w:t xml:space="preserve"> </w:t>
      </w:r>
      <w:r>
        <w:t xml:space="preserve">enforcement (app assignment)</w:t>
      </w:r>
    </w:p>
    <w:bookmarkEnd w:id="336"/>
    <w:bookmarkStart w:id="337" w:name="group-naming-convention"/>
    <w:p>
      <w:pPr>
        <w:pStyle w:val="Heading3"/>
      </w:pPr>
      <w:r>
        <w:t xml:space="preserve">Group naming convention</w:t>
      </w:r>
    </w:p>
    <w:p>
      <w:pPr>
        <w:pStyle w:val="FirstParagraph"/>
      </w:pPr>
      <w:r>
        <w:t xml:space="preserve">All security groups created for Enterprise Application access must follow the</w:t>
      </w:r>
      <w:r>
        <w:t xml:space="preserve"> </w:t>
      </w:r>
      <w:r>
        <w:t xml:space="preserve">mandatory naming convention below. Non-compliant group names will be flagged</w:t>
      </w:r>
      <w:r>
        <w:t xml:space="preserve"> </w:t>
      </w:r>
      <w:r>
        <w:t xml:space="preserve">during quarterly reviews and must be renamed by the Help Desk.</w:t>
      </w:r>
    </w:p>
    <w:p>
      <w:pPr>
        <w:pStyle w:val="BodyText"/>
      </w:pPr>
      <w:r>
        <w:rPr>
          <w:b/>
          <w:bCs/>
        </w:rPr>
        <w:t xml:space="preserve">Naming format:</w:t>
      </w:r>
      <w:r>
        <w:t xml:space="preserve"> </w:t>
      </w:r>
      <w:r>
        <w:t xml:space="preserve">APP-[AppShortName]-[AccessRole]-[RiskTier]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Token</w:t>
            </w:r>
          </w:p>
        </w:tc>
        <w:tc>
          <w:tcPr/>
          <w:p>
            <w:pPr>
              <w:pStyle w:val="Compact"/>
            </w:pPr>
            <w:r>
              <w:t xml:space="preserve">Description</w:t>
            </w:r>
          </w:p>
        </w:tc>
        <w:tc>
          <w:tcPr/>
          <w:p>
            <w:pPr>
              <w:pStyle w:val="Compact"/>
            </w:pPr>
            <w:r>
              <w:t xml:space="preserve">Example</w:t>
            </w:r>
          </w:p>
        </w:tc>
      </w:tr>
      <w:tr>
        <w:tc>
          <w:tcPr/>
          <w:p>
            <w:pPr>
              <w:pStyle w:val="Compact"/>
            </w:pPr>
            <w:r>
              <w:t xml:space="preserve">APP</w:t>
            </w:r>
          </w:p>
        </w:tc>
        <w:tc>
          <w:tcPr/>
          <w:p>
            <w:pPr>
              <w:pStyle w:val="Compact"/>
            </w:pPr>
            <w:r>
              <w:t xml:space="preserve">Fixed prefix identifying this as an application access group</w:t>
            </w:r>
          </w:p>
        </w:tc>
        <w:tc>
          <w:tcPr/>
          <w:p>
            <w:pPr>
              <w:pStyle w:val="Compact"/>
            </w:pPr>
            <w:r>
              <w:t xml:space="preserve">APP</w:t>
            </w:r>
          </w:p>
        </w:tc>
      </w:tr>
      <w:tr>
        <w:tc>
          <w:tcPr/>
          <w:p>
            <w:pPr>
              <w:pStyle w:val="Compact"/>
            </w:pPr>
            <w:r>
              <w:t xml:space="preserve">[AppShortName]</w:t>
            </w:r>
          </w:p>
        </w:tc>
        <w:tc>
          <w:tcPr/>
          <w:p>
            <w:pPr>
              <w:pStyle w:val="Compact"/>
            </w:pPr>
            <w:r>
              <w:t xml:space="preserve">Abbreviated application name (no spaces; use hyphens). Must match the Application Registry short name field.</w:t>
            </w:r>
          </w:p>
        </w:tc>
        <w:tc>
          <w:tcPr/>
          <w:p>
            <w:pPr>
              <w:pStyle w:val="Compact"/>
            </w:pPr>
            <w:r>
              <w:t xml:space="preserve">PAYROLL, HRPORTAL, PROJMGR</w:t>
            </w:r>
          </w:p>
        </w:tc>
      </w:tr>
      <w:tr>
        <w:tc>
          <w:tcPr/>
          <w:p>
            <w:pPr>
              <w:pStyle w:val="Compact"/>
            </w:pPr>
            <w:r>
              <w:t xml:space="preserve">[AccessRole]</w:t>
            </w:r>
          </w:p>
        </w:tc>
        <w:tc>
          <w:tcPr/>
          <w:p>
            <w:pPr>
              <w:pStyle w:val="Compact"/>
            </w:pPr>
            <w:r>
              <w:t xml:space="preserve">The role or access level this group grants within the application (e.g., Users, Admins, ReadOnly, Approvers)</w:t>
            </w:r>
          </w:p>
        </w:tc>
        <w:tc>
          <w:tcPr/>
          <w:p>
            <w:pPr>
              <w:pStyle w:val="Compact"/>
            </w:pPr>
            <w:r>
              <w:t xml:space="preserve">USERS, ADMINS, READONLY</w:t>
            </w:r>
          </w:p>
        </w:tc>
      </w:tr>
      <w:tr>
        <w:tc>
          <w:tcPr/>
          <w:p>
            <w:pPr>
              <w:pStyle w:val="Compact"/>
            </w:pPr>
            <w:r>
              <w:t xml:space="preserve">[RiskTier]</w:t>
            </w:r>
          </w:p>
        </w:tc>
        <w:tc>
          <w:tcPr/>
          <w:p>
            <w:pPr>
              <w:pStyle w:val="Compact"/>
            </w:pPr>
            <w:r>
              <w:t xml:space="preserve">The Risk Tier of the application (T1, T2, T3)</w:t>
            </w:r>
          </w:p>
        </w:tc>
        <w:tc>
          <w:tcPr/>
          <w:p>
            <w:pPr>
              <w:pStyle w:val="Compact"/>
            </w:pPr>
            <w:r>
              <w:t xml:space="preserve">T1, T2, T3</w:t>
            </w:r>
          </w:p>
        </w:tc>
      </w:tr>
    </w:tbl>
    <w:p>
      <w:pPr>
        <w:pStyle w:val="BodyText"/>
      </w:pPr>
      <w:r>
        <w:rPr>
          <w:b/>
          <w:bCs/>
        </w:rPr>
        <w:t xml:space="preserve">Complete naming examples:</w:t>
      </w:r>
    </w:p>
    <w:p>
      <w:pPr>
        <w:pStyle w:val="Compact"/>
        <w:numPr>
          <w:ilvl w:val="0"/>
          <w:numId w:val="1171"/>
        </w:numPr>
      </w:pPr>
      <w:r>
        <w:t xml:space="preserve">APP-PAYROLL-USERS-T1 — Standard users of the Payroll system (Tier 1)</w:t>
      </w:r>
    </w:p>
    <w:p>
      <w:pPr>
        <w:pStyle w:val="Compact"/>
        <w:numPr>
          <w:ilvl w:val="0"/>
          <w:numId w:val="1171"/>
        </w:numPr>
      </w:pPr>
      <w:r>
        <w:t xml:space="preserve">APP-PAYROLL-ADMINS-T1 — Administrators of the Payroll system (Tier 1)</w:t>
      </w:r>
    </w:p>
    <w:p>
      <w:pPr>
        <w:pStyle w:val="Compact"/>
        <w:numPr>
          <w:ilvl w:val="0"/>
          <w:numId w:val="1171"/>
        </w:numPr>
      </w:pPr>
      <w:r>
        <w:t xml:space="preserve">APP-HRPORTAL-READONLY-T2 — Read-only access to the HR Portal (Tier 2)</w:t>
      </w:r>
    </w:p>
    <w:p>
      <w:pPr>
        <w:pStyle w:val="Compact"/>
        <w:numPr>
          <w:ilvl w:val="0"/>
          <w:numId w:val="1171"/>
        </w:numPr>
      </w:pPr>
      <w:r>
        <w:t xml:space="preserve">APP-PROJMGR-USERS-T3 — Users of the Project Manager tool (Tier 3)</w:t>
      </w:r>
    </w:p>
    <w:bookmarkEnd w:id="337"/>
    <w:bookmarkStart w:id="342" w:name="group-lifecycle-management"/>
    <w:p>
      <w:pPr>
        <w:pStyle w:val="Heading3"/>
      </w:pPr>
      <w:r>
        <w:t xml:space="preserve">Group lifecycle management</w:t>
      </w:r>
    </w:p>
    <w:bookmarkStart w:id="338" w:name="group-creation"/>
    <w:p>
      <w:pPr>
        <w:pStyle w:val="Heading4"/>
      </w:pPr>
      <w:r>
        <w:t xml:space="preserve">Group creation</w:t>
      </w:r>
    </w:p>
    <w:p>
      <w:pPr>
        <w:pStyle w:val="FirstParagraph"/>
      </w:pPr>
      <w:r>
        <w:t xml:space="preserve">All new access groups must be created by the Help Desk Operator via ServiceNow</w:t>
      </w:r>
      <w:r>
        <w:t xml:space="preserve"> </w:t>
      </w:r>
      <w:r>
        <w:t xml:space="preserve">RITM, following approval by the Application Owner. Group creation is an</w:t>
      </w:r>
      <w:r>
        <w:t xml:space="preserve"> </w:t>
      </w:r>
      <w:r>
        <w:t xml:space="preserve">administrative action requiring PIM elevation. The creating operator must document</w:t>
      </w:r>
      <w:r>
        <w:t xml:space="preserve"> </w:t>
      </w:r>
      <w:r>
        <w:t xml:space="preserve">the group Object ID, creation date, and associated Enterprise Application in the</w:t>
      </w:r>
      <w:r>
        <w:t xml:space="preserve"> </w:t>
      </w:r>
      <w:r>
        <w:t xml:space="preserve">Application Registry.</w:t>
      </w:r>
    </w:p>
    <w:bookmarkEnd w:id="338"/>
    <w:bookmarkStart w:id="339" w:name="group-population"/>
    <w:p>
      <w:pPr>
        <w:pStyle w:val="Heading4"/>
      </w:pPr>
      <w:r>
        <w:t xml:space="preserve">Group population</w:t>
      </w:r>
    </w:p>
    <w:p>
      <w:pPr>
        <w:pStyle w:val="FirstParagraph"/>
      </w:pPr>
      <w:r>
        <w:t xml:space="preserve">Members are added to access groups through the Standard Access Request (Workflow</w:t>
      </w:r>
      <w:r>
        <w:t xml:space="preserve"> </w:t>
      </w:r>
      <w:r>
        <w:t xml:space="preserve">A). No members may be added directly by group owners without an associated</w:t>
      </w:r>
      <w:r>
        <w:t xml:space="preserve"> </w:t>
      </w:r>
      <w:r>
        <w:t xml:space="preserve">approved RITM. The Application Owner is accountable for the accuracy of group</w:t>
      </w:r>
      <w:r>
        <w:t xml:space="preserve"> </w:t>
      </w:r>
      <w:r>
        <w:t xml:space="preserve">membership and must certify membership during each scheduled access review.</w:t>
      </w:r>
    </w:p>
    <w:bookmarkEnd w:id="339"/>
    <w:bookmarkStart w:id="340" w:name="group-review"/>
    <w:p>
      <w:pPr>
        <w:pStyle w:val="Heading4"/>
      </w:pPr>
      <w:r>
        <w:t xml:space="preserve">Group review</w:t>
      </w:r>
    </w:p>
    <w:p>
      <w:pPr>
        <w:pStyle w:val="FirstParagraph"/>
      </w:pPr>
      <w:r>
        <w:t xml:space="preserve">Group membership is reviewed on the schedule defined by the application’s Risk</w:t>
      </w:r>
      <w:r>
        <w:t xml:space="preserve"> </w:t>
      </w:r>
      <w:r>
        <w:t xml:space="preserve">Tier. During each review, the Application Owner must certify each member’s</w:t>
      </w:r>
      <w:r>
        <w:t xml:space="preserve"> </w:t>
      </w:r>
      <w:r>
        <w:t xml:space="preserve">continued need for access. Members who cannot be certified must be removed within</w:t>
      </w:r>
      <w:r>
        <w:t xml:space="preserve"> </w:t>
      </w:r>
      <w:r>
        <w:t xml:space="preserve">5 business days of the review completion.</w:t>
      </w:r>
    </w:p>
    <w:bookmarkEnd w:id="340"/>
    <w:bookmarkStart w:id="341" w:name="group-deprovisioning"/>
    <w:p>
      <w:pPr>
        <w:pStyle w:val="Heading4"/>
      </w:pPr>
      <w:r>
        <w:t xml:space="preserve">Group deprovisioning</w:t>
      </w:r>
    </w:p>
    <w:p>
      <w:pPr>
        <w:pStyle w:val="FirstParagraph"/>
      </w:pPr>
      <w:r>
        <w:t xml:space="preserve">When an application is decommissioned or an access role is eliminated, the</w:t>
      </w:r>
      <w:r>
        <w:t xml:space="preserve"> </w:t>
      </w:r>
      <w:r>
        <w:t xml:space="preserve">associated access groups must be deprovisioned via ServiceNow RITM. All members</w:t>
      </w:r>
      <w:r>
        <w:t xml:space="preserve"> </w:t>
      </w:r>
      <w:r>
        <w:t xml:space="preserve">must be removed before group deletion. Group deletion is logged in Entra audit log</w:t>
      </w:r>
      <w:r>
        <w:t xml:space="preserve"> </w:t>
      </w:r>
      <w:r>
        <w:t xml:space="preserve">and the Application Registry updated accordingly.</w:t>
      </w:r>
    </w:p>
    <w:bookmarkEnd w:id="341"/>
    <w:bookmarkEnd w:id="342"/>
    <w:bookmarkStart w:id="343" w:name="nested-group-policy"/>
    <w:p>
      <w:pPr>
        <w:pStyle w:val="Heading3"/>
      </w:pPr>
      <w:r>
        <w:t xml:space="preserve">Nested group policy</w:t>
      </w:r>
    </w:p>
    <w:p>
      <w:pPr>
        <w:pStyle w:val="FirstParagraph"/>
      </w:pPr>
      <w:r>
        <w:rPr>
          <w:b/>
          <w:bCs/>
        </w:rPr>
        <w:t xml:space="preserve">Nested groups are restricted</w:t>
      </w:r>
    </w:p>
    <w:p>
      <w:pPr>
        <w:pStyle w:val="BodyText"/>
      </w:pPr>
      <w:r>
        <w:t xml:space="preserve">Nested groups (groups whose members include other groups) are</w:t>
      </w:r>
      <w:r>
        <w:t xml:space="preserve"> </w:t>
      </w:r>
      <w:r>
        <w:rPr>
          <w:b/>
          <w:bCs/>
        </w:rPr>
        <w:t xml:space="preserve">not permitted</w:t>
      </w:r>
      <w:r>
        <w:t xml:space="preserve"> </w:t>
      </w:r>
      <w:r>
        <w:t xml:space="preserve">for Enterprise Application access assignments. Microsoft Entra ID does not honor</w:t>
      </w:r>
      <w:r>
        <w:t xml:space="preserve"> </w:t>
      </w:r>
      <w:r>
        <w:t xml:space="preserve">nested group memberships for Enterprise Application user assignment, which can</w:t>
      </w:r>
      <w:r>
        <w:t xml:space="preserve"> </w:t>
      </w:r>
      <w:r>
        <w:t xml:space="preserve">create invisible access gaps and audit failures. All access groups assigned to</w:t>
      </w:r>
      <w:r>
        <w:t xml:space="preserve"> </w:t>
      </w:r>
      <w:r>
        <w:t xml:space="preserve">Enterprise Applications must have direct individual user members only. Any nested</w:t>
      </w:r>
      <w:r>
        <w:t xml:space="preserve"> </w:t>
      </w:r>
      <w:r>
        <w:t xml:space="preserve">group configurations discovered during access reviews must be remediated</w:t>
      </w:r>
      <w:r>
        <w:t xml:space="preserve"> </w:t>
      </w:r>
      <w:r>
        <w:t xml:space="preserve">immediately.</w:t>
      </w:r>
    </w:p>
    <w:bookmarkEnd w:id="343"/>
    <w:bookmarkStart w:id="344" w:name="dynamic-groups-vs.-assigned-groups"/>
    <w:p>
      <w:pPr>
        <w:pStyle w:val="Heading3"/>
      </w:pPr>
      <w:r>
        <w:t xml:space="preserve">Dynamic groups vs. assigned groups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Group type</w:t>
            </w:r>
          </w:p>
        </w:tc>
        <w:tc>
          <w:tcPr/>
          <w:p>
            <w:pPr>
              <w:pStyle w:val="Compact"/>
            </w:pPr>
            <w:r>
              <w:t xml:space="preserve">Use case</w:t>
            </w:r>
          </w:p>
        </w:tc>
        <w:tc>
          <w:tcPr/>
          <w:p>
            <w:pPr>
              <w:pStyle w:val="Compact"/>
            </w:pPr>
            <w:r>
              <w:t xml:space="preserve">When appropriate</w:t>
            </w:r>
          </w:p>
        </w:tc>
        <w:tc>
          <w:tcPr/>
          <w:p>
            <w:pPr>
              <w:pStyle w:val="Compact"/>
            </w:pPr>
            <w:r>
              <w:t xml:space="preserve">When not appropriate</w:t>
            </w:r>
          </w:p>
        </w:tc>
        <w:tc>
          <w:tcPr/>
          <w:p>
            <w:pPr>
              <w:pStyle w:val="Compact"/>
            </w:pPr>
            <w:r>
              <w:t xml:space="preserve">Risk Tier applicability</w:t>
            </w:r>
          </w:p>
        </w:tc>
      </w:tr>
      <w:tr>
        <w:tc>
          <w:tcPr/>
          <w:p>
            <w:pPr>
              <w:pStyle w:val="Compact"/>
            </w:pPr>
            <w:r>
              <w:rPr>
                <w:b/>
                <w:bCs/>
              </w:rPr>
              <w:t xml:space="preserve">Dynamic Membership Group</w:t>
            </w:r>
          </w:p>
        </w:tc>
        <w:tc>
          <w:tcPr/>
          <w:p>
            <w:pPr>
              <w:pStyle w:val="Compact"/>
            </w:pPr>
            <w:r>
              <w:t xml:space="preserve">Membership automatically managed by Entra ID based on user attribute rules (e.g., department =</w:t>
            </w:r>
            <w:r>
              <w:t xml:space="preserve"> </w:t>
            </w:r>
            <w:r>
              <w:t xml:space="preserve">“Finance”</w:t>
            </w:r>
            <w:r>
              <w:t xml:space="preserve">, jobTitle =</w:t>
            </w:r>
            <w:r>
              <w:t xml:space="preserve"> </w:t>
            </w:r>
            <w:r>
              <w:t xml:space="preserve">“Analyst”</w:t>
            </w:r>
            <w:r>
              <w:t xml:space="preserve">)</w:t>
            </w:r>
          </w:p>
        </w:tc>
        <w:tc>
          <w:tcPr/>
          <w:p>
            <w:pPr>
              <w:pStyle w:val="Compact"/>
            </w:pPr>
            <w:r>
              <w:t xml:space="preserve">Broad role-based access that aligns cleanly with maintained user attributes; large user populations with consistent attribute profiles</w:t>
            </w:r>
          </w:p>
        </w:tc>
        <w:tc>
          <w:tcPr/>
          <w:p>
            <w:pPr>
              <w:pStyle w:val="Compact"/>
            </w:pPr>
            <w:r>
              <w:t xml:space="preserve">Sensitive applications requiring individual approval of each member; when user attributes are not reliably maintained in Entra ID</w:t>
            </w:r>
          </w:p>
        </w:tc>
        <w:tc>
          <w:tcPr/>
          <w:p>
            <w:pPr>
              <w:pStyle w:val="Compact"/>
            </w:pPr>
            <w:r>
              <w:t xml:space="preserve">Tier 3 preferred; Tier 2 with IGO approval;</w:t>
            </w:r>
            <w:r>
              <w:t xml:space="preserve"> </w:t>
            </w:r>
            <w:r>
              <w:rPr>
                <w:b/>
                <w:bCs/>
              </w:rPr>
              <w:t xml:space="preserve">not permitted for Tier 1</w:t>
            </w:r>
          </w:p>
        </w:tc>
      </w:tr>
      <w:tr>
        <w:tc>
          <w:tcPr/>
          <w:p>
            <w:pPr>
              <w:pStyle w:val="Compact"/>
            </w:pPr>
            <w:r>
              <w:rPr>
                <w:b/>
                <w:bCs/>
              </w:rPr>
              <w:t xml:space="preserve">Assigned Membership Group</w:t>
            </w:r>
          </w:p>
        </w:tc>
        <w:tc>
          <w:tcPr/>
          <w:p>
            <w:pPr>
              <w:pStyle w:val="Compact"/>
            </w:pPr>
            <w:r>
              <w:t xml:space="preserve">Membership manually managed by adding/removing individual users via approved RITM process</w:t>
            </w:r>
          </w:p>
        </w:tc>
        <w:tc>
          <w:tcPr/>
          <w:p>
            <w:pPr>
              <w:pStyle w:val="Compact"/>
            </w:pPr>
            <w:r>
              <w:t xml:space="preserve">All Tier 1 and Tier 2 applications; any application requiring individual approval of each access grant; applications with small or specialized user populations</w:t>
            </w:r>
          </w:p>
        </w:tc>
        <w:tc>
          <w:tcPr/>
          <w:p>
            <w:pPr>
              <w:pStyle w:val="Compact"/>
            </w:pPr>
            <w:r>
              <w:t xml:space="preserve">Very large user populations where manual management is impractical and attributes are reliable</w:t>
            </w:r>
          </w:p>
        </w:tc>
        <w:tc>
          <w:tcPr/>
          <w:p>
            <w:pPr>
              <w:pStyle w:val="Compact"/>
            </w:pPr>
            <w:r>
              <w:t xml:space="preserve">Mandatory for Tier 1; required for Tier 2; acceptable for Tier 3</w:t>
            </w:r>
          </w:p>
        </w:tc>
      </w:tr>
    </w:tbl>
    <w:p>
      <w:pPr>
        <w:pStyle w:val="BodyText"/>
      </w:pPr>
      <w:r>
        <w:rPr>
          <w:b/>
          <w:bCs/>
        </w:rPr>
        <w:t xml:space="preserve">Dynamic group attribute governance</w:t>
      </w:r>
    </w:p>
    <w:p>
      <w:pPr>
        <w:pStyle w:val="BodyText"/>
      </w:pPr>
      <w:r>
        <w:t xml:space="preserve">When dynamic groups are used, the accuracy of the membership rule is the</w:t>
      </w:r>
      <w:r>
        <w:t xml:space="preserve"> </w:t>
      </w:r>
      <w:r>
        <w:t xml:space="preserve">responsibility of the Application Owner. The Application Owner must validate that</w:t>
      </w:r>
      <w:r>
        <w:t xml:space="preserve"> </w:t>
      </w:r>
      <w:r>
        <w:t xml:space="preserve">the dynamic membership rule produces the correct user population during each</w:t>
      </w:r>
      <w:r>
        <w:t xml:space="preserve"> </w:t>
      </w:r>
      <w:r>
        <w:t xml:space="preserve">access review. Any change to a dynamic membership rule is treated as an access</w:t>
      </w:r>
      <w:r>
        <w:t xml:space="preserve"> </w:t>
      </w:r>
      <w:r>
        <w:t xml:space="preserve">governance change and requires an approved ServiceNow RITM.</w:t>
      </w:r>
    </w:p>
    <w:bookmarkEnd w:id="344"/>
    <w:bookmarkStart w:id="345" w:name="separation-of-duties-three-party-model"/>
    <w:p>
      <w:pPr>
        <w:pStyle w:val="Heading3"/>
      </w:pPr>
      <w:r>
        <w:t xml:space="preserve">Separation of duties: three-party model</w:t>
      </w:r>
    </w:p>
    <w:p>
      <w:pPr>
        <w:pStyle w:val="FirstParagraph"/>
      </w:pPr>
      <w:r>
        <w:t xml:space="preserve">To prevent unauthorized access escalation, the following Separation of Duties</w:t>
      </w:r>
      <w:r>
        <w:t xml:space="preserve"> </w:t>
      </w:r>
      <w:r>
        <w:t xml:space="preserve">(SoD) principle applies to all access groups: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Function</w:t>
            </w:r>
          </w:p>
        </w:tc>
        <w:tc>
          <w:tcPr/>
          <w:p>
            <w:pPr>
              <w:pStyle w:val="Compact"/>
            </w:pPr>
            <w:r>
              <w:t xml:space="preserve">May also serve as</w:t>
            </w:r>
          </w:p>
        </w:tc>
        <w:tc>
          <w:tcPr/>
          <w:p>
            <w:pPr>
              <w:pStyle w:val="Compact"/>
            </w:pPr>
            <w:r>
              <w:t xml:space="preserve">May NOT serve as</w:t>
            </w:r>
          </w:p>
        </w:tc>
      </w:tr>
      <w:tr>
        <w:tc>
          <w:tcPr/>
          <w:p>
            <w:pPr>
              <w:pStyle w:val="Compact"/>
            </w:pPr>
            <w:r>
              <w:rPr>
                <w:b/>
                <w:bCs/>
              </w:rPr>
              <w:t xml:space="preserve">Group Owner</w:t>
            </w:r>
          </w:p>
        </w:tc>
        <w:tc>
          <w:tcPr/>
          <w:p>
            <w:pPr>
              <w:pStyle w:val="Compact"/>
            </w:pPr>
            <w:r>
              <w:t xml:space="preserve">Accountable for accuracy of group membership; conducts access reviews</w:t>
            </w:r>
          </w:p>
        </w:tc>
        <w:tc>
          <w:tcPr/>
          <w:p>
            <w:pPr>
              <w:pStyle w:val="Compact"/>
            </w:pPr>
            <w:r>
              <w:t xml:space="preserve">Application Owner (same person acceptable)</w:t>
            </w:r>
          </w:p>
        </w:tc>
        <w:tc>
          <w:tcPr/>
          <w:p>
            <w:pPr>
              <w:pStyle w:val="Compact"/>
            </w:pPr>
            <w:r>
              <w:t xml:space="preserve">Group Creator; Help Desk Operator executing changes to this group</w:t>
            </w:r>
          </w:p>
        </w:tc>
      </w:tr>
      <w:tr>
        <w:tc>
          <w:tcPr/>
          <w:p>
            <w:pPr>
              <w:pStyle w:val="Compact"/>
            </w:pPr>
            <w:r>
              <w:rPr>
                <w:b/>
                <w:bCs/>
              </w:rPr>
              <w:t xml:space="preserve">Group Creator</w:t>
            </w:r>
          </w:p>
        </w:tc>
        <w:tc>
          <w:tcPr/>
          <w:p>
            <w:pPr>
              <w:pStyle w:val="Compact"/>
            </w:pPr>
            <w:r>
              <w:t xml:space="preserve">Creates the group in Entra ID per approved RITM; technical execution role</w:t>
            </w:r>
          </w:p>
        </w:tc>
        <w:tc>
          <w:tcPr/>
          <w:p>
            <w:pPr>
              <w:pStyle w:val="Compact"/>
            </w:pPr>
            <w:r>
              <w:t xml:space="preserve">Help Desk Operator (same person acceptable for other groups)</w:t>
            </w:r>
          </w:p>
        </w:tc>
        <w:tc>
          <w:tcPr/>
          <w:p>
            <w:pPr>
              <w:pStyle w:val="Compact"/>
            </w:pPr>
            <w:r>
              <w:t xml:space="preserve">Group Owner of groups they create; Application Owner of the associated application</w:t>
            </w:r>
          </w:p>
        </w:tc>
      </w:tr>
      <w:tr>
        <w:tc>
          <w:tcPr/>
          <w:p>
            <w:pPr>
              <w:pStyle w:val="Compact"/>
            </w:pPr>
            <w:r>
              <w:rPr>
                <w:b/>
                <w:bCs/>
              </w:rPr>
              <w:t xml:space="preserve">Application Owner</w:t>
            </w:r>
          </w:p>
        </w:tc>
        <w:tc>
          <w:tcPr/>
          <w:p>
            <w:pPr>
              <w:pStyle w:val="Compact"/>
            </w:pPr>
            <w:r>
              <w:t xml:space="preserve">Authorizes access grants; approves group assignments to the application</w:t>
            </w:r>
          </w:p>
        </w:tc>
        <w:tc>
          <w:tcPr/>
          <w:p>
            <w:pPr>
              <w:pStyle w:val="Compact"/>
            </w:pPr>
            <w:r>
              <w:t xml:space="preserve">Group Owner of the application’s access groups</w:t>
            </w:r>
          </w:p>
        </w:tc>
        <w:tc>
          <w:tcPr/>
          <w:p>
            <w:pPr>
              <w:pStyle w:val="Compact"/>
            </w:pPr>
            <w:r>
              <w:t xml:space="preserve">Help Desk Operator executing changes to their own application’s groups</w:t>
            </w:r>
          </w:p>
        </w:tc>
      </w:tr>
    </w:tbl>
    <w:bookmarkEnd w:id="345"/>
    <w:bookmarkStart w:id="346" w:name="X1c03d922577b6a4621dd3edb7f60d851ebb60ce"/>
    <w:p>
      <w:pPr>
        <w:pStyle w:val="Heading3"/>
      </w:pPr>
      <w:r>
        <w:t xml:space="preserve">Complete group governance reference table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Group type</w:t>
            </w:r>
          </w:p>
        </w:tc>
        <w:tc>
          <w:tcPr/>
          <w:p>
            <w:pPr>
              <w:pStyle w:val="Compact"/>
            </w:pPr>
            <w:r>
              <w:t xml:space="preserve">Use case</w:t>
            </w:r>
          </w:p>
        </w:tc>
        <w:tc>
          <w:tcPr/>
          <w:p>
            <w:pPr>
              <w:pStyle w:val="Compact"/>
            </w:pPr>
            <w:r>
              <w:t xml:space="preserve">Owner</w:t>
            </w:r>
          </w:p>
        </w:tc>
        <w:tc>
          <w:tcPr/>
          <w:p>
            <w:pPr>
              <w:pStyle w:val="Compact"/>
            </w:pPr>
            <w:r>
              <w:t xml:space="preserve">Review frequency</w:t>
            </w:r>
          </w:p>
        </w:tc>
        <w:tc>
          <w:tcPr/>
          <w:p>
            <w:pPr>
              <w:pStyle w:val="Compact"/>
            </w:pPr>
            <w:r>
              <w:t xml:space="preserve">Nesting allowed</w:t>
            </w:r>
          </w:p>
        </w:tc>
        <w:tc>
          <w:tcPr/>
          <w:p>
            <w:pPr>
              <w:pStyle w:val="Compact"/>
            </w:pPr>
            <w:r>
              <w:t xml:space="preserve">PIM required for changes</w:t>
            </w:r>
          </w:p>
        </w:tc>
      </w:tr>
      <w:tr>
        <w:tc>
          <w:tcPr/>
          <w:p>
            <w:pPr>
              <w:pStyle w:val="Compact"/>
            </w:pPr>
            <w:r>
              <w:t xml:space="preserve">Assigned — Tier 1 App Access</w:t>
            </w:r>
          </w:p>
        </w:tc>
        <w:tc>
          <w:tcPr/>
          <w:p>
            <w:pPr>
              <w:pStyle w:val="Compact"/>
            </w:pPr>
            <w:r>
              <w:t xml:space="preserve">Access to High Risk enterprise apps</w:t>
            </w:r>
          </w:p>
        </w:tc>
        <w:tc>
          <w:tcPr/>
          <w:p>
            <w:pPr>
              <w:pStyle w:val="Compact"/>
            </w:pPr>
            <w:r>
              <w:t xml:space="preserve">Application Owner</w:t>
            </w:r>
          </w:p>
        </w:tc>
        <w:tc>
          <w:tcPr/>
          <w:p>
            <w:pPr>
              <w:pStyle w:val="Compact"/>
            </w:pPr>
            <w:r>
              <w:t xml:space="preserve">Quarterly</w:t>
            </w:r>
          </w:p>
        </w:tc>
        <w:tc>
          <w:tcPr/>
          <w:p>
            <w:pPr>
              <w:pStyle w:val="Compact"/>
            </w:pPr>
            <w:r>
              <w:rPr>
                <w:b/>
                <w:bCs/>
              </w:rPr>
              <w:t xml:space="preserve">No</w:t>
            </w:r>
          </w:p>
        </w:tc>
        <w:tc>
          <w:tcPr/>
          <w:p>
            <w:pPr>
              <w:pStyle w:val="Compact"/>
            </w:pPr>
            <w:r>
              <w:t xml:space="preserve">Yes — always</w:t>
            </w:r>
          </w:p>
        </w:tc>
      </w:tr>
      <w:tr>
        <w:tc>
          <w:tcPr/>
          <w:p>
            <w:pPr>
              <w:pStyle w:val="Compact"/>
            </w:pPr>
            <w:r>
              <w:t xml:space="preserve">Assigned — Tier 2 App Access</w:t>
            </w:r>
          </w:p>
        </w:tc>
        <w:tc>
          <w:tcPr/>
          <w:p>
            <w:pPr>
              <w:pStyle w:val="Compact"/>
            </w:pPr>
            <w:r>
              <w:t xml:space="preserve">Access to Moderate Risk enterprise apps</w:t>
            </w:r>
          </w:p>
        </w:tc>
        <w:tc>
          <w:tcPr/>
          <w:p>
            <w:pPr>
              <w:pStyle w:val="Compact"/>
            </w:pPr>
            <w:r>
              <w:t xml:space="preserve">Application Owner</w:t>
            </w:r>
          </w:p>
        </w:tc>
        <w:tc>
          <w:tcPr/>
          <w:p>
            <w:pPr>
              <w:pStyle w:val="Compact"/>
            </w:pPr>
            <w:r>
              <w:t xml:space="preserve">Semi-annual</w:t>
            </w:r>
          </w:p>
        </w:tc>
        <w:tc>
          <w:tcPr/>
          <w:p>
            <w:pPr>
              <w:pStyle w:val="Compact"/>
            </w:pPr>
            <w:r>
              <w:rPr>
                <w:b/>
                <w:bCs/>
              </w:rPr>
              <w:t xml:space="preserve">No</w:t>
            </w:r>
          </w:p>
        </w:tc>
        <w:tc>
          <w:tcPr/>
          <w:p>
            <w:pPr>
              <w:pStyle w:val="Compact"/>
            </w:pPr>
            <w:r>
              <w:t xml:space="preserve">Yes — always</w:t>
            </w:r>
          </w:p>
        </w:tc>
      </w:tr>
      <w:tr>
        <w:tc>
          <w:tcPr/>
          <w:p>
            <w:pPr>
              <w:pStyle w:val="Compact"/>
            </w:pPr>
            <w:r>
              <w:t xml:space="preserve">Assigned — Tier 3 App Access</w:t>
            </w:r>
          </w:p>
        </w:tc>
        <w:tc>
          <w:tcPr/>
          <w:p>
            <w:pPr>
              <w:pStyle w:val="Compact"/>
            </w:pPr>
            <w:r>
              <w:t xml:space="preserve">Access to Low Risk enterprise apps</w:t>
            </w:r>
          </w:p>
        </w:tc>
        <w:tc>
          <w:tcPr/>
          <w:p>
            <w:pPr>
              <w:pStyle w:val="Compact"/>
            </w:pPr>
            <w:r>
              <w:t xml:space="preserve">Application Owner or Dept Owner</w:t>
            </w:r>
          </w:p>
        </w:tc>
        <w:tc>
          <w:tcPr/>
          <w:p>
            <w:pPr>
              <w:pStyle w:val="Compact"/>
            </w:pPr>
            <w:r>
              <w:t xml:space="preserve">Annual</w:t>
            </w:r>
          </w:p>
        </w:tc>
        <w:tc>
          <w:tcPr/>
          <w:p>
            <w:pPr>
              <w:pStyle w:val="Compact"/>
            </w:pPr>
            <w:r>
              <w:rPr>
                <w:b/>
                <w:bCs/>
              </w:rPr>
              <w:t xml:space="preserve">No</w:t>
            </w:r>
          </w:p>
        </w:tc>
        <w:tc>
          <w:tcPr/>
          <w:p>
            <w:pPr>
              <w:pStyle w:val="Compact"/>
            </w:pPr>
            <w:r>
              <w:t xml:space="preserve">Yes — always</w:t>
            </w:r>
          </w:p>
        </w:tc>
      </w:tr>
      <w:tr>
        <w:tc>
          <w:tcPr/>
          <w:p>
            <w:pPr>
              <w:pStyle w:val="Compact"/>
            </w:pPr>
            <w:r>
              <w:t xml:space="preserve">Dynamic — Tier 3 Only</w:t>
            </w:r>
          </w:p>
        </w:tc>
        <w:tc>
          <w:tcPr/>
          <w:p>
            <w:pPr>
              <w:pStyle w:val="Compact"/>
            </w:pPr>
            <w:r>
              <w:t xml:space="preserve">Broad access to low-risk tools by attribute</w:t>
            </w:r>
          </w:p>
        </w:tc>
        <w:tc>
          <w:tcPr/>
          <w:p>
            <w:pPr>
              <w:pStyle w:val="Compact"/>
            </w:pPr>
            <w:r>
              <w:t xml:space="preserve">Application Owner</w:t>
            </w:r>
          </w:p>
        </w:tc>
        <w:tc>
          <w:tcPr/>
          <w:p>
            <w:pPr>
              <w:pStyle w:val="Compact"/>
            </w:pPr>
            <w:r>
              <w:t xml:space="preserve">Annual (rule validation)</w:t>
            </w:r>
          </w:p>
        </w:tc>
        <w:tc>
          <w:tcPr/>
          <w:p>
            <w:pPr>
              <w:pStyle w:val="Compact"/>
            </w:pPr>
            <w:r>
              <w:rPr>
                <w:b/>
                <w:bCs/>
              </w:rPr>
              <w:t xml:space="preserve">No</w:t>
            </w:r>
          </w:p>
        </w:tc>
        <w:tc>
          <w:tcPr/>
          <w:p>
            <w:pPr>
              <w:pStyle w:val="Compact"/>
            </w:pPr>
            <w:r>
              <w:t xml:space="preserve">Yes — rule changes</w:t>
            </w:r>
          </w:p>
        </w:tc>
      </w:tr>
      <w:tr>
        <w:tc>
          <w:tcPr/>
          <w:p>
            <w:pPr>
              <w:pStyle w:val="Compact"/>
            </w:pPr>
            <w:r>
              <w:t xml:space="preserve">Privileged Access Group (PAG)</w:t>
            </w:r>
          </w:p>
        </w:tc>
        <w:tc>
          <w:tcPr/>
          <w:p>
            <w:pPr>
              <w:pStyle w:val="Compact"/>
            </w:pPr>
            <w:r>
              <w:t xml:space="preserve">PIM-governed elevated role access (e.g., Help Desk PAG)</w:t>
            </w:r>
          </w:p>
        </w:tc>
        <w:tc>
          <w:tcPr/>
          <w:p>
            <w:pPr>
              <w:pStyle w:val="Compact"/>
            </w:pPr>
            <w:r>
              <w:t xml:space="preserve">IGO / Privileged Role Admin</w:t>
            </w:r>
          </w:p>
        </w:tc>
        <w:tc>
          <w:tcPr/>
          <w:p>
            <w:pPr>
              <w:pStyle w:val="Compact"/>
            </w:pPr>
            <w:r>
              <w:t xml:space="preserve">Quarterly</w:t>
            </w:r>
          </w:p>
        </w:tc>
        <w:tc>
          <w:tcPr/>
          <w:p>
            <w:pPr>
              <w:pStyle w:val="Compact"/>
            </w:pPr>
            <w:r>
              <w:rPr>
                <w:b/>
                <w:bCs/>
              </w:rPr>
              <w:t xml:space="preserve">No</w:t>
            </w:r>
          </w:p>
        </w:tc>
        <w:tc>
          <w:tcPr/>
          <w:p>
            <w:pPr>
              <w:pStyle w:val="Compact"/>
            </w:pPr>
            <w:r>
              <w:t xml:space="preserve">PIM activation required</w:t>
            </w:r>
          </w:p>
        </w:tc>
      </w:tr>
    </w:tbl>
    <w:bookmarkEnd w:id="346"/>
    <w:bookmarkEnd w:id="347"/>
    <w:bookmarkStart w:id="354" w:name="admin-consent-governance"/>
    <w:p>
      <w:pPr>
        <w:pStyle w:val="Heading2"/>
      </w:pPr>
      <w:r>
        <w:t xml:space="preserve">Admin Consent governance</w:t>
      </w:r>
    </w:p>
    <w:bookmarkStart w:id="348" w:name="X4dc1f3c2c2bbdbdd8540c1dfd41963ee8a9905a"/>
    <w:p>
      <w:pPr>
        <w:pStyle w:val="Heading3"/>
      </w:pPr>
      <w:r>
        <w:t xml:space="preserve">What Admin Consent is and why it is high risk</w:t>
      </w:r>
    </w:p>
    <w:p>
      <w:pPr>
        <w:pStyle w:val="FirstParagraph"/>
      </w:pPr>
      <w:r>
        <w:t xml:space="preserve">Admin Consent is the mechanism by which an Entra ID administrator grants an</w:t>
      </w:r>
      <w:r>
        <w:t xml:space="preserve"> </w:t>
      </w:r>
      <w:r>
        <w:t xml:space="preserve">application permission to access Microsoft Graph API or other protected APIs on</w:t>
      </w:r>
      <w:r>
        <w:t xml:space="preserve"> </w:t>
      </w:r>
      <w:r>
        <w:t xml:space="preserve">behalf of the entire tenant — including all users, their data, and organizational</w:t>
      </w:r>
      <w:r>
        <w:t xml:space="preserve"> </w:t>
      </w:r>
      <w:r>
        <w:t xml:space="preserve">resources. Unlike user consent (where individual users grant an application</w:t>
      </w:r>
      <w:r>
        <w:t xml:space="preserve"> </w:t>
      </w:r>
      <w:r>
        <w:t xml:space="preserve">limited access to their own data), Admin Consent is tenant-wide and persistent.</w:t>
      </w:r>
      <w:r>
        <w:t xml:space="preserve"> </w:t>
      </w:r>
      <w:r>
        <w:t xml:space="preserve">It represents a direct expansion of what the application can do within the</w:t>
      </w:r>
      <w:r>
        <w:t xml:space="preserve"> </w:t>
      </w:r>
      <w:r>
        <w:t xml:space="preserve">agency’s Microsoft 365 environment and Entra ID tenant.</w:t>
      </w:r>
    </w:p>
    <w:p>
      <w:pPr>
        <w:pStyle w:val="BodyText"/>
      </w:pPr>
      <w:r>
        <w:t xml:space="preserve">Admin Consent is high-risk because:</w:t>
      </w:r>
    </w:p>
    <w:p>
      <w:pPr>
        <w:pStyle w:val="Compact"/>
        <w:numPr>
          <w:ilvl w:val="0"/>
          <w:numId w:val="1172"/>
        </w:numPr>
      </w:pPr>
      <w:r>
        <w:t xml:space="preserve">It grants access to organizational data at scale, potentially exposing all</w:t>
      </w:r>
      <w:r>
        <w:t xml:space="preserve"> </w:t>
      </w:r>
      <w:r>
        <w:t xml:space="preserve">users’ email, files, calendar, and directory information</w:t>
      </w:r>
    </w:p>
    <w:p>
      <w:pPr>
        <w:pStyle w:val="Compact"/>
        <w:numPr>
          <w:ilvl w:val="0"/>
          <w:numId w:val="1172"/>
        </w:numPr>
      </w:pPr>
      <w:r>
        <w:t xml:space="preserve">Application Permissions (a subset of Admin Consent grants) operate without a</w:t>
      </w:r>
      <w:r>
        <w:t xml:space="preserve"> </w:t>
      </w:r>
      <w:r>
        <w:t xml:space="preserve">user’s active session, meaning the application can access data 24/7 without</w:t>
      </w:r>
      <w:r>
        <w:t xml:space="preserve"> </w:t>
      </w:r>
      <w:r>
        <w:t xml:space="preserve">user involvement</w:t>
      </w:r>
    </w:p>
    <w:p>
      <w:pPr>
        <w:pStyle w:val="Compact"/>
        <w:numPr>
          <w:ilvl w:val="0"/>
          <w:numId w:val="1172"/>
        </w:numPr>
      </w:pPr>
      <w:r>
        <w:t xml:space="preserve">Consent grants are persistent — they do not expire and remain active until</w:t>
      </w:r>
      <w:r>
        <w:t xml:space="preserve"> </w:t>
      </w:r>
      <w:r>
        <w:t xml:space="preserve">explicitly revoked</w:t>
      </w:r>
    </w:p>
    <w:p>
      <w:pPr>
        <w:pStyle w:val="Compact"/>
        <w:numPr>
          <w:ilvl w:val="0"/>
          <w:numId w:val="1172"/>
        </w:numPr>
      </w:pPr>
      <w:r>
        <w:t xml:space="preserve">Compromised applications with Admin Consent can become vectors for large-scale</w:t>
      </w:r>
      <w:r>
        <w:t xml:space="preserve"> </w:t>
      </w:r>
      <w:r>
        <w:t xml:space="preserve">data exfiltration or ransomware delivery</w:t>
      </w:r>
    </w:p>
    <w:p>
      <w:pPr>
        <w:pStyle w:val="Compact"/>
        <w:numPr>
          <w:ilvl w:val="0"/>
          <w:numId w:val="1172"/>
        </w:numPr>
      </w:pPr>
      <w:r>
        <w:t xml:space="preserve">Consent phishing attacks specifically target the Admin Consent mechanism to</w:t>
      </w:r>
      <w:r>
        <w:t xml:space="preserve"> </w:t>
      </w:r>
      <w:r>
        <w:t xml:space="preserve">gain unauthorized access to organizational data</w:t>
      </w:r>
    </w:p>
    <w:bookmarkEnd w:id="348"/>
    <w:bookmarkStart w:id="349" w:name="X16b1e3a51b53f0563e2332b59fd8843abf2ee07"/>
    <w:p>
      <w:pPr>
        <w:pStyle w:val="Heading3"/>
      </w:pPr>
      <w:r>
        <w:t xml:space="preserve">Permission types — delegated vs. application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Permission type</w:t>
            </w:r>
          </w:p>
        </w:tc>
        <w:tc>
          <w:tcPr/>
          <w:p>
            <w:pPr>
              <w:pStyle w:val="Compact"/>
            </w:pPr>
            <w:r>
              <w:t xml:space="preserve">How it works</w:t>
            </w:r>
          </w:p>
        </w:tc>
        <w:tc>
          <w:tcPr/>
          <w:p>
            <w:pPr>
              <w:pStyle w:val="Compact"/>
            </w:pPr>
            <w:r>
              <w:t xml:space="preserve">Data access scope</w:t>
            </w:r>
          </w:p>
        </w:tc>
        <w:tc>
          <w:tcPr/>
          <w:p>
            <w:pPr>
              <w:pStyle w:val="Compact"/>
            </w:pPr>
            <w:r>
              <w:t xml:space="preserve">Risk level</w:t>
            </w:r>
          </w:p>
        </w:tc>
        <w:tc>
          <w:tcPr/>
          <w:p>
            <w:pPr>
              <w:pStyle w:val="Compact"/>
            </w:pPr>
            <w:r>
              <w:t xml:space="preserve">Consent required</w:t>
            </w:r>
          </w:p>
        </w:tc>
      </w:tr>
      <w:tr>
        <w:tc>
          <w:tcPr/>
          <w:p>
            <w:pPr>
              <w:pStyle w:val="Compact"/>
            </w:pPr>
            <w:r>
              <w:rPr>
                <w:b/>
                <w:bCs/>
              </w:rPr>
              <w:t xml:space="preserve">Delegated Permission</w:t>
            </w:r>
          </w:p>
        </w:tc>
        <w:tc>
          <w:tcPr/>
          <w:p>
            <w:pPr>
              <w:pStyle w:val="Compact"/>
            </w:pPr>
            <w:r>
              <w:t xml:space="preserve">Application acts on behalf of a signed-in user. Access is bounded by both the user’s own permissions and the granted scope. Requires a user to be actively signed in.</w:t>
            </w:r>
          </w:p>
        </w:tc>
        <w:tc>
          <w:tcPr/>
          <w:p>
            <w:pPr>
              <w:pStyle w:val="Compact"/>
            </w:pPr>
            <w:r>
              <w:t xml:space="preserve">Only data accessible to the signed-in user, within the granted scope</w:t>
            </w:r>
          </w:p>
        </w:tc>
        <w:tc>
          <w:tcPr/>
          <w:p>
            <w:pPr>
              <w:pStyle w:val="Compact"/>
            </w:pPr>
            <w:r>
              <w:rPr>
                <w:b/>
                <w:bCs/>
              </w:rPr>
              <w:t xml:space="preserve">Moderate</w:t>
            </w:r>
          </w:p>
        </w:tc>
        <w:tc>
          <w:tcPr/>
          <w:p>
            <w:pPr>
              <w:pStyle w:val="Compact"/>
            </w:pPr>
            <w:r>
              <w:t xml:space="preserve">Admin Consent or User Consent (depending on scope)</w:t>
            </w:r>
          </w:p>
        </w:tc>
      </w:tr>
      <w:tr>
        <w:tc>
          <w:tcPr/>
          <w:p>
            <w:pPr>
              <w:pStyle w:val="Compact"/>
            </w:pPr>
            <w:r>
              <w:rPr>
                <w:b/>
                <w:bCs/>
              </w:rPr>
              <w:t xml:space="preserve">Application Permission</w:t>
            </w:r>
          </w:p>
        </w:tc>
        <w:tc>
          <w:tcPr/>
          <w:p>
            <w:pPr>
              <w:pStyle w:val="Compact"/>
            </w:pPr>
            <w:r>
              <w:t xml:space="preserve">Application acts as itself — no signed-in user required. Access is not bounded by any individual user’s permissions. Application can access all data within the granted scope for all users in the tenant.</w:t>
            </w:r>
          </w:p>
        </w:tc>
        <w:tc>
          <w:tcPr/>
          <w:p>
            <w:pPr>
              <w:pStyle w:val="Compact"/>
            </w:pPr>
            <w:r>
              <w:t xml:space="preserve">All users’ data within the granted scope, tenant-wide</w:t>
            </w:r>
          </w:p>
        </w:tc>
        <w:tc>
          <w:tcPr/>
          <w:p>
            <w:pPr>
              <w:pStyle w:val="Compact"/>
            </w:pPr>
            <w:r>
              <w:rPr>
                <w:b/>
                <w:bCs/>
              </w:rPr>
              <w:t xml:space="preserve">Critical</w:t>
            </w:r>
          </w:p>
        </w:tc>
        <w:tc>
          <w:tcPr/>
          <w:p>
            <w:pPr>
              <w:pStyle w:val="Compact"/>
            </w:pPr>
            <w:r>
              <w:t xml:space="preserve">Admin Consent always required</w:t>
            </w:r>
          </w:p>
        </w:tc>
      </w:tr>
    </w:tbl>
    <w:bookmarkEnd w:id="349"/>
    <w:bookmarkStart w:id="350" w:name="permission-scope-risk-reference-table"/>
    <w:p>
      <w:pPr>
        <w:pStyle w:val="Heading3"/>
      </w:pPr>
      <w:r>
        <w:t xml:space="preserve">Permission scope risk reference table</w:t>
      </w:r>
    </w:p>
    <w:p>
      <w:pPr>
        <w:pStyle w:val="FirstParagraph"/>
      </w:pPr>
      <w:r>
        <w:t xml:space="preserve">The following table provides risk level assessments for commonly requested</w:t>
      </w:r>
      <w:r>
        <w:t xml:space="preserve"> </w:t>
      </w:r>
      <w:r>
        <w:t xml:space="preserve">Microsoft Graph API permissions. This table is used during security review</w:t>
      </w:r>
      <w:r>
        <w:t xml:space="preserve"> </w:t>
      </w:r>
      <w:r>
        <w:t xml:space="preserve">(Workflow B, Step 3) to guide least-privilege analysis. Applications requesting</w:t>
      </w:r>
      <w:r>
        <w:t xml:space="preserve"> </w:t>
      </w:r>
      <w:r>
        <w:t xml:space="preserve">permissions at or above the</w:t>
      </w:r>
      <w:r>
        <w:t xml:space="preserve"> </w:t>
      </w:r>
      <w:r>
        <w:t xml:space="preserve">“High”</w:t>
      </w:r>
      <w:r>
        <w:t xml:space="preserve"> </w:t>
      </w:r>
      <w:r>
        <w:t xml:space="preserve">risk level must provide detailed</w:t>
      </w:r>
      <w:r>
        <w:t xml:space="preserve"> </w:t>
      </w:r>
      <w:r>
        <w:t xml:space="preserve">justification.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Permission scope</w:t>
            </w:r>
          </w:p>
        </w:tc>
        <w:tc>
          <w:tcPr/>
          <w:p>
            <w:pPr>
              <w:pStyle w:val="Compact"/>
            </w:pPr>
            <w:r>
              <w:t xml:space="preserve">Type</w:t>
            </w:r>
          </w:p>
        </w:tc>
        <w:tc>
          <w:tcPr/>
          <w:p>
            <w:pPr>
              <w:pStyle w:val="Compact"/>
            </w:pPr>
            <w:r>
              <w:t xml:space="preserve">Risk level</w:t>
            </w:r>
          </w:p>
        </w:tc>
        <w:tc>
          <w:tcPr/>
          <w:p>
            <w:pPr>
              <w:pStyle w:val="Compact"/>
            </w:pPr>
            <w:r>
              <w:t xml:space="preserve">Description</w:t>
            </w:r>
          </w:p>
        </w:tc>
        <w:tc>
          <w:tcPr/>
          <w:p>
            <w:pPr>
              <w:pStyle w:val="Compact"/>
            </w:pPr>
            <w:r>
              <w:t xml:space="preserve">Approval required</w:t>
            </w:r>
          </w:p>
        </w:tc>
      </w:tr>
      <w:tr>
        <w:tc>
          <w:tcPr/>
          <w:p>
            <w:pPr>
              <w:pStyle w:val="Compact"/>
            </w:pPr>
            <w:r>
              <w:t xml:space="preserve">Mail.ReadWrite.All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users’ mail</w:t>
            </w:r>
          </w:p>
        </w:tc>
        <w:tc>
          <w:tcPr/>
          <w:p>
            <w:pPr>
              <w:pStyle w:val="Compact"/>
            </w:pPr>
            <w:r>
              <w:t xml:space="preserve">IGO + CISO dual review</w:t>
            </w:r>
          </w:p>
        </w:tc>
      </w:tr>
      <w:tr>
        <w:tc>
          <w:tcPr/>
          <w:p>
            <w:pPr>
              <w:pStyle w:val="Compact"/>
            </w:pPr>
            <w:r>
              <w:t xml:space="preserve">Mail.Send</w:t>
            </w:r>
          </w:p>
        </w:tc>
        <w:tc>
          <w:tcPr/>
          <w:p>
            <w:pPr>
              <w:pStyle w:val="Compact"/>
            </w:pPr>
            <w:r>
              <w:t xml:space="preserve">Application</w:t>
            </w:r>
          </w:p>
        </w:tc>
        <w:tc>
          <w:tcPr/>
          <w:p>
            <w:pPr>
              <w:pStyle w:val="Compact"/>
            </w:pPr>
            <w:r>
              <w:rPr>
                <w:b/>
                <w:bCs/>
              </w:rPr>
              <w:t xml:space="preserve">Critical</w:t>
            </w:r>
          </w:p>
        </w:tc>
        <w:tc>
          <w:tcPr/>
          <w:p>
            <w:pPr>
              <w:pStyle w:val="Compact"/>
            </w:pPr>
            <w:r>
              <w:t xml:space="preserve">Send mail as any user in the tenant</w:t>
            </w:r>
          </w:p>
        </w:tc>
        <w:tc>
          <w:tcPr/>
          <w:p>
            <w:pPr>
              <w:pStyle w:val="Compact"/>
            </w:pPr>
            <w:r>
              <w:t xml:space="preserve">IGO + CISO dual review</w:t>
            </w:r>
          </w:p>
        </w:tc>
      </w:tr>
      <w:tr>
        <w:tc>
          <w:tcPr/>
          <w:p>
            <w:pPr>
              <w:pStyle w:val="Compact"/>
            </w:pPr>
            <w:r>
              <w:t xml:space="preserve">Files.ReadWrite.All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files in all user OneDrives and SharePoint</w:t>
            </w:r>
          </w:p>
        </w:tc>
        <w:tc>
          <w:tcPr/>
          <w:p>
            <w:pPr>
              <w:pStyle w:val="Compact"/>
            </w:pPr>
            <w:r>
              <w:t xml:space="preserve">IGO + CISO dual review</w:t>
            </w:r>
          </w:p>
        </w:tc>
      </w:tr>
      <w:tr>
        <w:tc>
          <w:tcPr/>
          <w:p>
            <w:pPr>
              <w:pStyle w:val="Compact"/>
            </w:pPr>
            <w:r>
              <w:t xml:space="preserve">User.ReadWrite.All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user profiles in the directory</w:t>
            </w:r>
          </w:p>
        </w:tc>
        <w:tc>
          <w:tcPr/>
          <w:p>
            <w:pPr>
              <w:pStyle w:val="Compact"/>
            </w:pPr>
            <w:r>
              <w:t xml:space="preserve">IGO + CISO dual review</w:t>
            </w:r>
          </w:p>
        </w:tc>
      </w:tr>
      <w:tr>
        <w:tc>
          <w:tcPr/>
          <w:p>
            <w:pPr>
              <w:pStyle w:val="Compact"/>
            </w:pPr>
            <w:r>
              <w:t xml:space="preserve">Directory.ReadWrite.All</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directory data</w:t>
            </w:r>
          </w:p>
        </w:tc>
        <w:tc>
          <w:tcPr/>
          <w:p>
            <w:pPr>
              <w:pStyle w:val="Compact"/>
            </w:pPr>
            <w:r>
              <w:t xml:space="preserve">IGO + CISO dual review</w:t>
            </w:r>
          </w:p>
        </w:tc>
      </w:tr>
      <w:tr>
        <w:tc>
          <w:tcPr/>
          <w:p>
            <w:pPr>
              <w:pStyle w:val="Compact"/>
            </w:pPr>
            <w:r>
              <w:t xml:space="preserve">RoleManagement.ReadWrite.Directory</w:t>
            </w:r>
          </w:p>
        </w:tc>
        <w:tc>
          <w:tcPr/>
          <w:p>
            <w:pPr>
              <w:pStyle w:val="Compact"/>
            </w:pPr>
            <w:r>
              <w:t xml:space="preserve">Application</w:t>
            </w:r>
          </w:p>
        </w:tc>
        <w:tc>
          <w:tcPr/>
          <w:p>
            <w:pPr>
              <w:pStyle w:val="Compact"/>
            </w:pPr>
            <w:r>
              <w:rPr>
                <w:b/>
                <w:bCs/>
              </w:rPr>
              <w:t xml:space="preserve">Critical</w:t>
            </w:r>
          </w:p>
        </w:tc>
        <w:tc>
          <w:tcPr/>
          <w:p>
            <w:pPr>
              <w:pStyle w:val="Compact"/>
            </w:pPr>
            <w:r>
              <w:t xml:space="preserve">Read and write all role management data; can assign admin roles</w:t>
            </w:r>
          </w:p>
        </w:tc>
        <w:tc>
          <w:tcPr/>
          <w:p>
            <w:pPr>
              <w:pStyle w:val="Compact"/>
            </w:pPr>
            <w:r>
              <w:t xml:space="preserve">IGO + CISO dual review</w:t>
            </w:r>
          </w:p>
        </w:tc>
      </w:tr>
      <w:tr>
        <w:tc>
          <w:tcPr/>
          <w:p>
            <w:pPr>
              <w:pStyle w:val="Compact"/>
            </w:pPr>
            <w:r>
              <w:t xml:space="preserve">Calendars.ReadWrite</w:t>
            </w:r>
          </w:p>
        </w:tc>
        <w:tc>
          <w:tcPr/>
          <w:p>
            <w:pPr>
              <w:pStyle w:val="Compact"/>
            </w:pPr>
            <w:r>
              <w:t xml:space="preserve">Application</w:t>
            </w:r>
          </w:p>
        </w:tc>
        <w:tc>
          <w:tcPr/>
          <w:p>
            <w:pPr>
              <w:pStyle w:val="Compact"/>
            </w:pPr>
            <w:r>
              <w:rPr>
                <w:b/>
                <w:bCs/>
              </w:rPr>
              <w:t xml:space="preserve">High</w:t>
            </w:r>
          </w:p>
        </w:tc>
        <w:tc>
          <w:tcPr/>
          <w:p>
            <w:pPr>
              <w:pStyle w:val="Compact"/>
            </w:pPr>
            <w:r>
              <w:t xml:space="preserve">Read and write all calendars for all users</w:t>
            </w:r>
          </w:p>
        </w:tc>
        <w:tc>
          <w:tcPr/>
          <w:p>
            <w:pPr>
              <w:pStyle w:val="Compact"/>
            </w:pPr>
            <w:r>
              <w:t xml:space="preserve">IGO approval</w:t>
            </w:r>
          </w:p>
        </w:tc>
      </w:tr>
      <w:tr>
        <w:tc>
          <w:tcPr/>
          <w:p>
            <w:pPr>
              <w:pStyle w:val="Compact"/>
            </w:pPr>
            <w:r>
              <w:t xml:space="preserve">User.Read.All</w:t>
            </w:r>
          </w:p>
        </w:tc>
        <w:tc>
          <w:tcPr/>
          <w:p>
            <w:pPr>
              <w:pStyle w:val="Compact"/>
            </w:pPr>
            <w:r>
              <w:t xml:space="preserve">Application</w:t>
            </w:r>
          </w:p>
        </w:tc>
        <w:tc>
          <w:tcPr/>
          <w:p>
            <w:pPr>
              <w:pStyle w:val="Compact"/>
            </w:pPr>
            <w:r>
              <w:rPr>
                <w:b/>
                <w:bCs/>
              </w:rPr>
              <w:t xml:space="preserve">High</w:t>
            </w:r>
          </w:p>
        </w:tc>
        <w:tc>
          <w:tcPr/>
          <w:p>
            <w:pPr>
              <w:pStyle w:val="Compact"/>
            </w:pPr>
            <w:r>
              <w:t xml:space="preserve">Read all user profiles in the directory</w:t>
            </w:r>
          </w:p>
        </w:tc>
        <w:tc>
          <w:tcPr/>
          <w:p>
            <w:pPr>
              <w:pStyle w:val="Compact"/>
            </w:pPr>
            <w:r>
              <w:t xml:space="preserve">IGO approval</w:t>
            </w:r>
          </w:p>
        </w:tc>
      </w:tr>
      <w:tr>
        <w:tc>
          <w:tcPr/>
          <w:p>
            <w:pPr>
              <w:pStyle w:val="Compact"/>
            </w:pPr>
            <w:r>
              <w:t xml:space="preserve">Group.ReadWrite.All</w:t>
            </w:r>
          </w:p>
        </w:tc>
        <w:tc>
          <w:tcPr/>
          <w:p>
            <w:pPr>
              <w:pStyle w:val="Compact"/>
            </w:pPr>
            <w:r>
              <w:t xml:space="preserve">Application</w:t>
            </w:r>
          </w:p>
        </w:tc>
        <w:tc>
          <w:tcPr/>
          <w:p>
            <w:pPr>
              <w:pStyle w:val="Compact"/>
            </w:pPr>
            <w:r>
              <w:rPr>
                <w:b/>
                <w:bCs/>
              </w:rPr>
              <w:t xml:space="preserve">High</w:t>
            </w:r>
          </w:p>
        </w:tc>
        <w:tc>
          <w:tcPr/>
          <w:p>
            <w:pPr>
              <w:pStyle w:val="Compact"/>
            </w:pPr>
            <w:r>
              <w:t xml:space="preserve">Read and write all groups, including membership</w:t>
            </w:r>
          </w:p>
        </w:tc>
        <w:tc>
          <w:tcPr/>
          <w:p>
            <w:pPr>
              <w:pStyle w:val="Compact"/>
            </w:pPr>
            <w:r>
              <w:t xml:space="preserve">IGO approval</w:t>
            </w:r>
          </w:p>
        </w:tc>
      </w:tr>
      <w:tr>
        <w:tc>
          <w:tcPr/>
          <w:p>
            <w:pPr>
              <w:pStyle w:val="Compact"/>
            </w:pPr>
            <w:r>
              <w:t xml:space="preserve">Mail.ReadWrite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mail</w:t>
            </w:r>
          </w:p>
        </w:tc>
        <w:tc>
          <w:tcPr/>
          <w:p>
            <w:pPr>
              <w:pStyle w:val="Compact"/>
            </w:pPr>
            <w:r>
              <w:t xml:space="preserve">App Owner + IGO review</w:t>
            </w:r>
          </w:p>
        </w:tc>
      </w:tr>
      <w:tr>
        <w:tc>
          <w:tcPr/>
          <w:p>
            <w:pPr>
              <w:pStyle w:val="Compact"/>
            </w:pPr>
            <w:r>
              <w:t xml:space="preserve">Files.ReadWrite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files</w:t>
            </w:r>
          </w:p>
        </w:tc>
        <w:tc>
          <w:tcPr/>
          <w:p>
            <w:pPr>
              <w:pStyle w:val="Compact"/>
            </w:pPr>
            <w:r>
              <w:t xml:space="preserve">App Owner + IGO review</w:t>
            </w:r>
          </w:p>
        </w:tc>
      </w:tr>
      <w:tr>
        <w:tc>
          <w:tcPr/>
          <w:p>
            <w:pPr>
              <w:pStyle w:val="Compact"/>
            </w:pPr>
            <w:r>
              <w:t xml:space="preserve">Calendars.ReadWrite</w:t>
            </w:r>
          </w:p>
        </w:tc>
        <w:tc>
          <w:tcPr/>
          <w:p>
            <w:pPr>
              <w:pStyle w:val="Compact"/>
            </w:pPr>
            <w:r>
              <w:t xml:space="preserve">Delegated</w:t>
            </w:r>
          </w:p>
        </w:tc>
        <w:tc>
          <w:tcPr/>
          <w:p>
            <w:pPr>
              <w:pStyle w:val="Compact"/>
            </w:pPr>
            <w:r>
              <w:rPr>
                <w:b/>
                <w:bCs/>
              </w:rPr>
              <w:t xml:space="preserve">Moderate</w:t>
            </w:r>
          </w:p>
        </w:tc>
        <w:tc>
          <w:tcPr/>
          <w:p>
            <w:pPr>
              <w:pStyle w:val="Compact"/>
            </w:pPr>
            <w:r>
              <w:t xml:space="preserve">Read and write signed-in user’s calendars</w:t>
            </w:r>
          </w:p>
        </w:tc>
        <w:tc>
          <w:tcPr/>
          <w:p>
            <w:pPr>
              <w:pStyle w:val="Compact"/>
            </w:pPr>
            <w:r>
              <w:t xml:space="preserve">App Owner + IGO review</w:t>
            </w:r>
          </w:p>
        </w:tc>
      </w:tr>
      <w:tr>
        <w:tc>
          <w:tcPr/>
          <w:p>
            <w:pPr>
              <w:pStyle w:val="Compact"/>
            </w:pPr>
            <w:r>
              <w:t xml:space="preserve">User.Read</w:t>
            </w:r>
          </w:p>
        </w:tc>
        <w:tc>
          <w:tcPr/>
          <w:p>
            <w:pPr>
              <w:pStyle w:val="Compact"/>
            </w:pPr>
            <w:r>
              <w:t xml:space="preserve">Delegated</w:t>
            </w:r>
          </w:p>
        </w:tc>
        <w:tc>
          <w:tcPr/>
          <w:p>
            <w:pPr>
              <w:pStyle w:val="Compact"/>
            </w:pPr>
            <w:r>
              <w:rPr>
                <w:b/>
                <w:bCs/>
              </w:rPr>
              <w:t xml:space="preserve">Low</w:t>
            </w:r>
          </w:p>
        </w:tc>
        <w:tc>
          <w:tcPr/>
          <w:p>
            <w:pPr>
              <w:pStyle w:val="Compact"/>
            </w:pPr>
            <w:r>
              <w:t xml:space="preserve">Sign in and read signed-in user’s profile only</w:t>
            </w:r>
          </w:p>
        </w:tc>
        <w:tc>
          <w:tcPr/>
          <w:p>
            <w:pPr>
              <w:pStyle w:val="Compact"/>
            </w:pPr>
            <w:r>
              <w:t xml:space="preserve">App Owner approval</w:t>
            </w:r>
          </w:p>
        </w:tc>
      </w:tr>
      <w:tr>
        <w:tc>
          <w:tcPr/>
          <w:p>
            <w:pPr>
              <w:pStyle w:val="Compact"/>
            </w:pPr>
            <w:r>
              <w:t xml:space="preserve">openid</w:t>
            </w:r>
          </w:p>
        </w:tc>
        <w:tc>
          <w:tcPr/>
          <w:p>
            <w:pPr>
              <w:pStyle w:val="Compact"/>
            </w:pPr>
            <w:r>
              <w:t xml:space="preserve">Delegated</w:t>
            </w:r>
          </w:p>
        </w:tc>
        <w:tc>
          <w:tcPr/>
          <w:p>
            <w:pPr>
              <w:pStyle w:val="Compact"/>
            </w:pPr>
            <w:r>
              <w:rPr>
                <w:b/>
                <w:bCs/>
              </w:rPr>
              <w:t xml:space="preserve">Low</w:t>
            </w:r>
          </w:p>
        </w:tc>
        <w:tc>
          <w:tcPr/>
          <w:p>
            <w:pPr>
              <w:pStyle w:val="Compact"/>
            </w:pPr>
            <w:r>
              <w:t xml:space="preserve">OpenID Connect sign-in</w:t>
            </w:r>
          </w:p>
        </w:tc>
        <w:tc>
          <w:tcPr/>
          <w:p>
            <w:pPr>
              <w:pStyle w:val="Compact"/>
            </w:pPr>
            <w:r>
              <w:t xml:space="preserve">App Owner approval</w:t>
            </w:r>
          </w:p>
        </w:tc>
      </w:tr>
      <w:tr>
        <w:tc>
          <w:tcPr/>
          <w:p>
            <w:pPr>
              <w:pStyle w:val="Compact"/>
            </w:pPr>
            <w:r>
              <w:t xml:space="preserve">profile</w:t>
            </w:r>
          </w:p>
        </w:tc>
        <w:tc>
          <w:tcPr/>
          <w:p>
            <w:pPr>
              <w:pStyle w:val="Compact"/>
            </w:pPr>
            <w:r>
              <w:t xml:space="preserve">Delegated</w:t>
            </w:r>
          </w:p>
        </w:tc>
        <w:tc>
          <w:tcPr/>
          <w:p>
            <w:pPr>
              <w:pStyle w:val="Compact"/>
            </w:pPr>
            <w:r>
              <w:rPr>
                <w:b/>
                <w:bCs/>
              </w:rPr>
              <w:t xml:space="preserve">Low</w:t>
            </w:r>
          </w:p>
        </w:tc>
        <w:tc>
          <w:tcPr/>
          <w:p>
            <w:pPr>
              <w:pStyle w:val="Compact"/>
            </w:pPr>
            <w:r>
              <w:t xml:space="preserve">View users’ basic profile</w:t>
            </w:r>
          </w:p>
        </w:tc>
        <w:tc>
          <w:tcPr/>
          <w:p>
            <w:pPr>
              <w:pStyle w:val="Compact"/>
            </w:pPr>
            <w:r>
              <w:t xml:space="preserve">App Owner approval</w:t>
            </w:r>
          </w:p>
        </w:tc>
      </w:tr>
      <w:tr>
        <w:tc>
          <w:tcPr/>
          <w:p>
            <w:pPr>
              <w:pStyle w:val="Compact"/>
            </w:pPr>
            <w:r>
              <w:t xml:space="preserve">email</w:t>
            </w:r>
          </w:p>
        </w:tc>
        <w:tc>
          <w:tcPr/>
          <w:p>
            <w:pPr>
              <w:pStyle w:val="Compact"/>
            </w:pPr>
            <w:r>
              <w:t xml:space="preserve">Delegated</w:t>
            </w:r>
          </w:p>
        </w:tc>
        <w:tc>
          <w:tcPr/>
          <w:p>
            <w:pPr>
              <w:pStyle w:val="Compact"/>
            </w:pPr>
            <w:r>
              <w:rPr>
                <w:b/>
                <w:bCs/>
              </w:rPr>
              <w:t xml:space="preserve">Low</w:t>
            </w:r>
          </w:p>
        </w:tc>
        <w:tc>
          <w:tcPr/>
          <w:p>
            <w:pPr>
              <w:pStyle w:val="Compact"/>
            </w:pPr>
            <w:r>
              <w:t xml:space="preserve">View users’ email address</w:t>
            </w:r>
          </w:p>
        </w:tc>
        <w:tc>
          <w:tcPr/>
          <w:p>
            <w:pPr>
              <w:pStyle w:val="Compact"/>
            </w:pPr>
            <w:r>
              <w:t xml:space="preserve">App Owner approval</w:t>
            </w:r>
          </w:p>
        </w:tc>
      </w:tr>
      <w:tr>
        <w:tc>
          <w:tcPr/>
          <w:p>
            <w:pPr>
              <w:pStyle w:val="Compact"/>
            </w:pPr>
            <w:r>
              <w:t xml:space="preserve">offline_access</w:t>
            </w:r>
          </w:p>
        </w:tc>
        <w:tc>
          <w:tcPr/>
          <w:p>
            <w:pPr>
              <w:pStyle w:val="Compact"/>
            </w:pPr>
            <w:r>
              <w:t xml:space="preserve">Delegated</w:t>
            </w:r>
          </w:p>
        </w:tc>
        <w:tc>
          <w:tcPr/>
          <w:p>
            <w:pPr>
              <w:pStyle w:val="Compact"/>
            </w:pPr>
            <w:r>
              <w:rPr>
                <w:b/>
                <w:bCs/>
              </w:rPr>
              <w:t xml:space="preserve">Low</w:t>
            </w:r>
          </w:p>
        </w:tc>
        <w:tc>
          <w:tcPr/>
          <w:p>
            <w:pPr>
              <w:pStyle w:val="Compact"/>
            </w:pPr>
            <w:r>
              <w:t xml:space="preserve">Maintain access to data the user has given access to (refresh tokens)</w:t>
            </w:r>
          </w:p>
        </w:tc>
        <w:tc>
          <w:tcPr/>
          <w:p>
            <w:pPr>
              <w:pStyle w:val="Compact"/>
            </w:pPr>
            <w:r>
              <w:t xml:space="preserve">App Owner approval</w:t>
            </w:r>
          </w:p>
        </w:tc>
      </w:tr>
    </w:tbl>
    <w:bookmarkEnd w:id="350"/>
    <w:bookmarkStart w:id="351" w:name="consent-grant-audit-requirements"/>
    <w:p>
      <w:pPr>
        <w:pStyle w:val="Heading3"/>
      </w:pPr>
      <w:r>
        <w:t xml:space="preserve">Consent grant audit requirements</w:t>
      </w:r>
    </w:p>
    <w:p>
      <w:pPr>
        <w:pStyle w:val="FirstParagraph"/>
      </w:pPr>
      <w:r>
        <w:t xml:space="preserve">Every Admin Consent grant must be documented in the following systems:</w:t>
      </w:r>
    </w:p>
    <w:p>
      <w:pPr>
        <w:pStyle w:val="Compact"/>
        <w:numPr>
          <w:ilvl w:val="0"/>
          <w:numId w:val="1173"/>
        </w:numPr>
      </w:pPr>
      <w:r>
        <w:rPr>
          <w:b/>
          <w:bCs/>
        </w:rPr>
        <w:t xml:space="preserve">ServiceNow RITM:</w:t>
      </w:r>
      <w:r>
        <w:t xml:space="preserve"> </w:t>
      </w:r>
      <w:r>
        <w:t xml:space="preserve">The originating RITM must be closed with: consent</w:t>
      </w:r>
      <w:r>
        <w:t xml:space="preserve"> </w:t>
      </w:r>
      <w:r>
        <w:t xml:space="preserve">timestamp, grantor UPN, permission scopes granted (exact API names), and Entra</w:t>
      </w:r>
      <w:r>
        <w:t xml:space="preserve"> </w:t>
      </w:r>
      <w:r>
        <w:t xml:space="preserve">audit log event reference</w:t>
      </w:r>
    </w:p>
    <w:p>
      <w:pPr>
        <w:pStyle w:val="Compact"/>
        <w:numPr>
          <w:ilvl w:val="0"/>
          <w:numId w:val="1173"/>
        </w:numPr>
      </w:pPr>
      <w:r>
        <w:rPr>
          <w:b/>
          <w:bCs/>
        </w:rPr>
        <w:t xml:space="preserve">Entra ID audit log:</w:t>
      </w:r>
      <w:r>
        <w:t xml:space="preserve"> </w:t>
      </w:r>
      <w:r>
        <w:t xml:space="preserve">The</w:t>
      </w:r>
      <w:r>
        <w:t xml:space="preserve"> </w:t>
      </w:r>
      <w:r>
        <w:t xml:space="preserve">“Consent to application”</w:t>
      </w:r>
      <w:r>
        <w:t xml:space="preserve"> </w:t>
      </w:r>
      <w:r>
        <w:t xml:space="preserve">event is automatically</w:t>
      </w:r>
      <w:r>
        <w:t xml:space="preserve"> </w:t>
      </w:r>
      <w:r>
        <w:t xml:space="preserve">logged in Entra ID. The grantor identity, application, and permission scopes</w:t>
      </w:r>
      <w:r>
        <w:t xml:space="preserve"> </w:t>
      </w:r>
      <w:r>
        <w:t xml:space="preserve">are recorded. This log must be retained for a minimum of 90 days in Entra ID</w:t>
      </w:r>
      <w:r>
        <w:t xml:space="preserve"> </w:t>
      </w:r>
      <w:r>
        <w:t xml:space="preserve">and 1 year in the agency SIEM.</w:t>
      </w:r>
    </w:p>
    <w:p>
      <w:pPr>
        <w:pStyle w:val="Compact"/>
        <w:numPr>
          <w:ilvl w:val="0"/>
          <w:numId w:val="1173"/>
        </w:numPr>
      </w:pPr>
      <w:r>
        <w:rPr>
          <w:b/>
          <w:bCs/>
        </w:rPr>
        <w:t xml:space="preserve">Application Registry:</w:t>
      </w:r>
      <w:r>
        <w:t xml:space="preserve"> </w:t>
      </w:r>
      <w:r>
        <w:t xml:space="preserve">The Application Registry must be updated within 1</w:t>
      </w:r>
      <w:r>
        <w:t xml:space="preserve"> </w:t>
      </w:r>
      <w:r>
        <w:t xml:space="preserve">business day of consent grant to reflect current permission scopes and consent</w:t>
      </w:r>
      <w:r>
        <w:t xml:space="preserve"> </w:t>
      </w:r>
      <w:r>
        <w:t xml:space="preserve">date</w:t>
      </w:r>
    </w:p>
    <w:p>
      <w:pPr>
        <w:pStyle w:val="Compact"/>
        <w:numPr>
          <w:ilvl w:val="0"/>
          <w:numId w:val="1173"/>
        </w:numPr>
      </w:pPr>
      <w:r>
        <w:rPr>
          <w:b/>
          <w:bCs/>
        </w:rPr>
        <w:t xml:space="preserve">Consent Inventory:</w:t>
      </w:r>
      <w:r>
        <w:t xml:space="preserve"> </w:t>
      </w:r>
      <w:r>
        <w:t xml:space="preserve">The IGO office maintains a centralized Consent Inventory</w:t>
      </w:r>
      <w:r>
        <w:t xml:space="preserve"> </w:t>
      </w:r>
      <w:r>
        <w:t xml:space="preserve">as a sub-record of the Application Registry, listing all active consent grants,</w:t>
      </w:r>
      <w:r>
        <w:t xml:space="preserve"> </w:t>
      </w:r>
      <w:r>
        <w:t xml:space="preserve">their dates, and their current review status</w:t>
      </w:r>
    </w:p>
    <w:bookmarkEnd w:id="351"/>
    <w:bookmarkStart w:id="352" w:name="revoking-admin-consent"/>
    <w:p>
      <w:pPr>
        <w:pStyle w:val="Heading3"/>
      </w:pPr>
      <w:r>
        <w:t xml:space="preserve">Revoking Admin Consent</w:t>
      </w:r>
    </w:p>
    <w:p>
      <w:pPr>
        <w:pStyle w:val="FirstParagraph"/>
      </w:pPr>
      <w:r>
        <w:t xml:space="preserve">Consent revocation may be initiated by: the Application Owner (for their own</w:t>
      </w:r>
      <w:r>
        <w:t xml:space="preserve"> </w:t>
      </w:r>
      <w:r>
        <w:t xml:space="preserve">application), the IGO (for any application), the CISO (for any application), or</w:t>
      </w:r>
      <w:r>
        <w:t xml:space="preserve"> </w:t>
      </w:r>
      <w:r>
        <w:t xml:space="preserve">automatically by a triggered security alert. The procedure is as follows:</w:t>
      </w:r>
    </w:p>
    <w:p>
      <w:pPr>
        <w:pStyle w:val="Compact"/>
        <w:numPr>
          <w:ilvl w:val="0"/>
          <w:numId w:val="1174"/>
        </w:numPr>
      </w:pPr>
      <w:r>
        <w:t xml:space="preserve">Revocation request submitted via ServiceNow RITM (or IGO emergency directive</w:t>
      </w:r>
      <w:r>
        <w:t xml:space="preserve"> </w:t>
      </w:r>
      <w:r>
        <w:t xml:space="preserve">for immediate revocation)</w:t>
      </w:r>
    </w:p>
    <w:p>
      <w:pPr>
        <w:pStyle w:val="Compact"/>
        <w:numPr>
          <w:ilvl w:val="0"/>
          <w:numId w:val="1174"/>
        </w:numPr>
      </w:pPr>
      <w:r>
        <w:t xml:space="preserve">Application Owner notified of revocation and given 24 hours to respond (waived</w:t>
      </w:r>
      <w:r>
        <w:t xml:space="preserve"> </w:t>
      </w:r>
      <w:r>
        <w:t xml:space="preserve">for security-incident-driven revocations)</w:t>
      </w:r>
    </w:p>
    <w:p>
      <w:pPr>
        <w:pStyle w:val="Compact"/>
        <w:numPr>
          <w:ilvl w:val="0"/>
          <w:numId w:val="1174"/>
        </w:numPr>
      </w:pPr>
      <w:r>
        <w:t xml:space="preserve">Help Desk Operator (with PIM elevation) navigates to Entra admin center →</w:t>
      </w:r>
      <w:r>
        <w:t xml:space="preserve"> </w:t>
      </w:r>
      <w:r>
        <w:t xml:space="preserve">Applications → Enterprise Applications → [App] → Permissions and removes the</w:t>
      </w:r>
      <w:r>
        <w:t xml:space="preserve"> </w:t>
      </w:r>
      <w:r>
        <w:t xml:space="preserve">consent grant</w:t>
      </w:r>
    </w:p>
    <w:p>
      <w:pPr>
        <w:pStyle w:val="Compact"/>
        <w:numPr>
          <w:ilvl w:val="0"/>
          <w:numId w:val="1174"/>
        </w:numPr>
      </w:pPr>
      <w:r>
        <w:t xml:space="preserve">Revocation confirmed in Entra audit log and logged in ServiceNow RITM</w:t>
      </w:r>
    </w:p>
    <w:p>
      <w:pPr>
        <w:pStyle w:val="Compact"/>
        <w:numPr>
          <w:ilvl w:val="0"/>
          <w:numId w:val="1174"/>
        </w:numPr>
      </w:pPr>
      <w:r>
        <w:t xml:space="preserve">Application Registry updated to reflect revoked consent</w:t>
      </w:r>
    </w:p>
    <w:p>
      <w:pPr>
        <w:pStyle w:val="Compact"/>
        <w:numPr>
          <w:ilvl w:val="0"/>
          <w:numId w:val="1174"/>
        </w:numPr>
      </w:pPr>
      <w:r>
        <w:t xml:space="preserve">Application Owner and IGO notified of completed revocation</w:t>
      </w:r>
    </w:p>
    <w:p>
      <w:pPr>
        <w:pStyle w:val="FirstParagraph"/>
      </w:pPr>
      <w:r>
        <w:rPr>
          <w:b/>
          <w:bCs/>
        </w:rPr>
        <w:t xml:space="preserve">Revocation SLA:</w:t>
      </w:r>
      <w:r>
        <w:t xml:space="preserve"> </w:t>
      </w:r>
      <w:r>
        <w:t xml:space="preserve">Standard revocation must be completed within</w:t>
      </w:r>
      <w:r>
        <w:t xml:space="preserve"> </w:t>
      </w:r>
      <w:r>
        <w:rPr>
          <w:b/>
          <w:bCs/>
        </w:rPr>
        <w:t xml:space="preserve">1 business</w:t>
      </w:r>
      <w:r>
        <w:rPr>
          <w:b/>
          <w:bCs/>
        </w:rPr>
        <w:t xml:space="preserve"> </w:t>
      </w:r>
      <w:r>
        <w:rPr>
          <w:b/>
          <w:bCs/>
        </w:rPr>
        <w:t xml:space="preserve">day</w:t>
      </w:r>
      <w:r>
        <w:t xml:space="preserve"> </w:t>
      </w:r>
      <w:r>
        <w:t xml:space="preserve">of formal request. Security-incident-driven revocation must be completed</w:t>
      </w:r>
      <w:r>
        <w:t xml:space="preserve"> </w:t>
      </w:r>
      <w:r>
        <w:t xml:space="preserve">within</w:t>
      </w:r>
      <w:r>
        <w:t xml:space="preserve"> </w:t>
      </w:r>
      <w:r>
        <w:rPr>
          <w:b/>
          <w:bCs/>
        </w:rPr>
        <w:t xml:space="preserve">2 hours</w:t>
      </w:r>
      <w:r>
        <w:t xml:space="preserve"> </w:t>
      </w:r>
      <w:r>
        <w:t xml:space="preserve">of directive issuance.</w:t>
      </w:r>
    </w:p>
    <w:bookmarkEnd w:id="352"/>
    <w:bookmarkStart w:id="353" w:name="X4b5467bb28c7fc77eca04ae5a2b6f0f8dc8d042"/>
    <w:p>
      <w:pPr>
        <w:pStyle w:val="Heading3"/>
      </w:pPr>
      <w:r>
        <w:t xml:space="preserve">Microsoft Security notification email handling</w:t>
      </w:r>
    </w:p>
    <w:p>
      <w:pPr>
        <w:pStyle w:val="FirstParagraph"/>
      </w:pPr>
      <w:r>
        <w:t xml:space="preserve">Microsoft periodically sends security notification emails from</w:t>
      </w:r>
      <w:r>
        <w:t xml:space="preserve"> </w:t>
      </w:r>
      <w:r>
        <w:rPr>
          <w:b/>
          <w:bCs/>
        </w:rPr>
        <w:t xml:space="preserve">MSSecurity-noreply@microsoft.com</w:t>
      </w:r>
      <w:r>
        <w:t xml:space="preserve"> </w:t>
      </w:r>
      <w:r>
        <w:t xml:space="preserve">to tenant administrators. These emails may</w:t>
      </w:r>
      <w:r>
        <w:t xml:space="preserve"> </w:t>
      </w:r>
      <w:r>
        <w:t xml:space="preserve">contain information about Admin Consent grants, new Service Principal creations,</w:t>
      </w:r>
      <w:r>
        <w:t xml:space="preserve"> </w:t>
      </w:r>
      <w:r>
        <w:t xml:space="preserve">suspicious application activity, and security advisories. The following handling</w:t>
      </w:r>
      <w:r>
        <w:t xml:space="preserve"> </w:t>
      </w:r>
      <w:r>
        <w:t xml:space="preserve">procedure applies:</w:t>
      </w:r>
    </w:p>
    <w:p>
      <w:pPr>
        <w:pStyle w:val="BodyText"/>
      </w:pPr>
      <w:r>
        <w:rPr>
          <w:b/>
          <w:bCs/>
        </w:rPr>
        <w:t xml:space="preserve">Never approve based solely on email</w:t>
      </w:r>
    </w:p>
    <w:p>
      <w:pPr>
        <w:pStyle w:val="BodyText"/>
      </w:pPr>
      <w:r>
        <w:t xml:space="preserve">Microsoft Security notification emails are informational only. They must never be</w:t>
      </w:r>
      <w:r>
        <w:t xml:space="preserve"> </w:t>
      </w:r>
      <w:r>
        <w:t xml:space="preserve">the sole basis for approving or denying an Admin Consent grant or access change.</w:t>
      </w:r>
      <w:r>
        <w:t xml:space="preserve"> </w:t>
      </w:r>
      <w:r>
        <w:t xml:space="preserve">All actions must be validated independently in the Entra ID audit logs and</w:t>
      </w:r>
      <w:r>
        <w:t xml:space="preserve"> </w:t>
      </w:r>
      <w:r>
        <w:t xml:space="preserve">correlated with an open ServiceNow RITM before any administrative action is taken.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Step</w:t>
            </w:r>
          </w:p>
        </w:tc>
        <w:tc>
          <w:tcPr/>
          <w:p>
            <w:pPr>
              <w:pStyle w:val="Compact"/>
            </w:pPr>
            <w:r>
              <w:t xml:space="preserve">Action</w:t>
            </w:r>
          </w:p>
        </w:tc>
        <w:tc>
          <w:tcPr/>
          <w:p>
            <w:pPr>
              <w:pStyle w:val="Compact"/>
            </w:pPr>
            <w:r>
              <w:t xml:space="preserve">Actor</w:t>
            </w:r>
          </w:p>
        </w:tc>
        <w:tc>
          <w:tcPr/>
          <w:p>
            <w:pPr>
              <w:pStyle w:val="Compact"/>
            </w:pPr>
            <w:r>
              <w:t xml:space="preserve">Requirement</w:t>
            </w:r>
          </w:p>
        </w:tc>
      </w:tr>
      <w:tr>
        <w:tc>
          <w:tcPr/>
          <w:p>
            <w:pPr>
              <w:pStyle w:val="Compact"/>
            </w:pPr>
            <w:r>
              <w:rPr>
                <w:b/>
                <w:bCs/>
              </w:rPr>
              <w:t xml:space="preserve">1</w:t>
            </w:r>
          </w:p>
        </w:tc>
        <w:tc>
          <w:tcPr/>
          <w:p>
            <w:pPr>
              <w:pStyle w:val="Compact"/>
            </w:pPr>
            <w:r>
              <w:t xml:space="preserve">Microsoft Security notification email received at the tenant admin distribution list</w:t>
            </w:r>
          </w:p>
        </w:tc>
        <w:tc>
          <w:tcPr/>
          <w:p>
            <w:pPr>
              <w:pStyle w:val="Compact"/>
            </w:pPr>
            <w:r>
              <w:t xml:space="preserve">Help Desk Operator (first triage)</w:t>
            </w:r>
          </w:p>
        </w:tc>
        <w:tc>
          <w:tcPr/>
          <w:p>
            <w:pPr>
              <w:pStyle w:val="Compact"/>
            </w:pPr>
            <w:r>
              <w:t xml:space="preserve">All such emails must be reviewed within 4 business hours of receipt</w:t>
            </w:r>
          </w:p>
        </w:tc>
      </w:tr>
      <w:tr>
        <w:tc>
          <w:tcPr/>
          <w:p>
            <w:pPr>
              <w:pStyle w:val="Compact"/>
            </w:pPr>
            <w:r>
              <w:rPr>
                <w:b/>
                <w:bCs/>
              </w:rPr>
              <w:t xml:space="preserve">2</w:t>
            </w:r>
          </w:p>
        </w:tc>
        <w:tc>
          <w:tcPr/>
          <w:p>
            <w:pPr>
              <w:pStyle w:val="Compact"/>
            </w:pPr>
            <w:r>
              <w:t xml:space="preserve">Help Desk Operator validates the notification by cross-referencing with Entra ID audit logs. Confirms whether the described action has occurred, identifies the actor, and determines if a corresponding RITM exists.</w:t>
            </w:r>
          </w:p>
        </w:tc>
        <w:tc>
          <w:tcPr/>
          <w:p>
            <w:pPr>
              <w:pStyle w:val="Compact"/>
            </w:pPr>
            <w:r>
              <w:t xml:space="preserve">Help Desk Operator</w:t>
            </w:r>
          </w:p>
        </w:tc>
        <w:tc>
          <w:tcPr/>
          <w:p>
            <w:pPr>
              <w:pStyle w:val="Compact"/>
            </w:pPr>
            <w:r>
              <w:t xml:space="preserve">Validation in Entra audit log is mandatory before any action</w:t>
            </w:r>
          </w:p>
        </w:tc>
      </w:tr>
      <w:tr>
        <w:tc>
          <w:tcPr/>
          <w:p>
            <w:pPr>
              <w:pStyle w:val="Compact"/>
            </w:pPr>
            <w:r>
              <w:rPr>
                <w:b/>
                <w:bCs/>
              </w:rPr>
              <w:t xml:space="preserve">3</w:t>
            </w:r>
          </w:p>
        </w:tc>
        <w:tc>
          <w:tcPr/>
          <w:p>
            <w:pPr>
              <w:pStyle w:val="Compact"/>
            </w:pPr>
            <w:r>
              <w:t xml:space="preserve">If the audit log confirms an unauthorized or unrecognized consent grant or Service Principal creation: immediate escalation to IGO. Provisional hold placed on the application pending investigation.</w:t>
            </w:r>
          </w:p>
        </w:tc>
        <w:tc>
          <w:tcPr/>
          <w:p>
            <w:pPr>
              <w:pStyle w:val="Compact"/>
            </w:pPr>
            <w:r>
              <w:t xml:space="preserve">Help Desk Operator → IGO</w:t>
            </w:r>
          </w:p>
        </w:tc>
        <w:tc>
          <w:tcPr/>
          <w:p>
            <w:pPr>
              <w:pStyle w:val="Compact"/>
            </w:pPr>
            <w:r>
              <w:t xml:space="preserve">Escalation within 1 hour of anomaly confirmation</w:t>
            </w:r>
          </w:p>
        </w:tc>
      </w:tr>
      <w:tr>
        <w:tc>
          <w:tcPr/>
          <w:p>
            <w:pPr>
              <w:pStyle w:val="Compact"/>
            </w:pPr>
            <w:r>
              <w:rPr>
                <w:b/>
                <w:bCs/>
              </w:rPr>
              <w:t xml:space="preserve">4</w:t>
            </w:r>
          </w:p>
        </w:tc>
        <w:tc>
          <w:tcPr/>
          <w:p>
            <w:pPr>
              <w:pStyle w:val="Compact"/>
            </w:pPr>
            <w:r>
              <w:t xml:space="preserve">If the audit log confirms the action matches an open, approved RITM: notification acknowledged and logged in the RITM. No further action required.</w:t>
            </w:r>
          </w:p>
        </w:tc>
        <w:tc>
          <w:tcPr/>
          <w:p>
            <w:pPr>
              <w:pStyle w:val="Compact"/>
            </w:pPr>
            <w:r>
              <w:t xml:space="preserve">Help Desk Operator</w:t>
            </w:r>
          </w:p>
        </w:tc>
        <w:tc>
          <w:tcPr/>
          <w:p>
            <w:pPr>
              <w:pStyle w:val="Compact"/>
            </w:pPr>
            <w:r>
              <w:t xml:space="preserve">RITM cross-reference documentation required</w:t>
            </w:r>
          </w:p>
        </w:tc>
      </w:tr>
      <w:tr>
        <w:tc>
          <w:tcPr/>
          <w:p>
            <w:pPr>
              <w:pStyle w:val="Compact"/>
            </w:pPr>
            <w:r>
              <w:rPr>
                <w:b/>
                <w:bCs/>
              </w:rPr>
              <w:t xml:space="preserve">5</w:t>
            </w:r>
          </w:p>
        </w:tc>
        <w:tc>
          <w:tcPr/>
          <w:p>
            <w:pPr>
              <w:pStyle w:val="Compact"/>
            </w:pPr>
            <w:r>
              <w:t xml:space="preserve">If the notification is a general advisory (no specific action required): forwarded to IGO for awareness. Logged in IGO advisory log.</w:t>
            </w:r>
          </w:p>
        </w:tc>
        <w:tc>
          <w:tcPr/>
          <w:p>
            <w:pPr>
              <w:pStyle w:val="Compact"/>
            </w:pPr>
            <w:r>
              <w:t xml:space="preserve">Help Desk Operator → IGO</w:t>
            </w:r>
          </w:p>
        </w:tc>
        <w:tc>
          <w:tcPr/>
          <w:p>
            <w:pPr>
              <w:pStyle w:val="Compact"/>
            </w:pPr>
            <w:r>
              <w:t xml:space="preserve">All advisories logged; IGO determines if policy action is needed</w:t>
            </w:r>
          </w:p>
        </w:tc>
      </w:tr>
    </w:tbl>
    <w:bookmarkEnd w:id="353"/>
    <w:bookmarkEnd w:id="354"/>
    <w:bookmarkStart w:id="360" w:name="servicenow-integration-model"/>
    <w:p>
      <w:pPr>
        <w:pStyle w:val="Heading2"/>
      </w:pPr>
      <w:r>
        <w:t xml:space="preserve">ServiceNow integration model</w:t>
      </w:r>
    </w:p>
    <w:bookmarkStart w:id="355" w:name="servicenow-as-system-of-record"/>
    <w:p>
      <w:pPr>
        <w:pStyle w:val="Heading3"/>
      </w:pPr>
      <w:r>
        <w:t xml:space="preserve">ServiceNow as system of record</w:t>
      </w:r>
    </w:p>
    <w:p>
      <w:pPr>
        <w:pStyle w:val="FirstParagraph"/>
      </w:pPr>
      <w:r>
        <w:t xml:space="preserve">ServiceNow is the authoritative system of record for all access governance</w:t>
      </w:r>
      <w:r>
        <w:t xml:space="preserve"> </w:t>
      </w:r>
      <w:r>
        <w:t xml:space="preserve">actions within this model. Every access request, Admin Consent approval, group</w:t>
      </w:r>
      <w:r>
        <w:t xml:space="preserve"> </w:t>
      </w:r>
      <w:r>
        <w:t xml:space="preserve">assignment, access review finding, and exception must be initiated, tracked,</w:t>
      </w:r>
      <w:r>
        <w:t xml:space="preserve"> </w:t>
      </w:r>
      <w:r>
        <w:t xml:space="preserve">approved, executed, and closed through a ServiceNow RITM or associated workflow</w:t>
      </w:r>
      <w:r>
        <w:t xml:space="preserve"> </w:t>
      </w:r>
      <w:r>
        <w:t xml:space="preserve">task. No action in Entra ID is considered properly governed without a</w:t>
      </w:r>
      <w:r>
        <w:t xml:space="preserve"> </w:t>
      </w:r>
      <w:r>
        <w:t xml:space="preserve">corresponding, closed ServiceNow record.</w:t>
      </w:r>
    </w:p>
    <w:p>
      <w:pPr>
        <w:pStyle w:val="BodyText"/>
      </w:pPr>
      <w:r>
        <w:t xml:space="preserve">This requirement serves two critical governance functions:</w:t>
      </w:r>
    </w:p>
    <w:p>
      <w:pPr>
        <w:pStyle w:val="Compact"/>
        <w:numPr>
          <w:ilvl w:val="0"/>
          <w:numId w:val="1175"/>
        </w:numPr>
      </w:pPr>
      <w:r>
        <w:rPr>
          <w:b/>
          <w:bCs/>
        </w:rPr>
        <w:t xml:space="preserve">Auditability:</w:t>
      </w:r>
      <w:r>
        <w:t xml:space="preserve"> </w:t>
      </w:r>
      <w:r>
        <w:t xml:space="preserve">ServiceNow provides a persistent, timestamped record of every</w:t>
      </w:r>
      <w:r>
        <w:t xml:space="preserve"> </w:t>
      </w:r>
      <w:r>
        <w:t xml:space="preserve">governance decision and action, independent of the Entra ID audit log (which has</w:t>
      </w:r>
      <w:r>
        <w:t xml:space="preserve"> </w:t>
      </w:r>
      <w:r>
        <w:t xml:space="preserve">limited native retention)</w:t>
      </w:r>
    </w:p>
    <w:p>
      <w:pPr>
        <w:pStyle w:val="Compact"/>
        <w:numPr>
          <w:ilvl w:val="0"/>
          <w:numId w:val="1175"/>
        </w:numPr>
      </w:pPr>
      <w:r>
        <w:rPr>
          <w:b/>
          <w:bCs/>
        </w:rPr>
        <w:t xml:space="preserve">Workflow enforcement:</w:t>
      </w:r>
      <w:r>
        <w:t xml:space="preserve"> </w:t>
      </w:r>
      <w:r>
        <w:t xml:space="preserve">ServiceNow enforces the approval chains, SLAs, and</w:t>
      </w:r>
      <w:r>
        <w:t xml:space="preserve"> </w:t>
      </w:r>
      <w:r>
        <w:t xml:space="preserve">escalation paths defined in this model, ensuring that no access change bypasses</w:t>
      </w:r>
      <w:r>
        <w:t xml:space="preserve"> </w:t>
      </w:r>
      <w:r>
        <w:t xml:space="preserve">the required approvals</w:t>
      </w:r>
    </w:p>
    <w:bookmarkEnd w:id="355"/>
    <w:bookmarkStart w:id="356" w:name="Xffc5ed0cda8d863d6b16a841370b6ee5d56e922"/>
    <w:p>
      <w:pPr>
        <w:pStyle w:val="Heading3"/>
      </w:pPr>
      <w:r>
        <w:t xml:space="preserve">ServiceNow catalog items and request types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Request type</w:t>
            </w:r>
          </w:p>
        </w:tc>
        <w:tc>
          <w:tcPr/>
          <w:p>
            <w:pPr>
              <w:pStyle w:val="Compact"/>
            </w:pPr>
            <w:r>
              <w:t xml:space="preserve">ServiceNow catalog item name</w:t>
            </w:r>
          </w:p>
        </w:tc>
        <w:tc>
          <w:tcPr/>
          <w:p>
            <w:pPr>
              <w:pStyle w:val="Compact"/>
            </w:pPr>
            <w:r>
              <w:t xml:space="preserve">Approval chain</w:t>
            </w:r>
          </w:p>
        </w:tc>
        <w:tc>
          <w:tcPr/>
          <w:p>
            <w:pPr>
              <w:pStyle w:val="Compact"/>
            </w:pPr>
            <w:r>
              <w:t xml:space="preserve">SLA</w:t>
            </w:r>
          </w:p>
        </w:tc>
        <w:tc>
          <w:tcPr/>
          <w:p>
            <w:pPr>
              <w:pStyle w:val="Compact"/>
            </w:pPr>
            <w:r>
              <w:t xml:space="preserve">Risk Tier routing</w:t>
            </w:r>
          </w:p>
        </w:tc>
      </w:tr>
      <w:tr>
        <w:tc>
          <w:tcPr/>
          <w:p>
            <w:pPr>
              <w:pStyle w:val="Compact"/>
            </w:pPr>
            <w:r>
              <w:t xml:space="preserve">Standard Application Access Request</w:t>
            </w:r>
          </w:p>
        </w:tc>
        <w:tc>
          <w:tcPr/>
          <w:p>
            <w:pPr>
              <w:pStyle w:val="Compact"/>
            </w:pPr>
            <w:r>
              <w:t xml:space="preserve">Enterprise App Access Request</w:t>
            </w:r>
          </w:p>
        </w:tc>
        <w:tc>
          <w:tcPr/>
          <w:p>
            <w:pPr>
              <w:pStyle w:val="Compact"/>
            </w:pPr>
            <w:r>
              <w:t xml:space="preserve">Dept Owner → App Owner → Help Desk Execution</w:t>
            </w:r>
          </w:p>
        </w:tc>
        <w:tc>
          <w:tcPr/>
          <w:p>
            <w:pPr>
              <w:pStyle w:val="Compact"/>
            </w:pPr>
            <w:r>
              <w:t xml:space="preserve">3 business days</w:t>
            </w:r>
          </w:p>
        </w:tc>
        <w:tc>
          <w:tcPr/>
          <w:p>
            <w:pPr>
              <w:pStyle w:val="Compact"/>
            </w:pPr>
            <w:r>
              <w:t xml:space="preserve">All tiers; Tier 1 adds IGO notification step</w:t>
            </w:r>
          </w:p>
        </w:tc>
      </w:tr>
      <w:tr>
        <w:tc>
          <w:tcPr/>
          <w:p>
            <w:pPr>
              <w:pStyle w:val="Compact"/>
            </w:pPr>
            <w:r>
              <w:t xml:space="preserve">Admin Consent Request (Tier 1)</w:t>
            </w:r>
          </w:p>
        </w:tc>
        <w:tc>
          <w:tcPr/>
          <w:p>
            <w:pPr>
              <w:pStyle w:val="Compact"/>
            </w:pPr>
            <w:r>
              <w:t xml:space="preserve">Admin Consent Grant Request — High Risk</w:t>
            </w:r>
          </w:p>
        </w:tc>
        <w:tc>
          <w:tcPr/>
          <w:p>
            <w:pPr>
              <w:pStyle w:val="Compact"/>
            </w:pPr>
            <w:r>
              <w:t xml:space="preserve">App Owner → Security Review → IGO → CISO Notification → Help Desk Execution</w:t>
            </w:r>
          </w:p>
        </w:tc>
        <w:tc>
          <w:tcPr/>
          <w:p>
            <w:pPr>
              <w:pStyle w:val="Compact"/>
            </w:pPr>
            <w:r>
              <w:t xml:space="preserve">5 business days</w:t>
            </w:r>
          </w:p>
        </w:tc>
        <w:tc>
          <w:tcPr/>
          <w:p>
            <w:pPr>
              <w:pStyle w:val="Compact"/>
            </w:pPr>
            <w:r>
              <w:t xml:space="preserve">Tier 1 only; auto-routed for Application Permission type</w:t>
            </w:r>
          </w:p>
        </w:tc>
      </w:tr>
      <w:tr>
        <w:tc>
          <w:tcPr/>
          <w:p>
            <w:pPr>
              <w:pStyle w:val="Compact"/>
            </w:pPr>
            <w:r>
              <w:t xml:space="preserve">Admin Consent Request (Tier 2)</w:t>
            </w:r>
          </w:p>
        </w:tc>
        <w:tc>
          <w:tcPr/>
          <w:p>
            <w:pPr>
              <w:pStyle w:val="Compact"/>
            </w:pPr>
            <w:r>
              <w:t xml:space="preserve">Admin Consent Grant Request — Moderate Risk</w:t>
            </w:r>
          </w:p>
        </w:tc>
        <w:tc>
          <w:tcPr/>
          <w:p>
            <w:pPr>
              <w:pStyle w:val="Compact"/>
            </w:pPr>
            <w:r>
              <w:t xml:space="preserve">App Owner → Security Review → App Owner Confirm → IGO Review → Help Desk Execution</w:t>
            </w:r>
          </w:p>
        </w:tc>
        <w:tc>
          <w:tcPr/>
          <w:p>
            <w:pPr>
              <w:pStyle w:val="Compact"/>
            </w:pPr>
            <w:r>
              <w:t xml:space="preserve">5 business days</w:t>
            </w:r>
          </w:p>
        </w:tc>
        <w:tc>
          <w:tcPr/>
          <w:p>
            <w:pPr>
              <w:pStyle w:val="Compact"/>
            </w:pPr>
            <w:r>
              <w:t xml:space="preserve">Tier 2 only</w:t>
            </w:r>
          </w:p>
        </w:tc>
      </w:tr>
      <w:tr>
        <w:tc>
          <w:tcPr/>
          <w:p>
            <w:pPr>
              <w:pStyle w:val="Compact"/>
            </w:pPr>
            <w:r>
              <w:t xml:space="preserve">Admin Consent Request (Tier 3)</w:t>
            </w:r>
          </w:p>
        </w:tc>
        <w:tc>
          <w:tcPr/>
          <w:p>
            <w:pPr>
              <w:pStyle w:val="Compact"/>
            </w:pPr>
            <w:r>
              <w:t xml:space="preserve">Admin Consent Grant Request — Low Risk</w:t>
            </w:r>
          </w:p>
        </w:tc>
        <w:tc>
          <w:tcPr/>
          <w:p>
            <w:pPr>
              <w:pStyle w:val="Compact"/>
            </w:pPr>
            <w:r>
              <w:t xml:space="preserve">App Owner → Security Review → App Owner Approval → IGO Notification → Help Desk Execution</w:t>
            </w:r>
          </w:p>
        </w:tc>
        <w:tc>
          <w:tcPr/>
          <w:p>
            <w:pPr>
              <w:pStyle w:val="Compact"/>
            </w:pPr>
            <w:r>
              <w:t xml:space="preserve">3 business days</w:t>
            </w:r>
          </w:p>
        </w:tc>
        <w:tc>
          <w:tcPr/>
          <w:p>
            <w:pPr>
              <w:pStyle w:val="Compact"/>
            </w:pPr>
            <w:r>
              <w:t xml:space="preserve">Tier 3 only</w:t>
            </w:r>
          </w:p>
        </w:tc>
      </w:tr>
      <w:tr>
        <w:tc>
          <w:tcPr/>
          <w:p>
            <w:pPr>
              <w:pStyle w:val="Compact"/>
            </w:pPr>
            <w:r>
              <w:t xml:space="preserve">Admin Consent Revocation</w:t>
            </w:r>
          </w:p>
        </w:tc>
        <w:tc>
          <w:tcPr/>
          <w:p>
            <w:pPr>
              <w:pStyle w:val="Compact"/>
            </w:pPr>
            <w:r>
              <w:t xml:space="preserve">Admin Consent Revocation Request</w:t>
            </w:r>
          </w:p>
        </w:tc>
        <w:tc>
          <w:tcPr/>
          <w:p>
            <w:pPr>
              <w:pStyle w:val="Compact"/>
            </w:pPr>
            <w:r>
              <w:t xml:space="preserve">Requestor → App Owner Notification → IGO Authorization → Help Desk Execution</w:t>
            </w:r>
          </w:p>
        </w:tc>
        <w:tc>
          <w:tcPr/>
          <w:p>
            <w:pPr>
              <w:pStyle w:val="Compact"/>
            </w:pPr>
            <w:r>
              <w:t xml:space="preserve">1 business day</w:t>
            </w:r>
          </w:p>
        </w:tc>
        <w:tc>
          <w:tcPr/>
          <w:p>
            <w:pPr>
              <w:pStyle w:val="Compact"/>
            </w:pPr>
            <w:r>
              <w:t xml:space="preserve">All tiers</w:t>
            </w:r>
          </w:p>
        </w:tc>
      </w:tr>
      <w:tr>
        <w:tc>
          <w:tcPr/>
          <w:p>
            <w:pPr>
              <w:pStyle w:val="Compact"/>
            </w:pPr>
            <w:r>
              <w:t xml:space="preserve">Application Owner Assignment / Transfer</w:t>
            </w:r>
          </w:p>
        </w:tc>
        <w:tc>
          <w:tcPr/>
          <w:p>
            <w:pPr>
              <w:pStyle w:val="Compact"/>
            </w:pPr>
            <w:r>
              <w:t xml:space="preserve">Application Owner Assignment</w:t>
            </w:r>
          </w:p>
        </w:tc>
        <w:tc>
          <w:tcPr/>
          <w:p>
            <w:pPr>
              <w:pStyle w:val="Compact"/>
            </w:pPr>
            <w:r>
              <w:t xml:space="preserve">Dept Owner → IGO Approval → Help Desk Execution</w:t>
            </w:r>
          </w:p>
        </w:tc>
        <w:tc>
          <w:tcPr/>
          <w:p>
            <w:pPr>
              <w:pStyle w:val="Compact"/>
            </w:pPr>
            <w:r>
              <w:t xml:space="preserve">3 business days</w:t>
            </w:r>
          </w:p>
        </w:tc>
        <w:tc>
          <w:tcPr/>
          <w:p>
            <w:pPr>
              <w:pStyle w:val="Compact"/>
            </w:pPr>
            <w:r>
              <w:t xml:space="preserve">All tiers</w:t>
            </w:r>
          </w:p>
        </w:tc>
      </w:tr>
      <w:tr>
        <w:tc>
          <w:tcPr/>
          <w:p>
            <w:pPr>
              <w:pStyle w:val="Compact"/>
            </w:pPr>
            <w:r>
              <w:t xml:space="preserve">New Application Registration</w:t>
            </w:r>
          </w:p>
        </w:tc>
        <w:tc>
          <w:tcPr/>
          <w:p>
            <w:pPr>
              <w:pStyle w:val="Compact"/>
            </w:pPr>
            <w:r>
              <w:t xml:space="preserve">Enterprise Application Registration Request</w:t>
            </w:r>
          </w:p>
        </w:tc>
        <w:tc>
          <w:tcPr/>
          <w:p>
            <w:pPr>
              <w:pStyle w:val="Compact"/>
            </w:pPr>
            <w:r>
              <w:t xml:space="preserve">App Owner → IGO Risk Classification → CISO Sign-Off (Tier 1) → Help Desk Execution</w:t>
            </w:r>
          </w:p>
        </w:tc>
        <w:tc>
          <w:tcPr/>
          <w:p>
            <w:pPr>
              <w:pStyle w:val="Compact"/>
            </w:pPr>
            <w:r>
              <w:t xml:space="preserve">5 business days (Tier 1); 3 business days (Tier 2/3)</w:t>
            </w:r>
          </w:p>
        </w:tc>
        <w:tc>
          <w:tcPr/>
          <w:p>
            <w:pPr>
              <w:pStyle w:val="Compact"/>
            </w:pPr>
            <w:r>
              <w:t xml:space="preserve">All tiers</w:t>
            </w:r>
          </w:p>
        </w:tc>
      </w:tr>
      <w:tr>
        <w:tc>
          <w:tcPr/>
          <w:p>
            <w:pPr>
              <w:pStyle w:val="Compact"/>
            </w:pPr>
            <w:r>
              <w:t xml:space="preserve">Application Decommissioning</w:t>
            </w:r>
          </w:p>
        </w:tc>
        <w:tc>
          <w:tcPr/>
          <w:p>
            <w:pPr>
              <w:pStyle w:val="Compact"/>
            </w:pPr>
            <w:r>
              <w:t xml:space="preserve">Enterprise Application Decommission Request</w:t>
            </w:r>
          </w:p>
        </w:tc>
        <w:tc>
          <w:tcPr/>
          <w:p>
            <w:pPr>
              <w:pStyle w:val="Compact"/>
            </w:pPr>
            <w:r>
              <w:t xml:space="preserve">App Owner → Dept Owner → IGO Approval → Help Desk Execution</w:t>
            </w:r>
          </w:p>
        </w:tc>
        <w:tc>
          <w:tcPr/>
          <w:p>
            <w:pPr>
              <w:pStyle w:val="Compact"/>
            </w:pPr>
            <w:r>
              <w:t xml:space="preserve">5 business days</w:t>
            </w:r>
          </w:p>
        </w:tc>
        <w:tc>
          <w:tcPr/>
          <w:p>
            <w:pPr>
              <w:pStyle w:val="Compact"/>
            </w:pPr>
            <w:r>
              <w:t xml:space="preserve">All tiers</w:t>
            </w:r>
          </w:p>
        </w:tc>
      </w:tr>
      <w:tr>
        <w:tc>
          <w:tcPr/>
          <w:p>
            <w:pPr>
              <w:pStyle w:val="Compact"/>
            </w:pPr>
            <w:r>
              <w:t xml:space="preserve">Risk Tier Reclassification</w:t>
            </w:r>
          </w:p>
        </w:tc>
        <w:tc>
          <w:tcPr/>
          <w:p>
            <w:pPr>
              <w:pStyle w:val="Compact"/>
            </w:pPr>
            <w:r>
              <w:t xml:space="preserve">Application Risk Tier Change Request</w:t>
            </w:r>
          </w:p>
        </w:tc>
        <w:tc>
          <w:tcPr/>
          <w:p>
            <w:pPr>
              <w:pStyle w:val="Compact"/>
            </w:pPr>
            <w:r>
              <w:t xml:space="preserve">App Owner → IGO Review and Approval</w:t>
            </w:r>
          </w:p>
        </w:tc>
        <w:tc>
          <w:tcPr/>
          <w:p>
            <w:pPr>
              <w:pStyle w:val="Compact"/>
            </w:pPr>
            <w:r>
              <w:t xml:space="preserve">5 business days</w:t>
            </w:r>
          </w:p>
        </w:tc>
        <w:tc>
          <w:tcPr/>
          <w:p>
            <w:pPr>
              <w:pStyle w:val="Compact"/>
            </w:pPr>
            <w:r>
              <w:t xml:space="preserve">All tiers</w:t>
            </w:r>
          </w:p>
        </w:tc>
      </w:tr>
      <w:tr>
        <w:tc>
          <w:tcPr/>
          <w:p>
            <w:pPr>
              <w:pStyle w:val="Compact"/>
            </w:pPr>
            <w:r>
              <w:t xml:space="preserve">Access Group Creation</w:t>
            </w:r>
          </w:p>
        </w:tc>
        <w:tc>
          <w:tcPr/>
          <w:p>
            <w:pPr>
              <w:pStyle w:val="Compact"/>
            </w:pPr>
            <w:r>
              <w:t xml:space="preserve">Entra ID Access Group Creation</w:t>
            </w:r>
          </w:p>
        </w:tc>
        <w:tc>
          <w:tcPr/>
          <w:p>
            <w:pPr>
              <w:pStyle w:val="Compact"/>
            </w:pPr>
            <w:r>
              <w:t xml:space="preserve">App Owner → IGO Notification → Help Desk Execution</w:t>
            </w:r>
          </w:p>
        </w:tc>
        <w:tc>
          <w:tcPr/>
          <w:p>
            <w:pPr>
              <w:pStyle w:val="Compact"/>
            </w:pPr>
            <w:r>
              <w:t xml:space="preserve">2 business days</w:t>
            </w:r>
          </w:p>
        </w:tc>
        <w:tc>
          <w:tcPr/>
          <w:p>
            <w:pPr>
              <w:pStyle w:val="Compact"/>
            </w:pPr>
            <w:r>
              <w:t xml:space="preserve">All tiers</w:t>
            </w:r>
          </w:p>
        </w:tc>
      </w:tr>
      <w:tr>
        <w:tc>
          <w:tcPr/>
          <w:p>
            <w:pPr>
              <w:pStyle w:val="Compact"/>
            </w:pPr>
            <w:r>
              <w:t xml:space="preserve">Policy Exception / Waiver Request</w:t>
            </w:r>
          </w:p>
        </w:tc>
        <w:tc>
          <w:tcPr/>
          <w:p>
            <w:pPr>
              <w:pStyle w:val="Compact"/>
            </w:pPr>
            <w:r>
              <w:t xml:space="preserve">Governance Policy Exception Request</w:t>
            </w:r>
          </w:p>
        </w:tc>
        <w:tc>
          <w:tcPr/>
          <w:p>
            <w:pPr>
              <w:pStyle w:val="Compact"/>
            </w:pPr>
            <w:r>
              <w:t xml:space="preserve">Requestor → App Owner → IGO Approval (mandatory)</w:t>
            </w:r>
          </w:p>
        </w:tc>
        <w:tc>
          <w:tcPr/>
          <w:p>
            <w:pPr>
              <w:pStyle w:val="Compact"/>
            </w:pPr>
            <w:r>
              <w:t xml:space="preserve">5 business days</w:t>
            </w:r>
          </w:p>
        </w:tc>
        <w:tc>
          <w:tcPr/>
          <w:p>
            <w:pPr>
              <w:pStyle w:val="Compact"/>
            </w:pPr>
            <w:r>
              <w:t xml:space="preserve">All tiers</w:t>
            </w:r>
          </w:p>
        </w:tc>
      </w:tr>
      <w:tr>
        <w:tc>
          <w:tcPr/>
          <w:p>
            <w:pPr>
              <w:pStyle w:val="Compact"/>
            </w:pPr>
            <w:r>
              <w:t xml:space="preserve">Emergency Access (Break-Glass)</w:t>
            </w:r>
          </w:p>
        </w:tc>
        <w:tc>
          <w:tcPr/>
          <w:p>
            <w:pPr>
              <w:pStyle w:val="Compact"/>
            </w:pPr>
            <w:r>
              <w:t xml:space="preserve">Emergency Access Activation (P1 Incident)</w:t>
            </w:r>
          </w:p>
        </w:tc>
        <w:tc>
          <w:tcPr/>
          <w:p>
            <w:pPr>
              <w:pStyle w:val="Compact"/>
            </w:pPr>
            <w:r>
              <w:t xml:space="preserve">Senior Admin (dual) → IGO and CISO Notification (automated)</w:t>
            </w:r>
          </w:p>
        </w:tc>
        <w:tc>
          <w:tcPr/>
          <w:p>
            <w:pPr>
              <w:pStyle w:val="Compact"/>
            </w:pPr>
            <w:r>
              <w:t xml:space="preserve">2 hours</w:t>
            </w:r>
          </w:p>
        </w:tc>
        <w:tc>
          <w:tcPr/>
          <w:p>
            <w:pPr>
              <w:pStyle w:val="Compact"/>
            </w:pPr>
            <w:r>
              <w:t xml:space="preserve">All tiers (emergency only)</w:t>
            </w:r>
          </w:p>
        </w:tc>
      </w:tr>
    </w:tbl>
    <w:bookmarkEnd w:id="356"/>
    <w:bookmarkStart w:id="357" w:name="Xe7c9d9943a2e869c624edb2df9a6f4b9dfdfbb7"/>
    <w:p>
      <w:pPr>
        <w:pStyle w:val="Heading3"/>
      </w:pPr>
      <w:r>
        <w:t xml:space="preserve">Mandatory ServiceNow fields for all access request RITMs</w:t>
      </w:r>
    </w:p>
    <w:p>
      <w:pPr>
        <w:pStyle w:val="FirstParagraph"/>
      </w:pPr>
      <w:r>
        <w:t xml:space="preserve">Every RITM submitted under this governance model must include the following</w:t>
      </w:r>
      <w:r>
        <w:t xml:space="preserve"> </w:t>
      </w:r>
      <w:r>
        <w:t xml:space="preserve">fields. RITMs submitted without all required fields will be returned to the</w:t>
      </w:r>
      <w:r>
        <w:t xml:space="preserve"> </w:t>
      </w:r>
      <w:r>
        <w:t xml:space="preserve">requestor before entering the approval queue.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 name</w:t>
            </w:r>
          </w:p>
        </w:tc>
        <w:tc>
          <w:tcPr/>
          <w:p>
            <w:pPr>
              <w:pStyle w:val="Compact"/>
            </w:pPr>
            <w:r>
              <w:t xml:space="preserve">Description</w:t>
            </w:r>
          </w:p>
        </w:tc>
        <w:tc>
          <w:tcPr/>
          <w:p>
            <w:pPr>
              <w:pStyle w:val="Compact"/>
            </w:pPr>
            <w:r>
              <w:t xml:space="preserve">Required for</w:t>
            </w:r>
          </w:p>
        </w:tc>
      </w:tr>
      <w:tr>
        <w:tc>
          <w:tcPr/>
          <w:p>
            <w:pPr>
              <w:pStyle w:val="Compact"/>
            </w:pPr>
            <w:r>
              <w:t xml:space="preserve">Requestor Name and UPN</w:t>
            </w:r>
          </w:p>
        </w:tc>
        <w:tc>
          <w:tcPr/>
          <w:p>
            <w:pPr>
              <w:pStyle w:val="Compact"/>
            </w:pPr>
            <w:r>
              <w:t xml:space="preserve">Full name and User Principal Name of the submitting party</w:t>
            </w:r>
          </w:p>
        </w:tc>
        <w:tc>
          <w:tcPr/>
          <w:p>
            <w:pPr>
              <w:pStyle w:val="Compact"/>
            </w:pPr>
            <w:r>
              <w:t xml:space="preserve">All RITMs</w:t>
            </w:r>
          </w:p>
        </w:tc>
      </w:tr>
      <w:tr>
        <w:tc>
          <w:tcPr/>
          <w:p>
            <w:pPr>
              <w:pStyle w:val="Compact"/>
            </w:pPr>
            <w:r>
              <w:t xml:space="preserve">Requestor Manager UPN</w:t>
            </w:r>
          </w:p>
        </w:tc>
        <w:tc>
          <w:tcPr/>
          <w:p>
            <w:pPr>
              <w:pStyle w:val="Compact"/>
            </w:pPr>
            <w:r>
              <w:t xml:space="preserve">Direct manager of the requestor (for validation)</w:t>
            </w:r>
          </w:p>
        </w:tc>
        <w:tc>
          <w:tcPr/>
          <w:p>
            <w:pPr>
              <w:pStyle w:val="Compact"/>
            </w:pPr>
            <w:r>
              <w:t xml:space="preserve">Access requests</w:t>
            </w:r>
          </w:p>
        </w:tc>
      </w:tr>
      <w:tr>
        <w:tc>
          <w:tcPr/>
          <w:p>
            <w:pPr>
              <w:pStyle w:val="Compact"/>
            </w:pPr>
            <w:r>
              <w:t xml:space="preserve">Application Name</w:t>
            </w:r>
          </w:p>
        </w:tc>
        <w:tc>
          <w:tcPr/>
          <w:p>
            <w:pPr>
              <w:pStyle w:val="Compact"/>
            </w:pPr>
            <w:r>
              <w:t xml:space="preserve">Exact display name of the Enterprise Application in Entra ID</w:t>
            </w:r>
          </w:p>
        </w:tc>
        <w:tc>
          <w:tcPr/>
          <w:p>
            <w:pPr>
              <w:pStyle w:val="Compact"/>
            </w:pPr>
            <w:r>
              <w:t xml:space="preserve">All RITMs</w:t>
            </w:r>
          </w:p>
        </w:tc>
      </w:tr>
      <w:tr>
        <w:tc>
          <w:tcPr/>
          <w:p>
            <w:pPr>
              <w:pStyle w:val="Compact"/>
            </w:pPr>
            <w:r>
              <w:t xml:space="preserve">Application (Client) ID</w:t>
            </w:r>
          </w:p>
        </w:tc>
        <w:tc>
          <w:tcPr/>
          <w:p>
            <w:pPr>
              <w:pStyle w:val="Compact"/>
            </w:pPr>
            <w:r>
              <w:t xml:space="preserve">Entra ID Application Client ID (GUID)</w:t>
            </w:r>
          </w:p>
        </w:tc>
        <w:tc>
          <w:tcPr/>
          <w:p>
            <w:pPr>
              <w:pStyle w:val="Compact"/>
            </w:pPr>
            <w:r>
              <w:t xml:space="preserve">Consent and registration RITMs</w:t>
            </w:r>
          </w:p>
        </w:tc>
      </w:tr>
      <w:tr>
        <w:tc>
          <w:tcPr/>
          <w:p>
            <w:pPr>
              <w:pStyle w:val="Compact"/>
            </w:pPr>
            <w:r>
              <w:t xml:space="preserve">Risk Tier</w:t>
            </w:r>
          </w:p>
        </w:tc>
        <w:tc>
          <w:tcPr/>
          <w:p>
            <w:pPr>
              <w:pStyle w:val="Compact"/>
            </w:pPr>
            <w:r>
              <w:t xml:space="preserve">Current Risk Tier as recorded in the Application Registry</w:t>
            </w:r>
          </w:p>
        </w:tc>
        <w:tc>
          <w:tcPr/>
          <w:p>
            <w:pPr>
              <w:pStyle w:val="Compact"/>
            </w:pPr>
            <w:r>
              <w:t xml:space="preserve">All RITMs</w:t>
            </w:r>
          </w:p>
        </w:tc>
      </w:tr>
      <w:tr>
        <w:tc>
          <w:tcPr/>
          <w:p>
            <w:pPr>
              <w:pStyle w:val="Compact"/>
            </w:pPr>
            <w:r>
              <w:t xml:space="preserve">Business Justification</w:t>
            </w:r>
          </w:p>
        </w:tc>
        <w:tc>
          <w:tcPr/>
          <w:p>
            <w:pPr>
              <w:pStyle w:val="Compact"/>
            </w:pPr>
            <w:r>
              <w:t xml:space="preserve">Clear description of the business need for the requested action (minimum 50 words)</w:t>
            </w:r>
          </w:p>
        </w:tc>
        <w:tc>
          <w:tcPr/>
          <w:p>
            <w:pPr>
              <w:pStyle w:val="Compact"/>
            </w:pPr>
            <w:r>
              <w:t xml:space="preserve">All RITMs</w:t>
            </w:r>
          </w:p>
        </w:tc>
      </w:tr>
      <w:tr>
        <w:tc>
          <w:tcPr/>
          <w:p>
            <w:pPr>
              <w:pStyle w:val="Compact"/>
            </w:pPr>
            <w:r>
              <w:t xml:space="preserve">Requested Access Group Name</w:t>
            </w:r>
          </w:p>
        </w:tc>
        <w:tc>
          <w:tcPr/>
          <w:p>
            <w:pPr>
              <w:pStyle w:val="Compact"/>
            </w:pPr>
            <w:r>
              <w:t xml:space="preserve">Full name of the Entra ID security group per naming convention</w:t>
            </w:r>
          </w:p>
        </w:tc>
        <w:tc>
          <w:tcPr/>
          <w:p>
            <w:pPr>
              <w:pStyle w:val="Compact"/>
            </w:pPr>
            <w:r>
              <w:t xml:space="preserve">Access requests</w:t>
            </w:r>
          </w:p>
        </w:tc>
      </w:tr>
      <w:tr>
        <w:tc>
          <w:tcPr/>
          <w:p>
            <w:pPr>
              <w:pStyle w:val="Compact"/>
            </w:pPr>
            <w:r>
              <w:t xml:space="preserve">Permission Scopes Requested</w:t>
            </w:r>
          </w:p>
        </w:tc>
        <w:tc>
          <w:tcPr/>
          <w:p>
            <w:pPr>
              <w:pStyle w:val="Compact"/>
            </w:pPr>
            <w:r>
              <w:t xml:space="preserve">Exact Microsoft Graph API permission names for consent requests</w:t>
            </w:r>
          </w:p>
        </w:tc>
        <w:tc>
          <w:tcPr/>
          <w:p>
            <w:pPr>
              <w:pStyle w:val="Compact"/>
            </w:pPr>
            <w:r>
              <w:t xml:space="preserve">Consent RITMs</w:t>
            </w:r>
          </w:p>
        </w:tc>
      </w:tr>
      <w:tr>
        <w:tc>
          <w:tcPr/>
          <w:p>
            <w:pPr>
              <w:pStyle w:val="Compact"/>
            </w:pPr>
            <w:r>
              <w:t xml:space="preserve">Least-Privilege Analysis</w:t>
            </w:r>
          </w:p>
        </w:tc>
        <w:tc>
          <w:tcPr/>
          <w:p>
            <w:pPr>
              <w:pStyle w:val="Compact"/>
            </w:pPr>
            <w:r>
              <w:t xml:space="preserve">Written analysis confirming requested permissions are the minimum required</w:t>
            </w:r>
          </w:p>
        </w:tc>
        <w:tc>
          <w:tcPr/>
          <w:p>
            <w:pPr>
              <w:pStyle w:val="Compact"/>
            </w:pPr>
            <w:r>
              <w:t xml:space="preserve">Consent RITMs</w:t>
            </w:r>
          </w:p>
        </w:tc>
      </w:tr>
      <w:tr>
        <w:tc>
          <w:tcPr/>
          <w:p>
            <w:pPr>
              <w:pStyle w:val="Compact"/>
            </w:pPr>
            <w:r>
              <w:t xml:space="preserve">Approval Chain Completed</w:t>
            </w:r>
          </w:p>
        </w:tc>
        <w:tc>
          <w:tcPr/>
          <w:p>
            <w:pPr>
              <w:pStyle w:val="Compact"/>
            </w:pPr>
            <w:r>
              <w:t xml:space="preserve">List of approvers, approval timestamps, and decisions</w:t>
            </w:r>
          </w:p>
        </w:tc>
        <w:tc>
          <w:tcPr/>
          <w:p>
            <w:pPr>
              <w:pStyle w:val="Compact"/>
            </w:pPr>
            <w:r>
              <w:t xml:space="preserve">All RITMs (auto-populated)</w:t>
            </w:r>
          </w:p>
        </w:tc>
      </w:tr>
      <w:tr>
        <w:tc>
          <w:tcPr/>
          <w:p>
            <w:pPr>
              <w:pStyle w:val="Compact"/>
            </w:pPr>
            <w:r>
              <w:t xml:space="preserve">Execution Log</w:t>
            </w:r>
          </w:p>
        </w:tc>
        <w:tc>
          <w:tcPr/>
          <w:p>
            <w:pPr>
              <w:pStyle w:val="Compact"/>
            </w:pPr>
            <w:r>
              <w:t xml:space="preserve">Operator UPN, action taken, timestamp, and Entra audit log reference</w:t>
            </w:r>
          </w:p>
        </w:tc>
        <w:tc>
          <w:tcPr/>
          <w:p>
            <w:pPr>
              <w:pStyle w:val="Compact"/>
            </w:pPr>
            <w:r>
              <w:t xml:space="preserve">All RITMs (Help Desk populates)</w:t>
            </w:r>
          </w:p>
        </w:tc>
      </w:tr>
      <w:tr>
        <w:tc>
          <w:tcPr/>
          <w:p>
            <w:pPr>
              <w:pStyle w:val="Compact"/>
            </w:pPr>
            <w:r>
              <w:t xml:space="preserve">Application Owner Acknowledgement</w:t>
            </w:r>
          </w:p>
        </w:tc>
        <w:tc>
          <w:tcPr/>
          <w:p>
            <w:pPr>
              <w:pStyle w:val="Compact"/>
            </w:pPr>
            <w:r>
              <w:t xml:space="preserve">Confirmation that Application Owner has reviewed and approved</w:t>
            </w:r>
          </w:p>
        </w:tc>
        <w:tc>
          <w:tcPr/>
          <w:p>
            <w:pPr>
              <w:pStyle w:val="Compact"/>
            </w:pPr>
            <w:r>
              <w:t xml:space="preserve">All approval-required RITMs</w:t>
            </w:r>
          </w:p>
        </w:tc>
      </w:tr>
    </w:tbl>
    <w:bookmarkEnd w:id="357"/>
    <w:bookmarkStart w:id="358" w:name="servicenow-sla-definitions"/>
    <w:p>
      <w:pPr>
        <w:pStyle w:val="Heading3"/>
      </w:pPr>
      <w:r>
        <w:t xml:space="preserve">ServiceNow SLA definitions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Request type</w:t>
            </w:r>
          </w:p>
        </w:tc>
        <w:tc>
          <w:tcPr/>
          <w:p>
            <w:pPr>
              <w:pStyle w:val="Compact"/>
            </w:pPr>
            <w:r>
              <w:t xml:space="preserve">SLA</w:t>
            </w:r>
          </w:p>
        </w:tc>
        <w:tc>
          <w:tcPr/>
          <w:p>
            <w:pPr>
              <w:pStyle w:val="Compact"/>
            </w:pPr>
            <w:r>
              <w:t xml:space="preserve">SLA start point</w:t>
            </w:r>
          </w:p>
        </w:tc>
        <w:tc>
          <w:tcPr/>
          <w:p>
            <w:pPr>
              <w:pStyle w:val="Compact"/>
            </w:pPr>
            <w:r>
              <w:t xml:space="preserve">Escalation on breach</w:t>
            </w:r>
          </w:p>
        </w:tc>
      </w:tr>
      <w:tr>
        <w:tc>
          <w:tcPr/>
          <w:p>
            <w:pPr>
              <w:pStyle w:val="Compact"/>
            </w:pPr>
            <w:r>
              <w:t xml:space="preserve">Standard Application Access Request</w:t>
            </w:r>
          </w:p>
        </w:tc>
        <w:tc>
          <w:tcPr/>
          <w:p>
            <w:pPr>
              <w:pStyle w:val="Compact"/>
            </w:pPr>
            <w:r>
              <w:t xml:space="preserve">3 business days</w:t>
            </w:r>
          </w:p>
        </w:tc>
        <w:tc>
          <w:tcPr/>
          <w:p>
            <w:pPr>
              <w:pStyle w:val="Compact"/>
            </w:pPr>
            <w:r>
              <w:t xml:space="preserve">RITM creation</w:t>
            </w:r>
          </w:p>
        </w:tc>
        <w:tc>
          <w:tcPr/>
          <w:p>
            <w:pPr>
              <w:pStyle w:val="Compact"/>
            </w:pPr>
            <w:r>
              <w:t xml:space="preserve">Auto-escalate to App Owner’s supervisor; IGO notified at day 4</w:t>
            </w:r>
          </w:p>
        </w:tc>
      </w:tr>
      <w:tr>
        <w:tc>
          <w:tcPr/>
          <w:p>
            <w:pPr>
              <w:pStyle w:val="Compact"/>
            </w:pPr>
            <w:r>
              <w:t xml:space="preserve">Admin Consent Request (any tier)</w:t>
            </w:r>
          </w:p>
        </w:tc>
        <w:tc>
          <w:tcPr/>
          <w:p>
            <w:pPr>
              <w:pStyle w:val="Compact"/>
            </w:pPr>
            <w:r>
              <w:t xml:space="preserve">5 business days</w:t>
            </w:r>
          </w:p>
        </w:tc>
        <w:tc>
          <w:tcPr/>
          <w:p>
            <w:pPr>
              <w:pStyle w:val="Compact"/>
            </w:pPr>
            <w:r>
              <w:t xml:space="preserve">RITM creation</w:t>
            </w:r>
          </w:p>
        </w:tc>
        <w:tc>
          <w:tcPr/>
          <w:p>
            <w:pPr>
              <w:pStyle w:val="Compact"/>
            </w:pPr>
            <w:r>
              <w:t xml:space="preserve">Auto-escalate to IGO at day 3; CISO notified at day 6</w:t>
            </w:r>
          </w:p>
        </w:tc>
      </w:tr>
      <w:tr>
        <w:tc>
          <w:tcPr/>
          <w:p>
            <w:pPr>
              <w:pStyle w:val="Compact"/>
            </w:pPr>
            <w:r>
              <w:t xml:space="preserve">Admin Consent Revocation</w:t>
            </w:r>
          </w:p>
        </w:tc>
        <w:tc>
          <w:tcPr/>
          <w:p>
            <w:pPr>
              <w:pStyle w:val="Compact"/>
            </w:pPr>
            <w:r>
              <w:t xml:space="preserve">1 business day</w:t>
            </w:r>
          </w:p>
        </w:tc>
        <w:tc>
          <w:tcPr/>
          <w:p>
            <w:pPr>
              <w:pStyle w:val="Compact"/>
            </w:pPr>
            <w:r>
              <w:t xml:space="preserve">RITM creation</w:t>
            </w:r>
          </w:p>
        </w:tc>
        <w:tc>
          <w:tcPr/>
          <w:p>
            <w:pPr>
              <w:pStyle w:val="Compact"/>
            </w:pPr>
            <w:r>
              <w:t xml:space="preserve">Auto-escalate to IGO immediately on breach</w:t>
            </w:r>
          </w:p>
        </w:tc>
      </w:tr>
      <w:tr>
        <w:tc>
          <w:tcPr/>
          <w:p>
            <w:pPr>
              <w:pStyle w:val="Compact"/>
            </w:pPr>
            <w:r>
              <w:t xml:space="preserve">Emergency Access (Break-Glass)</w:t>
            </w:r>
          </w:p>
        </w:tc>
        <w:tc>
          <w:tcPr/>
          <w:p>
            <w:pPr>
              <w:pStyle w:val="Compact"/>
            </w:pPr>
            <w:r>
              <w:t xml:space="preserve">2 hours</w:t>
            </w:r>
          </w:p>
        </w:tc>
        <w:tc>
          <w:tcPr/>
          <w:p>
            <w:pPr>
              <w:pStyle w:val="Compact"/>
            </w:pPr>
            <w:r>
              <w:t xml:space="preserve">P1 incident creation</w:t>
            </w:r>
          </w:p>
        </w:tc>
        <w:tc>
          <w:tcPr/>
          <w:p>
            <w:pPr>
              <w:pStyle w:val="Compact"/>
            </w:pPr>
            <w:r>
              <w:t xml:space="preserve">CISO paged immediately on breach</w:t>
            </w:r>
          </w:p>
        </w:tc>
      </w:tr>
      <w:tr>
        <w:tc>
          <w:tcPr/>
          <w:p>
            <w:pPr>
              <w:pStyle w:val="Compact"/>
            </w:pPr>
            <w:r>
              <w:t xml:space="preserve">Application Owner Assignment</w:t>
            </w:r>
          </w:p>
        </w:tc>
        <w:tc>
          <w:tcPr/>
          <w:p>
            <w:pPr>
              <w:pStyle w:val="Compact"/>
            </w:pPr>
            <w:r>
              <w:t xml:space="preserve">3 business days</w:t>
            </w:r>
          </w:p>
        </w:tc>
        <w:tc>
          <w:tcPr/>
          <w:p>
            <w:pPr>
              <w:pStyle w:val="Compact"/>
            </w:pPr>
            <w:r>
              <w:t xml:space="preserve">RITM creation</w:t>
            </w:r>
          </w:p>
        </w:tc>
        <w:tc>
          <w:tcPr/>
          <w:p>
            <w:pPr>
              <w:pStyle w:val="Compact"/>
            </w:pPr>
            <w:r>
              <w:t xml:space="preserve">Auto-escalate to IGO at day 4</w:t>
            </w:r>
          </w:p>
        </w:tc>
      </w:tr>
      <w:tr>
        <w:tc>
          <w:tcPr/>
          <w:p>
            <w:pPr>
              <w:pStyle w:val="Compact"/>
            </w:pPr>
            <w:r>
              <w:t xml:space="preserve">New Application Registration</w:t>
            </w:r>
          </w:p>
        </w:tc>
        <w:tc>
          <w:tcPr/>
          <w:p>
            <w:pPr>
              <w:pStyle w:val="Compact"/>
            </w:pPr>
            <w:r>
              <w:t xml:space="preserve">5 business days (Tier 1); 3 days (Tier 2/3)</w:t>
            </w:r>
          </w:p>
        </w:tc>
        <w:tc>
          <w:tcPr/>
          <w:p>
            <w:pPr>
              <w:pStyle w:val="Compact"/>
            </w:pPr>
            <w:r>
              <w:t xml:space="preserve">RITM creation</w:t>
            </w:r>
          </w:p>
        </w:tc>
        <w:tc>
          <w:tcPr/>
          <w:p>
            <w:pPr>
              <w:pStyle w:val="Compact"/>
            </w:pPr>
            <w:r>
              <w:t xml:space="preserve">Auto-escalate to IGO at SLA + 1 day</w:t>
            </w:r>
          </w:p>
        </w:tc>
      </w:tr>
      <w:tr>
        <w:tc>
          <w:tcPr/>
          <w:p>
            <w:pPr>
              <w:pStyle w:val="Compact"/>
            </w:pPr>
            <w:r>
              <w:t xml:space="preserve">Orphaned Application Resolution</w:t>
            </w:r>
          </w:p>
        </w:tc>
        <w:tc>
          <w:tcPr/>
          <w:p>
            <w:pPr>
              <w:pStyle w:val="Compact"/>
            </w:pPr>
            <w:r>
              <w:t xml:space="preserve">30 calendar days</w:t>
            </w:r>
          </w:p>
        </w:tc>
        <w:tc>
          <w:tcPr/>
          <w:p>
            <w:pPr>
              <w:pStyle w:val="Compact"/>
            </w:pPr>
            <w:r>
              <w:t xml:space="preserve">Orphan detection</w:t>
            </w:r>
          </w:p>
        </w:tc>
        <w:tc>
          <w:tcPr/>
          <w:p>
            <w:pPr>
              <w:pStyle w:val="Compact"/>
            </w:pPr>
            <w:r>
              <w:t xml:space="preserve">Application access suspended at day 31; CISO notified</w:t>
            </w:r>
          </w:p>
        </w:tc>
      </w:tr>
      <w:tr>
        <w:tc>
          <w:tcPr/>
          <w:p>
            <w:pPr>
              <w:pStyle w:val="Compact"/>
            </w:pPr>
            <w:r>
              <w:t xml:space="preserve">Post Break-Glass Incident Review</w:t>
            </w:r>
          </w:p>
        </w:tc>
        <w:tc>
          <w:tcPr/>
          <w:p>
            <w:pPr>
              <w:pStyle w:val="Compact"/>
            </w:pPr>
            <w:r>
              <w:t xml:space="preserve">24 hours</w:t>
            </w:r>
          </w:p>
        </w:tc>
        <w:tc>
          <w:tcPr/>
          <w:p>
            <w:pPr>
              <w:pStyle w:val="Compact"/>
            </w:pPr>
            <w:r>
              <w:t xml:space="preserve">Break-glass deactivation</w:t>
            </w:r>
          </w:p>
        </w:tc>
        <w:tc>
          <w:tcPr/>
          <w:p>
            <w:pPr>
              <w:pStyle w:val="Compact"/>
            </w:pPr>
            <w:r>
              <w:t xml:space="preserve">CISO escalation immediately on breach</w:t>
            </w:r>
          </w:p>
        </w:tc>
      </w:tr>
    </w:tbl>
    <w:bookmarkEnd w:id="358"/>
    <w:bookmarkStart w:id="359" w:name="automated-notifications"/>
    <w:p>
      <w:pPr>
        <w:pStyle w:val="Heading3"/>
      </w:pPr>
      <w:r>
        <w:t xml:space="preserve">Automated notifications</w:t>
      </w:r>
    </w:p>
    <w:p>
      <w:pPr>
        <w:pStyle w:val="FirstParagraph"/>
      </w:pPr>
      <w:r>
        <w:t xml:space="preserve">ServiceNow is configured to send automated email notifications at each of the</w:t>
      </w:r>
      <w:r>
        <w:t xml:space="preserve"> </w:t>
      </w:r>
      <w:r>
        <w:t xml:space="preserve">following RITM lifecycle events. Notification recipients are determined by the</w:t>
      </w:r>
      <w:r>
        <w:t xml:space="preserve"> </w:t>
      </w:r>
      <w:r>
        <w:t xml:space="preserve">RITM type and approval chain.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Notification event</w:t>
            </w:r>
          </w:p>
        </w:tc>
        <w:tc>
          <w:tcPr/>
          <w:p>
            <w:pPr>
              <w:pStyle w:val="Compact"/>
            </w:pPr>
            <w:r>
              <w:t xml:space="preserve">Recipients</w:t>
            </w:r>
          </w:p>
        </w:tc>
        <w:tc>
          <w:tcPr/>
          <w:p>
            <w:pPr>
              <w:pStyle w:val="Compact"/>
            </w:pPr>
            <w:r>
              <w:t xml:space="preserve">Trigger</w:t>
            </w:r>
          </w:p>
        </w:tc>
      </w:tr>
      <w:tr>
        <w:tc>
          <w:tcPr/>
          <w:p>
            <w:pPr>
              <w:pStyle w:val="Compact"/>
            </w:pPr>
            <w:r>
              <w:t xml:space="preserve">RITM Created</w:t>
            </w:r>
          </w:p>
        </w:tc>
        <w:tc>
          <w:tcPr/>
          <w:p>
            <w:pPr>
              <w:pStyle w:val="Compact"/>
            </w:pPr>
            <w:r>
              <w:t xml:space="preserve">Requestor, first approver in chain</w:t>
            </w:r>
          </w:p>
        </w:tc>
        <w:tc>
          <w:tcPr/>
          <w:p>
            <w:pPr>
              <w:pStyle w:val="Compact"/>
            </w:pPr>
            <w:r>
              <w:t xml:space="preserve">RITM submission</w:t>
            </w:r>
          </w:p>
        </w:tc>
      </w:tr>
      <w:tr>
        <w:tc>
          <w:tcPr/>
          <w:p>
            <w:pPr>
              <w:pStyle w:val="Compact"/>
            </w:pPr>
            <w:r>
              <w:t xml:space="preserve">Approval Requested</w:t>
            </w:r>
          </w:p>
        </w:tc>
        <w:tc>
          <w:tcPr/>
          <w:p>
            <w:pPr>
              <w:pStyle w:val="Compact"/>
            </w:pPr>
            <w:r>
              <w:t xml:space="preserve">Current approver in chain</w:t>
            </w:r>
          </w:p>
        </w:tc>
        <w:tc>
          <w:tcPr/>
          <w:p>
            <w:pPr>
              <w:pStyle w:val="Compact"/>
            </w:pPr>
            <w:r>
              <w:t xml:space="preserve">RITM routed to approver</w:t>
            </w:r>
          </w:p>
        </w:tc>
      </w:tr>
      <w:tr>
        <w:tc>
          <w:tcPr/>
          <w:p>
            <w:pPr>
              <w:pStyle w:val="Compact"/>
            </w:pPr>
            <w:r>
              <w:t xml:space="preserve">Approved — Moving to Next Step</w:t>
            </w:r>
          </w:p>
        </w:tc>
        <w:tc>
          <w:tcPr/>
          <w:p>
            <w:pPr>
              <w:pStyle w:val="Compact"/>
            </w:pPr>
            <w:r>
              <w:t xml:space="preserve">Requestor, next approver</w:t>
            </w:r>
          </w:p>
        </w:tc>
        <w:tc>
          <w:tcPr/>
          <w:p>
            <w:pPr>
              <w:pStyle w:val="Compact"/>
            </w:pPr>
            <w:r>
              <w:t xml:space="preserve">Each approval completion</w:t>
            </w:r>
          </w:p>
        </w:tc>
      </w:tr>
      <w:tr>
        <w:tc>
          <w:tcPr/>
          <w:p>
            <w:pPr>
              <w:pStyle w:val="Compact"/>
            </w:pPr>
            <w:r>
              <w:t xml:space="preserve">Denied</w:t>
            </w:r>
          </w:p>
        </w:tc>
        <w:tc>
          <w:tcPr/>
          <w:p>
            <w:pPr>
              <w:pStyle w:val="Compact"/>
            </w:pPr>
            <w:r>
              <w:t xml:space="preserve">Requestor, App Owner, IGO (Tier 1)</w:t>
            </w:r>
          </w:p>
        </w:tc>
        <w:tc>
          <w:tcPr/>
          <w:p>
            <w:pPr>
              <w:pStyle w:val="Compact"/>
            </w:pPr>
            <w:r>
              <w:t xml:space="preserve">Any denial action</w:t>
            </w:r>
          </w:p>
        </w:tc>
      </w:tr>
      <w:tr>
        <w:tc>
          <w:tcPr/>
          <w:p>
            <w:pPr>
              <w:pStyle w:val="Compact"/>
            </w:pPr>
            <w:r>
              <w:t xml:space="preserve">Assigned to Help Desk for Execution</w:t>
            </w:r>
          </w:p>
        </w:tc>
        <w:tc>
          <w:tcPr/>
          <w:p>
            <w:pPr>
              <w:pStyle w:val="Compact"/>
            </w:pPr>
            <w:r>
              <w:t xml:space="preserve">Help Desk queue, App Owner</w:t>
            </w:r>
          </w:p>
        </w:tc>
        <w:tc>
          <w:tcPr/>
          <w:p>
            <w:pPr>
              <w:pStyle w:val="Compact"/>
            </w:pPr>
            <w:r>
              <w:t xml:space="preserve">Final approval complete</w:t>
            </w:r>
          </w:p>
        </w:tc>
      </w:tr>
      <w:tr>
        <w:tc>
          <w:tcPr/>
          <w:p>
            <w:pPr>
              <w:pStyle w:val="Compact"/>
            </w:pPr>
            <w:r>
              <w:t xml:space="preserve">Access Granted / Action Completed</w:t>
            </w:r>
          </w:p>
        </w:tc>
        <w:tc>
          <w:tcPr/>
          <w:p>
            <w:pPr>
              <w:pStyle w:val="Compact"/>
            </w:pPr>
            <w:r>
              <w:t xml:space="preserve">Requestor, App Owner, Dept Owner</w:t>
            </w:r>
          </w:p>
        </w:tc>
        <w:tc>
          <w:tcPr/>
          <w:p>
            <w:pPr>
              <w:pStyle w:val="Compact"/>
            </w:pPr>
            <w:r>
              <w:t xml:space="preserve">RITM closure</w:t>
            </w:r>
          </w:p>
        </w:tc>
      </w:tr>
      <w:tr>
        <w:tc>
          <w:tcPr/>
          <w:p>
            <w:pPr>
              <w:pStyle w:val="Compact"/>
            </w:pPr>
            <w:r>
              <w:t xml:space="preserve">SLA Breach Warning (75% elapsed)</w:t>
            </w:r>
          </w:p>
        </w:tc>
        <w:tc>
          <w:tcPr/>
          <w:p>
            <w:pPr>
              <w:pStyle w:val="Compact"/>
            </w:pPr>
            <w:r>
              <w:t xml:space="preserve">Current approver, supervisor</w:t>
            </w:r>
          </w:p>
        </w:tc>
        <w:tc>
          <w:tcPr/>
          <w:p>
            <w:pPr>
              <w:pStyle w:val="Compact"/>
            </w:pPr>
            <w:r>
              <w:t xml:space="preserve">75% of SLA elapsed</w:t>
            </w:r>
          </w:p>
        </w:tc>
      </w:tr>
      <w:tr>
        <w:tc>
          <w:tcPr/>
          <w:p>
            <w:pPr>
              <w:pStyle w:val="Compact"/>
            </w:pPr>
            <w:r>
              <w:t xml:space="preserve">SLA Breach</w:t>
            </w:r>
          </w:p>
        </w:tc>
        <w:tc>
          <w:tcPr/>
          <w:p>
            <w:pPr>
              <w:pStyle w:val="Compact"/>
            </w:pPr>
            <w:r>
              <w:t xml:space="preserve">Current approver, supervisor, IGO</w:t>
            </w:r>
          </w:p>
        </w:tc>
        <w:tc>
          <w:tcPr/>
          <w:p>
            <w:pPr>
              <w:pStyle w:val="Compact"/>
            </w:pPr>
            <w:r>
              <w:t xml:space="preserve">SLA deadline passed</w:t>
            </w:r>
          </w:p>
        </w:tc>
      </w:tr>
      <w:tr>
        <w:tc>
          <w:tcPr/>
          <w:p>
            <w:pPr>
              <w:pStyle w:val="Compact"/>
            </w:pPr>
            <w:r>
              <w:t xml:space="preserve">Break-Glass Activation</w:t>
            </w:r>
          </w:p>
        </w:tc>
        <w:tc>
          <w:tcPr/>
          <w:p>
            <w:pPr>
              <w:pStyle w:val="Compact"/>
            </w:pPr>
            <w:r>
              <w:t xml:space="preserve">IGO, CISO, Security team</w:t>
            </w:r>
          </w:p>
        </w:tc>
        <w:tc>
          <w:tcPr/>
          <w:p>
            <w:pPr>
              <w:pStyle w:val="Compact"/>
            </w:pPr>
            <w:r>
              <w:t xml:space="preserve">Break-glass account sign-in</w:t>
            </w:r>
          </w:p>
        </w:tc>
      </w:tr>
    </w:tbl>
    <w:bookmarkEnd w:id="359"/>
    <w:bookmarkEnd w:id="360"/>
    <w:bookmarkStart w:id="371" w:name="audit-monitoring-and-compliance"/>
    <w:p>
      <w:pPr>
        <w:pStyle w:val="Heading2"/>
      </w:pPr>
      <w:r>
        <w:t xml:space="preserve">Audit, monitoring, and compliance</w:t>
      </w:r>
    </w:p>
    <w:bookmarkStart w:id="361" w:name="audit-log-retention-requirements"/>
    <w:p>
      <w:pPr>
        <w:pStyle w:val="Heading3"/>
      </w:pPr>
      <w:r>
        <w:t xml:space="preserve">Audit log retention requirements</w:t>
      </w:r>
    </w:p>
    <w:p>
      <w:pPr>
        <w:pStyle w:val="FirstParagraph"/>
      </w:pPr>
      <w:r>
        <w:t xml:space="preserve">All audit events generated by Entra ID in connection with enterprise application</w:t>
      </w:r>
      <w:r>
        <w:t xml:space="preserve"> </w:t>
      </w:r>
      <w:r>
        <w:t xml:space="preserve">access governance must be retained in accordance with the following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Log type</w:t>
            </w:r>
          </w:p>
        </w:tc>
        <w:tc>
          <w:tcPr/>
          <w:p>
            <w:pPr>
              <w:pStyle w:val="Compact"/>
            </w:pPr>
            <w:r>
              <w:t xml:space="preserve">Native Entra retention</w:t>
            </w:r>
          </w:p>
        </w:tc>
        <w:tc>
          <w:tcPr/>
          <w:p>
            <w:pPr>
              <w:pStyle w:val="Compact"/>
            </w:pPr>
            <w:r>
              <w:t xml:space="preserve">Required agency retention</w:t>
            </w:r>
          </w:p>
        </w:tc>
        <w:tc>
          <w:tcPr/>
          <w:p>
            <w:pPr>
              <w:pStyle w:val="Compact"/>
            </w:pPr>
            <w:r>
              <w:t xml:space="preserve">Storage target</w:t>
            </w:r>
          </w:p>
        </w:tc>
      </w:tr>
      <w:tr>
        <w:tc>
          <w:tcPr/>
          <w:p>
            <w:pPr>
              <w:pStyle w:val="Compact"/>
            </w:pPr>
            <w:r>
              <w:t xml:space="preserve">Entra ID Audit Logs (all)</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Sign-in Logs</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PIM Activation Logs</w:t>
            </w:r>
          </w:p>
        </w:tc>
        <w:tc>
          <w:tcPr/>
          <w:p>
            <w:pPr>
              <w:pStyle w:val="Compact"/>
            </w:pPr>
            <w:r>
              <w:t xml:space="preserve">30 days (free) / 90 days (P1/P2)</w:t>
            </w:r>
          </w:p>
        </w:tc>
        <w:tc>
          <w:tcPr/>
          <w:p>
            <w:pPr>
              <w:pStyle w:val="Compact"/>
            </w:pPr>
            <w:r>
              <w:t xml:space="preserve">Minimum 1 year</w:t>
            </w:r>
          </w:p>
        </w:tc>
        <w:tc>
          <w:tcPr/>
          <w:p>
            <w:pPr>
              <w:pStyle w:val="Compact"/>
            </w:pPr>
            <w:r>
              <w:t xml:space="preserve">Agency SIEM</w:t>
            </w:r>
          </w:p>
        </w:tc>
      </w:tr>
      <w:tr>
        <w:tc>
          <w:tcPr/>
          <w:p>
            <w:pPr>
              <w:pStyle w:val="Compact"/>
            </w:pPr>
            <w:r>
              <w:t xml:space="preserve">Admin Consent Grant Events</w:t>
            </w:r>
          </w:p>
        </w:tc>
        <w:tc>
          <w:tcPr/>
          <w:p>
            <w:pPr>
              <w:pStyle w:val="Compact"/>
            </w:pPr>
            <w:r>
              <w:t xml:space="preserve">90 days (P1/P2)</w:t>
            </w:r>
          </w:p>
        </w:tc>
        <w:tc>
          <w:tcPr/>
          <w:p>
            <w:pPr>
              <w:pStyle w:val="Compact"/>
            </w:pPr>
            <w:r>
              <w:t xml:space="preserve">Minimum 3 years</w:t>
            </w:r>
          </w:p>
        </w:tc>
        <w:tc>
          <w:tcPr/>
          <w:p>
            <w:pPr>
              <w:pStyle w:val="Compact"/>
            </w:pPr>
            <w:r>
              <w:t xml:space="preserve">Agency SIEM + long-term archive</w:t>
            </w:r>
          </w:p>
        </w:tc>
      </w:tr>
      <w:tr>
        <w:tc>
          <w:tcPr/>
          <w:p>
            <w:pPr>
              <w:pStyle w:val="Compact"/>
            </w:pPr>
            <w:r>
              <w:t xml:space="preserve">Break-Glass Activation Logs</w:t>
            </w:r>
          </w:p>
        </w:tc>
        <w:tc>
          <w:tcPr/>
          <w:p>
            <w:pPr>
              <w:pStyle w:val="Compact"/>
            </w:pPr>
            <w:r>
              <w:t xml:space="preserve">90 days (P1/P2)</w:t>
            </w:r>
          </w:p>
        </w:tc>
        <w:tc>
          <w:tcPr/>
          <w:p>
            <w:pPr>
              <w:pStyle w:val="Compact"/>
            </w:pPr>
            <w:r>
              <w:t xml:space="preserve">Minimum 3 years</w:t>
            </w:r>
          </w:p>
        </w:tc>
        <w:tc>
          <w:tcPr/>
          <w:p>
            <w:pPr>
              <w:pStyle w:val="Compact"/>
            </w:pPr>
            <w:r>
              <w:t xml:space="preserve">Agency SIEM + long-term archive</w:t>
            </w:r>
          </w:p>
        </w:tc>
      </w:tr>
      <w:tr>
        <w:tc>
          <w:tcPr/>
          <w:p>
            <w:pPr>
              <w:pStyle w:val="Compact"/>
            </w:pPr>
            <w:r>
              <w:t xml:space="preserve">ServiceNow RITMs (all)</w:t>
            </w:r>
          </w:p>
        </w:tc>
        <w:tc>
          <w:tcPr/>
          <w:p>
            <w:pPr>
              <w:pStyle w:val="Compact"/>
            </w:pPr>
            <w:r>
              <w:t xml:space="preserve">Permanent (ServiceNow)</w:t>
            </w:r>
          </w:p>
        </w:tc>
        <w:tc>
          <w:tcPr/>
          <w:p>
            <w:pPr>
              <w:pStyle w:val="Compact"/>
            </w:pPr>
            <w:r>
              <w:t xml:space="preserve">Minimum 3 years active; 7 years archived</w:t>
            </w:r>
          </w:p>
        </w:tc>
        <w:tc>
          <w:tcPr/>
          <w:p>
            <w:pPr>
              <w:pStyle w:val="Compact"/>
            </w:pPr>
            <w:r>
              <w:t xml:space="preserve">ServiceNow + archive</w:t>
            </w:r>
          </w:p>
        </w:tc>
      </w:tr>
      <w:tr>
        <w:tc>
          <w:tcPr/>
          <w:p>
            <w:pPr>
              <w:pStyle w:val="Compact"/>
            </w:pPr>
            <w:r>
              <w:t xml:space="preserve">Application Registry snapshots</w:t>
            </w:r>
          </w:p>
        </w:tc>
        <w:tc>
          <w:tcPr/>
          <w:p>
            <w:pPr>
              <w:pStyle w:val="Compact"/>
            </w:pPr>
            <w:r>
              <w:t xml:space="preserve">Manual (maintained by IGO)</w:t>
            </w:r>
          </w:p>
        </w:tc>
        <w:tc>
          <w:tcPr/>
          <w:p>
            <w:pPr>
              <w:pStyle w:val="Compact"/>
            </w:pPr>
            <w:r>
              <w:t xml:space="preserve">Annual snapshot, 3 years</w:t>
            </w:r>
          </w:p>
        </w:tc>
        <w:tc>
          <w:tcPr/>
          <w:p>
            <w:pPr>
              <w:pStyle w:val="Compact"/>
            </w:pPr>
            <w:r>
              <w:t xml:space="preserve">Secure document repository</w:t>
            </w:r>
          </w:p>
        </w:tc>
      </w:tr>
    </w:tbl>
    <w:p>
      <w:pPr>
        <w:pStyle w:val="BodyText"/>
      </w:pPr>
      <w:r>
        <w:rPr>
          <w:b/>
          <w:bCs/>
        </w:rPr>
        <w:t xml:space="preserve">SIEM integration is mandatory</w:t>
      </w:r>
    </w:p>
    <w:p>
      <w:pPr>
        <w:pStyle w:val="BodyText"/>
      </w:pPr>
      <w:r>
        <w:t xml:space="preserve">Entra ID audit log forwarding to the agency SIEM must be configured and verified</w:t>
      </w:r>
      <w:r>
        <w:t xml:space="preserve"> </w:t>
      </w:r>
      <w:r>
        <w:t xml:space="preserve">as operational. The IGO is responsible for confirming SIEM integration health</w:t>
      </w:r>
      <w:r>
        <w:t xml:space="preserve"> </w:t>
      </w:r>
      <w:r>
        <w:t xml:space="preserve">quarterly. Any gap in log forwarding must be treated as a security incident and</w:t>
      </w:r>
      <w:r>
        <w:t xml:space="preserve"> </w:t>
      </w:r>
      <w:r>
        <w:t xml:space="preserve">reported to the CISO within 24 hours of discovery.</w:t>
      </w:r>
    </w:p>
    <w:bookmarkEnd w:id="361"/>
    <w:bookmarkStart w:id="362" w:name="mandatory-audit-events"/>
    <w:p>
      <w:pPr>
        <w:pStyle w:val="Heading3"/>
      </w:pPr>
      <w:r>
        <w:t xml:space="preserve">Mandatory audit events</w:t>
      </w:r>
    </w:p>
    <w:p>
      <w:pPr>
        <w:pStyle w:val="FirstParagraph"/>
      </w:pPr>
      <w:r>
        <w:t xml:space="preserve">The following event types must be captured and retained in their entirety. These</w:t>
      </w:r>
      <w:r>
        <w:t xml:space="preserve"> </w:t>
      </w:r>
      <w:r>
        <w:t xml:space="preserve">are non-negotiable audit requirements — no exemptions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 category</w:t>
            </w:r>
          </w:p>
        </w:tc>
        <w:tc>
          <w:tcPr/>
          <w:p>
            <w:pPr>
              <w:pStyle w:val="Compact"/>
            </w:pPr>
            <w:r>
              <w:t xml:space="preserve">Specific events to log</w:t>
            </w:r>
          </w:p>
        </w:tc>
        <w:tc>
          <w:tcPr/>
          <w:p>
            <w:pPr>
              <w:pStyle w:val="Compact"/>
            </w:pPr>
            <w:r>
              <w:t xml:space="preserve">Entra ID audit log category</w:t>
            </w:r>
          </w:p>
        </w:tc>
      </w:tr>
      <w:tr>
        <w:tc>
          <w:tcPr/>
          <w:p>
            <w:pPr>
              <w:pStyle w:val="Compact"/>
            </w:pPr>
            <w:r>
              <w:rPr>
                <w:b/>
                <w:bCs/>
              </w:rPr>
              <w:t xml:space="preserve">Admin Consent Actions</w:t>
            </w:r>
          </w:p>
        </w:tc>
        <w:tc>
          <w:tcPr/>
          <w:p>
            <w:pPr>
              <w:pStyle w:val="Compact"/>
            </w:pPr>
            <w:r>
              <w:t xml:space="preserve">Consent granted, consent revoked, consent modified, user consent attempt blocked</w:t>
            </w:r>
          </w:p>
        </w:tc>
        <w:tc>
          <w:tcPr/>
          <w:p>
            <w:pPr>
              <w:pStyle w:val="Compact"/>
            </w:pPr>
            <w:r>
              <w:t xml:space="preserve">ApplicationManagement</w:t>
            </w:r>
          </w:p>
        </w:tc>
      </w:tr>
      <w:tr>
        <w:tc>
          <w:tcPr/>
          <w:p>
            <w:pPr>
              <w:pStyle w:val="Compact"/>
            </w:pPr>
            <w:r>
              <w:rPr>
                <w:b/>
                <w:bCs/>
              </w:rPr>
              <w:t xml:space="preserve">Enterprise Application Changes</w:t>
            </w:r>
          </w:p>
        </w:tc>
        <w:tc>
          <w:tcPr/>
          <w:p>
            <w:pPr>
              <w:pStyle w:val="Compact"/>
            </w:pPr>
            <w:r>
              <w:t xml:space="preserve">App created, app deleted, app property updated, service principal created/deleted</w:t>
            </w:r>
          </w:p>
        </w:tc>
        <w:tc>
          <w:tcPr/>
          <w:p>
            <w:pPr>
              <w:pStyle w:val="Compact"/>
            </w:pPr>
            <w:r>
              <w:t xml:space="preserve">ApplicationManagement</w:t>
            </w:r>
          </w:p>
        </w:tc>
      </w:tr>
      <w:tr>
        <w:tc>
          <w:tcPr/>
          <w:p>
            <w:pPr>
              <w:pStyle w:val="Compact"/>
            </w:pPr>
            <w:r>
              <w:rPr>
                <w:b/>
                <w:bCs/>
              </w:rPr>
              <w:t xml:space="preserve">Group Membership Changes</w:t>
            </w:r>
          </w:p>
        </w:tc>
        <w:tc>
          <w:tcPr/>
          <w:p>
            <w:pPr>
              <w:pStyle w:val="Compact"/>
            </w:pPr>
            <w:r>
              <w:t xml:space="preserve">Member added to group, member removed from group, group created, group deleted</w:t>
            </w:r>
          </w:p>
        </w:tc>
        <w:tc>
          <w:tcPr/>
          <w:p>
            <w:pPr>
              <w:pStyle w:val="Compact"/>
            </w:pPr>
            <w:r>
              <w:t xml:space="preserve">GroupManagement</w:t>
            </w:r>
          </w:p>
        </w:tc>
      </w:tr>
      <w:tr>
        <w:tc>
          <w:tcPr/>
          <w:p>
            <w:pPr>
              <w:pStyle w:val="Compact"/>
            </w:pPr>
            <w:r>
              <w:rPr>
                <w:b/>
                <w:bCs/>
              </w:rPr>
              <w:t xml:space="preserve">Role Management</w:t>
            </w:r>
          </w:p>
        </w:tc>
        <w:tc>
          <w:tcPr/>
          <w:p>
            <w:pPr>
              <w:pStyle w:val="Compact"/>
            </w:pPr>
            <w:r>
              <w:t xml:space="preserve">Role assigned, role removed, eligible role added/removed (PIM), PIM activation started, PIM activation completed, PIM activation failed</w:t>
            </w:r>
          </w:p>
        </w:tc>
        <w:tc>
          <w:tcPr/>
          <w:p>
            <w:pPr>
              <w:pStyle w:val="Compact"/>
            </w:pPr>
            <w:r>
              <w:t xml:space="preserve">RoleManagement</w:t>
            </w:r>
          </w:p>
        </w:tc>
      </w:tr>
      <w:tr>
        <w:tc>
          <w:tcPr/>
          <w:p>
            <w:pPr>
              <w:pStyle w:val="Compact"/>
            </w:pPr>
            <w:r>
              <w:rPr>
                <w:b/>
                <w:bCs/>
              </w:rPr>
              <w:t xml:space="preserve">Application Permission Changes</w:t>
            </w:r>
          </w:p>
        </w:tc>
        <w:tc>
          <w:tcPr/>
          <w:p>
            <w:pPr>
              <w:pStyle w:val="Compact"/>
            </w:pPr>
            <w:r>
              <w:t xml:space="preserve">Permission scope added to app, permission scope removed from app, delegated permission grant created/revoked</w:t>
            </w:r>
          </w:p>
        </w:tc>
        <w:tc>
          <w:tcPr/>
          <w:p>
            <w:pPr>
              <w:pStyle w:val="Compact"/>
            </w:pPr>
            <w:r>
              <w:t xml:space="preserve">ApplicationManagement</w:t>
            </w:r>
          </w:p>
        </w:tc>
      </w:tr>
      <w:tr>
        <w:tc>
          <w:tcPr/>
          <w:p>
            <w:pPr>
              <w:pStyle w:val="Compact"/>
            </w:pPr>
            <w:r>
              <w:rPr>
                <w:b/>
                <w:bCs/>
              </w:rPr>
              <w:t xml:space="preserve">Break-Glass Sign-In Events</w:t>
            </w:r>
          </w:p>
        </w:tc>
        <w:tc>
          <w:tcPr/>
          <w:p>
            <w:pPr>
              <w:pStyle w:val="Compact"/>
            </w:pPr>
            <w:r>
              <w:t xml:space="preserve">All sign-in events from designated break-glass accounts (by UPN)</w:t>
            </w:r>
          </w:p>
        </w:tc>
        <w:tc>
          <w:tcPr/>
          <w:p>
            <w:pPr>
              <w:pStyle w:val="Compact"/>
            </w:pPr>
            <w:r>
              <w:t xml:space="preserve">SignInLogs</w:t>
            </w:r>
          </w:p>
        </w:tc>
      </w:tr>
      <w:tr>
        <w:tc>
          <w:tcPr/>
          <w:p>
            <w:pPr>
              <w:pStyle w:val="Compact"/>
            </w:pPr>
            <w:r>
              <w:rPr>
                <w:b/>
                <w:bCs/>
              </w:rPr>
              <w:t xml:space="preserve">Policy Changes</w:t>
            </w:r>
          </w:p>
        </w:tc>
        <w:tc>
          <w:tcPr/>
          <w:p>
            <w:pPr>
              <w:pStyle w:val="Compact"/>
            </w:pPr>
            <w:r>
              <w:t xml:space="preserve">Conditional Access policy created/modified/deleted; user consent settings changed</w:t>
            </w:r>
          </w:p>
        </w:tc>
        <w:tc>
          <w:tcPr/>
          <w:p>
            <w:pPr>
              <w:pStyle w:val="Compact"/>
            </w:pPr>
            <w:r>
              <w:t xml:space="preserve">Policy</w:t>
            </w:r>
          </w:p>
        </w:tc>
      </w:tr>
    </w:tbl>
    <w:bookmarkEnd w:id="362"/>
    <w:bookmarkStart w:id="367" w:name="scheduled-access-reviews"/>
    <w:p>
      <w:pPr>
        <w:pStyle w:val="Heading3"/>
      </w:pPr>
      <w:r>
        <w:t xml:space="preserve">Scheduled access reviews</w:t>
      </w:r>
    </w:p>
    <w:bookmarkStart w:id="363" w:name="X39db3a38c1a78dde079b8d6ff3ce849a4b8efd0"/>
    <w:p>
      <w:pPr>
        <w:pStyle w:val="Heading4"/>
      </w:pPr>
      <w:r>
        <w:t xml:space="preserve">Quarterly access review (Tier 1 applications)</w:t>
      </w:r>
    </w:p>
    <w:p>
      <w:pPr>
        <w:pStyle w:val="FirstParagraph"/>
      </w:pPr>
      <w:r>
        <w:t xml:space="preserve">Application Owners of Tier 1 applications must conduct a formal access review</w:t>
      </w:r>
      <w:r>
        <w:t xml:space="preserve"> </w:t>
      </w:r>
      <w:r>
        <w:t xml:space="preserve">every quarter. The review scope includes all security groups assigned to the</w:t>
      </w:r>
      <w:r>
        <w:t xml:space="preserve"> </w:t>
      </w:r>
      <w:r>
        <w:t xml:space="preserve">Enterprise Application and all members of those groups.</w:t>
      </w:r>
    </w:p>
    <w:p>
      <w:pPr>
        <w:pStyle w:val="BodyText"/>
      </w:pPr>
      <w:r>
        <w:rPr>
          <w:b/>
          <w:bCs/>
        </w:rPr>
        <w:t xml:space="preserve">Quarterly review process:</w:t>
      </w:r>
    </w:p>
    <w:p>
      <w:pPr>
        <w:pStyle w:val="Compact"/>
        <w:numPr>
          <w:ilvl w:val="0"/>
          <w:numId w:val="1176"/>
        </w:numPr>
      </w:pPr>
      <w:r>
        <w:t xml:space="preserve">IGO generates and distributes the access review package to all Tier 1</w:t>
      </w:r>
      <w:r>
        <w:t xml:space="preserve"> </w:t>
      </w:r>
      <w:r>
        <w:t xml:space="preserve">Application Owners on the first business day of each quarter</w:t>
      </w:r>
    </w:p>
    <w:p>
      <w:pPr>
        <w:pStyle w:val="Compact"/>
        <w:numPr>
          <w:ilvl w:val="0"/>
          <w:numId w:val="1176"/>
        </w:numPr>
      </w:pPr>
      <w:r>
        <w:t xml:space="preserve">Application Owner reviews the current group membership report for their</w:t>
      </w:r>
      <w:r>
        <w:t xml:space="preserve"> </w:t>
      </w:r>
      <w:r>
        <w:t xml:space="preserve">application(s)</w:t>
      </w:r>
    </w:p>
    <w:p>
      <w:pPr>
        <w:pStyle w:val="Compact"/>
        <w:numPr>
          <w:ilvl w:val="0"/>
          <w:numId w:val="1176"/>
        </w:numPr>
      </w:pPr>
      <w:r>
        <w:t xml:space="preserve">For each member, the Application Owner must certify one of: (a) Approved —</w:t>
      </w:r>
      <w:r>
        <w:t xml:space="preserve"> </w:t>
      </w:r>
      <w:r>
        <w:t xml:space="preserve">continued access is justified; (b) Remove — access is no longer needed; (c)</w:t>
      </w:r>
      <w:r>
        <w:t xml:space="preserve"> </w:t>
      </w:r>
      <w:r>
        <w:t xml:space="preserve">Escalate — owner is unsure and escalates to Departmental Owner</w:t>
      </w:r>
    </w:p>
    <w:p>
      <w:pPr>
        <w:pStyle w:val="Compact"/>
        <w:numPr>
          <w:ilvl w:val="0"/>
          <w:numId w:val="1176"/>
        </w:numPr>
      </w:pPr>
      <w:r>
        <w:t xml:space="preserve">Application Owner submits completed certification to IGO within 10 business</w:t>
      </w:r>
      <w:r>
        <w:t xml:space="preserve"> </w:t>
      </w:r>
      <w:r>
        <w:t xml:space="preserve">days of distribution</w:t>
      </w:r>
    </w:p>
    <w:p>
      <w:pPr>
        <w:pStyle w:val="Compact"/>
        <w:numPr>
          <w:ilvl w:val="0"/>
          <w:numId w:val="1176"/>
        </w:numPr>
      </w:pPr>
      <w:r>
        <w:t xml:space="preserve">Help Desk Operator executes all</w:t>
      </w:r>
      <w:r>
        <w:t xml:space="preserve"> </w:t>
      </w:r>
      <w:r>
        <w:t xml:space="preserve">“Remove”</w:t>
      </w:r>
      <w:r>
        <w:t xml:space="preserve"> </w:t>
      </w:r>
      <w:r>
        <w:t xml:space="preserve">decisions via approved RITM within 5</w:t>
      </w:r>
      <w:r>
        <w:t xml:space="preserve"> </w:t>
      </w:r>
      <w:r>
        <w:t xml:space="preserve">business days of certification receipt</w:t>
      </w:r>
    </w:p>
    <w:p>
      <w:pPr>
        <w:pStyle w:val="Compact"/>
        <w:numPr>
          <w:ilvl w:val="0"/>
          <w:numId w:val="1176"/>
        </w:numPr>
      </w:pPr>
      <w:r>
        <w:t xml:space="preserve">Application Owner confirms removals are completed; IGO archives the completed</w:t>
      </w:r>
      <w:r>
        <w:t xml:space="preserve"> </w:t>
      </w:r>
      <w:r>
        <w:t xml:space="preserve">review</w:t>
      </w:r>
    </w:p>
    <w:bookmarkEnd w:id="363"/>
    <w:bookmarkStart w:id="364" w:name="Xdb60c17ea8e2071f8c24b9b3d8a2d2ab5a013cb"/>
    <w:p>
      <w:pPr>
        <w:pStyle w:val="Heading4"/>
      </w:pPr>
      <w:r>
        <w:t xml:space="preserve">Semi-annual access review (Tier 2 applications)</w:t>
      </w:r>
    </w:p>
    <w:p>
      <w:pPr>
        <w:pStyle w:val="FirstParagraph"/>
      </w:pPr>
      <w:r>
        <w:t xml:space="preserve">Application Owners of Tier 2 applications conduct reviews every six months</w:t>
      </w:r>
      <w:r>
        <w:t xml:space="preserve"> </w:t>
      </w:r>
      <w:r>
        <w:t xml:space="preserve">following the same process as the quarterly review. Reviews are conducted in</w:t>
      </w:r>
      <w:r>
        <w:t xml:space="preserve"> </w:t>
      </w:r>
      <w:r>
        <w:t xml:space="preserve">January and July of each calendar year.</w:t>
      </w:r>
    </w:p>
    <w:bookmarkEnd w:id="364"/>
    <w:bookmarkStart w:id="365" w:name="annual-access-review-tier-3-applications"/>
    <w:p>
      <w:pPr>
        <w:pStyle w:val="Heading4"/>
      </w:pPr>
      <w:r>
        <w:t xml:space="preserve">Annual access review (Tier 3 applications)</w:t>
      </w:r>
    </w:p>
    <w:p>
      <w:pPr>
        <w:pStyle w:val="FirstParagraph"/>
      </w:pPr>
      <w:r>
        <w:t xml:space="preserve">Application Owners of Tier 3 applications conduct reviews annually in January of</w:t>
      </w:r>
      <w:r>
        <w:t xml:space="preserve"> </w:t>
      </w:r>
      <w:r>
        <w:t xml:space="preserve">each calendar year following the same certification process.</w:t>
      </w:r>
    </w:p>
    <w:bookmarkEnd w:id="365"/>
    <w:bookmarkStart w:id="366" w:name="admin-consent-review-all-tiers-annual"/>
    <w:p>
      <w:pPr>
        <w:pStyle w:val="Heading4"/>
      </w:pPr>
      <w:r>
        <w:t xml:space="preserve">Admin Consent review (all tiers — annual)</w:t>
      </w:r>
    </w:p>
    <w:p>
      <w:pPr>
        <w:pStyle w:val="FirstParagraph"/>
      </w:pPr>
      <w:r>
        <w:t xml:space="preserve">The IGO conducts an annual review of all active Admin Consent grants across all</w:t>
      </w:r>
      <w:r>
        <w:t xml:space="preserve"> </w:t>
      </w:r>
      <w:r>
        <w:t xml:space="preserve">Enterprise Applications. For each consent grant, the IGO validates: (a) the</w:t>
      </w:r>
      <w:r>
        <w:t xml:space="preserve"> </w:t>
      </w:r>
      <w:r>
        <w:t xml:space="preserve">consenting application is still active and owned; (b) all consented permissions</w:t>
      </w:r>
      <w:r>
        <w:t xml:space="preserve"> </w:t>
      </w:r>
      <w:r>
        <w:t xml:space="preserve">are still required; (c) no permissions should be downgraded or revoked. Any</w:t>
      </w:r>
      <w:r>
        <w:t xml:space="preserve"> </w:t>
      </w:r>
      <w:r>
        <w:t xml:space="preserve">consent identified as no longer needed must be revoked within 30 days of the</w:t>
      </w:r>
      <w:r>
        <w:t xml:space="preserve"> </w:t>
      </w:r>
      <w:r>
        <w:t xml:space="preserve">annual review.</w:t>
      </w:r>
    </w:p>
    <w:bookmarkEnd w:id="366"/>
    <w:bookmarkEnd w:id="367"/>
    <w:bookmarkStart w:id="368" w:name="annual-governance-review"/>
    <w:p>
      <w:pPr>
        <w:pStyle w:val="Heading3"/>
      </w:pPr>
      <w:r>
        <w:t xml:space="preserve">Annual governance review</w:t>
      </w:r>
    </w:p>
    <w:p>
      <w:pPr>
        <w:pStyle w:val="FirstParagraph"/>
      </w:pPr>
      <w:r>
        <w:t xml:space="preserve">The IGO conducts a comprehensive Annual Governance Review each June covering:</w:t>
      </w:r>
    </w:p>
    <w:p>
      <w:pPr>
        <w:pStyle w:val="Compact"/>
        <w:numPr>
          <w:ilvl w:val="0"/>
          <w:numId w:val="1177"/>
        </w:numPr>
      </w:pPr>
      <w:r>
        <w:t xml:space="preserve">Full application inventory audit — every Enterprise Application in the tenant</w:t>
      </w:r>
      <w:r>
        <w:t xml:space="preserve"> </w:t>
      </w:r>
      <w:r>
        <w:t xml:space="preserve">compared against the Application Registry for accuracy</w:t>
      </w:r>
    </w:p>
    <w:p>
      <w:pPr>
        <w:pStyle w:val="Compact"/>
        <w:numPr>
          <w:ilvl w:val="0"/>
          <w:numId w:val="1177"/>
        </w:numPr>
      </w:pPr>
      <w:r>
        <w:t xml:space="preserve">Risk Tier reclassification review — all applications evaluated for any changes</w:t>
      </w:r>
      <w:r>
        <w:t xml:space="preserve"> </w:t>
      </w:r>
      <w:r>
        <w:t xml:space="preserve">in risk profile since the last annual review</w:t>
      </w:r>
    </w:p>
    <w:p>
      <w:pPr>
        <w:pStyle w:val="Compact"/>
        <w:numPr>
          <w:ilvl w:val="0"/>
          <w:numId w:val="1177"/>
        </w:numPr>
      </w:pPr>
      <w:r>
        <w:t xml:space="preserve">Application Owner validation — confirmation that every application has an</w:t>
      </w:r>
      <w:r>
        <w:t xml:space="preserve"> </w:t>
      </w:r>
      <w:r>
        <w:t xml:space="preserve">active, reachable named owner</w:t>
      </w:r>
    </w:p>
    <w:p>
      <w:pPr>
        <w:pStyle w:val="Compact"/>
        <w:numPr>
          <w:ilvl w:val="0"/>
          <w:numId w:val="1177"/>
        </w:numPr>
      </w:pPr>
      <w:r>
        <w:t xml:space="preserve">Policy compliance assessment — review of all exception waivers, SLA breach</w:t>
      </w:r>
      <w:r>
        <w:t xml:space="preserve"> </w:t>
      </w:r>
      <w:r>
        <w:t xml:space="preserve">history, and RACI adherence for the year</w:t>
      </w:r>
    </w:p>
    <w:p>
      <w:pPr>
        <w:pStyle w:val="Compact"/>
        <w:numPr>
          <w:ilvl w:val="0"/>
          <w:numId w:val="1177"/>
        </w:numPr>
      </w:pPr>
      <w:r>
        <w:t xml:space="preserve">Admin Consent inventory review (see the Admin Consent review section)</w:t>
      </w:r>
    </w:p>
    <w:p>
      <w:pPr>
        <w:pStyle w:val="Compact"/>
        <w:numPr>
          <w:ilvl w:val="0"/>
          <w:numId w:val="1177"/>
        </w:numPr>
      </w:pPr>
      <w:r>
        <w:t xml:space="preserve">SIEM and alert configuration health check</w:t>
      </w:r>
    </w:p>
    <w:p>
      <w:pPr>
        <w:pStyle w:val="Compact"/>
        <w:numPr>
          <w:ilvl w:val="0"/>
          <w:numId w:val="1177"/>
        </w:numPr>
      </w:pPr>
      <w:r>
        <w:t xml:space="preserve">Governance model update review — IGO evaluates whether any Entra ID platform</w:t>
      </w:r>
      <w:r>
        <w:t xml:space="preserve"> </w:t>
      </w:r>
      <w:r>
        <w:t xml:space="preserve">changes, regulatory updates, or organizational changes require model revision</w:t>
      </w:r>
    </w:p>
    <w:p>
      <w:pPr>
        <w:pStyle w:val="FirstParagraph"/>
      </w:pPr>
      <w:r>
        <w:t xml:space="preserve">The Annual Governance Review findings are documented in a formal IGO Annual Report</w:t>
      </w:r>
      <w:r>
        <w:t xml:space="preserve"> </w:t>
      </w:r>
      <w:r>
        <w:t xml:space="preserve">submitted to the CISO by July 31 each year.</w:t>
      </w:r>
    </w:p>
    <w:bookmarkEnd w:id="368"/>
    <w:bookmarkStart w:id="369" w:name="required-siem-alerts"/>
    <w:p>
      <w:pPr>
        <w:pStyle w:val="Heading3"/>
      </w:pPr>
      <w:r>
        <w:t xml:space="preserve">Required SIEM alerts</w:t>
      </w:r>
    </w:p>
    <w:p>
      <w:pPr>
        <w:pStyle w:val="FirstParagraph"/>
      </w:pPr>
      <w:r>
        <w:t xml:space="preserve">The following alerts must be configured in the agency SIEM, triggered by</w:t>
      </w:r>
      <w:r>
        <w:t xml:space="preserve"> </w:t>
      </w:r>
      <w:r>
        <w:t xml:space="preserve">corresponding Entra ID audit log events. All alerts must be routed to the agency</w:t>
      </w:r>
      <w:r>
        <w:t xml:space="preserve"> </w:t>
      </w:r>
      <w:r>
        <w:t xml:space="preserve">Security Operations Center (SOC) and, for Priority 1 alerts, to the IGO directly.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Alert name</w:t>
            </w:r>
          </w:p>
        </w:tc>
        <w:tc>
          <w:tcPr/>
          <w:p>
            <w:pPr>
              <w:pStyle w:val="Compact"/>
            </w:pPr>
            <w:r>
              <w:t xml:space="preserve">Trigger event</w:t>
            </w:r>
          </w:p>
        </w:tc>
        <w:tc>
          <w:tcPr/>
          <w:p>
            <w:pPr>
              <w:pStyle w:val="Compact"/>
            </w:pPr>
            <w:r>
              <w:t xml:space="preserve">Priority</w:t>
            </w:r>
          </w:p>
        </w:tc>
        <w:tc>
          <w:tcPr/>
          <w:p>
            <w:pPr>
              <w:pStyle w:val="Compact"/>
            </w:pPr>
            <w:r>
              <w:t xml:space="preserve">Recipients</w:t>
            </w:r>
          </w:p>
        </w:tc>
        <w:tc>
          <w:tcPr/>
          <w:p>
            <w:pPr>
              <w:pStyle w:val="Compact"/>
            </w:pPr>
            <w:r>
              <w:t xml:space="preserve">Response SLA</w:t>
            </w:r>
          </w:p>
        </w:tc>
      </w:tr>
      <w:tr>
        <w:tc>
          <w:tcPr/>
          <w:p>
            <w:pPr>
              <w:pStyle w:val="Compact"/>
            </w:pPr>
            <w:r>
              <w:rPr>
                <w:b/>
                <w:bCs/>
              </w:rPr>
              <w:t xml:space="preserve">Admin Consent Granted</w:t>
            </w:r>
          </w:p>
        </w:tc>
        <w:tc>
          <w:tcPr/>
          <w:p>
            <w:pPr>
              <w:pStyle w:val="Compact"/>
            </w:pPr>
            <w:r>
              <w:t xml:space="preserve">Any</w:t>
            </w:r>
            <w:r>
              <w:t xml:space="preserve"> </w:t>
            </w:r>
            <w:r>
              <w:t xml:space="preserve">“Consent to application”</w:t>
            </w:r>
            <w:r>
              <w:t xml:space="preserve"> </w:t>
            </w:r>
            <w:r>
              <w:t xml:space="preserve">event in Entra audit log</w:t>
            </w:r>
          </w:p>
        </w:tc>
        <w:tc>
          <w:tcPr/>
          <w:p>
            <w:pPr>
              <w:pStyle w:val="Compact"/>
            </w:pPr>
            <w:r>
              <w:t xml:space="preserve">P1 — Critical</w:t>
            </w:r>
          </w:p>
        </w:tc>
        <w:tc>
          <w:tcPr/>
          <w:p>
            <w:pPr>
              <w:pStyle w:val="Compact"/>
            </w:pPr>
            <w:r>
              <w:t xml:space="preserve">SOC, IGO, CISO</w:t>
            </w:r>
          </w:p>
        </w:tc>
        <w:tc>
          <w:tcPr/>
          <w:p>
            <w:pPr>
              <w:pStyle w:val="Compact"/>
            </w:pPr>
            <w:r>
              <w:t xml:space="preserve">Review within 2 hours</w:t>
            </w:r>
          </w:p>
        </w:tc>
      </w:tr>
      <w:tr>
        <w:tc>
          <w:tcPr/>
          <w:p>
            <w:pPr>
              <w:pStyle w:val="Compact"/>
            </w:pPr>
            <w:r>
              <w:rPr>
                <w:b/>
                <w:bCs/>
              </w:rPr>
              <w:t xml:space="preserve">New Service Principal Created</w:t>
            </w:r>
          </w:p>
        </w:tc>
        <w:tc>
          <w:tcPr/>
          <w:p>
            <w:pPr>
              <w:pStyle w:val="Compact"/>
            </w:pPr>
            <w:r>
              <w:t xml:space="preserve">“Add service principal”</w:t>
            </w:r>
            <w:r>
              <w:t xml:space="preserve"> </w:t>
            </w:r>
            <w:r>
              <w:t xml:space="preserve">event in Entra audit log</w:t>
            </w:r>
          </w:p>
        </w:tc>
        <w:tc>
          <w:tcPr/>
          <w:p>
            <w:pPr>
              <w:pStyle w:val="Compact"/>
            </w:pPr>
            <w:r>
              <w:t xml:space="preserve">P1 — Critical</w:t>
            </w:r>
          </w:p>
        </w:tc>
        <w:tc>
          <w:tcPr/>
          <w:p>
            <w:pPr>
              <w:pStyle w:val="Compact"/>
            </w:pPr>
            <w:r>
              <w:t xml:space="preserve">SOC, IGO</w:t>
            </w:r>
          </w:p>
        </w:tc>
        <w:tc>
          <w:tcPr/>
          <w:p>
            <w:pPr>
              <w:pStyle w:val="Compact"/>
            </w:pPr>
            <w:r>
              <w:t xml:space="preserve">Review within 2 hours</w:t>
            </w:r>
          </w:p>
        </w:tc>
      </w:tr>
      <w:tr>
        <w:tc>
          <w:tcPr/>
          <w:p>
            <w:pPr>
              <w:pStyle w:val="Compact"/>
            </w:pPr>
            <w:r>
              <w:rPr>
                <w:b/>
                <w:bCs/>
              </w:rPr>
              <w:t xml:space="preserve">Break-Glass Account Sign-In</w:t>
            </w:r>
          </w:p>
        </w:tc>
        <w:tc>
          <w:tcPr/>
          <w:p>
            <w:pPr>
              <w:pStyle w:val="Compact"/>
            </w:pPr>
            <w:r>
              <w:t xml:space="preserve">Sign-in from designated break-glass account UPN(s)</w:t>
            </w:r>
          </w:p>
        </w:tc>
        <w:tc>
          <w:tcPr/>
          <w:p>
            <w:pPr>
              <w:pStyle w:val="Compact"/>
            </w:pPr>
            <w:r>
              <w:t xml:space="preserve">P1 — Critical</w:t>
            </w:r>
          </w:p>
        </w:tc>
        <w:tc>
          <w:tcPr/>
          <w:p>
            <w:pPr>
              <w:pStyle w:val="Compact"/>
            </w:pPr>
            <w:r>
              <w:t xml:space="preserve">SOC, IGO, CISO</w:t>
            </w:r>
          </w:p>
        </w:tc>
        <w:tc>
          <w:tcPr/>
          <w:p>
            <w:pPr>
              <w:pStyle w:val="Compact"/>
            </w:pPr>
            <w:r>
              <w:t xml:space="preserve">Immediate (automated page)</w:t>
            </w:r>
          </w:p>
        </w:tc>
      </w:tr>
      <w:tr>
        <w:tc>
          <w:tcPr/>
          <w:p>
            <w:pPr>
              <w:pStyle w:val="Compact"/>
            </w:pPr>
            <w:r>
              <w:rPr>
                <w:b/>
                <w:bCs/>
              </w:rPr>
              <w:t xml:space="preserve">PIM Elevation Outside Business Hours</w:t>
            </w:r>
          </w:p>
        </w:tc>
        <w:tc>
          <w:tcPr/>
          <w:p>
            <w:pPr>
              <w:pStyle w:val="Compact"/>
            </w:pPr>
            <w:r>
              <w:t xml:space="preserve">PIM role activation between 6:00 PM and 7:00 AM EST, or on federal holidays/weekends</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Application Permission Change</w:t>
            </w:r>
          </w:p>
        </w:tc>
        <w:tc>
          <w:tcPr/>
          <w:p>
            <w:pPr>
              <w:pStyle w:val="Compact"/>
            </w:pPr>
            <w:r>
              <w:t xml:space="preserve">“Add app role assignment to service principal”</w:t>
            </w:r>
            <w:r>
              <w:t xml:space="preserve"> </w:t>
            </w:r>
            <w:r>
              <w:t xml:space="preserve">or</w:t>
            </w:r>
            <w:r>
              <w:t xml:space="preserve"> </w:t>
            </w:r>
            <w:r>
              <w:t xml:space="preserve">“Remove app role assignment”</w:t>
            </w:r>
            <w:r>
              <w:t xml:space="preserve"> </w:t>
            </w:r>
            <w:r>
              <w:t xml:space="preserve">event</w:t>
            </w:r>
          </w:p>
        </w:tc>
        <w:tc>
          <w:tcPr/>
          <w:p>
            <w:pPr>
              <w:pStyle w:val="Compact"/>
            </w:pPr>
            <w:r>
              <w:t xml:space="preserve">P1 — Critical</w:t>
            </w:r>
          </w:p>
        </w:tc>
        <w:tc>
          <w:tcPr/>
          <w:p>
            <w:pPr>
              <w:pStyle w:val="Compact"/>
            </w:pPr>
            <w:r>
              <w:t xml:space="preserve">SOC, IGO</w:t>
            </w:r>
          </w:p>
        </w:tc>
        <w:tc>
          <w:tcPr/>
          <w:p>
            <w:pPr>
              <w:pStyle w:val="Compact"/>
            </w:pPr>
            <w:r>
              <w:t xml:space="preserve">Review within 2 hours</w:t>
            </w:r>
          </w:p>
        </w:tc>
      </w:tr>
      <w:tr>
        <w:tc>
          <w:tcPr/>
          <w:p>
            <w:pPr>
              <w:pStyle w:val="Compact"/>
            </w:pPr>
            <w:r>
              <w:rPr>
                <w:b/>
                <w:bCs/>
              </w:rPr>
              <w:t xml:space="preserve">Global Administrator Role Assigned</w:t>
            </w:r>
          </w:p>
        </w:tc>
        <w:tc>
          <w:tcPr/>
          <w:p>
            <w:pPr>
              <w:pStyle w:val="Compact"/>
            </w:pPr>
            <w:r>
              <w:t xml:space="preserve">“Add member to role”</w:t>
            </w:r>
            <w:r>
              <w:t xml:space="preserve"> </w:t>
            </w:r>
            <w:r>
              <w:t xml:space="preserve">for Global Administrator directory role</w:t>
            </w:r>
          </w:p>
        </w:tc>
        <w:tc>
          <w:tcPr/>
          <w:p>
            <w:pPr>
              <w:pStyle w:val="Compact"/>
            </w:pPr>
            <w:r>
              <w:t xml:space="preserve">P1 — Critical</w:t>
            </w:r>
          </w:p>
        </w:tc>
        <w:tc>
          <w:tcPr/>
          <w:p>
            <w:pPr>
              <w:pStyle w:val="Compact"/>
            </w:pPr>
            <w:r>
              <w:t xml:space="preserve">SOC, IGO, CISO</w:t>
            </w:r>
          </w:p>
        </w:tc>
        <w:tc>
          <w:tcPr/>
          <w:p>
            <w:pPr>
              <w:pStyle w:val="Compact"/>
            </w:pPr>
            <w:r>
              <w:t xml:space="preserve">Immediate (automated page)</w:t>
            </w:r>
          </w:p>
        </w:tc>
      </w:tr>
      <w:tr>
        <w:tc>
          <w:tcPr/>
          <w:p>
            <w:pPr>
              <w:pStyle w:val="Compact"/>
            </w:pPr>
            <w:r>
              <w:rPr>
                <w:b/>
                <w:bCs/>
              </w:rPr>
              <w:t xml:space="preserve">Delegated Permission Grant (Admin)</w:t>
            </w:r>
          </w:p>
        </w:tc>
        <w:tc>
          <w:tcPr/>
          <w:p>
            <w:pPr>
              <w:pStyle w:val="Compact"/>
            </w:pPr>
            <w:r>
              <w:t xml:space="preserve">“Add delegated permission grant”</w:t>
            </w:r>
            <w:r>
              <w:t xml:space="preserve"> </w:t>
            </w:r>
            <w:r>
              <w:t xml:space="preserve">in Entra audit log</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User Consent Setting Changed</w:t>
            </w:r>
          </w:p>
        </w:tc>
        <w:tc>
          <w:tcPr/>
          <w:p>
            <w:pPr>
              <w:pStyle w:val="Compact"/>
            </w:pPr>
            <w:r>
              <w:t xml:space="preserve">Change to</w:t>
            </w:r>
            <w:r>
              <w:t xml:space="preserve"> </w:t>
            </w:r>
            <w:r>
              <w:t xml:space="preserve">“Users can consent to apps accessing company data on their behalf”</w:t>
            </w:r>
            <w:r>
              <w:t xml:space="preserve"> </w:t>
            </w:r>
            <w:r>
              <w:t xml:space="preserve">Entra tenant policy</w:t>
            </w:r>
          </w:p>
        </w:tc>
        <w:tc>
          <w:tcPr/>
          <w:p>
            <w:pPr>
              <w:pStyle w:val="Compact"/>
            </w:pPr>
            <w:r>
              <w:t xml:space="preserve">P1 — Critical</w:t>
            </w:r>
          </w:p>
        </w:tc>
        <w:tc>
          <w:tcPr/>
          <w:p>
            <w:pPr>
              <w:pStyle w:val="Compact"/>
            </w:pPr>
            <w:r>
              <w:t xml:space="preserve">SOC, IGO, CISO</w:t>
            </w:r>
          </w:p>
        </w:tc>
        <w:tc>
          <w:tcPr/>
          <w:p>
            <w:pPr>
              <w:pStyle w:val="Compact"/>
            </w:pPr>
            <w:r>
              <w:t xml:space="preserve">Immediate</w:t>
            </w:r>
          </w:p>
        </w:tc>
      </w:tr>
      <w:tr>
        <w:tc>
          <w:tcPr/>
          <w:p>
            <w:pPr>
              <w:pStyle w:val="Compact"/>
            </w:pPr>
            <w:r>
              <w:rPr>
                <w:b/>
                <w:bCs/>
              </w:rPr>
              <w:t xml:space="preserve">Conditional Access Policy Modified</w:t>
            </w:r>
          </w:p>
        </w:tc>
        <w:tc>
          <w:tcPr/>
          <w:p>
            <w:pPr>
              <w:pStyle w:val="Compact"/>
            </w:pPr>
            <w:r>
              <w:t xml:space="preserve">Any Conditional Access policy created, modified, or deleted</w:t>
            </w:r>
          </w:p>
        </w:tc>
        <w:tc>
          <w:tcPr/>
          <w:p>
            <w:pPr>
              <w:pStyle w:val="Compact"/>
            </w:pPr>
            <w:r>
              <w:t xml:space="preserve">P2 — High</w:t>
            </w:r>
          </w:p>
        </w:tc>
        <w:tc>
          <w:tcPr/>
          <w:p>
            <w:pPr>
              <w:pStyle w:val="Compact"/>
            </w:pPr>
            <w:r>
              <w:t xml:space="preserve">SOC, IGO</w:t>
            </w:r>
          </w:p>
        </w:tc>
        <w:tc>
          <w:tcPr/>
          <w:p>
            <w:pPr>
              <w:pStyle w:val="Compact"/>
            </w:pPr>
            <w:r>
              <w:t xml:space="preserve">Review within 4 hours</w:t>
            </w:r>
          </w:p>
        </w:tc>
      </w:tr>
      <w:tr>
        <w:tc>
          <w:tcPr/>
          <w:p>
            <w:pPr>
              <w:pStyle w:val="Compact"/>
            </w:pPr>
            <w:r>
              <w:rPr>
                <w:b/>
                <w:bCs/>
              </w:rPr>
              <w:t xml:space="preserve">Orphaned Application Detected</w:t>
            </w:r>
          </w:p>
        </w:tc>
        <w:tc>
          <w:tcPr/>
          <w:p>
            <w:pPr>
              <w:pStyle w:val="Compact"/>
            </w:pPr>
            <w:r>
              <w:t xml:space="preserve">Automated weekly check — Enterprise Apps with no entry in Application Registry Owners field</w:t>
            </w:r>
          </w:p>
        </w:tc>
        <w:tc>
          <w:tcPr/>
          <w:p>
            <w:pPr>
              <w:pStyle w:val="Compact"/>
            </w:pPr>
            <w:r>
              <w:t xml:space="preserve">P2 — High</w:t>
            </w:r>
          </w:p>
        </w:tc>
        <w:tc>
          <w:tcPr/>
          <w:p>
            <w:pPr>
              <w:pStyle w:val="Compact"/>
            </w:pPr>
            <w:r>
              <w:t xml:space="preserve">IGO</w:t>
            </w:r>
          </w:p>
        </w:tc>
        <w:tc>
          <w:tcPr/>
          <w:p>
            <w:pPr>
              <w:pStyle w:val="Compact"/>
            </w:pPr>
            <w:r>
              <w:t xml:space="preserve">RITM opened within 1 business day</w:t>
            </w:r>
          </w:p>
        </w:tc>
      </w:tr>
    </w:tbl>
    <w:bookmarkEnd w:id="369"/>
    <w:bookmarkStart w:id="370" w:name="compliance-mapping-table"/>
    <w:p>
      <w:pPr>
        <w:pStyle w:val="Heading3"/>
      </w:pPr>
      <w:r>
        <w:t xml:space="preserve">Compliance mapping table</w:t>
      </w:r>
    </w:p>
    <w:p>
      <w:pPr>
        <w:pStyle w:val="FirstParagraph"/>
      </w:pPr>
      <w:r>
        <w:t xml:space="preserve">The following table maps this governance model’s controls to applicable NIST SP</w:t>
      </w:r>
      <w:r>
        <w:t xml:space="preserve"> </w:t>
      </w:r>
      <w:r>
        <w:t xml:space="preserve">800-53 Rev. 5 control requirements.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800-53 control</w:t>
            </w:r>
          </w:p>
        </w:tc>
        <w:tc>
          <w:tcPr/>
          <w:p>
            <w:pPr>
              <w:pStyle w:val="Compact"/>
            </w:pPr>
            <w:r>
              <w:t xml:space="preserve">Control name</w:t>
            </w:r>
          </w:p>
        </w:tc>
        <w:tc>
          <w:tcPr/>
          <w:p>
            <w:pPr>
              <w:pStyle w:val="Compact"/>
            </w:pPr>
            <w:r>
              <w:t xml:space="preserve">Implementation in this governance model</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Application Registry tracks all Enterprise App access. Quarterly/semi-annual/annual access reviews ensure accounts are actively managed. Application Owner accountability model enforces ownership of every access surface. Orphaned application policy addresses unmanaged access accounts.</w:t>
            </w:r>
          </w:p>
        </w:tc>
      </w:tr>
      <w:tr>
        <w:tc>
          <w:tcPr/>
          <w:p>
            <w:pPr>
              <w:pStyle w:val="Compact"/>
            </w:pPr>
            <w:r>
              <w:rPr>
                <w:b/>
                <w:bCs/>
              </w:rPr>
              <w:t xml:space="preserve">AC-2(7)</w:t>
            </w:r>
          </w:p>
        </w:tc>
        <w:tc>
          <w:tcPr/>
          <w:p>
            <w:pPr>
              <w:pStyle w:val="Compact"/>
            </w:pPr>
            <w:r>
              <w:t xml:space="preserve">Privileged User Accounts</w:t>
            </w:r>
          </w:p>
        </w:tc>
        <w:tc>
          <w:tcPr/>
          <w:p>
            <w:pPr>
              <w:pStyle w:val="Compact"/>
            </w:pPr>
            <w:r>
              <w:t xml:space="preserve">Entra-HelpDesk-Operators PAG enforces just-in-time privileged access. PIM activation required for all administrative actions in Entra ID. Time-limited sessions enforced. All activations logged.</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Group-based access assignments to Enterprise Applications enforce defined access policies. Conditional Access policies enforce MFA and device compliance before application access is granted. Admin Consent governance restricts which permissions applications may exercise.</w:t>
            </w:r>
          </w:p>
        </w:tc>
      </w:tr>
      <w:tr>
        <w:tc>
          <w:tcPr/>
          <w:p>
            <w:pPr>
              <w:pStyle w:val="Compact"/>
            </w:pPr>
            <w:r>
              <w:rPr>
                <w:b/>
                <w:bCs/>
              </w:rPr>
              <w:t xml:space="preserve">AC-5</w:t>
            </w:r>
          </w:p>
        </w:tc>
        <w:tc>
          <w:tcPr/>
          <w:p>
            <w:pPr>
              <w:pStyle w:val="Compact"/>
            </w:pPr>
            <w:r>
              <w:t xml:space="preserve">Separation of Duties</w:t>
            </w:r>
          </w:p>
        </w:tc>
        <w:tc>
          <w:tcPr/>
          <w:p>
            <w:pPr>
              <w:pStyle w:val="Compact"/>
            </w:pPr>
            <w:r>
              <w:t xml:space="preserve">Three-party SoD model (Group Owner ≠ Group Creator ≠ Application Owner). Help Desk Operators execute but do not approve. Application Owners approve but do not execute. IGO has independent approval authority separate from operational execution.</w:t>
            </w:r>
          </w:p>
        </w:tc>
      </w:tr>
      <w:tr>
        <w:tc>
          <w:tcPr/>
          <w:p>
            <w:pPr>
              <w:pStyle w:val="Compact"/>
            </w:pPr>
            <w:r>
              <w:rPr>
                <w:b/>
                <w:bCs/>
              </w:rPr>
              <w:t xml:space="preserve">AC-6</w:t>
            </w:r>
          </w:p>
        </w:tc>
        <w:tc>
          <w:tcPr/>
          <w:p>
            <w:pPr>
              <w:pStyle w:val="Compact"/>
            </w:pPr>
            <w:r>
              <w:t xml:space="preserve">Least Privilege</w:t>
            </w:r>
          </w:p>
        </w:tc>
        <w:tc>
          <w:tcPr/>
          <w:p>
            <w:pPr>
              <w:pStyle w:val="Compact"/>
            </w:pPr>
            <w:r>
              <w:t xml:space="preserve">Risk Tier classification ensures permissions appropriate to data sensitivity. Least-privilege analysis required for all Admin Consent requests. Application Permissions preferred only when Delegated Permissions are insufficient. Permission Scope Risk Table guides security review toward minimum necessary access.</w:t>
            </w:r>
          </w:p>
        </w:tc>
      </w:tr>
      <w:tr>
        <w:tc>
          <w:tcPr/>
          <w:p>
            <w:pPr>
              <w:pStyle w:val="Compact"/>
            </w:pPr>
            <w:r>
              <w:rPr>
                <w:b/>
                <w:bCs/>
              </w:rPr>
              <w:t xml:space="preserve">AC-6(5)</w:t>
            </w:r>
          </w:p>
        </w:tc>
        <w:tc>
          <w:tcPr/>
          <w:p>
            <w:pPr>
              <w:pStyle w:val="Compact"/>
            </w:pPr>
            <w:r>
              <w:t xml:space="preserve">Privileged Accounts</w:t>
            </w:r>
          </w:p>
        </w:tc>
        <w:tc>
          <w:tcPr/>
          <w:p>
            <w:pPr>
              <w:pStyle w:val="Compact"/>
            </w:pPr>
            <w:r>
              <w:t xml:space="preserve">PIM model restricts all privileged Entra ID roles to just-in-time activation. No standing privileged access for Help Desk Operators. Break-glass accounts held in secure vault with dual-custody retrieval.</w:t>
            </w:r>
          </w:p>
        </w:tc>
      </w:tr>
      <w:tr>
        <w:tc>
          <w:tcPr/>
          <w:p>
            <w:pPr>
              <w:pStyle w:val="Compact"/>
            </w:pPr>
            <w:r>
              <w:rPr>
                <w:b/>
                <w:bCs/>
              </w:rPr>
              <w:t xml:space="preserve">AU-2</w:t>
            </w:r>
          </w:p>
        </w:tc>
        <w:tc>
          <w:tcPr/>
          <w:p>
            <w:pPr>
              <w:pStyle w:val="Compact"/>
            </w:pPr>
            <w:r>
              <w:t xml:space="preserve">Event Logging</w:t>
            </w:r>
          </w:p>
        </w:tc>
        <w:tc>
          <w:tcPr/>
          <w:p>
            <w:pPr>
              <w:pStyle w:val="Compact"/>
            </w:pPr>
            <w:r>
              <w:t xml:space="preserve">Mandatory audit event list (see the Mandatory audit events section) defines all required log events. SIEM integration ensures logs are captured beyond Entra ID’s native retention. ServiceNow provides independent audit trail for all governance decisions.</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Entra audit logs forwarded to SIEM where they are protected from modification. ServiceNow RITMs are immutable audit records. Log access is restricted to authorized personnel only.</w:t>
            </w:r>
          </w:p>
        </w:tc>
      </w:tr>
      <w:tr>
        <w:tc>
          <w:tcPr/>
          <w:p>
            <w:pPr>
              <w:pStyle w:val="Compact"/>
            </w:pPr>
            <w:r>
              <w:rPr>
                <w:b/>
                <w:bCs/>
              </w:rPr>
              <w:t xml:space="preserve">AU-12</w:t>
            </w:r>
          </w:p>
        </w:tc>
        <w:tc>
          <w:tcPr/>
          <w:p>
            <w:pPr>
              <w:pStyle w:val="Compact"/>
            </w:pPr>
            <w:r>
              <w:t xml:space="preserve">Audit Record Generation</w:t>
            </w:r>
          </w:p>
        </w:tc>
        <w:tc>
          <w:tcPr/>
          <w:p>
            <w:pPr>
              <w:pStyle w:val="Compact"/>
            </w:pPr>
            <w:r>
              <w:t xml:space="preserve">All required events in the Mandatory audit events section are generated automatically by Entra ID and ServiceNow. No manual action required for audit record creation on governed events.</w:t>
            </w:r>
          </w:p>
        </w:tc>
      </w:tr>
      <w:tr>
        <w:tc>
          <w:tcPr/>
          <w:p>
            <w:pPr>
              <w:pStyle w:val="Compact"/>
            </w:pPr>
            <w:r>
              <w:rPr>
                <w:b/>
                <w:bCs/>
              </w:rPr>
              <w:t xml:space="preserve">IA-4</w:t>
            </w:r>
          </w:p>
        </w:tc>
        <w:tc>
          <w:tcPr/>
          <w:p>
            <w:pPr>
              <w:pStyle w:val="Compact"/>
            </w:pPr>
            <w:r>
              <w:t xml:space="preserve">Identifier Management</w:t>
            </w:r>
          </w:p>
        </w:tc>
        <w:tc>
          <w:tcPr/>
          <w:p>
            <w:pPr>
              <w:pStyle w:val="Compact"/>
            </w:pPr>
            <w:r>
              <w:t xml:space="preserve">Application (Client) IDs and Object IDs recorded in Application Registry. Application Owners assigned by named individual (no group ownership). Naming conventions for access groups enforce consistent identifier management.</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Break-glass credentials managed under dual-custody vault procedures. Credentials rotated after every use. Service account credentials for ServiceNow integration managed per agency credential policy. No credentials stored in application code.</w:t>
            </w:r>
          </w:p>
        </w:tc>
      </w:tr>
      <w:tr>
        <w:tc>
          <w:tcPr/>
          <w:p>
            <w:pPr>
              <w:pStyle w:val="Compact"/>
            </w:pPr>
            <w:r>
              <w:rPr>
                <w:b/>
                <w:bCs/>
              </w:rPr>
              <w:t xml:space="preserve">CM-5</w:t>
            </w:r>
          </w:p>
        </w:tc>
        <w:tc>
          <w:tcPr/>
          <w:p>
            <w:pPr>
              <w:pStyle w:val="Compact"/>
            </w:pPr>
            <w:r>
              <w:t xml:space="preserve">Access Restrictions for Change</w:t>
            </w:r>
          </w:p>
        </w:tc>
        <w:tc>
          <w:tcPr/>
          <w:p>
            <w:pPr>
              <w:pStyle w:val="Compact"/>
            </w:pPr>
            <w:r>
              <w:t xml:space="preserve">All Entra ID configuration changes require PIM activation. Admin Consent changes require IGO approval. ServiceNow RITM enforces change authorization before execution. No direct configuration changes permitted without approved RITM.</w:t>
            </w:r>
          </w:p>
        </w:tc>
      </w:tr>
      <w:tr>
        <w:tc>
          <w:tcPr/>
          <w:p>
            <w:pPr>
              <w:pStyle w:val="Compact"/>
            </w:pPr>
            <w:r>
              <w:rPr>
                <w:b/>
                <w:bCs/>
              </w:rPr>
              <w:t xml:space="preserve">IR-6</w:t>
            </w:r>
          </w:p>
        </w:tc>
        <w:tc>
          <w:tcPr/>
          <w:p>
            <w:pPr>
              <w:pStyle w:val="Compact"/>
            </w:pPr>
            <w:r>
              <w:t xml:space="preserve">Incident Reporting</w:t>
            </w:r>
          </w:p>
        </w:tc>
        <w:tc>
          <w:tcPr/>
          <w:p>
            <w:pPr>
              <w:pStyle w:val="Compact"/>
            </w:pPr>
            <w:r>
              <w:t xml:space="preserve">Break-glass activation, Microsoft Security notification anomalies, and consent phishing indicators all trigger mandatory incident reporting. SIEM alerts route to SOC for incident response. Post-incident review required within 24 hours of break-glass use.</w:t>
            </w:r>
          </w:p>
        </w:tc>
      </w:tr>
    </w:tbl>
    <w:bookmarkEnd w:id="370"/>
    <w:bookmarkEnd w:id="371"/>
    <w:bookmarkStart w:id="377" w:name="policy-exceptions-and-waivers"/>
    <w:p>
      <w:pPr>
        <w:pStyle w:val="Heading2"/>
      </w:pPr>
      <w:r>
        <w:t xml:space="preserve">Policy exceptions and waivers</w:t>
      </w:r>
    </w:p>
    <w:bookmarkStart w:id="372" w:name="exception-policy-statement"/>
    <w:p>
      <w:pPr>
        <w:pStyle w:val="Heading3"/>
      </w:pPr>
      <w:r>
        <w:t xml:space="preserve">Exception policy statement</w:t>
      </w:r>
    </w:p>
    <w:p>
      <w:pPr>
        <w:pStyle w:val="FirstParagraph"/>
      </w:pPr>
      <w:r>
        <w:t xml:space="preserve">This governance model is mandatory for all Enterprise Applications within its</w:t>
      </w:r>
      <w:r>
        <w:t xml:space="preserve"> </w:t>
      </w:r>
      <w:r>
        <w:t xml:space="preserve">defined scope. Deviations from the defined workflows, approval chains, naming</w:t>
      </w:r>
      <w:r>
        <w:t xml:space="preserve"> </w:t>
      </w:r>
      <w:r>
        <w:t xml:space="preserve">conventions, access review schedules, or audit requirements are not permitted</w:t>
      </w:r>
      <w:r>
        <w:t xml:space="preserve"> </w:t>
      </w:r>
      <w:r>
        <w:t xml:space="preserve">without a formally approved exception on file. The existence of an exception does</w:t>
      </w:r>
      <w:r>
        <w:t xml:space="preserve"> </w:t>
      </w:r>
      <w:r>
        <w:t xml:space="preserve">not constitute a license to bypass all controls — it authorizes only the specific</w:t>
      </w:r>
      <w:r>
        <w:t xml:space="preserve"> </w:t>
      </w:r>
      <w:r>
        <w:t xml:space="preserve">deviation documented in the exception record.</w:t>
      </w:r>
    </w:p>
    <w:bookmarkEnd w:id="372"/>
    <w:bookmarkStart w:id="373" w:name="exception-request-process"/>
    <w:p>
      <w:pPr>
        <w:pStyle w:val="Heading3"/>
      </w:pPr>
      <w:r>
        <w:t xml:space="preserve">Exception request process</w:t>
      </w:r>
    </w:p>
    <w:p>
      <w:pPr>
        <w:pStyle w:val="FirstParagraph"/>
      </w:pPr>
      <w:r>
        <w:t xml:space="preserve">Requests for exceptions to this governance model must follow the procedure below:</w:t>
      </w:r>
    </w:p>
    <w:p>
      <w:pPr>
        <w:pStyle w:val="Compact"/>
        <w:numPr>
          <w:ilvl w:val="0"/>
          <w:numId w:val="1178"/>
        </w:numPr>
      </w:pPr>
      <w:r>
        <w:t xml:space="preserve">The Application Owner or Departmental Owner submits a</w:t>
      </w:r>
      <w:r>
        <w:t xml:space="preserve"> </w:t>
      </w:r>
      <w:r>
        <w:t xml:space="preserve">“Governance Policy</w:t>
      </w:r>
      <w:r>
        <w:t xml:space="preserve"> </w:t>
      </w:r>
      <w:r>
        <w:t xml:space="preserve">Exception Request”</w:t>
      </w:r>
      <w:r>
        <w:t xml:space="preserve"> </w:t>
      </w:r>
      <w:r>
        <w:t xml:space="preserve">RITM in ServiceNow</w:t>
      </w:r>
    </w:p>
    <w:p>
      <w:pPr>
        <w:pStyle w:val="Compact"/>
        <w:numPr>
          <w:ilvl w:val="0"/>
          <w:numId w:val="1178"/>
        </w:numPr>
      </w:pPr>
      <w:r>
        <w:t xml:space="preserve">The RITM must include: (a) the specific policy requirement being waived, (b)</w:t>
      </w:r>
      <w:r>
        <w:t xml:space="preserve"> </w:t>
      </w:r>
      <w:r>
        <w:t xml:space="preserve">the business or technical reason the policy cannot be met, (c) the compensating</w:t>
      </w:r>
      <w:r>
        <w:t xml:space="preserve"> </w:t>
      </w:r>
      <w:r>
        <w:t xml:space="preserve">controls that will be applied in place of the standard requirement, (d) the</w:t>
      </w:r>
      <w:r>
        <w:t xml:space="preserve"> </w:t>
      </w:r>
      <w:r>
        <w:t xml:space="preserve">requested exception duration, and (e) the risk acceptance statement signed by</w:t>
      </w:r>
      <w:r>
        <w:t xml:space="preserve"> </w:t>
      </w:r>
      <w:r>
        <w:t xml:space="preserve">the Departmental Owner</w:t>
      </w:r>
    </w:p>
    <w:p>
      <w:pPr>
        <w:pStyle w:val="Compact"/>
        <w:numPr>
          <w:ilvl w:val="0"/>
          <w:numId w:val="1178"/>
        </w:numPr>
      </w:pPr>
      <w:r>
        <w:t xml:space="preserve">ServiceNow routes the RITM to the IGO for review</w:t>
      </w:r>
    </w:p>
    <w:p>
      <w:pPr>
        <w:pStyle w:val="Compact"/>
        <w:numPr>
          <w:ilvl w:val="0"/>
          <w:numId w:val="1178"/>
        </w:numPr>
      </w:pPr>
      <w:r>
        <w:t xml:space="preserve">The IGO reviews the request within 5 business days and issues one of: (a)</w:t>
      </w:r>
      <w:r>
        <w:t xml:space="preserve"> </w:t>
      </w:r>
      <w:r>
        <w:t xml:space="preserve">Approved with conditions, (b) Approved as submitted, (c) Denied with</w:t>
      </w:r>
      <w:r>
        <w:t xml:space="preserve"> </w:t>
      </w:r>
      <w:r>
        <w:t xml:space="preserve">explanation, or (d) Returned for additional information</w:t>
      </w:r>
    </w:p>
    <w:p>
      <w:pPr>
        <w:pStyle w:val="Compact"/>
        <w:numPr>
          <w:ilvl w:val="0"/>
          <w:numId w:val="1178"/>
        </w:numPr>
      </w:pPr>
      <w:r>
        <w:t xml:space="preserve">Approved exceptions are logged in the Exception Register maintained by the IGO</w:t>
      </w:r>
      <w:r>
        <w:t xml:space="preserve"> </w:t>
      </w:r>
      <w:r>
        <w:t xml:space="preserve">office</w:t>
      </w:r>
    </w:p>
    <w:p>
      <w:pPr>
        <w:pStyle w:val="Compact"/>
        <w:numPr>
          <w:ilvl w:val="0"/>
          <w:numId w:val="1178"/>
        </w:numPr>
      </w:pPr>
      <w:r>
        <w:t xml:space="preserve">The Application Owner and Departmental Owner are notified of the decision</w:t>
      </w:r>
    </w:p>
    <w:p>
      <w:pPr>
        <w:pStyle w:val="Compact"/>
        <w:numPr>
          <w:ilvl w:val="0"/>
          <w:numId w:val="1178"/>
        </w:numPr>
      </w:pPr>
      <w:r>
        <w:t xml:space="preserve">If approved, the exception details and compensating controls are documented in</w:t>
      </w:r>
      <w:r>
        <w:t xml:space="preserve"> </w:t>
      </w:r>
      <w:r>
        <w:t xml:space="preserve">the Application Registry entry for the affected application</w:t>
      </w:r>
    </w:p>
    <w:bookmarkEnd w:id="373"/>
    <w:bookmarkStart w:id="374" w:name="exception-approval-authority"/>
    <w:p>
      <w:pPr>
        <w:pStyle w:val="Heading3"/>
      </w:pPr>
      <w:r>
        <w:t xml:space="preserve">Exception approval authority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Exception type</w:t>
            </w:r>
          </w:p>
        </w:tc>
        <w:tc>
          <w:tcPr/>
          <w:p>
            <w:pPr>
              <w:pStyle w:val="Compact"/>
            </w:pPr>
            <w:r>
              <w:t xml:space="preserve">Minimum approval authority</w:t>
            </w:r>
          </w:p>
        </w:tc>
        <w:tc>
          <w:tcPr/>
          <w:p>
            <w:pPr>
              <w:pStyle w:val="Compact"/>
            </w:pPr>
            <w:r>
              <w:t xml:space="preserve">Additional notification required</w:t>
            </w:r>
          </w:p>
        </w:tc>
      </w:tr>
      <w:tr>
        <w:tc>
          <w:tcPr/>
          <w:p>
            <w:pPr>
              <w:pStyle w:val="Compact"/>
            </w:pPr>
            <w:r>
              <w:t xml:space="preserve">Access review schedule deviation (Tier 3 only)</w:t>
            </w:r>
          </w:p>
        </w:tc>
        <w:tc>
          <w:tcPr/>
          <w:p>
            <w:pPr>
              <w:pStyle w:val="Compact"/>
            </w:pPr>
            <w:r>
              <w:t xml:space="preserve">IGO</w:t>
            </w:r>
          </w:p>
        </w:tc>
        <w:tc>
          <w:tcPr/>
          <w:p>
            <w:pPr>
              <w:pStyle w:val="Compact"/>
            </w:pPr>
            <w:r>
              <w:t xml:space="preserve">None</w:t>
            </w:r>
          </w:p>
        </w:tc>
      </w:tr>
      <w:tr>
        <w:tc>
          <w:tcPr/>
          <w:p>
            <w:pPr>
              <w:pStyle w:val="Compact"/>
            </w:pPr>
            <w:r>
              <w:t xml:space="preserve">Naming convention deviation</w:t>
            </w:r>
          </w:p>
        </w:tc>
        <w:tc>
          <w:tcPr/>
          <w:p>
            <w:pPr>
              <w:pStyle w:val="Compact"/>
            </w:pPr>
            <w:r>
              <w:t xml:space="preserve">IGO</w:t>
            </w:r>
          </w:p>
        </w:tc>
        <w:tc>
          <w:tcPr/>
          <w:p>
            <w:pPr>
              <w:pStyle w:val="Compact"/>
            </w:pPr>
            <w:r>
              <w:t xml:space="preserve">None</w:t>
            </w:r>
          </w:p>
        </w:tc>
      </w:tr>
      <w:tr>
        <w:tc>
          <w:tcPr/>
          <w:p>
            <w:pPr>
              <w:pStyle w:val="Compact"/>
            </w:pPr>
            <w:r>
              <w:t xml:space="preserve">Access review schedule deviation (Tier 1 or 2)</w:t>
            </w:r>
          </w:p>
        </w:tc>
        <w:tc>
          <w:tcPr/>
          <w:p>
            <w:pPr>
              <w:pStyle w:val="Compact"/>
            </w:pPr>
            <w:r>
              <w:t xml:space="preserve">IGO + CISO concurrence</w:t>
            </w:r>
          </w:p>
        </w:tc>
        <w:tc>
          <w:tcPr/>
          <w:p>
            <w:pPr>
              <w:pStyle w:val="Compact"/>
            </w:pPr>
            <w:r>
              <w:t xml:space="preserve">CISO</w:t>
            </w:r>
          </w:p>
        </w:tc>
      </w:tr>
      <w:tr>
        <w:tc>
          <w:tcPr/>
          <w:p>
            <w:pPr>
              <w:pStyle w:val="Compact"/>
            </w:pPr>
            <w:r>
              <w:t xml:space="preserve">Admin Consent approval chain modification</w:t>
            </w:r>
          </w:p>
        </w:tc>
        <w:tc>
          <w:tcPr/>
          <w:p>
            <w:pPr>
              <w:pStyle w:val="Compact"/>
            </w:pPr>
            <w:r>
              <w:t xml:space="preserve">IGO + CISO approval</w:t>
            </w:r>
          </w:p>
        </w:tc>
        <w:tc>
          <w:tcPr/>
          <w:p>
            <w:pPr>
              <w:pStyle w:val="Compact"/>
            </w:pPr>
            <w:r>
              <w:t xml:space="preserve">CISO; legal if applicable</w:t>
            </w:r>
          </w:p>
        </w:tc>
      </w:tr>
      <w:tr>
        <w:tc>
          <w:tcPr/>
          <w:p>
            <w:pPr>
              <w:pStyle w:val="Compact"/>
            </w:pPr>
            <w:r>
              <w:t xml:space="preserve">Audit log retention reduction below minimum</w:t>
            </w:r>
          </w:p>
        </w:tc>
        <w:tc>
          <w:tcPr/>
          <w:p>
            <w:pPr>
              <w:pStyle w:val="Compact"/>
            </w:pPr>
            <w:r>
              <w:t xml:space="preserve">IGO + CISO + Agency CIO approval</w:t>
            </w:r>
          </w:p>
        </w:tc>
        <w:tc>
          <w:tcPr/>
          <w:p>
            <w:pPr>
              <w:pStyle w:val="Compact"/>
            </w:pPr>
            <w:r>
              <w:t xml:space="preserve">CISO, CIO; potentially IG</w:t>
            </w:r>
          </w:p>
        </w:tc>
      </w:tr>
      <w:tr>
        <w:tc>
          <w:tcPr/>
          <w:p>
            <w:pPr>
              <w:pStyle w:val="Compact"/>
            </w:pPr>
            <w:r>
              <w:t xml:space="preserve">Group-based access mandate waiver</w:t>
            </w:r>
          </w:p>
        </w:tc>
        <w:tc>
          <w:tcPr/>
          <w:p>
            <w:pPr>
              <w:pStyle w:val="Compact"/>
            </w:pPr>
            <w:r>
              <w:t xml:space="preserve">IGO + CISO approval</w:t>
            </w:r>
          </w:p>
        </w:tc>
        <w:tc>
          <w:tcPr/>
          <w:p>
            <w:pPr>
              <w:pStyle w:val="Compact"/>
            </w:pPr>
            <w:r>
              <w:t xml:space="preserve">CISO</w:t>
            </w:r>
          </w:p>
        </w:tc>
      </w:tr>
      <w:tr>
        <w:tc>
          <w:tcPr/>
          <w:p>
            <w:pPr>
              <w:pStyle w:val="Compact"/>
            </w:pPr>
            <w:r>
              <w:t xml:space="preserve">SLA modification</w:t>
            </w:r>
          </w:p>
        </w:tc>
        <w:tc>
          <w:tcPr/>
          <w:p>
            <w:pPr>
              <w:pStyle w:val="Compact"/>
            </w:pPr>
            <w:r>
              <w:t xml:space="preserve">IGO</w:t>
            </w:r>
          </w:p>
        </w:tc>
        <w:tc>
          <w:tcPr/>
          <w:p>
            <w:pPr>
              <w:pStyle w:val="Compact"/>
            </w:pPr>
            <w:r>
              <w:t xml:space="preserve">Help Desk management</w:t>
            </w:r>
          </w:p>
        </w:tc>
      </w:tr>
    </w:tbl>
    <w:bookmarkEnd w:id="374"/>
    <w:bookmarkStart w:id="375" w:name="maximum-exception-duration"/>
    <w:p>
      <w:pPr>
        <w:pStyle w:val="Heading3"/>
      </w:pPr>
      <w:r>
        <w:t xml:space="preserve">Maximum exception duration</w:t>
      </w:r>
    </w:p>
    <w:p>
      <w:pPr>
        <w:pStyle w:val="FirstParagraph"/>
      </w:pPr>
      <w:r>
        <w:t xml:space="preserve">No exception may be granted for a period exceeding</w:t>
      </w:r>
      <w:r>
        <w:t xml:space="preserve"> </w:t>
      </w:r>
      <w:r>
        <w:rPr>
          <w:b/>
          <w:bCs/>
        </w:rPr>
        <w:t xml:space="preserve">6 months</w:t>
      </w:r>
      <w:r>
        <w:t xml:space="preserve"> </w:t>
      </w:r>
      <w:r>
        <w:t xml:space="preserve">from the date of</w:t>
      </w:r>
      <w:r>
        <w:t xml:space="preserve"> </w:t>
      </w:r>
      <w:r>
        <w:t xml:space="preserve">approval. At the end of the exception period, the Application Owner must either:</w:t>
      </w:r>
      <w:r>
        <w:t xml:space="preserve"> </w:t>
      </w:r>
      <w:r>
        <w:t xml:space="preserve">(a) achieve compliance with the standard policy requirement, or (b) submit a</w:t>
      </w:r>
      <w:r>
        <w:t xml:space="preserve"> </w:t>
      </w:r>
      <w:r>
        <w:t xml:space="preserve">renewal request with updated justification and risk assessment. Exception</w:t>
      </w:r>
      <w:r>
        <w:t xml:space="preserve"> </w:t>
      </w:r>
      <w:r>
        <w:t xml:space="preserve">renewals are subject to the same approval process as the original request and may</w:t>
      </w:r>
      <w:r>
        <w:t xml:space="preserve"> </w:t>
      </w:r>
      <w:r>
        <w:t xml:space="preserve">not be automatically renewed. The IGO may revoke any exception at any time if</w:t>
      </w:r>
      <w:r>
        <w:t xml:space="preserve"> </w:t>
      </w:r>
      <w:r>
        <w:t xml:space="preserve">circumstances change or compensating controls are found to be insufficient.</w:t>
      </w:r>
    </w:p>
    <w:bookmarkEnd w:id="375"/>
    <w:bookmarkStart w:id="376" w:name="exception-register-and-quarterly-review"/>
    <w:p>
      <w:pPr>
        <w:pStyle w:val="Heading3"/>
      </w:pPr>
      <w:r>
        <w:t xml:space="preserve">Exception register and quarterly review</w:t>
      </w:r>
    </w:p>
    <w:p>
      <w:pPr>
        <w:pStyle w:val="FirstParagraph"/>
      </w:pPr>
      <w:r>
        <w:t xml:space="preserve">The IGO maintains an Exception Register that lists all currently active policy</w:t>
      </w:r>
      <w:r>
        <w:t xml:space="preserve"> </w:t>
      </w:r>
      <w:r>
        <w:t xml:space="preserve">exceptions. The register contains: exception ID, affected application, policy</w:t>
      </w:r>
      <w:r>
        <w:t xml:space="preserve"> </w:t>
      </w:r>
      <w:r>
        <w:t xml:space="preserve">requirement waived, compensating controls, approval date, expiration date, and</w:t>
      </w:r>
      <w:r>
        <w:t xml:space="preserve"> </w:t>
      </w:r>
      <w:r>
        <w:t xml:space="preserve">approving authority. The Exception Register is reviewed quarterly as part of the</w:t>
      </w:r>
      <w:r>
        <w:t xml:space="preserve"> </w:t>
      </w:r>
      <w:r>
        <w:t xml:space="preserve">IGO’s governance dashboard review. Applications with expired exceptions that have</w:t>
      </w:r>
      <w:r>
        <w:t xml:space="preserve"> </w:t>
      </w:r>
      <w:r>
        <w:t xml:space="preserve">not been renewed are treated as non-compliant and their risk tier is escalated to</w:t>
      </w:r>
      <w:r>
        <w:t xml:space="preserve"> </w:t>
      </w:r>
      <w:r>
        <w:t xml:space="preserve">the next higher tier until compliance is achieved.</w:t>
      </w:r>
    </w:p>
    <w:p>
      <w:pPr>
        <w:pStyle w:val="BodyText"/>
      </w:pPr>
      <w:r>
        <w:rPr>
          <w:b/>
          <w:bCs/>
        </w:rPr>
        <w:t xml:space="preserve">Exceptions are not permanent</w:t>
      </w:r>
    </w:p>
    <w:p>
      <w:pPr>
        <w:pStyle w:val="BodyText"/>
      </w:pPr>
      <w:r>
        <w:t xml:space="preserve">No exception grants permanent relief from this governance model’s requirements.</w:t>
      </w:r>
      <w:r>
        <w:t xml:space="preserve"> </w:t>
      </w:r>
      <w:r>
        <w:t xml:space="preserve">All exceptions must be actively managed, renewed with re-justification, and</w:t>
      </w:r>
      <w:r>
        <w:t xml:space="preserve"> </w:t>
      </w:r>
      <w:r>
        <w:t xml:space="preserve">reported in the Annual Governance Review. Exceptions that have been renewed more</w:t>
      </w:r>
      <w:r>
        <w:t xml:space="preserve"> </w:t>
      </w:r>
      <w:r>
        <w:t xml:space="preserve">than twice for the same requirement will trigger a mandatory escalation to the</w:t>
      </w:r>
      <w:r>
        <w:t xml:space="preserve"> </w:t>
      </w:r>
      <w:r>
        <w:t xml:space="preserve">CISO for policy review, as they may indicate a structural compliance gap that</w:t>
      </w:r>
      <w:r>
        <w:t xml:space="preserve"> </w:t>
      </w:r>
      <w:r>
        <w:t xml:space="preserve">requires model amendment rather than ongoing exception management.</w:t>
      </w:r>
    </w:p>
    <w:bookmarkEnd w:id="376"/>
    <w:bookmarkEnd w:id="377"/>
    <w:bookmarkStart w:id="384" w:name="document-control-and-governance"/>
    <w:p>
      <w:pPr>
        <w:pStyle w:val="Heading2"/>
      </w:pPr>
      <w:r>
        <w:t xml:space="preserve">Document control and governance</w:t>
      </w:r>
    </w:p>
    <w:bookmarkStart w:id="378" w:name="version-history"/>
    <w:p>
      <w:pPr>
        <w:pStyle w:val="Heading3"/>
      </w:pPr>
      <w:r>
        <w:t xml:space="preserve">Version 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Change summary</w:t>
            </w:r>
          </w:p>
        </w:tc>
        <w:tc>
          <w:tcPr/>
          <w:p>
            <w:pPr>
              <w:pStyle w:val="Compact"/>
            </w:pPr>
            <w:r>
              <w:t xml:space="preserve">Approved by</w:t>
            </w:r>
          </w:p>
        </w:tc>
      </w:tr>
      <w:tr>
        <w:tc>
          <w:tcPr/>
          <w:p>
            <w:pPr>
              <w:pStyle w:val="Compact"/>
            </w:pPr>
            <w:r>
              <w:t xml:space="preserve">1.0</w:t>
            </w:r>
          </w:p>
        </w:tc>
        <w:tc>
          <w:tcPr/>
          <w:p>
            <w:pPr>
              <w:pStyle w:val="Compact"/>
            </w:pPr>
            <w:r>
              <w:t xml:space="preserve">June 8, 2026</w:t>
            </w:r>
          </w:p>
        </w:tc>
        <w:tc>
          <w:tcPr/>
          <w:p>
            <w:pPr>
              <w:pStyle w:val="Compact"/>
            </w:pPr>
            <w:r>
              <w:t xml:space="preserve">Identity Governance Officer</w:t>
            </w:r>
          </w:p>
        </w:tc>
        <w:tc>
          <w:tcPr/>
          <w:p>
            <w:pPr>
              <w:pStyle w:val="Compact"/>
            </w:pPr>
            <w:r>
              <w:t xml:space="preserve">Initial publication. Establishes complete Enterprise Application Access Governance and Approval Model for Microsoft Entra ID. Incorporates all governance roles, risk classification framework, access workflows, group-based access governance, Admin Consent governance, ServiceNow integration, and audit requirements.</w:t>
            </w:r>
          </w:p>
        </w:tc>
        <w:tc>
          <w:tcPr/>
          <w:p>
            <w:pPr>
              <w:pStyle w:val="Compact"/>
            </w:pPr>
            <w:r>
              <w:t xml:space="preserve">CISO</w:t>
            </w:r>
          </w:p>
        </w:tc>
      </w:tr>
    </w:tbl>
    <w:bookmarkEnd w:id="378"/>
    <w:bookmarkStart w:id="379" w:name="review-cycle"/>
    <w:p>
      <w:pPr>
        <w:pStyle w:val="Heading3"/>
      </w:pPr>
      <w:r>
        <w:t xml:space="preserve">Review cycle</w:t>
      </w:r>
    </w:p>
    <w:p>
      <w:pPr>
        <w:pStyle w:val="FirstParagraph"/>
      </w:pPr>
      <w:r>
        <w:t xml:space="preserve">This document is subject to the following review triggers:</w:t>
      </w:r>
    </w:p>
    <w:p>
      <w:pPr>
        <w:pStyle w:val="Compact"/>
        <w:numPr>
          <w:ilvl w:val="0"/>
          <w:numId w:val="1179"/>
        </w:numPr>
      </w:pPr>
      <w:r>
        <w:rPr>
          <w:b/>
          <w:bCs/>
        </w:rPr>
        <w:t xml:space="preserve">Annual minimum:</w:t>
      </w:r>
      <w:r>
        <w:t xml:space="preserve"> </w:t>
      </w:r>
      <w:r>
        <w:t xml:space="preserve">Reviewed each June as part of the Annual Governance Review</w:t>
      </w:r>
      <w:r>
        <w:t xml:space="preserve"> </w:t>
      </w:r>
      <w:r>
        <w:t xml:space="preserve">cycle. Updated version published by July 31 if changes are required.</w:t>
      </w:r>
    </w:p>
    <w:p>
      <w:pPr>
        <w:pStyle w:val="Compact"/>
        <w:numPr>
          <w:ilvl w:val="0"/>
          <w:numId w:val="1179"/>
        </w:numPr>
      </w:pPr>
      <w:r>
        <w:rPr>
          <w:b/>
          <w:bCs/>
        </w:rPr>
        <w:t xml:space="preserve">Triggered review — Entra ID platform changes:</w:t>
      </w:r>
      <w:r>
        <w:t xml:space="preserve"> </w:t>
      </w:r>
      <w:r>
        <w:t xml:space="preserve">Any Microsoft announcement of</w:t>
      </w:r>
      <w:r>
        <w:t xml:space="preserve"> </w:t>
      </w:r>
      <w:r>
        <w:t xml:space="preserve">material changes to Entra ID Enterprise Application functionality, Admin Consent</w:t>
      </w:r>
      <w:r>
        <w:t xml:space="preserve"> </w:t>
      </w:r>
      <w:r>
        <w:t xml:space="preserve">behavior, or PIM capabilities triggers an unscheduled review within 30 days of</w:t>
      </w:r>
      <w:r>
        <w:t xml:space="preserve"> </w:t>
      </w:r>
      <w:r>
        <w:t xml:space="preserve">the announcement</w:t>
      </w:r>
    </w:p>
    <w:p>
      <w:pPr>
        <w:pStyle w:val="Compact"/>
        <w:numPr>
          <w:ilvl w:val="0"/>
          <w:numId w:val="1179"/>
        </w:numPr>
      </w:pPr>
      <w:r>
        <w:rPr>
          <w:b/>
          <w:bCs/>
        </w:rPr>
        <w:t xml:space="preserve">Triggered review — regulatory change:</w:t>
      </w:r>
      <w:r>
        <w:t xml:space="preserve"> </w:t>
      </w:r>
      <w:r>
        <w:t xml:space="preserve">New or amended federal regulations,</w:t>
      </w:r>
      <w:r>
        <w:t xml:space="preserve"> </w:t>
      </w:r>
      <w:r>
        <w:t xml:space="preserve">NIST guidelines, or OMB memoranda affecting identity and access management</w:t>
      </w:r>
      <w:r>
        <w:t xml:space="preserve"> </w:t>
      </w:r>
      <w:r>
        <w:t xml:space="preserve">trigger a review within 60 days</w:t>
      </w:r>
    </w:p>
    <w:p>
      <w:pPr>
        <w:pStyle w:val="Compact"/>
        <w:numPr>
          <w:ilvl w:val="0"/>
          <w:numId w:val="1179"/>
        </w:numPr>
      </w:pPr>
      <w:r>
        <w:rPr>
          <w:b/>
          <w:bCs/>
        </w:rPr>
        <w:t xml:space="preserve">Triggered review — security incident:</w:t>
      </w:r>
      <w:r>
        <w:t xml:space="preserve"> </w:t>
      </w:r>
      <w:r>
        <w:t xml:space="preserve">Any security incident involving an</w:t>
      </w:r>
      <w:r>
        <w:t xml:space="preserve"> </w:t>
      </w:r>
      <w:r>
        <w:t xml:space="preserve">Enterprise Application or Admin Consent grant triggers a review of relevant</w:t>
      </w:r>
      <w:r>
        <w:t xml:space="preserve"> </w:t>
      </w:r>
      <w:r>
        <w:t xml:space="preserve">sections within 30 days of incident closure</w:t>
      </w:r>
    </w:p>
    <w:p>
      <w:pPr>
        <w:pStyle w:val="Compact"/>
        <w:numPr>
          <w:ilvl w:val="0"/>
          <w:numId w:val="1179"/>
        </w:numPr>
      </w:pPr>
      <w:r>
        <w:rPr>
          <w:b/>
          <w:bCs/>
        </w:rPr>
        <w:t xml:space="preserve">Triggered review — organizational change:</w:t>
      </w:r>
      <w:r>
        <w:t xml:space="preserve"> </w:t>
      </w:r>
      <w:r>
        <w:t xml:space="preserve">Significant agency reorganization</w:t>
      </w:r>
      <w:r>
        <w:t xml:space="preserve"> </w:t>
      </w:r>
      <w:r>
        <w:t xml:space="preserve">affecting application ownership structures or departmental authority triggers a</w:t>
      </w:r>
      <w:r>
        <w:t xml:space="preserve"> </w:t>
      </w:r>
      <w:r>
        <w:t xml:space="preserve">review within 60 days</w:t>
      </w:r>
    </w:p>
    <w:bookmarkEnd w:id="379"/>
    <w:bookmarkStart w:id="380" w:name="document-owner"/>
    <w:p>
      <w:pPr>
        <w:pStyle w:val="Heading3"/>
      </w:pPr>
      <w:r>
        <w:t xml:space="preserve">Document owner</w:t>
      </w:r>
    </w:p>
    <w:p>
      <w:pPr>
        <w:pStyle w:val="FirstParagraph"/>
      </w:pPr>
      <w:r>
        <w:t xml:space="preserve">The</w:t>
      </w:r>
      <w:r>
        <w:t xml:space="preserve"> </w:t>
      </w:r>
      <w:r>
        <w:rPr>
          <w:b/>
          <w:bCs/>
        </w:rPr>
        <w:t xml:space="preserve">Identity Governance Officer (IGO)</w:t>
      </w:r>
      <w:r>
        <w:t xml:space="preserve"> </w:t>
      </w:r>
      <w:r>
        <w:t xml:space="preserve">is the Document Owner and is responsible</w:t>
      </w:r>
      <w:r>
        <w:t xml:space="preserve"> </w:t>
      </w:r>
      <w:r>
        <w:t xml:space="preserve">for: maintaining the authoritative copy of this document, initiating and</w:t>
      </w:r>
      <w:r>
        <w:t xml:space="preserve"> </w:t>
      </w:r>
      <w:r>
        <w:t xml:space="preserve">overseeing scheduled and triggered reviews, managing the version history, and</w:t>
      </w:r>
      <w:r>
        <w:t xml:space="preserve"> </w:t>
      </w:r>
      <w:r>
        <w:t xml:space="preserve">ensuring distribution to all applicable personnel. In the event of an IGO vacancy,</w:t>
      </w:r>
      <w:r>
        <w:t xml:space="preserve"> </w:t>
      </w:r>
      <w:r>
        <w:t xml:space="preserve">the CISO assumes Document Owner responsibilities until a successor IGO is</w:t>
      </w:r>
      <w:r>
        <w:t xml:space="preserve"> </w:t>
      </w:r>
      <w:r>
        <w:t xml:space="preserve">designated.</w:t>
      </w:r>
    </w:p>
    <w:bookmarkEnd w:id="380"/>
    <w:bookmarkStart w:id="381" w:name="distribution-list"/>
    <w:p>
      <w:pPr>
        <w:pStyle w:val="Heading3"/>
      </w:pPr>
      <w:r>
        <w:t xml:space="preserve">Distribution 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 / group</w:t>
            </w:r>
          </w:p>
        </w:tc>
        <w:tc>
          <w:tcPr/>
          <w:p>
            <w:pPr>
              <w:pStyle w:val="Compact"/>
            </w:pPr>
            <w:r>
              <w:t xml:space="preserve">Distribution method</w:t>
            </w:r>
          </w:p>
        </w:tc>
        <w:tc>
          <w:tcPr/>
          <w:p>
            <w:pPr>
              <w:pStyle w:val="Compact"/>
            </w:pPr>
            <w:r>
              <w:t xml:space="preserve">Distribution trigger</w:t>
            </w:r>
          </w:p>
        </w:tc>
      </w:tr>
      <w:tr>
        <w:tc>
          <w:tcPr/>
          <w:p>
            <w:pPr>
              <w:pStyle w:val="Compact"/>
            </w:pPr>
            <w:r>
              <w:t xml:space="preserve">CISO and Deputy CISO</w:t>
            </w:r>
          </w:p>
        </w:tc>
        <w:tc>
          <w:tcPr/>
          <w:p>
            <w:pPr>
              <w:pStyle w:val="Compact"/>
            </w:pPr>
            <w:r>
              <w:t xml:space="preserve">Direct email distribution from IGO</w:t>
            </w:r>
          </w:p>
        </w:tc>
        <w:tc>
          <w:tcPr/>
          <w:p>
            <w:pPr>
              <w:pStyle w:val="Compact"/>
            </w:pPr>
            <w:r>
              <w:t xml:space="preserve">Each published version</w:t>
            </w:r>
          </w:p>
        </w:tc>
      </w:tr>
      <w:tr>
        <w:tc>
          <w:tcPr/>
          <w:p>
            <w:pPr>
              <w:pStyle w:val="Compact"/>
            </w:pPr>
            <w:r>
              <w:t xml:space="preserve">All Identity Administrators (Privileged Role Administrators)</w:t>
            </w:r>
          </w:p>
        </w:tc>
        <w:tc>
          <w:tcPr/>
          <w:p>
            <w:pPr>
              <w:pStyle w:val="Compact"/>
            </w:pPr>
            <w:r>
              <w:t xml:space="preserve">IGO distribution list email</w:t>
            </w:r>
          </w:p>
        </w:tc>
        <w:tc>
          <w:tcPr/>
          <w:p>
            <w:pPr>
              <w:pStyle w:val="Compact"/>
            </w:pPr>
            <w:r>
              <w:t xml:space="preserve">Each published version</w:t>
            </w:r>
          </w:p>
        </w:tc>
      </w:tr>
      <w:tr>
        <w:tc>
          <w:tcPr/>
          <w:p>
            <w:pPr>
              <w:pStyle w:val="Compact"/>
            </w:pPr>
            <w:r>
              <w:t xml:space="preserve">All Application Owners (current registry)</w:t>
            </w:r>
          </w:p>
        </w:tc>
        <w:tc>
          <w:tcPr/>
          <w:p>
            <w:pPr>
              <w:pStyle w:val="Compact"/>
            </w:pPr>
            <w:r>
              <w:t xml:space="preserve">ServiceNow notification + email</w:t>
            </w:r>
          </w:p>
        </w:tc>
        <w:tc>
          <w:tcPr/>
          <w:p>
            <w:pPr>
              <w:pStyle w:val="Compact"/>
            </w:pPr>
            <w:r>
              <w:t xml:space="preserve">Each published version</w:t>
            </w:r>
          </w:p>
        </w:tc>
      </w:tr>
      <w:tr>
        <w:tc>
          <w:tcPr/>
          <w:p>
            <w:pPr>
              <w:pStyle w:val="Compact"/>
            </w:pPr>
            <w:r>
              <w:t xml:space="preserve">All Departmental Owners (current registry)</w:t>
            </w:r>
          </w:p>
        </w:tc>
        <w:tc>
          <w:tcPr/>
          <w:p>
            <w:pPr>
              <w:pStyle w:val="Compact"/>
            </w:pPr>
            <w:r>
              <w:t xml:space="preserve">ServiceNow notification + email</w:t>
            </w:r>
          </w:p>
        </w:tc>
        <w:tc>
          <w:tcPr/>
          <w:p>
            <w:pPr>
              <w:pStyle w:val="Compact"/>
            </w:pPr>
            <w:r>
              <w:t xml:space="preserve">Each published version</w:t>
            </w:r>
          </w:p>
        </w:tc>
      </w:tr>
      <w:tr>
        <w:tc>
          <w:tcPr/>
          <w:p>
            <w:pPr>
              <w:pStyle w:val="Compact"/>
            </w:pPr>
            <w:r>
              <w:t xml:space="preserve">Help Desk Operations Manager</w:t>
            </w:r>
          </w:p>
        </w:tc>
        <w:tc>
          <w:tcPr/>
          <w:p>
            <w:pPr>
              <w:pStyle w:val="Compact"/>
            </w:pPr>
            <w:r>
              <w:t xml:space="preserve">Direct email distribution</w:t>
            </w:r>
          </w:p>
        </w:tc>
        <w:tc>
          <w:tcPr/>
          <w:p>
            <w:pPr>
              <w:pStyle w:val="Compact"/>
            </w:pPr>
            <w:r>
              <w:t xml:space="preserve">Each published version</w:t>
            </w:r>
          </w:p>
        </w:tc>
      </w:tr>
      <w:tr>
        <w:tc>
          <w:tcPr/>
          <w:p>
            <w:pPr>
              <w:pStyle w:val="Compact"/>
            </w:pPr>
            <w:r>
              <w:t xml:space="preserve">Agency Legal Counsel (for record)</w:t>
            </w:r>
          </w:p>
        </w:tc>
        <w:tc>
          <w:tcPr/>
          <w:p>
            <w:pPr>
              <w:pStyle w:val="Compact"/>
            </w:pPr>
            <w:r>
              <w:t xml:space="preserve">IGO office transmission</w:t>
            </w:r>
          </w:p>
        </w:tc>
        <w:tc>
          <w:tcPr/>
          <w:p>
            <w:pPr>
              <w:pStyle w:val="Compact"/>
            </w:pPr>
            <w:r>
              <w:t xml:space="preserve">Version 1.0 and major revisions</w:t>
            </w:r>
          </w:p>
        </w:tc>
      </w:tr>
      <w:tr>
        <w:tc>
          <w:tcPr/>
          <w:p>
            <w:pPr>
              <w:pStyle w:val="Compact"/>
            </w:pPr>
            <w:r>
              <w:t xml:space="preserve">Inspector General Office (for record)</w:t>
            </w:r>
          </w:p>
        </w:tc>
        <w:tc>
          <w:tcPr/>
          <w:p>
            <w:pPr>
              <w:pStyle w:val="Compact"/>
            </w:pPr>
            <w:r>
              <w:t xml:space="preserve">IGO office transmission</w:t>
            </w:r>
          </w:p>
        </w:tc>
        <w:tc>
          <w:tcPr/>
          <w:p>
            <w:pPr>
              <w:pStyle w:val="Compact"/>
            </w:pPr>
            <w:r>
              <w:t xml:space="preserve">Version 1.0 and major revisions</w:t>
            </w:r>
          </w:p>
        </w:tc>
      </w:tr>
      <w:tr>
        <w:tc>
          <w:tcPr/>
          <w:p>
            <w:pPr>
              <w:pStyle w:val="Compact"/>
            </w:pPr>
            <w:r>
              <w:t xml:space="preserve">SharePoint Governance Document Library</w:t>
            </w:r>
          </w:p>
        </w:tc>
        <w:tc>
          <w:tcPr/>
          <w:p>
            <w:pPr>
              <w:pStyle w:val="Compact"/>
            </w:pPr>
            <w:r>
              <w:t xml:space="preserve">Automated upload by IGO</w:t>
            </w:r>
          </w:p>
        </w:tc>
        <w:tc>
          <w:tcPr/>
          <w:p>
            <w:pPr>
              <w:pStyle w:val="Compact"/>
            </w:pPr>
            <w:r>
              <w:t xml:space="preserve">Each published version</w:t>
            </w:r>
          </w:p>
        </w:tc>
      </w:tr>
    </w:tbl>
    <w:bookmarkEnd w:id="381"/>
    <w:bookmarkStart w:id="382" w:name="compliance-certification"/>
    <w:p>
      <w:pPr>
        <w:pStyle w:val="Heading3"/>
      </w:pPr>
      <w:r>
        <w:t xml:space="preserve">Compliance certification</w:t>
      </w:r>
    </w:p>
    <w:p>
      <w:pPr>
        <w:pStyle w:val="FirstParagraph"/>
      </w:pPr>
      <w:r>
        <w:t xml:space="preserve">By accepting distribution of this document, Application Owners and Departmental</w:t>
      </w:r>
      <w:r>
        <w:t xml:space="preserve"> </w:t>
      </w:r>
      <w:r>
        <w:t xml:space="preserve">Owners acknowledge that they have read, understood, and accepted their</w:t>
      </w:r>
      <w:r>
        <w:t xml:space="preserve"> </w:t>
      </w:r>
      <w:r>
        <w:t xml:space="preserve">responsibilities as defined herein. Completion of the Application Owner</w:t>
      </w:r>
      <w:r>
        <w:t xml:space="preserve"> </w:t>
      </w:r>
      <w:r>
        <w:t xml:space="preserve">Acknowledgement form in ServiceNow is required within 10 business days of each new</w:t>
      </w:r>
      <w:r>
        <w:t xml:space="preserve"> </w:t>
      </w:r>
      <w:r>
        <w:t xml:space="preserve">version publication. Non-acknowledgement is escalated to the relevant supervisor</w:t>
      </w:r>
      <w:r>
        <w:t xml:space="preserve"> </w:t>
      </w:r>
      <w:r>
        <w:t xml:space="preserve">and reported in the quarterly governance dashboard.</w:t>
      </w:r>
    </w:p>
    <w:bookmarkEnd w:id="382"/>
    <w:bookmarkStart w:id="383" w:name="approval-signatures"/>
    <w:p>
      <w:pPr>
        <w:pStyle w:val="Heading3"/>
      </w:pPr>
      <w:r>
        <w:t xml:space="preserve">Approval signatures</w:t>
      </w:r>
    </w:p>
    <w:p>
      <w:pPr>
        <w:pStyle w:val="FirstParagraph"/>
      </w:pPr>
      <w:r>
        <w:t xml:space="preserve">This document has been reviewed and approved by the following authorized</w:t>
      </w:r>
      <w:r>
        <w:t xml:space="preserve"> </w:t>
      </w:r>
      <w:r>
        <w:t xml:space="preserve">officials: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 (print)</w:t>
            </w:r>
          </w:p>
        </w:tc>
        <w:tc>
          <w:tcPr/>
          <w:p>
            <w:pPr>
              <w:pStyle w:val="Compact"/>
            </w:pPr>
            <w:r>
              <w:t xml:space="preserve">Signature</w:t>
            </w:r>
          </w:p>
        </w:tc>
        <w:tc>
          <w:tcPr/>
          <w:p>
            <w:pPr>
              <w:pStyle w:val="Compact"/>
            </w:pPr>
            <w:r>
              <w:t xml:space="preserve">Date</w:t>
            </w:r>
          </w:p>
        </w:tc>
      </w:tr>
      <w:tr>
        <w:tc>
          <w:tcPr/>
          <w:p>
            <w:pPr>
              <w:pStyle w:val="Compact"/>
            </w:pPr>
            <w:r>
              <w:rPr>
                <w:b/>
                <w:bCs/>
              </w:rPr>
              <w:t xml:space="preserve">Identity Governance Officer (Document Owner)</w:t>
            </w:r>
          </w:p>
        </w:tc>
        <w:tc>
          <w:tcPr/>
          <w:p>
            <w:pPr>
              <w:pStyle w:val="Compact"/>
            </w:pPr>
          </w:p>
        </w:tc>
        <w:tc>
          <w:tcPr/>
          <w:p>
            <w:pPr>
              <w:pStyle w:val="Compact"/>
            </w:pPr>
          </w:p>
        </w:tc>
        <w:tc>
          <w:tcPr/>
          <w:p>
            <w:pPr>
              <w:pStyle w:val="Compact"/>
            </w:pPr>
          </w:p>
        </w:tc>
      </w:tr>
      <w:tr>
        <w:tc>
          <w:tcPr/>
          <w:p>
            <w:pPr>
              <w:pStyle w:val="Compact"/>
            </w:pPr>
            <w:r>
              <w:rPr>
                <w:b/>
                <w:bCs/>
              </w:rPr>
              <w:t xml:space="preserve">Chief Information Security Officer (CISO)</w:t>
            </w:r>
          </w:p>
        </w:tc>
        <w:tc>
          <w:tcPr/>
          <w:p>
            <w:pPr>
              <w:pStyle w:val="Compact"/>
            </w:pPr>
          </w:p>
        </w:tc>
        <w:tc>
          <w:tcPr/>
          <w:p>
            <w:pPr>
              <w:pStyle w:val="Compact"/>
            </w:pPr>
          </w:p>
        </w:tc>
        <w:tc>
          <w:tcPr/>
          <w:p>
            <w:pPr>
              <w:pStyle w:val="Compact"/>
            </w:pPr>
          </w:p>
        </w:tc>
      </w:tr>
      <w:tr>
        <w:tc>
          <w:tcPr/>
          <w:p>
            <w:pPr>
              <w:pStyle w:val="Compact"/>
            </w:pPr>
            <w:r>
              <w:rPr>
                <w:b/>
                <w:bCs/>
              </w:rPr>
              <w:t xml:space="preserve">Deputy CISO / Authorizing Official</w:t>
            </w:r>
          </w:p>
        </w:tc>
        <w:tc>
          <w:tcPr/>
          <w:p>
            <w:pPr>
              <w:pStyle w:val="Compact"/>
            </w:pPr>
          </w:p>
        </w:tc>
        <w:tc>
          <w:tcPr/>
          <w:p>
            <w:pPr>
              <w:pStyle w:val="Compact"/>
            </w:pPr>
          </w:p>
        </w:tc>
        <w:tc>
          <w:tcPr/>
          <w:p>
            <w:pPr>
              <w:pStyle w:val="Compact"/>
            </w:pPr>
          </w:p>
        </w:tc>
      </w:tr>
      <w:tr>
        <w:tc>
          <w:tcPr/>
          <w:p>
            <w:pPr>
              <w:pStyle w:val="Compact"/>
            </w:pPr>
            <w:r>
              <w:rPr>
                <w:b/>
                <w:bCs/>
              </w:rPr>
              <w:t xml:space="preserve">Chief Information Officer (CIO)</w:t>
            </w:r>
          </w:p>
        </w:tc>
        <w:tc>
          <w:tcPr/>
          <w:p>
            <w:pPr>
              <w:pStyle w:val="Compact"/>
            </w:pPr>
          </w:p>
        </w:tc>
        <w:tc>
          <w:tcPr/>
          <w:p>
            <w:pPr>
              <w:pStyle w:val="Compact"/>
            </w:pPr>
          </w:p>
        </w:tc>
        <w:tc>
          <w:tcPr/>
          <w:p>
            <w:pPr>
              <w:pStyle w:val="Compact"/>
            </w:pPr>
          </w:p>
        </w:tc>
      </w:tr>
      <w:tr>
        <w:tc>
          <w:tcPr/>
          <w:p>
            <w:pPr>
              <w:pStyle w:val="Compact"/>
            </w:pPr>
            <w:r>
              <w:rPr>
                <w:b/>
                <w:bCs/>
              </w:rPr>
              <w:t xml:space="preserve">Help Desk Operations Manager</w:t>
            </w:r>
          </w:p>
        </w:tc>
        <w:tc>
          <w:tcPr/>
          <w:p>
            <w:pPr>
              <w:pStyle w:val="Compact"/>
            </w:pPr>
          </w:p>
        </w:tc>
        <w:tc>
          <w:tcPr/>
          <w:p>
            <w:pPr>
              <w:pStyle w:val="Compact"/>
            </w:pPr>
          </w:p>
        </w:tc>
        <w:tc>
          <w:tcPr/>
          <w:p>
            <w:pPr>
              <w:pStyle w:val="Compact"/>
            </w:pPr>
          </w:p>
        </w:tc>
      </w:tr>
    </w:tbl>
    <w:p>
      <w:pPr>
        <w:pStyle w:val="BodyText"/>
      </w:pPr>
      <w:r>
        <w:rPr>
          <w:b/>
          <w:bCs/>
        </w:rPr>
        <w:t xml:space="preserve">Document effectivity</w:t>
      </w:r>
    </w:p>
    <w:p>
      <w:pPr>
        <w:pStyle w:val="BodyText"/>
      </w:pPr>
      <w:r>
        <w:t xml:space="preserve">This document becomes effective upon signature by the CISO and Identity Governance</w:t>
      </w:r>
      <w:r>
        <w:t xml:space="preserve"> </w:t>
      </w:r>
      <w:r>
        <w:t xml:space="preserve">Officer. Prior to that point, it is in DRAFT status and may not be relied upon for</w:t>
      </w:r>
      <w:r>
        <w:t xml:space="preserve"> </w:t>
      </w:r>
      <w:r>
        <w:t xml:space="preserve">governance decisions. The effective date will be recorded in the next revision of</w:t>
      </w:r>
      <w:r>
        <w:t xml:space="preserve"> </w:t>
      </w:r>
      <w:r>
        <w:t xml:space="preserve">the Version History table and reflected in the Application Registry governance</w:t>
      </w:r>
      <w:r>
        <w:t xml:space="preserve"> </w:t>
      </w:r>
      <w:r>
        <w:t xml:space="preserve">record.</w:t>
      </w:r>
    </w:p>
    <w:bookmarkEnd w:id="383"/>
    <w:bookmarkEnd w:id="384"/>
    <w:bookmarkStart w:id="386" w:name="servicenow-automation-alignment"/>
    <w:p>
      <w:pPr>
        <w:pStyle w:val="Heading2"/>
      </w:pPr>
      <w:r>
        <w:t xml:space="preserve">ServiceNow automation alignment</w:t>
      </w:r>
    </w:p>
    <w:p>
      <w:pPr>
        <w:pStyle w:val="FirstParagraph"/>
      </w:pPr>
      <w:r>
        <w:rPr>
          <w:b/>
          <w:bCs/>
        </w:rPr>
        <w:t xml:space="preserve">Integrating ServiceNow's shipped functions — not reinventing them</w:t>
      </w:r>
    </w:p>
    <w:p>
      <w:pPr>
        <w:pStyle w:val="BodyText"/>
      </w:pPr>
      <w:r>
        <w:t xml:space="preserve">This guidance does</w:t>
      </w:r>
      <w:r>
        <w:t xml:space="preserve"> </w:t>
      </w:r>
      <w:r>
        <w:rPr>
          <w:b/>
          <w:bCs/>
        </w:rPr>
        <w:t xml:space="preserve">not</w:t>
      </w:r>
      <w:r>
        <w:t xml:space="preserve"> </w:t>
      </w:r>
      <w:r>
        <w:t xml:space="preserve">build a parallel automation engine. ServiceNow already</w:t>
      </w:r>
      <w:r>
        <w:t xml:space="preserve"> </w:t>
      </w:r>
      <w:r>
        <w:t xml:space="preserve">ships the integration: the</w:t>
      </w:r>
      <w:r>
        <w:t xml:space="preserve"> </w:t>
      </w:r>
      <w:r>
        <w:rPr>
          <w:b/>
          <w:bCs/>
        </w:rPr>
        <w:t xml:space="preserve">Microsoft Entra ID Spoke</w:t>
      </w:r>
      <w:r>
        <w:t xml:space="preserve"> </w:t>
      </w:r>
      <w:r>
        <w:t xml:space="preserve">“provides spoke actions to automate Microsoft Entra ID tasks for application management, audit logs, device management, group management, license management, organization management, password management, service principal management, user authentication, and user management”</w:t>
      </w:r>
      <w:r>
        <w:t xml:space="preserve"> </w:t>
      </w:r>
      <w:r>
        <w:t xml:space="preserve">(</w:t>
      </w:r>
      <w:hyperlink r:id="rId385">
        <w:r>
          <w:rPr>
            <w:rStyle w:val="Hyperlink"/>
          </w:rPr>
          <w:t xml:space="preserve">ServiceNow documentation</w:t>
        </w:r>
      </w:hyperlink>
      <w:r>
        <w:t xml:space="preserve">). What this kit adds is</w:t>
      </w:r>
      <w:r>
        <w:t xml:space="preserve"> </w:t>
      </w:r>
      <w:r>
        <w:rPr>
          <w:b/>
          <w:bCs/>
        </w:rPr>
        <w:t xml:space="preserve">integration and</w:t>
      </w:r>
      <w:r>
        <w:rPr>
          <w:b/>
          <w:bCs/>
        </w:rPr>
        <w:t xml:space="preserve"> </w:t>
      </w:r>
      <w:r>
        <w:rPr>
          <w:b/>
          <w:bCs/>
        </w:rPr>
        <w:t xml:space="preserve">customization</w:t>
      </w:r>
      <w:r>
        <w:t xml:space="preserve"> </w:t>
      </w:r>
      <w:r>
        <w:t xml:space="preserve">— routing those shipped actions through the agency’s Help Desk</w:t>
      </w:r>
      <w:r>
        <w:t xml:space="preserve"> </w:t>
      </w:r>
      <w:r>
        <w:t xml:space="preserve">authority model and the ServiceNow / SAM approval pipelines, and filling only the</w:t>
      </w:r>
      <w:r>
        <w:t xml:space="preserve"> </w:t>
      </w:r>
      <w:r>
        <w:t xml:space="preserve">residual gaps the spoke does not cover (OneDrive, ImmutableID hard-match,</w:t>
      </w:r>
      <w:r>
        <w:t xml:space="preserve"> </w:t>
      </w:r>
      <w:r>
        <w:t xml:space="preserve">Conditional Access). It runs ServiceNow-first: requests enter a triage queue, are</w:t>
      </w:r>
      <w:r>
        <w:t xml:space="preserve"> </w:t>
      </w:r>
      <w:r>
        <w:t xml:space="preserve">classified by required authority, and route to the ServiceNow or SAM pipeline. See</w:t>
      </w:r>
      <w:r>
        <w:t xml:space="preserve"> </w:t>
      </w:r>
      <w:r>
        <w:t xml:space="preserve">Help Desk Flow — Intake, Triage, and Routing for the full</w:t>
      </w:r>
      <w:r>
        <w:t xml:space="preserve"> </w:t>
      </w:r>
      <w:r>
        <w:t xml:space="preserve">mechanisms and the task ↔ Spoke capability crosswalk.</w:t>
      </w:r>
    </w:p>
    <w:bookmarkEnd w:id="386"/>
    <w:bookmarkEnd w:id="387"/>
    <w:bookmarkStart w:id="455" w:name="X3f55d00196d1231c463e92b49f837fed5c171b9"/>
    <w:p>
      <w:pPr>
        <w:pStyle w:val="Heading1"/>
      </w:pPr>
      <w:r>
        <w:t xml:space="preserve">Help Desk Administrative Responsibilities Guide</w:t>
      </w:r>
    </w:p>
    <w:p>
      <w:pPr>
        <w:pStyle w:val="FirstParagraph"/>
      </w:pPr>
      <w:r>
        <w:rPr>
          <w:i/>
          <w:iCs/>
        </w:rPr>
        <w:t xml:space="preserve">Entra Governance Series — Document 1 of 3. Audience: IT leadership, Help Desk</w:t>
      </w:r>
      <w:r>
        <w:rPr>
          <w:i/>
          <w:iCs/>
        </w:rPr>
        <w:t xml:space="preserve"> </w:t>
      </w:r>
      <w:r>
        <w:rPr>
          <w:i/>
          <w:iCs/>
        </w:rPr>
        <w:t xml:space="preserve">supervisors, and Help Desk technicians. Platforms referenced: Microsoft Entra ID</w:t>
      </w:r>
      <w:r>
        <w:rPr>
          <w:i/>
          <w:iCs/>
        </w:rPr>
        <w:t xml:space="preserve"> </w:t>
      </w:r>
      <w:r>
        <w:rPr>
          <w:i/>
          <w:iCs/>
        </w:rPr>
        <w:t xml:space="preserve">· SAM (SailPoint IGA) · ServiceNow ITSM · Microsoft PIM.</w:t>
      </w:r>
    </w:p>
    <w:p>
      <w:pPr>
        <w:pStyle w:val="BodyText"/>
      </w:pPr>
      <w:r>
        <w:rPr>
          <w:b/>
          <w:bCs/>
        </w:rPr>
        <w:t xml:space="preserve">Document series notice</w:t>
      </w:r>
    </w:p>
    <w:p>
      <w:pPr>
        <w:pStyle w:val="BodyText"/>
      </w:pPr>
      <w:r>
        <w:t xml:space="preserve">This document is</w:t>
      </w:r>
      <w:r>
        <w:t xml:space="preserve"> </w:t>
      </w:r>
      <w:r>
        <w:rPr>
          <w:b/>
          <w:bCs/>
        </w:rPr>
        <w:t xml:space="preserve">Document 1 of 3</w:t>
      </w:r>
      <w:r>
        <w:t xml:space="preserve"> </w:t>
      </w:r>
      <w:r>
        <w:t xml:space="preserve">in the agency’s</w:t>
      </w:r>
      <w:r>
        <w:t xml:space="preserve"> </w:t>
      </w:r>
      <w:r>
        <w:rPr>
          <w:b/>
          <w:bCs/>
        </w:rPr>
        <w:t xml:space="preserve">Entra Governance</w:t>
      </w:r>
      <w:r>
        <w:t xml:space="preserve"> </w:t>
      </w:r>
      <w:r>
        <w:t xml:space="preserve">series.</w:t>
      </w:r>
      <w:r>
        <w:t xml:space="preserve"> </w:t>
      </w:r>
      <w:r>
        <w:t xml:space="preserve">Document 2 covers Privileged Identity Management (PIM) policy and elevation</w:t>
      </w:r>
      <w:r>
        <w:t xml:space="preserve"> </w:t>
      </w:r>
      <w:r>
        <w:t xml:space="preserve">procedures in full. Document 3 covers Identity Governance Officer (IGO)</w:t>
      </w:r>
      <w:r>
        <w:t xml:space="preserve"> </w:t>
      </w:r>
      <w:r>
        <w:t xml:space="preserve">responsibilities and Admin Consent governance. This guide should be read in</w:t>
      </w:r>
      <w:r>
        <w:t xml:space="preserve"> </w:t>
      </w:r>
      <w:r>
        <w:t xml:space="preserve">conjunction with both companion documents.</w:t>
      </w:r>
    </w:p>
    <w:bookmarkStart w:id="392" w:name="purpose-and-scope-1"/>
    <w:p>
      <w:pPr>
        <w:pStyle w:val="Heading2"/>
      </w:pPr>
      <w:r>
        <w:t xml:space="preserve">Purpose and scope</w:t>
      </w:r>
    </w:p>
    <w:bookmarkStart w:id="388" w:name="purpose-7"/>
    <w:p>
      <w:pPr>
        <w:pStyle w:val="Heading3"/>
      </w:pPr>
      <w:r>
        <w:t xml:space="preserve">Purpose</w:t>
      </w:r>
    </w:p>
    <w:p>
      <w:pPr>
        <w:pStyle w:val="FirstParagraph"/>
      </w:pPr>
      <w:r>
        <w:t xml:space="preserve">This guide establishes the authoritative reference for all</w:t>
      </w:r>
      <w:r>
        <w:t xml:space="preserve"> </w:t>
      </w:r>
      <w:r>
        <w:rPr>
          <w:b/>
          <w:bCs/>
        </w:rPr>
        <w:t xml:space="preserve">Microsoft Entra ID</w:t>
      </w:r>
      <w:r>
        <w:t xml:space="preserve"> </w:t>
      </w:r>
      <w:r>
        <w:t xml:space="preserve">identity operations performed by Help Desk personnel within the agency. It</w:t>
      </w:r>
      <w:r>
        <w:t xml:space="preserve"> </w:t>
      </w:r>
      <w:r>
        <w:t xml:space="preserve">defines the authority boundaries of the Help Desk function, the privileged access</w:t>
      </w:r>
      <w:r>
        <w:t xml:space="preserve"> </w:t>
      </w:r>
      <w:r>
        <w:t xml:space="preserve">model under which Help Desk operators are permitted to act, the integration</w:t>
      </w:r>
      <w:r>
        <w:t xml:space="preserve"> </w:t>
      </w:r>
      <w:r>
        <w:t xml:space="preserve">requirements with the agency’s</w:t>
      </w:r>
      <w:r>
        <w:t xml:space="preserve"> </w:t>
      </w:r>
      <w:r>
        <w:rPr>
          <w:b/>
          <w:bCs/>
        </w:rPr>
        <w:t xml:space="preserve">Systems Access Management (SAM)</w:t>
      </w:r>
      <w:r>
        <w:t xml:space="preserve"> </w:t>
      </w:r>
      <w:r>
        <w:t xml:space="preserve">platform and</w:t>
      </w:r>
      <w:r>
        <w:t xml:space="preserve"> </w:t>
      </w:r>
      <w:r>
        <w:rPr>
          <w:b/>
          <w:bCs/>
        </w:rPr>
        <w:t xml:space="preserve">ServiceNow ITSM</w:t>
      </w:r>
      <w:r>
        <w:t xml:space="preserve"> </w:t>
      </w:r>
      <w:r>
        <w:t xml:space="preserve">environment, and the standard operating procedures for each</w:t>
      </w:r>
      <w:r>
        <w:t xml:space="preserve"> </w:t>
      </w:r>
      <w:r>
        <w:t xml:space="preserve">class of identity operation.</w:t>
      </w:r>
    </w:p>
    <w:p>
      <w:pPr>
        <w:pStyle w:val="BodyText"/>
      </w:pPr>
      <w:r>
        <w:t xml:space="preserve">This document addresses a foundational architectural reality that all Help Desk</w:t>
      </w:r>
      <w:r>
        <w:t xml:space="preserve"> </w:t>
      </w:r>
      <w:r>
        <w:t xml:space="preserve">personnel and supervisors must understand:</w:t>
      </w:r>
      <w:r>
        <w:t xml:space="preserve"> </w:t>
      </w:r>
      <w:r>
        <w:rPr>
          <w:b/>
          <w:bCs/>
        </w:rPr>
        <w:t xml:space="preserve">Microsoft Entra ID does not include</w:t>
      </w:r>
      <w:r>
        <w:rPr>
          <w:b/>
          <w:bCs/>
        </w:rPr>
        <w:t xml:space="preserve"> </w:t>
      </w:r>
      <w:r>
        <w:rPr>
          <w:b/>
          <w:bCs/>
        </w:rPr>
        <w:t xml:space="preserve">a native</w:t>
      </w:r>
      <w:r>
        <w:rPr>
          <w:b/>
          <w:bCs/>
        </w:rPr>
        <w:t xml:space="preserve"> </w:t>
      </w:r>
      <w:r>
        <w:rPr>
          <w:b/>
          <w:bCs/>
        </w:rPr>
        <w:t xml:space="preserve">“Help Desk”</w:t>
      </w:r>
      <w:r>
        <w:rPr>
          <w:b/>
          <w:bCs/>
        </w:rPr>
        <w:t xml:space="preserve"> </w:t>
      </w:r>
      <w:r>
        <w:rPr>
          <w:b/>
          <w:bCs/>
        </w:rPr>
        <w:t xml:space="preserve">role that covers enterprise identity operations.</w:t>
      </w:r>
      <w:r>
        <w:t xml:space="preserve"> </w:t>
      </w:r>
      <w:r>
        <w:t xml:space="preserve">The</w:t>
      </w:r>
      <w:r>
        <w:t xml:space="preserve"> </w:t>
      </w:r>
      <w:r>
        <w:t xml:space="preserve">built-in</w:t>
      </w:r>
      <w:r>
        <w:t xml:space="preserve"> </w:t>
      </w:r>
      <w:r>
        <w:rPr>
          <w:i/>
          <w:iCs/>
        </w:rPr>
        <w:t xml:space="preserve">Helpdesk Administrator</w:t>
      </w:r>
      <w:r>
        <w:t xml:space="preserve"> </w:t>
      </w:r>
      <w:r>
        <w:t xml:space="preserve">role provided by Microsoft is scoped only to</w:t>
      </w:r>
      <w:r>
        <w:t xml:space="preserve"> </w:t>
      </w:r>
      <w:r>
        <w:t xml:space="preserve">password resets and basic Microsoft 365 tasks. It cannot assign groups to</w:t>
      </w:r>
      <w:r>
        <w:t xml:space="preserve"> </w:t>
      </w:r>
      <w:r>
        <w:t xml:space="preserve">Enterprise Applications, triage or approve Admin Consent grants, reset ImmutableID</w:t>
      </w:r>
      <w:r>
        <w:t xml:space="preserve"> </w:t>
      </w:r>
      <w:r>
        <w:t xml:space="preserve">attributes, manage app role assignments, or manage Service Principals. The</w:t>
      </w:r>
      <w:r>
        <w:t xml:space="preserve"> </w:t>
      </w:r>
      <w:r>
        <w:t xml:space="preserve">agency’s Help Desk operational model is therefore built on a controlled,</w:t>
      </w:r>
      <w:r>
        <w:t xml:space="preserve"> </w:t>
      </w:r>
      <w:r>
        <w:t xml:space="preserve">PIM-gated</w:t>
      </w:r>
      <w:r>
        <w:t xml:space="preserve"> </w:t>
      </w:r>
      <w:r>
        <w:rPr>
          <w:b/>
          <w:bCs/>
        </w:rPr>
        <w:t xml:space="preserve">Privileged Access Group (PAG)</w:t>
      </w:r>
      <w:r>
        <w:t xml:space="preserve"> </w:t>
      </w:r>
      <w:r>
        <w:t xml:space="preserve">with specific least-privilege Entra</w:t>
      </w:r>
      <w:r>
        <w:t xml:space="preserve"> </w:t>
      </w:r>
      <w:r>
        <w:t xml:space="preserve">roles assigned to the group — not to individual technicians.</w:t>
      </w:r>
    </w:p>
    <w:bookmarkEnd w:id="388"/>
    <w:bookmarkStart w:id="389" w:name="scope-what-this-guide-governs"/>
    <w:p>
      <w:pPr>
        <w:pStyle w:val="Heading3"/>
      </w:pPr>
      <w:r>
        <w:t xml:space="preserve">Scope — what this guide governs</w:t>
      </w:r>
    </w:p>
    <w:p>
      <w:pPr>
        <w:pStyle w:val="Compact"/>
        <w:numPr>
          <w:ilvl w:val="0"/>
          <w:numId w:val="1180"/>
        </w:numPr>
      </w:pPr>
      <w:r>
        <w:t xml:space="preserve">All Microsoft Entra ID identity operations performed by Help Desk personnel,</w:t>
      </w:r>
      <w:r>
        <w:t xml:space="preserve"> </w:t>
      </w:r>
      <w:r>
        <w:t xml:space="preserve">including Enterprise Application group assignments, ImmutableID resets, MFA</w:t>
      </w:r>
      <w:r>
        <w:t xml:space="preserve"> </w:t>
      </w:r>
      <w:r>
        <w:t xml:space="preserve">method resets, OneDrive provisioning, and hybrid identity operations.</w:t>
      </w:r>
    </w:p>
    <w:p>
      <w:pPr>
        <w:pStyle w:val="Compact"/>
        <w:numPr>
          <w:ilvl w:val="0"/>
          <w:numId w:val="1180"/>
        </w:numPr>
      </w:pPr>
      <w:r>
        <w:t xml:space="preserve">The design and governance of the Help Desk Privileged Access Group (PAG) and</w:t>
      </w:r>
      <w:r>
        <w:t xml:space="preserve"> </w:t>
      </w:r>
      <w:r>
        <w:t xml:space="preserve">Privileged Identity Management (PIM) elevation procedures.</w:t>
      </w:r>
    </w:p>
    <w:p>
      <w:pPr>
        <w:pStyle w:val="Compact"/>
        <w:numPr>
          <w:ilvl w:val="0"/>
          <w:numId w:val="1180"/>
        </w:numPr>
      </w:pPr>
      <w:r>
        <w:t xml:space="preserve">The integration workflow between the SAM platform (SailPoint-based IGA),</w:t>
      </w:r>
      <w:r>
        <w:t xml:space="preserve"> </w:t>
      </w:r>
      <w:r>
        <w:t xml:space="preserve">ServiceNow ITSM, and Microsoft Entra ID for access requests and provisioning</w:t>
      </w:r>
      <w:r>
        <w:t xml:space="preserve"> </w:t>
      </w:r>
      <w:r>
        <w:t xml:space="preserve">actions.</w:t>
      </w:r>
    </w:p>
    <w:p>
      <w:pPr>
        <w:pStyle w:val="Compact"/>
        <w:numPr>
          <w:ilvl w:val="0"/>
          <w:numId w:val="1180"/>
        </w:numPr>
      </w:pPr>
      <w:r>
        <w:t xml:space="preserve">Admin Consent triage and escalation procedures.</w:t>
      </w:r>
    </w:p>
    <w:p>
      <w:pPr>
        <w:pStyle w:val="Compact"/>
        <w:numPr>
          <w:ilvl w:val="0"/>
          <w:numId w:val="1180"/>
        </w:numPr>
      </w:pPr>
      <w:r>
        <w:t xml:space="preserve">Incoming notification and request handling from Microsoft Security notifications</w:t>
      </w:r>
      <w:r>
        <w:t xml:space="preserve"> </w:t>
      </w:r>
      <w:r>
        <w:t xml:space="preserve">and ServiceNow-generated request items (RITMs).</w:t>
      </w:r>
    </w:p>
    <w:p>
      <w:pPr>
        <w:pStyle w:val="Compact"/>
        <w:numPr>
          <w:ilvl w:val="0"/>
          <w:numId w:val="1180"/>
        </w:numPr>
      </w:pPr>
      <w:r>
        <w:t xml:space="preserve">OneDrive sync issue triage, Entra-level resolution, and approval workflow.</w:t>
      </w:r>
    </w:p>
    <w:p>
      <w:pPr>
        <w:pStyle w:val="Compact"/>
        <w:numPr>
          <w:ilvl w:val="0"/>
          <w:numId w:val="1180"/>
        </w:numPr>
      </w:pPr>
      <w:r>
        <w:t xml:space="preserve">Escalation paths, audit requirements, and SLA obligations for all covered</w:t>
      </w:r>
      <w:r>
        <w:t xml:space="preserve"> </w:t>
      </w:r>
      <w:r>
        <w:t xml:space="preserve">operations.</w:t>
      </w:r>
    </w:p>
    <w:bookmarkEnd w:id="389"/>
    <w:bookmarkStart w:id="390" w:name="scope-what-this-guide-does-not-cover"/>
    <w:p>
      <w:pPr>
        <w:pStyle w:val="Heading3"/>
      </w:pPr>
      <w:r>
        <w:t xml:space="preserve">Scope — what this guide does NOT cover</w:t>
      </w:r>
    </w:p>
    <w:p>
      <w:pPr>
        <w:pStyle w:val="Compact"/>
        <w:numPr>
          <w:ilvl w:val="0"/>
          <w:numId w:val="1181"/>
        </w:numPr>
      </w:pPr>
      <w:r>
        <w:rPr>
          <w:b/>
          <w:bCs/>
        </w:rPr>
        <w:t xml:space="preserve">Global Administrator operations</w:t>
      </w:r>
      <w:r>
        <w:t xml:space="preserve"> </w:t>
      </w:r>
      <w:r>
        <w:t xml:space="preserve">— These are beyond Help Desk authority and</w:t>
      </w:r>
      <w:r>
        <w:t xml:space="preserve"> </w:t>
      </w:r>
      <w:r>
        <w:t xml:space="preserve">are not documented here.</w:t>
      </w:r>
    </w:p>
    <w:p>
      <w:pPr>
        <w:pStyle w:val="Compact"/>
        <w:numPr>
          <w:ilvl w:val="0"/>
          <w:numId w:val="1181"/>
        </w:numPr>
      </w:pPr>
      <w:r>
        <w:rPr>
          <w:b/>
          <w:bCs/>
        </w:rPr>
        <w:t xml:space="preserve">Admin Consent approval</w:t>
      </w:r>
      <w:r>
        <w:t xml:space="preserve"> </w:t>
      </w:r>
      <w:r>
        <w:t xml:space="preserve">— Help Desk may triage but never approve. Approval</w:t>
      </w:r>
      <w:r>
        <w:t xml:space="preserve"> </w:t>
      </w:r>
      <w:r>
        <w:t xml:space="preserve">authority and procedure are documented in Entra Governance Document 3.</w:t>
      </w:r>
    </w:p>
    <w:p>
      <w:pPr>
        <w:pStyle w:val="Compact"/>
        <w:numPr>
          <w:ilvl w:val="0"/>
          <w:numId w:val="1181"/>
        </w:numPr>
      </w:pPr>
      <w:r>
        <w:rPr>
          <w:b/>
          <w:bCs/>
        </w:rPr>
        <w:t xml:space="preserve">Conditional Access policy creation or modification</w:t>
      </w:r>
      <w:r>
        <w:t xml:space="preserve"> </w:t>
      </w:r>
      <w:r>
        <w:t xml:space="preserve">— Reserved for the</w:t>
      </w:r>
      <w:r>
        <w:t xml:space="preserve"> </w:t>
      </w:r>
      <w:r>
        <w:t xml:space="preserve">Security Administrator role under Security Operations oversight.</w:t>
      </w:r>
    </w:p>
    <w:p>
      <w:pPr>
        <w:pStyle w:val="Compact"/>
        <w:numPr>
          <w:ilvl w:val="0"/>
          <w:numId w:val="1181"/>
        </w:numPr>
      </w:pPr>
      <w:r>
        <w:rPr>
          <w:b/>
          <w:bCs/>
        </w:rPr>
        <w:t xml:space="preserve">Service Principal creation or management</w:t>
      </w:r>
      <w:r>
        <w:t xml:space="preserve"> </w:t>
      </w:r>
      <w:r>
        <w:t xml:space="preserve">— Reserved for Application Owners</w:t>
      </w:r>
      <w:r>
        <w:t xml:space="preserve"> </w:t>
      </w:r>
      <w:r>
        <w:t xml:space="preserve">and Identity Engineering.</w:t>
      </w:r>
    </w:p>
    <w:p>
      <w:pPr>
        <w:pStyle w:val="Compact"/>
        <w:numPr>
          <w:ilvl w:val="0"/>
          <w:numId w:val="1181"/>
        </w:numPr>
      </w:pPr>
      <w:r>
        <w:rPr>
          <w:b/>
          <w:bCs/>
        </w:rPr>
        <w:t xml:space="preserve">SAM platform administration</w:t>
      </w:r>
      <w:r>
        <w:t xml:space="preserve"> </w:t>
      </w:r>
      <w:r>
        <w:t xml:space="preserve">— SAM is a separate system governed under its</w:t>
      </w:r>
      <w:r>
        <w:t xml:space="preserve"> </w:t>
      </w:r>
      <w:r>
        <w:t xml:space="preserve">own administrative procedures.</w:t>
      </w:r>
    </w:p>
    <w:p>
      <w:pPr>
        <w:pStyle w:val="Compact"/>
        <w:numPr>
          <w:ilvl w:val="0"/>
          <w:numId w:val="1181"/>
        </w:numPr>
      </w:pPr>
      <w:r>
        <w:rPr>
          <w:b/>
          <w:bCs/>
        </w:rPr>
        <w:t xml:space="preserve">Entra ID Governance license features</w:t>
      </w:r>
      <w:r>
        <w:t xml:space="preserve"> </w:t>
      </w:r>
      <w:r>
        <w:t xml:space="preserve">(Access Packages, Entitlement</w:t>
      </w:r>
      <w:r>
        <w:t xml:space="preserve"> </w:t>
      </w:r>
      <w:r>
        <w:t xml:space="preserve">Management, etc.) beyond what is explicitly documented herein.</w:t>
      </w:r>
    </w:p>
    <w:p>
      <w:pPr>
        <w:pStyle w:val="Compact"/>
        <w:numPr>
          <w:ilvl w:val="0"/>
          <w:numId w:val="1181"/>
        </w:numPr>
      </w:pPr>
      <w:r>
        <w:rPr>
          <w:b/>
          <w:bCs/>
        </w:rPr>
        <w:t xml:space="preserve">Role assignment to other users or groups</w:t>
      </w:r>
      <w:r>
        <w:t xml:space="preserve"> </w:t>
      </w:r>
      <w:r>
        <w:t xml:space="preserve">— Help Desk may not assign or</w:t>
      </w:r>
      <w:r>
        <w:t xml:space="preserve"> </w:t>
      </w:r>
      <w:r>
        <w:t xml:space="preserve">remove Entra directory roles.</w:t>
      </w:r>
    </w:p>
    <w:bookmarkEnd w:id="390"/>
    <w:bookmarkStart w:id="391" w:name="applicability"/>
    <w:p>
      <w:pPr>
        <w:pStyle w:val="Heading3"/>
      </w:pPr>
      <w:r>
        <w:t xml:space="preserve">Applicability</w:t>
      </w:r>
    </w:p>
    <w:p>
      <w:pPr>
        <w:pStyle w:val="FirstParagraph"/>
      </w:pPr>
      <w:r>
        <w:t xml:space="preserve">This guide applies to all personnel occupying the</w:t>
      </w:r>
      <w:r>
        <w:t xml:space="preserve"> </w:t>
      </w:r>
      <w:r>
        <w:rPr>
          <w:b/>
          <w:bCs/>
        </w:rPr>
        <w:t xml:space="preserve">Help Desk Operator</w:t>
      </w:r>
      <w:r>
        <w:t xml:space="preserve"> </w:t>
      </w:r>
      <w:r>
        <w:t xml:space="preserve">function</w:t>
      </w:r>
      <w:r>
        <w:t xml:space="preserve"> </w:t>
      </w:r>
      <w:r>
        <w:t xml:space="preserve">within the agency’s IT organization, including contracted support staff</w:t>
      </w:r>
      <w:r>
        <w:t xml:space="preserve"> </w:t>
      </w:r>
      <w:r>
        <w:t xml:space="preserve">performing Help Desk duties under agency oversight. Help Desk Supervisors are</w:t>
      </w:r>
      <w:r>
        <w:t xml:space="preserve"> </w:t>
      </w:r>
      <w:r>
        <w:t xml:space="preserve">responsible for ensuring all personnel under their supervision have read,</w:t>
      </w:r>
      <w:r>
        <w:t xml:space="preserve"> </w:t>
      </w:r>
      <w:r>
        <w:t xml:space="preserve">acknowledged, and are operating in accordance with this guide. Acknowledgment</w:t>
      </w:r>
      <w:r>
        <w:t xml:space="preserve"> </w:t>
      </w:r>
      <w:r>
        <w:t xml:space="preserve">records shall be maintained in the agency’s personnel training system.</w:t>
      </w:r>
    </w:p>
    <w:bookmarkEnd w:id="391"/>
    <w:bookmarkEnd w:id="392"/>
    <w:bookmarkStart w:id="393" w:name="authority-boundaries"/>
    <w:p>
      <w:pPr>
        <w:pStyle w:val="Heading2"/>
      </w:pPr>
      <w:r>
        <w:t xml:space="preserve">Authority boundaries</w:t>
      </w:r>
    </w:p>
    <w:p>
      <w:pPr>
        <w:pStyle w:val="FirstParagraph"/>
      </w:pPr>
      <w:r>
        <w:t xml:space="preserve">The following table defines the precise boundary of Help Desk authority in</w:t>
      </w:r>
      <w:r>
        <w:t xml:space="preserve"> </w:t>
      </w:r>
      <w:r>
        <w:t xml:space="preserve">Microsoft Entra ID operations. This boundary is enforced by the</w:t>
      </w:r>
      <w:r>
        <w:t xml:space="preserve"> </w:t>
      </w:r>
      <w:r>
        <w:rPr>
          <w:b/>
          <w:bCs/>
        </w:rPr>
        <w:t xml:space="preserve">principle of</w:t>
      </w:r>
      <w:r>
        <w:rPr>
          <w:b/>
          <w:bCs/>
        </w:rPr>
        <w:t xml:space="preserve"> </w:t>
      </w:r>
      <w:r>
        <w:rPr>
          <w:b/>
          <w:bCs/>
        </w:rPr>
        <w:t xml:space="preserve">least privilege</w:t>
      </w:r>
      <w:r>
        <w:t xml:space="preserve">, PIM-gated role elevation, and SAM-originated approval chains.</w:t>
      </w:r>
      <w:r>
        <w:t xml:space="preserve"> </w:t>
      </w:r>
      <w:r>
        <w:t xml:space="preserve">No action outside the</w:t>
      </w:r>
      <w:r>
        <w:t xml:space="preserve"> </w:t>
      </w:r>
      <w:r>
        <w:t xml:space="preserve">“Authorized”</w:t>
      </w:r>
      <w:r>
        <w:t xml:space="preserve"> </w:t>
      </w:r>
      <w:r>
        <w:t xml:space="preserve">column may be performed by Help Desk personnel</w:t>
      </w:r>
      <w:r>
        <w:t xml:space="preserve"> </w:t>
      </w:r>
      <w:r>
        <w:t xml:space="preserve">regardless of who requests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 Help Desk IS authorized to</w:t>
            </w:r>
          </w:p>
        </w:tc>
        <w:tc>
          <w:tcPr/>
          <w:p>
            <w:pPr>
              <w:pStyle w:val="Compact"/>
            </w:pPr>
            <w:r>
              <w:rPr>
                <w:b/>
                <w:bCs/>
              </w:rPr>
              <w:t xml:space="preserve">✗ Help Desk is NOT authorized to</w:t>
            </w:r>
          </w:p>
        </w:tc>
      </w:tr>
      <w:tr>
        <w:tc>
          <w:tcPr/>
          <w:p>
            <w:pPr>
              <w:pStyle w:val="Compact"/>
            </w:pPr>
            <w:r>
              <w:t xml:space="preserve">Assign an Entra security group to an Enterprise Application, after SAM approval and ServiceNow RITM assignment.</w:t>
            </w:r>
          </w:p>
        </w:tc>
        <w:tc>
          <w:tcPr/>
          <w:p>
            <w:pPr>
              <w:pStyle w:val="Compact"/>
            </w:pPr>
            <w:r>
              <w:t xml:space="preserve">Approve Admin Consent grants for Enterprise Applications — under any circumstances.</w:t>
            </w:r>
          </w:p>
        </w:tc>
      </w:tr>
      <w:tr>
        <w:tc>
          <w:tcPr/>
          <w:p>
            <w:pPr>
              <w:pStyle w:val="Compact"/>
            </w:pPr>
            <w:r>
              <w:t xml:space="preserve">Remove an Entra group from an Enterprise Application, after SAM-originated RITM.</w:t>
            </w:r>
          </w:p>
        </w:tc>
        <w:tc>
          <w:tcPr/>
          <w:p>
            <w:pPr>
              <w:pStyle w:val="Compact"/>
            </w:pPr>
            <w:r>
              <w:t xml:space="preserve">Create, modify, or delete Service Principals or App Registrations.</w:t>
            </w:r>
          </w:p>
        </w:tc>
      </w:tr>
      <w:tr>
        <w:tc>
          <w:tcPr/>
          <w:p>
            <w:pPr>
              <w:pStyle w:val="Compact"/>
            </w:pPr>
            <w:r>
              <w:t xml:space="preserve">Reset a user’s ImmutableID attribute using Hybrid Identity Administrator role via PowerShell, after IGO-approved RITM.</w:t>
            </w:r>
          </w:p>
        </w:tc>
        <w:tc>
          <w:tcPr/>
          <w:p>
            <w:pPr>
              <w:pStyle w:val="Compact"/>
            </w:pPr>
            <w:r>
              <w:t xml:space="preserve">Assign or remove Entra directory roles from any user, group, or service principal.</w:t>
            </w:r>
          </w:p>
        </w:tc>
      </w:tr>
      <w:tr>
        <w:tc>
          <w:tcPr/>
          <w:p>
            <w:pPr>
              <w:pStyle w:val="Compact"/>
            </w:pPr>
            <w:r>
              <w:t xml:space="preserve">Reset a user’s MFA authentication methods using Authentication Administrator role (optional, where assigned).</w:t>
            </w:r>
          </w:p>
        </w:tc>
        <w:tc>
          <w:tcPr/>
          <w:p>
            <w:pPr>
              <w:pStyle w:val="Compact"/>
            </w:pPr>
            <w:r>
              <w:t xml:space="preserve">Create, modify, or delete Conditional Access policies.</w:t>
            </w:r>
          </w:p>
        </w:tc>
      </w:tr>
      <w:tr>
        <w:tc>
          <w:tcPr/>
          <w:p>
            <w:pPr>
              <w:pStyle w:val="Compact"/>
            </w:pPr>
            <w:r>
              <w:t xml:space="preserve">Perform password resets using User Administrator role (where assigned), subject to supervisor approval constraints.</w:t>
            </w:r>
          </w:p>
        </w:tc>
        <w:tc>
          <w:tcPr/>
          <w:p>
            <w:pPr>
              <w:pStyle w:val="Compact"/>
            </w:pPr>
            <w:r>
              <w:t xml:space="preserve">Modify Entra ID Connect (hybrid sync) configuration or sync rules.</w:t>
            </w:r>
          </w:p>
        </w:tc>
      </w:tr>
      <w:tr>
        <w:tc>
          <w:tcPr/>
          <w:p>
            <w:pPr>
              <w:pStyle w:val="Compact"/>
            </w:pPr>
            <w:r>
              <w:t xml:space="preserve">Triage Admin Consent notifications — verify, log, and escalate to Application Owner and IGO.</w:t>
            </w:r>
          </w:p>
        </w:tc>
        <w:tc>
          <w:tcPr/>
          <w:p>
            <w:pPr>
              <w:pStyle w:val="Compact"/>
            </w:pPr>
            <w:r>
              <w:t xml:space="preserve">Grant OAuth permissions or delegated permissions to any application.</w:t>
            </w:r>
          </w:p>
        </w:tc>
      </w:tr>
      <w:tr>
        <w:tc>
          <w:tcPr/>
          <w:p>
            <w:pPr>
              <w:pStyle w:val="Compact"/>
            </w:pPr>
            <w:r>
              <w:t xml:space="preserve">Trigger OneDrive provisioning for a licensed user via M365 Admin Center.</w:t>
            </w:r>
          </w:p>
        </w:tc>
        <w:tc>
          <w:tcPr/>
          <w:p>
            <w:pPr>
              <w:pStyle w:val="Compact"/>
            </w:pPr>
            <w:r>
              <w:t xml:space="preserve">Modify license assignments except when authorized via a SAM-originated RITM with Departmental Owner approval.</w:t>
            </w:r>
          </w:p>
        </w:tc>
      </w:tr>
      <w:tr>
        <w:tc>
          <w:tcPr/>
          <w:p>
            <w:pPr>
              <w:pStyle w:val="Compact"/>
            </w:pPr>
            <w:r>
              <w:t xml:space="preserve">Check Entra Sign-in Logs and Audit Logs for diagnostic purposes during triage.</w:t>
            </w:r>
          </w:p>
        </w:tc>
        <w:tc>
          <w:tcPr/>
          <w:p>
            <w:pPr>
              <w:pStyle w:val="Compact"/>
            </w:pPr>
            <w:r>
              <w:t xml:space="preserve">Export, copy, or retain Entra audit log data outside approved SIEM or logging systems.</w:t>
            </w:r>
          </w:p>
        </w:tc>
      </w:tr>
      <w:tr>
        <w:tc>
          <w:tcPr/>
          <w:p>
            <w:pPr>
              <w:pStyle w:val="Compact"/>
            </w:pPr>
            <w:r>
              <w:t xml:space="preserve">Check device compliance status and Entra Join status for OneDrive and access triage.</w:t>
            </w:r>
          </w:p>
        </w:tc>
        <w:tc>
          <w:tcPr/>
          <w:p>
            <w:pPr>
              <w:pStyle w:val="Compact"/>
            </w:pPr>
            <w:r>
              <w:t xml:space="preserve">Delete or disable user accounts except via explicit, multi-approved SAM lifecycle workflow.</w:t>
            </w:r>
          </w:p>
        </w:tc>
      </w:tr>
      <w:tr>
        <w:tc>
          <w:tcPr/>
          <w:p>
            <w:pPr>
              <w:pStyle w:val="Compact"/>
            </w:pPr>
            <w:r>
              <w:t xml:space="preserve">Execute PIM elevation (role activation) for approved roles via the PAG, with written justification entered in PIM request.</w:t>
            </w:r>
          </w:p>
        </w:tc>
        <w:tc>
          <w:tcPr/>
          <w:p>
            <w:pPr>
              <w:pStyle w:val="Compact"/>
            </w:pPr>
            <w:r>
              <w:t xml:space="preserve">Maintain standing (persistent) active role assignments. All privileged access is time-bound and eligible only.</w:t>
            </w:r>
          </w:p>
        </w:tc>
      </w:tr>
      <w:tr>
        <w:tc>
          <w:tcPr/>
          <w:p>
            <w:pPr>
              <w:pStyle w:val="Compact"/>
            </w:pPr>
            <w:r>
              <w:t xml:space="preserve">Document all actions in the associated ServiceNow ticket before closing the RITM.</w:t>
            </w:r>
          </w:p>
        </w:tc>
        <w:tc>
          <w:tcPr/>
          <w:p>
            <w:pPr>
              <w:pStyle w:val="Compact"/>
            </w:pPr>
            <w:r>
              <w:t xml:space="preserve">Perform any Entra operation without a corresponding ServiceNow ticket in</w:t>
            </w:r>
            <w:r>
              <w:t xml:space="preserve"> </w:t>
            </w:r>
            <w:r>
              <w:t xml:space="preserve">“Assigned”</w:t>
            </w:r>
            <w:r>
              <w:t xml:space="preserve"> </w:t>
            </w:r>
            <w:r>
              <w:t xml:space="preserve">status.</w:t>
            </w:r>
          </w:p>
        </w:tc>
      </w:tr>
    </w:tbl>
    <w:p>
      <w:pPr>
        <w:pStyle w:val="BodyText"/>
      </w:pPr>
      <w:r>
        <w:rPr>
          <w:b/>
          <w:bCs/>
        </w:rPr>
        <w:t xml:space="preserve">Prohibited action</w:t>
      </w:r>
    </w:p>
    <w:p>
      <w:pPr>
        <w:pStyle w:val="BodyText"/>
      </w:pPr>
      <w:r>
        <w:rPr>
          <w:b/>
          <w:bCs/>
        </w:rPr>
        <w:t xml:space="preserve">Help Desk personnel may NEVER approve Admin Consent grants for Enterprise</w:t>
      </w:r>
      <w:r>
        <w:rPr>
          <w:b/>
          <w:bCs/>
        </w:rPr>
        <w:t xml:space="preserve"> </w:t>
      </w:r>
      <w:r>
        <w:rPr>
          <w:b/>
          <w:bCs/>
        </w:rPr>
        <w:t xml:space="preserve">Applications, regardless of the source of the request (email, ticket, verbal).</w:t>
      </w:r>
      <w:r>
        <w:t xml:space="preserve"> </w:t>
      </w:r>
      <w:r>
        <w:t xml:space="preserve">Admin Consent approval authority is reserved exclusively for the</w:t>
      </w:r>
      <w:r>
        <w:t xml:space="preserve"> </w:t>
      </w:r>
      <w:r>
        <w:rPr>
          <w:b/>
          <w:bCs/>
        </w:rPr>
        <w:t xml:space="preserve">Identity</w:t>
      </w:r>
      <w:r>
        <w:rPr>
          <w:b/>
          <w:bCs/>
        </w:rPr>
        <w:t xml:space="preserve"> </w:t>
      </w:r>
      <w:r>
        <w:rPr>
          <w:b/>
          <w:bCs/>
        </w:rPr>
        <w:t xml:space="preserve">Governance Officer (IGO)</w:t>
      </w:r>
      <w:r>
        <w:t xml:space="preserve"> </w:t>
      </w:r>
      <w:r>
        <w:t xml:space="preserve">or</w:t>
      </w:r>
      <w:r>
        <w:t xml:space="preserve"> </w:t>
      </w:r>
      <w:r>
        <w:rPr>
          <w:b/>
          <w:bCs/>
        </w:rPr>
        <w:t xml:space="preserve">Global Administrator</w:t>
      </w:r>
      <w:r>
        <w:t xml:space="preserve"> </w:t>
      </w:r>
      <w:r>
        <w:t xml:space="preserve">acting under IGO direction.</w:t>
      </w:r>
      <w:r>
        <w:t xml:space="preserve"> </w:t>
      </w:r>
      <w:r>
        <w:t xml:space="preserve">Help Desk role is</w:t>
      </w:r>
      <w:r>
        <w:t xml:space="preserve"> </w:t>
      </w:r>
      <w:r>
        <w:rPr>
          <w:b/>
          <w:bCs/>
        </w:rPr>
        <w:t xml:space="preserve">triage and escalation only</w:t>
      </w:r>
      <w:r>
        <w:t xml:space="preserve">. Any technician who approves an</w:t>
      </w:r>
      <w:r>
        <w:t xml:space="preserve"> </w:t>
      </w:r>
      <w:r>
        <w:t xml:space="preserve">Admin Consent grant outside this chain will be considered to have acted outside</w:t>
      </w:r>
      <w:r>
        <w:t xml:space="preserve"> </w:t>
      </w:r>
      <w:r>
        <w:t xml:space="preserve">their authority and will be subject to disciplinary and security review</w:t>
      </w:r>
      <w:r>
        <w:t xml:space="preserve"> </w:t>
      </w:r>
      <w:r>
        <w:t xml:space="preserve">procedures.</w:t>
      </w:r>
    </w:p>
    <w:bookmarkEnd w:id="393"/>
    <w:bookmarkStart w:id="401" w:name="X53b6e27062af65728efd784ce140ad1ecfb4924"/>
    <w:p>
      <w:pPr>
        <w:pStyle w:val="Heading2"/>
      </w:pPr>
      <w:r>
        <w:t xml:space="preserve">Help Desk Privileged Access Group (PAG) design</w:t>
      </w:r>
    </w:p>
    <w:bookmarkStart w:id="394" w:name="Xe8aa0346a11a24976b9e106773977e0bd6326df"/>
    <w:p>
      <w:pPr>
        <w:pStyle w:val="Heading3"/>
      </w:pPr>
      <w:r>
        <w:t xml:space="preserve">How this replaces OU-based helpdesk delegation</w:t>
      </w:r>
    </w:p>
    <w:p>
      <w:pPr>
        <w:pStyle w:val="FirstParagraph"/>
      </w:pPr>
      <w:r>
        <w:t xml:space="preserve">In Active Directory, helpdesk delegation was scoped by placing the target users in an OU and granting rights on that OU — implicit containment. Entra ID has no OU tree. The equivalent is an</w:t>
      </w:r>
      <w:r>
        <w:t xml:space="preserve"> </w:t>
      </w:r>
      <w:r>
        <w:rPr>
          <w:b/>
          <w:bCs/>
        </w:rPr>
        <w:t xml:space="preserve">Administrative Unit (AU)</w:t>
      </w:r>
      <w:r>
        <w:t xml:space="preserve"> </w:t>
      </w:r>
      <w:r>
        <w:t xml:space="preserve">combined with a scoped Entra role: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model</w:t>
            </w:r>
          </w:p>
        </w:tc>
        <w:tc>
          <w:tcPr/>
          <w:p>
            <w:pPr>
              <w:pStyle w:val="Compact"/>
            </w:pPr>
            <w:r>
              <w:t xml:space="preserve">Entra equivalent in this guide</w:t>
            </w:r>
          </w:p>
        </w:tc>
      </w:tr>
      <w:tr>
        <w:tc>
          <w:tcPr/>
          <w:p>
            <w:pPr>
              <w:pStyle w:val="Compact"/>
            </w:pPr>
            <w:r>
              <w:t xml:space="preserve">Helpdesk delegated on</w:t>
            </w:r>
            <w:r>
              <w:t xml:space="preserve"> </w:t>
            </w:r>
            <w:r>
              <w:rPr>
                <w:rStyle w:val="VerbatimChar"/>
              </w:rPr>
              <w:t xml:space="preserve">OU=Agency-Users</w:t>
            </w:r>
          </w:p>
        </w:tc>
        <w:tc>
          <w:tcPr/>
          <w:p>
            <w:pPr>
              <w:pStyle w:val="Compact"/>
            </w:pPr>
            <w:r>
              <w:t xml:space="preserve">Authentication Administrator scoped to agency AU</w:t>
            </w:r>
          </w:p>
        </w:tc>
      </w:tr>
      <w:tr>
        <w:tc>
          <w:tcPr/>
          <w:p>
            <w:pPr>
              <w:pStyle w:val="Compact"/>
            </w:pPr>
            <w:r>
              <w:t xml:space="preserve">Password reset rights on</w:t>
            </w:r>
            <w:r>
              <w:t xml:space="preserve"> </w:t>
            </w:r>
            <w:r>
              <w:rPr>
                <w:rStyle w:val="VerbatimChar"/>
              </w:rPr>
              <w:t xml:space="preserve">OU=Field-Offices</w:t>
            </w:r>
          </w:p>
        </w:tc>
        <w:tc>
          <w:tcPr/>
          <w:p>
            <w:pPr>
              <w:pStyle w:val="Compact"/>
            </w:pPr>
            <w:r>
              <w:t xml:space="preserve">Authentication Administrator scoped to field-office AU (attribute rule)</w:t>
            </w:r>
          </w:p>
        </w:tc>
      </w:tr>
      <w:tr>
        <w:tc>
          <w:tcPr/>
          <w:p>
            <w:pPr>
              <w:pStyle w:val="Compact"/>
            </w:pPr>
            <w:r>
              <w:t xml:space="preserve">OU ACL giving group membership write</w:t>
            </w:r>
          </w:p>
        </w:tc>
        <w:tc>
          <w:tcPr/>
          <w:p>
            <w:pPr>
              <w:pStyle w:val="Compact"/>
            </w:pPr>
            <w:r>
              <w:t xml:space="preserve">Groups Administrator scoped to department AU</w:t>
            </w:r>
          </w:p>
        </w:tc>
      </w:tr>
      <w:tr>
        <w:tc>
          <w:tcPr/>
          <w:p>
            <w:pPr>
              <w:pStyle w:val="Compact"/>
            </w:pPr>
            <w:r>
              <w:t xml:space="preserve">Standing delegated admin (persistent)</w:t>
            </w:r>
          </w:p>
        </w:tc>
        <w:tc>
          <w:tcPr/>
          <w:p>
            <w:pPr>
              <w:pStyle w:val="Compact"/>
            </w:pPr>
            <w:r>
              <w:t xml:space="preserve">PIM-eligible assignment — never standing active</w:t>
            </w:r>
          </w:p>
        </w:tc>
      </w:tr>
    </w:tbl>
    <w:p>
      <w:pPr>
        <w:pStyle w:val="BodyText"/>
      </w:pPr>
      <w:r>
        <w:t xml:space="preserve">AU membership is driven by attribute predicates (e.g.,</w:t>
      </w:r>
      <w:r>
        <w:t xml:space="preserve"> </w:t>
      </w:r>
      <w:r>
        <w:rPr>
          <w:rStyle w:val="VerbatimChar"/>
        </w:rPr>
        <w:t xml:space="preserve">extensionAttribute2 -eq "IT"</w:t>
      </w:r>
      <w:r>
        <w:t xml:space="preserve">), so scope tracks org structure automatically without manual OU management. The PAG and PIM configuration below operationalize the role-binding side of this model.</w:t>
      </w:r>
    </w:p>
    <w:bookmarkEnd w:id="394"/>
    <w:bookmarkStart w:id="395" w:name="Xed94ec026c1902350fff267ef884d92305876fa"/>
    <w:p>
      <w:pPr>
        <w:pStyle w:val="Heading3"/>
      </w:pPr>
      <w:r>
        <w:t xml:space="preserve">Why group-based role assignment instead of individual role assignments</w:t>
      </w:r>
    </w:p>
    <w:p>
      <w:pPr>
        <w:pStyle w:val="FirstParagraph"/>
      </w:pPr>
      <w:r>
        <w:t xml:space="preserve">Microsoft Entra ID permits Entra directory roles to be assigned directly to</w:t>
      </w:r>
      <w:r>
        <w:t xml:space="preserve"> </w:t>
      </w:r>
      <w:r>
        <w:t xml:space="preserve">individual users. However, for Help Desk operations, direct individual role</w:t>
      </w:r>
      <w:r>
        <w:t xml:space="preserve"> </w:t>
      </w:r>
      <w:r>
        <w:t xml:space="preserve">assignments create unacceptable governance risk: they cannot be consistently</w:t>
      </w:r>
      <w:r>
        <w:t xml:space="preserve"> </w:t>
      </w:r>
      <w:r>
        <w:t xml:space="preserve">time-bound, they cannot enforce approval workflows before elevation, they are more</w:t>
      </w:r>
      <w:r>
        <w:t xml:space="preserve"> </w:t>
      </w:r>
      <w:r>
        <w:t xml:space="preserve">difficult to audit consistently, and they increase the attack surface in the event</w:t>
      </w:r>
      <w:r>
        <w:t xml:space="preserve"> </w:t>
      </w:r>
      <w:r>
        <w:t xml:space="preserve">of account compromise. The agency’s identity governance model therefore</w:t>
      </w:r>
      <w:r>
        <w:t xml:space="preserve"> </w:t>
      </w:r>
      <w:r>
        <w:t xml:space="preserve">implements a</w:t>
      </w:r>
      <w:r>
        <w:t xml:space="preserve"> </w:t>
      </w:r>
      <w:r>
        <w:rPr>
          <w:b/>
          <w:bCs/>
        </w:rPr>
        <w:t xml:space="preserve">Privileged Access Group (PAG)</w:t>
      </w:r>
      <w:r>
        <w:t xml:space="preserve"> </w:t>
      </w:r>
      <w:r>
        <w:t xml:space="preserve">as the sole mechanism for granting</w:t>
      </w:r>
      <w:r>
        <w:t xml:space="preserve"> </w:t>
      </w:r>
      <w:r>
        <w:t xml:space="preserve">Help Desk personnel access to elevated Entra roles.</w:t>
      </w:r>
    </w:p>
    <w:p>
      <w:pPr>
        <w:pStyle w:val="BodyText"/>
      </w:pPr>
      <w:r>
        <w:t xml:space="preserve">Under the PAG model:</w:t>
      </w:r>
    </w:p>
    <w:p>
      <w:pPr>
        <w:pStyle w:val="Compact"/>
        <w:numPr>
          <w:ilvl w:val="0"/>
          <w:numId w:val="1182"/>
        </w:numPr>
      </w:pPr>
      <w:r>
        <w:t xml:space="preserve">Entra directory roles (e.g., Application Administrator, Hybrid Identity</w:t>
      </w:r>
      <w:r>
        <w:t xml:space="preserve"> </w:t>
      </w:r>
      <w:r>
        <w:t xml:space="preserve">Administrator) are assigned to the PAG,</w:t>
      </w:r>
      <w:r>
        <w:t xml:space="preserve"> </w:t>
      </w:r>
      <w:r>
        <w:rPr>
          <w:b/>
          <w:bCs/>
        </w:rPr>
        <w:t xml:space="preserve">not to individual users</w:t>
      </w:r>
      <w:r>
        <w:t xml:space="preserve">.</w:t>
      </w:r>
    </w:p>
    <w:p>
      <w:pPr>
        <w:pStyle w:val="Compact"/>
        <w:numPr>
          <w:ilvl w:val="0"/>
          <w:numId w:val="1182"/>
        </w:numPr>
      </w:pPr>
      <w:r>
        <w:t xml:space="preserve">Help Desk technicians are members of the PAG with</w:t>
      </w:r>
      <w:r>
        <w:t xml:space="preserve"> </w:t>
      </w:r>
      <w:r>
        <w:rPr>
          <w:b/>
          <w:bCs/>
        </w:rPr>
        <w:t xml:space="preserve">eligible</w:t>
      </w:r>
      <w:r>
        <w:t xml:space="preserve"> </w:t>
      </w:r>
      <w:r>
        <w:t xml:space="preserve">assignment — they</w:t>
      </w:r>
      <w:r>
        <w:t xml:space="preserve"> </w:t>
      </w:r>
      <w:r>
        <w:t xml:space="preserve">do not hold the roles actively until they explicitly activate via PIM.</w:t>
      </w:r>
    </w:p>
    <w:p>
      <w:pPr>
        <w:pStyle w:val="Compact"/>
        <w:numPr>
          <w:ilvl w:val="0"/>
          <w:numId w:val="1182"/>
        </w:numPr>
      </w:pPr>
      <w:r>
        <w:t xml:space="preserve">Every role activation is individually logged, requires a written justification,</w:t>
      </w:r>
      <w:r>
        <w:t xml:space="preserve"> </w:t>
      </w:r>
      <w:r>
        <w:t xml:space="preserve">and is time-bound (maximum session defined in the PIM configuration below).</w:t>
      </w:r>
    </w:p>
    <w:p>
      <w:pPr>
        <w:pStyle w:val="Compact"/>
        <w:numPr>
          <w:ilvl w:val="0"/>
          <w:numId w:val="1182"/>
        </w:numPr>
      </w:pPr>
      <w:r>
        <w:t xml:space="preserve">Adding or removing a technician from the PAG (onboarding/offboarding) is itself a</w:t>
      </w:r>
      <w:r>
        <w:t xml:space="preserve"> </w:t>
      </w:r>
      <w:r>
        <w:t xml:space="preserve">governed, approver-controlled operation in PIM and SAM.</w:t>
      </w:r>
    </w:p>
    <w:bookmarkEnd w:id="395"/>
    <w:bookmarkStart w:id="396" w:name="pag-naming-convention"/>
    <w:p>
      <w:pPr>
        <w:pStyle w:val="Heading3"/>
      </w:pPr>
      <w:r>
        <w:t xml:space="preserve">PAG naming convention</w:t>
      </w:r>
    </w:p>
    <w:p>
      <w:pPr>
        <w:pStyle w:val="FirstParagraph"/>
      </w:pPr>
      <w:r>
        <w:t xml:space="preserve">The agency’s Privileged Access Group for Help Desk Entra operations shall be named</w:t>
      </w:r>
      <w:r>
        <w:t xml:space="preserve"> </w:t>
      </w:r>
      <w:r>
        <w:t xml:space="preserve">according to one of the following approved conventions, as adopted by the Identity</w:t>
      </w:r>
      <w:r>
        <w:t xml:space="preserve"> </w:t>
      </w:r>
      <w:r>
        <w:t xml:space="preserve">Engineering team during initial deployment: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Naming option</w:t>
            </w:r>
          </w:p>
        </w:tc>
        <w:tc>
          <w:tcPr/>
          <w:p>
            <w:pPr>
              <w:pStyle w:val="Compact"/>
            </w:pPr>
            <w:r>
              <w:rPr>
                <w:b/>
                <w:bCs/>
              </w:rPr>
              <w:t xml:space="preserve">Group display name</w:t>
            </w:r>
          </w:p>
        </w:tc>
        <w:tc>
          <w:tcPr/>
          <w:p>
            <w:pPr>
              <w:pStyle w:val="Compact"/>
            </w:pPr>
            <w:r>
              <w:rPr>
                <w:b/>
                <w:bCs/>
              </w:rPr>
              <w:t xml:space="preserve">Group type</w:t>
            </w:r>
          </w:p>
        </w:tc>
        <w:tc>
          <w:tcPr/>
          <w:p>
            <w:pPr>
              <w:pStyle w:val="Compact"/>
            </w:pPr>
            <w:r>
              <w:rPr>
                <w:b/>
                <w:bCs/>
              </w:rPr>
              <w:t xml:space="preserve">Use case</w:t>
            </w:r>
          </w:p>
        </w:tc>
      </w:tr>
      <w:tr>
        <w:tc>
          <w:tcPr/>
          <w:p>
            <w:pPr>
              <w:pStyle w:val="Compact"/>
            </w:pPr>
            <w:r>
              <w:t xml:space="preserve">Option A (Recommended)</w:t>
            </w:r>
          </w:p>
        </w:tc>
        <w:tc>
          <w:tcPr/>
          <w:p>
            <w:pPr>
              <w:pStyle w:val="Compact"/>
            </w:pPr>
            <w:r>
              <w:rPr>
                <w:b/>
                <w:bCs/>
              </w:rPr>
              <w:t xml:space="preserve">Entra-HelpDesk-Operators</w:t>
            </w:r>
          </w:p>
        </w:tc>
        <w:tc>
          <w:tcPr/>
          <w:p>
            <w:pPr>
              <w:pStyle w:val="Compact"/>
            </w:pPr>
            <w:r>
              <w:t xml:space="preserve">Security Group, Role-Assignable</w:t>
            </w:r>
          </w:p>
        </w:tc>
        <w:tc>
          <w:tcPr/>
          <w:p>
            <w:pPr>
              <w:pStyle w:val="Compact"/>
            </w:pPr>
            <w:r>
              <w:t xml:space="preserve">Standard agencies where IT is a single function</w:t>
            </w:r>
          </w:p>
        </w:tc>
      </w:tr>
      <w:tr>
        <w:tc>
          <w:tcPr/>
          <w:p>
            <w:pPr>
              <w:pStyle w:val="Compact"/>
            </w:pPr>
            <w:r>
              <w:t xml:space="preserve">Option B</w:t>
            </w:r>
          </w:p>
        </w:tc>
        <w:tc>
          <w:tcPr/>
          <w:p>
            <w:pPr>
              <w:pStyle w:val="Compact"/>
            </w:pPr>
            <w:r>
              <w:rPr>
                <w:b/>
                <w:bCs/>
              </w:rPr>
              <w:t xml:space="preserve">IDM-HelpDesk-Operations</w:t>
            </w:r>
          </w:p>
        </w:tc>
        <w:tc>
          <w:tcPr/>
          <w:p>
            <w:pPr>
              <w:pStyle w:val="Compact"/>
            </w:pPr>
            <w:r>
              <w:t xml:space="preserve">Security Group, Role-Assignable</w:t>
            </w:r>
          </w:p>
        </w:tc>
        <w:tc>
          <w:tcPr/>
          <w:p>
            <w:pPr>
              <w:pStyle w:val="Compact"/>
            </w:pPr>
            <w:r>
              <w:t xml:space="preserve">Agencies with a separate Identity Management (IDM) function within IT</w:t>
            </w:r>
          </w:p>
        </w:tc>
      </w:tr>
    </w:tbl>
    <w:p>
      <w:pPr>
        <w:pStyle w:val="BodyText"/>
      </w:pPr>
      <w:r>
        <w:t xml:space="preserve">The group</w:t>
      </w:r>
      <w:r>
        <w:t xml:space="preserve"> </w:t>
      </w:r>
      <w:r>
        <w:rPr>
          <w:b/>
          <w:bCs/>
        </w:rPr>
        <w:t xml:space="preserve">must</w:t>
      </w:r>
      <w:r>
        <w:t xml:space="preserve"> </w:t>
      </w:r>
      <w:r>
        <w:t xml:space="preserve">be created as a</w:t>
      </w:r>
      <w:r>
        <w:t xml:space="preserve"> </w:t>
      </w:r>
      <w:r>
        <w:rPr>
          <w:b/>
          <w:bCs/>
        </w:rPr>
        <w:t xml:space="preserve">Role-Assignable Security Group</w:t>
      </w:r>
      <w:r>
        <w:t xml:space="preserve"> </w:t>
      </w:r>
      <w:r>
        <w:t xml:space="preserve">in Entra ID.</w:t>
      </w:r>
      <w:r>
        <w:t xml:space="preserve"> </w:t>
      </w:r>
      <w:r>
        <w:t xml:space="preserve">Standard security groups and Microsoft 365 Groups cannot be used for PIM-governed</w:t>
      </w:r>
      <w:r>
        <w:t xml:space="preserve"> </w:t>
      </w:r>
      <w:r>
        <w:t xml:space="preserve">role assignment. Group creation is performed by Identity Engineering, not by Help</w:t>
      </w:r>
      <w:r>
        <w:t xml:space="preserve"> </w:t>
      </w:r>
      <w:r>
        <w:t xml:space="preserve">Desk.</w:t>
      </w:r>
    </w:p>
    <w:p>
      <w:pPr>
        <w:pStyle w:val="BodyText"/>
      </w:pPr>
      <w:r>
        <w:rPr>
          <w:b/>
          <w:bCs/>
        </w:rPr>
        <w:t xml:space="preserve">Note</w:t>
      </w:r>
    </w:p>
    <w:p>
      <w:pPr>
        <w:pStyle w:val="BodyText"/>
      </w:pPr>
      <w:r>
        <w:t xml:space="preserve">Role-assignable groups in Entra ID are a premium feature requiring Entra ID P2</w:t>
      </w:r>
      <w:r>
        <w:t xml:space="preserve"> </w:t>
      </w:r>
      <w:r>
        <w:t xml:space="preserve">licensing (or Microsoft Entra ID Governance). Confirm licensing is in place with</w:t>
      </w:r>
      <w:r>
        <w:t xml:space="preserve"> </w:t>
      </w:r>
      <w:r>
        <w:t xml:space="preserve">Identity Engineering before PAG deployment.</w:t>
      </w:r>
    </w:p>
    <w:bookmarkEnd w:id="396"/>
    <w:bookmarkStart w:id="397" w:name="pim-configuration-eligible-not-active"/>
    <w:p>
      <w:pPr>
        <w:pStyle w:val="Heading3"/>
      </w:pPr>
      <w:r>
        <w:t xml:space="preserve">PIM configuration — eligible, not active</w:t>
      </w:r>
    </w:p>
    <w:p>
      <w:pPr>
        <w:pStyle w:val="FirstParagraph"/>
      </w:pPr>
      <w:r>
        <w:t xml:space="preserve">All role assignments within the PAG are configured as</w:t>
      </w:r>
      <w:r>
        <w:t xml:space="preserve"> </w:t>
      </w:r>
      <w:r>
        <w:rPr>
          <w:b/>
          <w:bCs/>
        </w:rPr>
        <w:t xml:space="preserve">Eligible</w:t>
      </w:r>
      <w:r>
        <w:t xml:space="preserve"> </w:t>
      </w:r>
      <w:r>
        <w:t xml:space="preserve">in Microsoft</w:t>
      </w:r>
      <w:r>
        <w:t xml:space="preserve"> </w:t>
      </w:r>
      <w:r>
        <w:t xml:space="preserve">Entra Privileged Identity Management (PIM). Under no circumstances shall Help Desk</w:t>
      </w:r>
      <w:r>
        <w:t xml:space="preserve"> </w:t>
      </w:r>
      <w:r>
        <w:t xml:space="preserve">personnel hold</w:t>
      </w:r>
      <w:r>
        <w:t xml:space="preserve"> </w:t>
      </w:r>
      <w:r>
        <w:rPr>
          <w:b/>
          <w:bCs/>
        </w:rPr>
        <w:t xml:space="preserve">Active (standing)</w:t>
      </w:r>
      <w:r>
        <w:t xml:space="preserve"> </w:t>
      </w:r>
      <w:r>
        <w:t xml:space="preserve">role assignments for Application</w:t>
      </w:r>
      <w:r>
        <w:t xml:space="preserve"> </w:t>
      </w:r>
      <w:r>
        <w:t xml:space="preserve">Administrator, Hybrid Identity Administrator, Authentication Administrator, or User</w:t>
      </w:r>
      <w:r>
        <w:t xml:space="preserve"> </w:t>
      </w:r>
      <w:r>
        <w:t xml:space="preserve">Administrator. The following PIM configuration settings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PIM setting</w:t>
            </w:r>
          </w:p>
        </w:tc>
        <w:tc>
          <w:tcPr/>
          <w:p>
            <w:pPr>
              <w:pStyle w:val="Compact"/>
            </w:pPr>
            <w:r>
              <w:rPr>
                <w:b/>
                <w:bCs/>
              </w:rPr>
              <w:t xml:space="preserve">Required value</w:t>
            </w:r>
          </w:p>
        </w:tc>
        <w:tc>
          <w:tcPr/>
          <w:p>
            <w:pPr>
              <w:pStyle w:val="Compact"/>
            </w:pPr>
            <w:r>
              <w:rPr>
                <w:b/>
                <w:bCs/>
              </w:rPr>
              <w:t xml:space="preserve">Rationale</w:t>
            </w:r>
          </w:p>
        </w:tc>
      </w:tr>
      <w:tr>
        <w:tc>
          <w:tcPr/>
          <w:p>
            <w:pPr>
              <w:pStyle w:val="Compact"/>
            </w:pPr>
            <w:r>
              <w:t xml:space="preserve">Assignment type</w:t>
            </w:r>
          </w:p>
        </w:tc>
        <w:tc>
          <w:tcPr/>
          <w:p>
            <w:pPr>
              <w:pStyle w:val="Compact"/>
            </w:pPr>
            <w:r>
              <w:rPr>
                <w:b/>
                <w:bCs/>
              </w:rPr>
              <w:t xml:space="preserve">Eligible</w:t>
            </w:r>
            <w:r>
              <w:t xml:space="preserve"> </w:t>
            </w:r>
            <w:r>
              <w:t xml:space="preserve">(not Active)</w:t>
            </w:r>
          </w:p>
        </w:tc>
        <w:tc>
          <w:tcPr/>
          <w:p>
            <w:pPr>
              <w:pStyle w:val="Compact"/>
            </w:pPr>
            <w:r>
              <w:t xml:space="preserve">No standing privilege; elevation is explicit and logged</w:t>
            </w:r>
          </w:p>
        </w:tc>
      </w:tr>
      <w:tr>
        <w:tc>
          <w:tcPr/>
          <w:p>
            <w:pPr>
              <w:pStyle w:val="Compact"/>
            </w:pPr>
            <w:r>
              <w:t xml:space="preserve">Maximum activation duration</w:t>
            </w:r>
          </w:p>
        </w:tc>
        <w:tc>
          <w:tcPr/>
          <w:p>
            <w:pPr>
              <w:pStyle w:val="Compact"/>
            </w:pPr>
            <w:r>
              <w:rPr>
                <w:b/>
                <w:bCs/>
              </w:rPr>
              <w:t xml:space="preserve">4 hours</w:t>
            </w:r>
            <w:r>
              <w:t xml:space="preserve"> </w:t>
            </w:r>
            <w:r>
              <w:t xml:space="preserve">(Application Admin, Hybrid Identity Admin);</w:t>
            </w:r>
            <w:r>
              <w:t xml:space="preserve"> </w:t>
            </w:r>
            <w:r>
              <w:rPr>
                <w:b/>
                <w:bCs/>
              </w:rPr>
              <w:t xml:space="preserve">2 hours</w:t>
            </w:r>
            <w:r>
              <w:t xml:space="preserve"> </w:t>
            </w:r>
            <w:r>
              <w:t xml:space="preserve">(Authentication Admin, User Admin)</w:t>
            </w:r>
          </w:p>
        </w:tc>
        <w:tc>
          <w:tcPr/>
          <w:p>
            <w:pPr>
              <w:pStyle w:val="Compact"/>
            </w:pPr>
            <w:r>
              <w:t xml:space="preserve">Minimizes exposure window for privileged session</w:t>
            </w:r>
          </w:p>
        </w:tc>
      </w:tr>
      <w:tr>
        <w:tc>
          <w:tcPr/>
          <w:p>
            <w:pPr>
              <w:pStyle w:val="Compact"/>
            </w:pPr>
            <w:r>
              <w:t xml:space="preserve">Approval required for activation</w:t>
            </w:r>
          </w:p>
        </w:tc>
        <w:tc>
          <w:tcPr/>
          <w:p>
            <w:pPr>
              <w:pStyle w:val="Compact"/>
            </w:pPr>
            <w:r>
              <w:rPr>
                <w:b/>
                <w:bCs/>
              </w:rPr>
              <w:t xml:space="preserve">Yes</w:t>
            </w:r>
            <w:r>
              <w:t xml:space="preserve"> </w:t>
            </w:r>
            <w:r>
              <w:t xml:space="preserve">— Approval by Help Desk Supervisor or Identity Engineering Lead</w:t>
            </w:r>
          </w:p>
        </w:tc>
        <w:tc>
          <w:tcPr/>
          <w:p>
            <w:pPr>
              <w:pStyle w:val="Compact"/>
            </w:pPr>
            <w:r>
              <w:t xml:space="preserve">Two-person integrity for all elevated operations</w:t>
            </w:r>
          </w:p>
        </w:tc>
      </w:tr>
      <w:tr>
        <w:tc>
          <w:tcPr/>
          <w:p>
            <w:pPr>
              <w:pStyle w:val="Compact"/>
            </w:pPr>
            <w:r>
              <w:t xml:space="preserve">Justification required</w:t>
            </w:r>
          </w:p>
        </w:tc>
        <w:tc>
          <w:tcPr/>
          <w:p>
            <w:pPr>
              <w:pStyle w:val="Compact"/>
            </w:pPr>
            <w:r>
              <w:rPr>
                <w:b/>
                <w:bCs/>
              </w:rPr>
              <w:t xml:space="preserve">Yes</w:t>
            </w:r>
            <w:r>
              <w:t xml:space="preserve"> </w:t>
            </w:r>
            <w:r>
              <w:t xml:space="preserve">— ServiceNow RITM number and brief action description required in justification field</w:t>
            </w:r>
          </w:p>
        </w:tc>
        <w:tc>
          <w:tcPr/>
          <w:p>
            <w:pPr>
              <w:pStyle w:val="Compact"/>
            </w:pPr>
            <w:r>
              <w:t xml:space="preserve">Links every elevation to a governed work item</w:t>
            </w:r>
          </w:p>
        </w:tc>
      </w:tr>
      <w:tr>
        <w:tc>
          <w:tcPr/>
          <w:p>
            <w:pPr>
              <w:pStyle w:val="Compact"/>
            </w:pPr>
            <w:r>
              <w:t xml:space="preserve">MFA required on activation</w:t>
            </w:r>
          </w:p>
        </w:tc>
        <w:tc>
          <w:tcPr/>
          <w:p>
            <w:pPr>
              <w:pStyle w:val="Compact"/>
            </w:pPr>
            <w:r>
              <w:rPr>
                <w:b/>
                <w:bCs/>
              </w:rPr>
              <w:t xml:space="preserve">Yes</w:t>
            </w:r>
            <w:r>
              <w:t xml:space="preserve"> </w:t>
            </w:r>
            <w:r>
              <w:t xml:space="preserve">— Phishing-resistant MFA (FIDO2 or certificate-based) required</w:t>
            </w:r>
          </w:p>
        </w:tc>
        <w:tc>
          <w:tcPr/>
          <w:p>
            <w:pPr>
              <w:pStyle w:val="Compact"/>
            </w:pPr>
            <w:r>
              <w:t xml:space="preserve">Prevents credential-based elevation abuse</w:t>
            </w:r>
          </w:p>
        </w:tc>
      </w:tr>
      <w:tr>
        <w:tc>
          <w:tcPr/>
          <w:p>
            <w:pPr>
              <w:pStyle w:val="Compact"/>
            </w:pPr>
            <w:r>
              <w:t xml:space="preserve">Eligible assignment expiration</w:t>
            </w:r>
          </w:p>
        </w:tc>
        <w:tc>
          <w:tcPr/>
          <w:p>
            <w:pPr>
              <w:pStyle w:val="Compact"/>
            </w:pPr>
            <w:r>
              <w:rPr>
                <w:b/>
                <w:bCs/>
              </w:rPr>
              <w:t xml:space="preserve">12 months</w:t>
            </w:r>
            <w:r>
              <w:t xml:space="preserve"> </w:t>
            </w:r>
            <w:r>
              <w:t xml:space="preserve">— PAG membership reviewed annually; must be re-approved</w:t>
            </w:r>
          </w:p>
        </w:tc>
        <w:tc>
          <w:tcPr/>
          <w:p>
            <w:pPr>
              <w:pStyle w:val="Compact"/>
            </w:pPr>
            <w:r>
              <w:t xml:space="preserve">Ensures access certifications are enforced</w:t>
            </w:r>
          </w:p>
        </w:tc>
      </w:tr>
      <w:tr>
        <w:tc>
          <w:tcPr/>
          <w:p>
            <w:pPr>
              <w:pStyle w:val="Compact"/>
            </w:pPr>
            <w:r>
              <w:t xml:space="preserve">Notification on activation</w:t>
            </w:r>
          </w:p>
        </w:tc>
        <w:tc>
          <w:tcPr/>
          <w:p>
            <w:pPr>
              <w:pStyle w:val="Compact"/>
            </w:pPr>
            <w:r>
              <w:rPr>
                <w:b/>
                <w:bCs/>
              </w:rPr>
              <w:t xml:space="preserve">Yes</w:t>
            </w:r>
            <w:r>
              <w:t xml:space="preserve"> </w:t>
            </w:r>
            <w:r>
              <w:t xml:space="preserve">— Alert to Help Desk Supervisor and Identity Engineering inbox</w:t>
            </w:r>
          </w:p>
        </w:tc>
        <w:tc>
          <w:tcPr/>
          <w:p>
            <w:pPr>
              <w:pStyle w:val="Compact"/>
            </w:pPr>
            <w:r>
              <w:t xml:space="preserve">Real-time awareness of privilege use</w:t>
            </w:r>
          </w:p>
        </w:tc>
      </w:tr>
    </w:tbl>
    <w:bookmarkEnd w:id="397"/>
    <w:bookmarkStart w:id="398" w:name="full-audit-trail"/>
    <w:p>
      <w:pPr>
        <w:pStyle w:val="Heading3"/>
      </w:pPr>
      <w:r>
        <w:t xml:space="preserve">Full audit trail</w:t>
      </w:r>
    </w:p>
    <w:p>
      <w:pPr>
        <w:pStyle w:val="FirstParagraph"/>
      </w:pPr>
      <w:r>
        <w:t xml:space="preserve">Every PIM elevation generates an immutable audit event in the Entra ID Audit Logs</w:t>
      </w:r>
      <w:r>
        <w:t xml:space="preserve"> </w:t>
      </w:r>
      <w:r>
        <w:t xml:space="preserve">and is captured by the agency’s SIEM system. The audit record includes: the UPN of</w:t>
      </w:r>
      <w:r>
        <w:t xml:space="preserve"> </w:t>
      </w:r>
      <w:r>
        <w:t xml:space="preserve">the activating technician, the role activated, the justification text entered, the</w:t>
      </w:r>
      <w:r>
        <w:t xml:space="preserve"> </w:t>
      </w:r>
      <w:r>
        <w:t xml:space="preserve">timestamp of activation and deactivation, and the approver’s UPN. This record is</w:t>
      </w:r>
      <w:r>
        <w:t xml:space="preserve"> </w:t>
      </w:r>
      <w:r>
        <w:t xml:space="preserve">retained per the audit and compliance requirements of this guide. Help Desk</w:t>
      </w:r>
      <w:r>
        <w:t xml:space="preserve"> </w:t>
      </w:r>
      <w:r>
        <w:t xml:space="preserve">personnel must enter the ServiceNow RITM number (e.g.,</w:t>
      </w:r>
      <w:r>
        <w:t xml:space="preserve"> </w:t>
      </w:r>
      <w:r>
        <w:t xml:space="preserve">“RITM0045821”</w:t>
      </w:r>
      <w:r>
        <w:t xml:space="preserve">) in the PIM</w:t>
      </w:r>
      <w:r>
        <w:t xml:space="preserve"> </w:t>
      </w:r>
      <w:r>
        <w:t xml:space="preserve">justification field — entries that do not reference a valid RITM are flagged for</w:t>
      </w:r>
      <w:r>
        <w:t xml:space="preserve"> </w:t>
      </w:r>
      <w:r>
        <w:t xml:space="preserve">review.</w:t>
      </w:r>
    </w:p>
    <w:bookmarkEnd w:id="398"/>
    <w:bookmarkStart w:id="399" w:name="onboarding-a-technician-to-the-pag"/>
    <w:p>
      <w:pPr>
        <w:pStyle w:val="Heading3"/>
      </w:pPr>
      <w:r>
        <w:t xml:space="preserve">Onboarding a technician to the PAG</w:t>
      </w:r>
    </w:p>
    <w:p>
      <w:pPr>
        <w:pStyle w:val="Compact"/>
        <w:numPr>
          <w:ilvl w:val="0"/>
          <w:numId w:val="1183"/>
        </w:numPr>
      </w:pPr>
      <w:r>
        <w:t xml:space="preserve">Help Desk Supervisor submits a SAM access request for the technician,</w:t>
      </w:r>
      <w:r>
        <w:t xml:space="preserve"> </w:t>
      </w:r>
      <w:r>
        <w:t xml:space="preserve">specifying the</w:t>
      </w:r>
      <w:r>
        <w:t xml:space="preserve"> </w:t>
      </w:r>
      <w:r>
        <w:rPr>
          <w:b/>
          <w:bCs/>
        </w:rPr>
        <w:t xml:space="preserve">Entra-HelpDesk-Operators</w:t>
      </w:r>
      <w:r>
        <w:t xml:space="preserve"> </w:t>
      </w:r>
      <w:r>
        <w:t xml:space="preserve">PAG.</w:t>
      </w:r>
    </w:p>
    <w:p>
      <w:pPr>
        <w:pStyle w:val="Compact"/>
        <w:numPr>
          <w:ilvl w:val="0"/>
          <w:numId w:val="1183"/>
        </w:numPr>
      </w:pPr>
      <w:r>
        <w:t xml:space="preserve">SAM routes the request through the standard approval chain: Departmental Owner →</w:t>
      </w:r>
      <w:r>
        <w:t xml:space="preserve"> </w:t>
      </w:r>
      <w:r>
        <w:t xml:space="preserve">IGO (due to privileged nature).</w:t>
      </w:r>
    </w:p>
    <w:p>
      <w:pPr>
        <w:pStyle w:val="Compact"/>
        <w:numPr>
          <w:ilvl w:val="0"/>
          <w:numId w:val="1183"/>
        </w:numPr>
      </w:pPr>
      <w:r>
        <w:t xml:space="preserve">Upon IGO approval, SAM generates a ServiceNow RITM tasked to Identity</w:t>
      </w:r>
      <w:r>
        <w:t xml:space="preserve"> </w:t>
      </w:r>
      <w:r>
        <w:t xml:space="preserve">Engineering.</w:t>
      </w:r>
    </w:p>
    <w:p>
      <w:pPr>
        <w:pStyle w:val="Compact"/>
        <w:numPr>
          <w:ilvl w:val="0"/>
          <w:numId w:val="1183"/>
        </w:numPr>
      </w:pPr>
      <w:r>
        <w:t xml:space="preserve">Identity Engineering adds the technician’s account to the PAG in Entra ID as an</w:t>
      </w:r>
      <w:r>
        <w:t xml:space="preserve"> </w:t>
      </w:r>
      <w:r>
        <w:rPr>
          <w:b/>
          <w:bCs/>
        </w:rPr>
        <w:t xml:space="preserve">Eligible</w:t>
      </w:r>
      <w:r>
        <w:t xml:space="preserve"> </w:t>
      </w:r>
      <w:r>
        <w:t xml:space="preserve">member via PIM.</w:t>
      </w:r>
    </w:p>
    <w:p>
      <w:pPr>
        <w:pStyle w:val="Compact"/>
        <w:numPr>
          <w:ilvl w:val="0"/>
          <w:numId w:val="1183"/>
        </w:numPr>
      </w:pPr>
      <w:r>
        <w:t xml:space="preserve">Identity Engineering resolves the RITM and notifies the Help Desk Supervisor.</w:t>
      </w:r>
    </w:p>
    <w:p>
      <w:pPr>
        <w:pStyle w:val="Compact"/>
        <w:numPr>
          <w:ilvl w:val="0"/>
          <w:numId w:val="1183"/>
        </w:numPr>
      </w:pPr>
      <w:r>
        <w:t xml:space="preserve">Technician completes required PIM training and acknowledges this guide before</w:t>
      </w:r>
      <w:r>
        <w:t xml:space="preserve"> </w:t>
      </w:r>
      <w:r>
        <w:t xml:space="preserve">first elevation.</w:t>
      </w:r>
    </w:p>
    <w:bookmarkEnd w:id="399"/>
    <w:bookmarkStart w:id="400" w:name="offboarding-a-technician-from-the-pag"/>
    <w:p>
      <w:pPr>
        <w:pStyle w:val="Heading3"/>
      </w:pPr>
      <w:r>
        <w:t xml:space="preserve">Offboarding a technician from the PAG</w:t>
      </w:r>
    </w:p>
    <w:p>
      <w:pPr>
        <w:pStyle w:val="Compact"/>
        <w:numPr>
          <w:ilvl w:val="0"/>
          <w:numId w:val="1184"/>
        </w:numPr>
      </w:pPr>
      <w:r>
        <w:t xml:space="preserve">Supervisor submits offboarding or role-removal request in SAM upon technician</w:t>
      </w:r>
      <w:r>
        <w:t xml:space="preserve"> </w:t>
      </w:r>
      <w:r>
        <w:t xml:space="preserve">departure, role change, or disciplinary action.</w:t>
      </w:r>
    </w:p>
    <w:p>
      <w:pPr>
        <w:pStyle w:val="Compact"/>
        <w:numPr>
          <w:ilvl w:val="0"/>
          <w:numId w:val="1184"/>
        </w:numPr>
      </w:pPr>
      <w:r>
        <w:t xml:space="preserve">SAM immediately flags the account for access removal. IGO approval is not</w:t>
      </w:r>
      <w:r>
        <w:t xml:space="preserve"> </w:t>
      </w:r>
      <w:r>
        <w:t xml:space="preserve">required for removals — removal is executed on SAM approval alone.</w:t>
      </w:r>
    </w:p>
    <w:p>
      <w:pPr>
        <w:pStyle w:val="Compact"/>
        <w:numPr>
          <w:ilvl w:val="0"/>
          <w:numId w:val="1184"/>
        </w:numPr>
      </w:pPr>
      <w:r>
        <w:t xml:space="preserve">ServiceNow RITM is generated to Identity Engineering for immediate PAG</w:t>
      </w:r>
      <w:r>
        <w:t xml:space="preserve"> </w:t>
      </w:r>
      <w:r>
        <w:t xml:space="preserve">membership removal.</w:t>
      </w:r>
    </w:p>
    <w:p>
      <w:pPr>
        <w:pStyle w:val="Compact"/>
        <w:numPr>
          <w:ilvl w:val="0"/>
          <w:numId w:val="1184"/>
        </w:numPr>
      </w:pPr>
      <w:r>
        <w:t xml:space="preserve">Identity Engineering removes the technician’s eligible assignment from PIM and</w:t>
      </w:r>
      <w:r>
        <w:t xml:space="preserve"> </w:t>
      </w:r>
      <w:r>
        <w:t xml:space="preserve">resolves the RITM.</w:t>
      </w:r>
    </w:p>
    <w:p>
      <w:pPr>
        <w:pStyle w:val="Compact"/>
        <w:numPr>
          <w:ilvl w:val="0"/>
          <w:numId w:val="1184"/>
        </w:numPr>
      </w:pPr>
      <w:r>
        <w:t xml:space="preserve">If a PIM session is active at the time of removal, Identity Engineering must</w:t>
      </w:r>
      <w:r>
        <w:t xml:space="preserve"> </w:t>
      </w:r>
      <w:r>
        <w:t xml:space="preserve">also terminate any active role sessions.</w:t>
      </w:r>
    </w:p>
    <w:bookmarkEnd w:id="400"/>
    <w:bookmarkEnd w:id="401"/>
    <w:bookmarkStart w:id="402" w:name="assigned-entra-roles-and-their-scope"/>
    <w:p>
      <w:pPr>
        <w:pStyle w:val="Heading2"/>
      </w:pPr>
      <w:r>
        <w:t xml:space="preserve">Assigned Entra roles and their scope</w:t>
      </w:r>
    </w:p>
    <w:p>
      <w:pPr>
        <w:pStyle w:val="FirstParagraph"/>
      </w:pPr>
      <w:r>
        <w:t xml:space="preserve">The following four Entra ID directory roles are the complete set of roles</w:t>
      </w:r>
      <w:r>
        <w:t xml:space="preserve"> </w:t>
      </w:r>
      <w:r>
        <w:t xml:space="preserve">assignable to the Help Desk PAG. Two are required; two are optional and must be</w:t>
      </w:r>
      <w:r>
        <w:t xml:space="preserve"> </w:t>
      </w:r>
      <w:r>
        <w:t xml:space="preserve">explicitly authorized by the IGO for inclusion in the agency’s PAG configuration.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Role</w:t>
            </w:r>
          </w:p>
        </w:tc>
        <w:tc>
          <w:tcPr/>
          <w:p>
            <w:pPr>
              <w:pStyle w:val="Compact"/>
            </w:pPr>
            <w:r>
              <w:rPr>
                <w:b/>
                <w:bCs/>
              </w:rPr>
              <w:t xml:space="preserve">Required / Optional</w:t>
            </w:r>
          </w:p>
        </w:tc>
        <w:tc>
          <w:tcPr/>
          <w:p>
            <w:pPr>
              <w:pStyle w:val="Compact"/>
            </w:pPr>
            <w:r>
              <w:rPr>
                <w:b/>
                <w:bCs/>
              </w:rPr>
              <w:t xml:space="preserve">Authorized tasks</w:t>
            </w:r>
          </w:p>
        </w:tc>
        <w:tc>
          <w:tcPr/>
          <w:p>
            <w:pPr>
              <w:pStyle w:val="Compact"/>
            </w:pPr>
            <w:r>
              <w:rPr>
                <w:b/>
                <w:bCs/>
              </w:rPr>
              <w:t xml:space="preserve">NOT authorized under this role</w:t>
            </w:r>
          </w:p>
        </w:tc>
        <w:tc>
          <w:tcPr/>
          <w:p>
            <w:pPr>
              <w:pStyle w:val="Compact"/>
            </w:pPr>
            <w:r>
              <w:rPr>
                <w:b/>
                <w:bCs/>
              </w:rPr>
              <w:t xml:space="preserve">Notes</w:t>
            </w:r>
          </w:p>
        </w:tc>
      </w:tr>
      <w:tr>
        <w:tc>
          <w:tcPr/>
          <w:p>
            <w:pPr>
              <w:pStyle w:val="Compact"/>
            </w:pPr>
            <w:r>
              <w:rPr>
                <w:b/>
                <w:bCs/>
              </w:rPr>
              <w:t xml:space="preserve">Application Administrator</w:t>
            </w:r>
          </w:p>
        </w:tc>
        <w:tc>
          <w:tcPr/>
          <w:p>
            <w:pPr>
              <w:pStyle w:val="Compact"/>
            </w:pPr>
            <w:r>
              <w:rPr>
                <w:b/>
                <w:bCs/>
              </w:rPr>
              <w:t xml:space="preserve">Required</w:t>
            </w:r>
          </w:p>
        </w:tc>
        <w:tc>
          <w:tcPr/>
          <w:p>
            <w:pPr>
              <w:pStyle w:val="Compact"/>
            </w:pPr>
            <w:r>
              <w:t xml:space="preserve">Assign security groups to Enterprise Application role assignments. Remove group assignments from Enterprise Applications. View app role assignments for audit and triage. View and read Enterprise Application configurations. Review sign-in logs for application access diagnostics.</w:t>
            </w:r>
          </w:p>
        </w:tc>
        <w:tc>
          <w:tcPr/>
          <w:p>
            <w:pPr>
              <w:pStyle w:val="Compact"/>
            </w:pPr>
            <w:r>
              <w:t xml:space="preserve">Create or delete App Registrations or Service Principals. Modify API permissions or consent settings. Approve Admin Consent grants. Modify application Conditional Access assignments.</w:t>
            </w:r>
          </w:p>
        </w:tc>
        <w:tc>
          <w:tcPr/>
          <w:p>
            <w:pPr>
              <w:pStyle w:val="Compact"/>
            </w:pPr>
            <w:r>
              <w:t xml:space="preserve">This role provides write access to Enterprise Application role assignments — the most operationally critical capability for Help Desk. PIM elevation required for all write operations. Read access for diagnostics does not require elevation but must be documented.</w:t>
            </w:r>
          </w:p>
        </w:tc>
      </w:tr>
      <w:tr>
        <w:tc>
          <w:tcPr/>
          <w:p>
            <w:pPr>
              <w:pStyle w:val="Compact"/>
            </w:pPr>
            <w:r>
              <w:rPr>
                <w:b/>
                <w:bCs/>
              </w:rPr>
              <w:t xml:space="preserve">Hybrid Identity Administrator</w:t>
            </w:r>
          </w:p>
        </w:tc>
        <w:tc>
          <w:tcPr/>
          <w:p>
            <w:pPr>
              <w:pStyle w:val="Compact"/>
            </w:pPr>
            <w:r>
              <w:rPr>
                <w:b/>
                <w:bCs/>
              </w:rPr>
              <w:t xml:space="preserve">Required</w:t>
            </w:r>
          </w:p>
        </w:tc>
        <w:tc>
          <w:tcPr/>
          <w:p>
            <w:pPr>
              <w:pStyle w:val="Compact"/>
            </w:pPr>
            <w:r>
              <w:t xml:space="preserve">Reset ImmutableID attribute on cloud-synced user objects via PowerShell. View Entra Connect synchronization status and health. Diagnose sync mismatches between on-premises AD and Entra ID. Initiate object re-sync after ImmutableID correction.</w:t>
            </w:r>
          </w:p>
        </w:tc>
        <w:tc>
          <w:tcPr/>
          <w:p>
            <w:pPr>
              <w:pStyle w:val="Compact"/>
            </w:pPr>
            <w:r>
              <w:t xml:space="preserve">Modify Entra Connect synchronization rules or configuration. Create or modify on-premises AD objects (those remain in AD admin scope). Change tenant-level hybrid identity settings. Manage AD FS or Entra ID federation configuration.</w:t>
            </w:r>
          </w:p>
        </w:tc>
        <w:tc>
          <w:tcPr/>
          <w:p>
            <w:pPr>
              <w:pStyle w:val="Compact"/>
            </w:pPr>
            <w:r>
              <w:t xml:space="preserve">ImmutableID operations carry significant risk — an incorrect reset can orphan the cloud object or create a duplicate. All ImmutableID actions require Identity Engineering Lead approval in the ServiceNow ticket before Help Desk proceeds. Procedure is in the Hybrid identity operations section.</w:t>
            </w:r>
          </w:p>
        </w:tc>
      </w:tr>
      <w:tr>
        <w:tc>
          <w:tcPr/>
          <w:p>
            <w:pPr>
              <w:pStyle w:val="Compact"/>
            </w:pPr>
            <w:r>
              <w:rPr>
                <w:b/>
                <w:bCs/>
              </w:rPr>
              <w:t xml:space="preserve">Authentication Administrator</w:t>
            </w:r>
          </w:p>
        </w:tc>
        <w:tc>
          <w:tcPr/>
          <w:p>
            <w:pPr>
              <w:pStyle w:val="Compact"/>
            </w:pPr>
            <w:r>
              <w:rPr>
                <w:b/>
                <w:bCs/>
              </w:rPr>
              <w:t xml:space="preserve">Optional</w:t>
            </w:r>
            <w:r>
              <w:t xml:space="preserve"> </w:t>
            </w:r>
            <w:r>
              <w:t xml:space="preserve">(IGO authorization required)</w:t>
            </w:r>
          </w:p>
        </w:tc>
        <w:tc>
          <w:tcPr/>
          <w:p>
            <w:pPr>
              <w:pStyle w:val="Compact"/>
            </w:pPr>
            <w:r>
              <w:t xml:space="preserve">Reset MFA authentication methods for non-administrator users. Re-register a user’s FIDO2 key, authenticator app, or phone number. Temporarily disable MFA for a specific user under Help Desk Supervisor approval. View authentication method registration status for triage.</w:t>
            </w:r>
          </w:p>
        </w:tc>
        <w:tc>
          <w:tcPr/>
          <w:p>
            <w:pPr>
              <w:pStyle w:val="Compact"/>
            </w:pPr>
            <w:r>
              <w:t xml:space="preserve">Manage authentication methods for any user holding an Entra directory role. Modify tenant-wide authentication policies. Create or modify Conditional Access authentication strength policies. Bypass MFA for accounts with privileged roles.</w:t>
            </w:r>
          </w:p>
        </w:tc>
        <w:tc>
          <w:tcPr/>
          <w:p>
            <w:pPr>
              <w:pStyle w:val="Compact"/>
            </w:pPr>
            <w:r>
              <w:t xml:space="preserve">Authentication Administrator cannot manage MFA for other Administrators. If a user holding an Entra role requires MFA reset, escalate to Global Administrator or Privileged Authentication Administrator (out of Help Desk scope).</w:t>
            </w:r>
          </w:p>
        </w:tc>
      </w:tr>
      <w:tr>
        <w:tc>
          <w:tcPr/>
          <w:p>
            <w:pPr>
              <w:pStyle w:val="Compact"/>
            </w:pPr>
            <w:r>
              <w:rPr>
                <w:b/>
                <w:bCs/>
              </w:rPr>
              <w:t xml:space="preserve">User Administrator</w:t>
            </w:r>
          </w:p>
        </w:tc>
        <w:tc>
          <w:tcPr/>
          <w:p>
            <w:pPr>
              <w:pStyle w:val="Compact"/>
            </w:pPr>
            <w:r>
              <w:rPr>
                <w:b/>
                <w:bCs/>
              </w:rPr>
              <w:t xml:space="preserve">Optional — Restricted</w:t>
            </w:r>
            <w:r>
              <w:t xml:space="preserve"> </w:t>
            </w:r>
            <w:r>
              <w:t xml:space="preserve">(IGO authorization required; use with caution)</w:t>
            </w:r>
          </w:p>
        </w:tc>
        <w:tc>
          <w:tcPr/>
          <w:p>
            <w:pPr>
              <w:pStyle w:val="Compact"/>
            </w:pPr>
            <w:r>
              <w:t xml:space="preserve">Reset passwords for non-administrator users, where SAM and ServiceNow do not automate the reset. Assign or remove licenses when authorized via SAM-originated RITM with Departmental Owner approval. Trigger OneDrive provisioning for a newly licensed user. Update basic user profile attributes per SAM-initiated change request.</w:t>
            </w:r>
          </w:p>
        </w:tc>
        <w:tc>
          <w:tcPr/>
          <w:p>
            <w:pPr>
              <w:pStyle w:val="Compact"/>
            </w:pPr>
            <w:r>
              <w:t xml:space="preserve">Delete user accounts. Manage users who hold Entra directory roles. Assign or remove Entra directory roles from users. Create guest or B2B invitation accounts.</w:t>
            </w:r>
          </w:p>
        </w:tc>
        <w:tc>
          <w:tcPr/>
          <w:p>
            <w:pPr>
              <w:pStyle w:val="Compact"/>
            </w:pPr>
            <w:r>
              <w:t xml:space="preserve">User Administrator is the broadest optional role and must be activated only for the specific task authorized in the RITM. Supervisor approval is required before elevation. This role’s inclusion in the PAG requires annual IGO re-authorization and must be justified by operational necessity.</w:t>
            </w:r>
          </w:p>
        </w:tc>
      </w:tr>
    </w:tbl>
    <w:p>
      <w:pPr>
        <w:pStyle w:val="BodyText"/>
      </w:pPr>
      <w:r>
        <w:rPr>
          <w:b/>
          <w:bCs/>
        </w:rPr>
        <w:t xml:space="preserve">No native Help Desk role in Entra ID</w:t>
      </w:r>
    </w:p>
    <w:p>
      <w:pPr>
        <w:pStyle w:val="BodyText"/>
      </w:pPr>
      <w:r>
        <w:t xml:space="preserve">The Microsoft built-in</w:t>
      </w:r>
      <w:r>
        <w:t xml:space="preserve"> </w:t>
      </w:r>
      <w:r>
        <w:rPr>
          <w:b/>
          <w:bCs/>
        </w:rPr>
        <w:t xml:space="preserve">Helpdesk Administrator</w:t>
      </w:r>
      <w:r>
        <w:t xml:space="preserve"> </w:t>
      </w:r>
      <w:r>
        <w:t xml:space="preserve">role is</w:t>
      </w:r>
      <w:r>
        <w:t xml:space="preserve"> </w:t>
      </w:r>
      <w:r>
        <w:rPr>
          <w:b/>
          <w:bCs/>
        </w:rPr>
        <w:t xml:space="preserve">NOT used</w:t>
      </w:r>
      <w:r>
        <w:t xml:space="preserve"> </w:t>
      </w:r>
      <w:r>
        <w:t xml:space="preserve">in this</w:t>
      </w:r>
      <w:r>
        <w:t xml:space="preserve"> </w:t>
      </w:r>
      <w:r>
        <w:t xml:space="preserve">agency’s model and is</w:t>
      </w:r>
      <w:r>
        <w:t xml:space="preserve"> </w:t>
      </w:r>
      <w:r>
        <w:rPr>
          <w:b/>
          <w:bCs/>
        </w:rPr>
        <w:t xml:space="preserve">NOT assigned</w:t>
      </w:r>
      <w:r>
        <w:t xml:space="preserve"> </w:t>
      </w:r>
      <w:r>
        <w:t xml:space="preserve">to the PAG or to any Help Desk technician</w:t>
      </w:r>
      <w:r>
        <w:t xml:space="preserve"> </w:t>
      </w:r>
      <w:r>
        <w:t xml:space="preserve">individually. That role covers only password resets and basic M365 tasks. It</w:t>
      </w:r>
      <w:r>
        <w:t xml:space="preserve"> </w:t>
      </w:r>
      <w:r>
        <w:t xml:space="preserve">cannot assign groups to Enterprise Applications, triage Admin Consent, reset</w:t>
      </w:r>
      <w:r>
        <w:t xml:space="preserve"> </w:t>
      </w:r>
      <w:r>
        <w:t xml:space="preserve">ImmutableID, manage app role assignments, or manage Service Principals. The</w:t>
      </w:r>
      <w:r>
        <w:t xml:space="preserve"> </w:t>
      </w:r>
      <w:r>
        <w:t xml:space="preserve">PAG-based model documented in this guide is the correct enterprise architecture</w:t>
      </w:r>
      <w:r>
        <w:t xml:space="preserve"> </w:t>
      </w:r>
      <w:r>
        <w:t xml:space="preserve">for Help Desk identity operations.</w:t>
      </w:r>
    </w:p>
    <w:bookmarkEnd w:id="402"/>
    <w:bookmarkStart w:id="407" w:name="X9fd83125ee30870c76588d6f222a3e31a53778e"/>
    <w:p>
      <w:pPr>
        <w:pStyle w:val="Heading2"/>
      </w:pPr>
      <w:r>
        <w:t xml:space="preserve">SAM — Systems Access Management integration</w:t>
      </w:r>
    </w:p>
    <w:bookmarkStart w:id="403" w:name="overview-the-three-platform-model"/>
    <w:p>
      <w:pPr>
        <w:pStyle w:val="Heading3"/>
      </w:pPr>
      <w:r>
        <w:t xml:space="preserve">Overview — the three-platform model</w:t>
      </w:r>
    </w:p>
    <w:p>
      <w:pPr>
        <w:pStyle w:val="FirstParagraph"/>
      </w:pPr>
      <w:r>
        <w:t xml:space="preserve">The agency’s access management architecture operates across three distinct but</w:t>
      </w:r>
      <w:r>
        <w:t xml:space="preserve"> </w:t>
      </w:r>
      <w:r>
        <w:t xml:space="preserve">integrated platforms. Help Desk personnel must understand the distinct role and</w:t>
      </w:r>
      <w:r>
        <w:t xml:space="preserve"> </w:t>
      </w:r>
      <w:r>
        <w:t xml:space="preserve">authority of each platform and must never conflate their functions.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Platform</w:t>
            </w:r>
          </w:p>
        </w:tc>
        <w:tc>
          <w:tcPr/>
          <w:p>
            <w:pPr>
              <w:pStyle w:val="Compact"/>
            </w:pPr>
            <w:r>
              <w:rPr>
                <w:b/>
                <w:bCs/>
              </w:rPr>
              <w:t xml:space="preserve">Role in the architecture</w:t>
            </w:r>
          </w:p>
        </w:tc>
        <w:tc>
          <w:tcPr/>
          <w:p>
            <w:pPr>
              <w:pStyle w:val="Compact"/>
            </w:pPr>
            <w:r>
              <w:rPr>
                <w:b/>
                <w:bCs/>
              </w:rPr>
              <w:t xml:space="preserve">Who administers it</w:t>
            </w:r>
          </w:p>
        </w:tc>
        <w:tc>
          <w:tcPr/>
          <w:p>
            <w:pPr>
              <w:pStyle w:val="Compact"/>
            </w:pPr>
            <w:r>
              <w:rPr>
                <w:b/>
                <w:bCs/>
              </w:rPr>
              <w:t xml:space="preserve">Help Desk relationship</w:t>
            </w:r>
          </w:p>
        </w:tc>
      </w:tr>
      <w:tr>
        <w:tc>
          <w:tcPr/>
          <w:p>
            <w:pPr>
              <w:pStyle w:val="Compact"/>
            </w:pPr>
            <w:r>
              <w:rPr>
                <w:b/>
                <w:bCs/>
              </w:rPr>
              <w:t xml:space="preserve">SAM (SailPoint IGA)</w:t>
            </w:r>
          </w:p>
        </w:tc>
        <w:tc>
          <w:tcPr/>
          <w:p>
            <w:pPr>
              <w:pStyle w:val="Compact"/>
            </w:pPr>
            <w:r>
              <w:t xml:space="preserve">Governs WHO gets access. Routes approvals through business and technical owners. Enforces access policy. Provisions to connected systems via automated connectors. Runs periodic access certifications. Source of truth for access decisions.</w:t>
            </w:r>
          </w:p>
        </w:tc>
        <w:tc>
          <w:tcPr/>
          <w:p>
            <w:pPr>
              <w:pStyle w:val="Compact"/>
            </w:pPr>
            <w:r>
              <w:t xml:space="preserve">IAM / Identity Governance team</w:t>
            </w:r>
          </w:p>
        </w:tc>
        <w:tc>
          <w:tcPr/>
          <w:p>
            <w:pPr>
              <w:pStyle w:val="Compact"/>
            </w:pPr>
            <w:r>
              <w:rPr>
                <w:b/>
                <w:bCs/>
              </w:rPr>
              <w:t xml:space="preserve">Downstream</w:t>
            </w:r>
            <w:r>
              <w:t xml:space="preserve"> </w:t>
            </w:r>
            <w:r>
              <w:t xml:space="preserve">— Help Desk executes only what SAM has already approved. Help Desk does not make access decisions.</w:t>
            </w:r>
          </w:p>
        </w:tc>
      </w:tr>
      <w:tr>
        <w:tc>
          <w:tcPr/>
          <w:p>
            <w:pPr>
              <w:pStyle w:val="Compact"/>
            </w:pPr>
            <w:r>
              <w:rPr>
                <w:b/>
                <w:bCs/>
              </w:rPr>
              <w:t xml:space="preserve">ServiceNow (ITSM)</w:t>
            </w:r>
          </w:p>
        </w:tc>
        <w:tc>
          <w:tcPr/>
          <w:p>
            <w:pPr>
              <w:pStyle w:val="Compact"/>
            </w:pPr>
            <w:r>
              <w:t xml:space="preserve">Tracks work effort. Manages IT change records and request items (RITMs). Enforces SLAs. Provides the audit trail for ITSM actions. Receives auto-generated tasks from SAM and Entra alerts.</w:t>
            </w:r>
          </w:p>
        </w:tc>
        <w:tc>
          <w:tcPr/>
          <w:p>
            <w:pPr>
              <w:pStyle w:val="Compact"/>
            </w:pPr>
            <w:r>
              <w:t xml:space="preserve">ITSM / Service Desk Operations</w:t>
            </w:r>
          </w:p>
        </w:tc>
        <w:tc>
          <w:tcPr/>
          <w:p>
            <w:pPr>
              <w:pStyle w:val="Compact"/>
            </w:pPr>
            <w:r>
              <w:rPr>
                <w:b/>
                <w:bCs/>
              </w:rPr>
              <w:t xml:space="preserve">Operational interface</w:t>
            </w:r>
            <w:r>
              <w:t xml:space="preserve"> </w:t>
            </w:r>
            <w:r>
              <w:t xml:space="preserve">— Help Desk works tickets here. Every Entra action must trace to a ServiceNow ticket.</w:t>
            </w:r>
          </w:p>
        </w:tc>
      </w:tr>
      <w:tr>
        <w:tc>
          <w:tcPr/>
          <w:p>
            <w:pPr>
              <w:pStyle w:val="Compact"/>
            </w:pPr>
            <w:r>
              <w:rPr>
                <w:b/>
                <w:bCs/>
              </w:rPr>
              <w:t xml:space="preserve">Microsoft Entra ID</w:t>
            </w:r>
          </w:p>
        </w:tc>
        <w:tc>
          <w:tcPr/>
          <w:p>
            <w:pPr>
              <w:pStyle w:val="Compact"/>
            </w:pPr>
            <w:r>
              <w:t xml:space="preserve">Enforces access at the identity layer — group memberships, app role assignments, Conditional Access policies, PIM governance, device compliance, hybrid identity sync.</w:t>
            </w:r>
          </w:p>
        </w:tc>
        <w:tc>
          <w:tcPr/>
          <w:p>
            <w:pPr>
              <w:pStyle w:val="Compact"/>
            </w:pPr>
            <w:r>
              <w:t xml:space="preserve">Identity Engineering, Security Operations, Help Desk (within scope)</w:t>
            </w:r>
          </w:p>
        </w:tc>
        <w:tc>
          <w:tcPr/>
          <w:p>
            <w:pPr>
              <w:pStyle w:val="Compact"/>
            </w:pPr>
            <w:r>
              <w:rPr>
                <w:b/>
                <w:bCs/>
              </w:rPr>
              <w:t xml:space="preserve">Execution target</w:t>
            </w:r>
            <w:r>
              <w:t xml:space="preserve"> </w:t>
            </w:r>
            <w:r>
              <w:t xml:space="preserve">— Help Desk makes Entra changes only after SAM approval and ServiceNow task assignment.</w:t>
            </w:r>
          </w:p>
        </w:tc>
      </w:tr>
    </w:tbl>
    <w:p>
      <w:pPr>
        <w:pStyle w:val="BodyText"/>
      </w:pPr>
      <w:r>
        <w:rPr>
          <w:b/>
          <w:bCs/>
        </w:rPr>
        <w:t xml:space="preserve">Key principle</w:t>
      </w:r>
    </w:p>
    <w:p>
      <w:pPr>
        <w:pStyle w:val="BodyText"/>
      </w:pPr>
      <w:r>
        <w:rPr>
          <w:b/>
          <w:bCs/>
        </w:rPr>
        <w:t xml:space="preserve">Help Desk is downstream of SAM.</w:t>
      </w:r>
      <w:r>
        <w:t xml:space="preserve"> </w:t>
      </w:r>
      <w:r>
        <w:t xml:space="preserve">Help Desk executes manual Entra ID actions</w:t>
      </w:r>
      <w:r>
        <w:t xml:space="preserve"> </w:t>
      </w:r>
      <w:r>
        <w:t xml:space="preserve">that SAM cannot automate — after SAM has approved the request and after ServiceNow</w:t>
      </w:r>
      <w:r>
        <w:t xml:space="preserve"> </w:t>
      </w:r>
      <w:r>
        <w:t xml:space="preserve">has created and assigned the task. Help Desk never makes access governance</w:t>
      </w:r>
      <w:r>
        <w:t xml:space="preserve"> </w:t>
      </w:r>
      <w:r>
        <w:t xml:space="preserve">decisions independently.</w:t>
      </w:r>
    </w:p>
    <w:bookmarkEnd w:id="403"/>
    <w:bookmarkStart w:id="404" w:name="Xe0511f004d57dbe29c284d3056950ebaea6af49"/>
    <w:p>
      <w:pPr>
        <w:pStyle w:val="Heading3"/>
      </w:pPr>
      <w:r>
        <w:t xml:space="preserve">SAM actors relevant to Help Desk workflow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SAM actor</w:t>
            </w:r>
          </w:p>
        </w:tc>
        <w:tc>
          <w:tcPr/>
          <w:p>
            <w:pPr>
              <w:pStyle w:val="Compact"/>
            </w:pPr>
            <w:r>
              <w:rPr>
                <w:b/>
                <w:bCs/>
              </w:rPr>
              <w:t xml:space="preserve">Role in workflow</w:t>
            </w:r>
          </w:p>
        </w:tc>
        <w:tc>
          <w:tcPr/>
          <w:p>
            <w:pPr>
              <w:pStyle w:val="Compact"/>
            </w:pPr>
            <w:r>
              <w:rPr>
                <w:b/>
                <w:bCs/>
              </w:rPr>
              <w:t xml:space="preserve">Help Desk interaction</w:t>
            </w:r>
          </w:p>
        </w:tc>
      </w:tr>
      <w:tr>
        <w:tc>
          <w:tcPr/>
          <w:p>
            <w:pPr>
              <w:pStyle w:val="Compact"/>
            </w:pPr>
            <w:r>
              <w:rPr>
                <w:b/>
                <w:bCs/>
              </w:rPr>
              <w:t xml:space="preserve">Access Requester</w:t>
            </w:r>
          </w:p>
        </w:tc>
        <w:tc>
          <w:tcPr/>
          <w:p>
            <w:pPr>
              <w:pStyle w:val="Compact"/>
            </w:pPr>
            <w:r>
              <w:t xml:space="preserve">Submits access request in SAM portal. Provides business justification and requested application/role.</w:t>
            </w:r>
          </w:p>
        </w:tc>
        <w:tc>
          <w:tcPr/>
          <w:p>
            <w:pPr>
              <w:pStyle w:val="Compact"/>
            </w:pPr>
            <w:r>
              <w:t xml:space="preserve">None — entirely upstream of Help Desk. Help Desk does not receive or process SAM portal submissions directly.</w:t>
            </w:r>
          </w:p>
        </w:tc>
      </w:tr>
      <w:tr>
        <w:tc>
          <w:tcPr/>
          <w:p>
            <w:pPr>
              <w:pStyle w:val="Compact"/>
            </w:pPr>
            <w:r>
              <w:rPr>
                <w:b/>
                <w:bCs/>
              </w:rPr>
              <w:t xml:space="preserve">Business Approver (Departmental Owner)</w:t>
            </w:r>
          </w:p>
        </w:tc>
        <w:tc>
          <w:tcPr/>
          <w:p>
            <w:pPr>
              <w:pStyle w:val="Compact"/>
            </w:pPr>
            <w:r>
              <w:t xml:space="preserve">First-level approval in SAM. Validates that the requester has a legitimate business need for the requested access.</w:t>
            </w:r>
          </w:p>
        </w:tc>
        <w:tc>
          <w:tcPr/>
          <w:p>
            <w:pPr>
              <w:pStyle w:val="Compact"/>
            </w:pPr>
            <w:r>
              <w:t xml:space="preserve">None — upstream approval. Help Desk is notified only after this approval is complete.</w:t>
            </w:r>
          </w:p>
        </w:tc>
      </w:tr>
      <w:tr>
        <w:tc>
          <w:tcPr/>
          <w:p>
            <w:pPr>
              <w:pStyle w:val="Compact"/>
            </w:pPr>
            <w:r>
              <w:rPr>
                <w:b/>
                <w:bCs/>
              </w:rPr>
              <w:t xml:space="preserve">Application Owner</w:t>
            </w:r>
          </w:p>
        </w:tc>
        <w:tc>
          <w:tcPr/>
          <w:p>
            <w:pPr>
              <w:pStyle w:val="Compact"/>
            </w:pPr>
            <w:r>
              <w:t xml:space="preserve">Second-level approval in SAM for application-specific access. Confirms the requester should be provisioned to the specific application role.</w:t>
            </w:r>
          </w:p>
        </w:tc>
        <w:tc>
          <w:tcPr/>
          <w:p>
            <w:pPr>
              <w:pStyle w:val="Compact"/>
            </w:pPr>
            <w:r>
              <w:t xml:space="preserve">Help Desk is notified via ServiceNow RITM after Application Owner approval completes. For Admin Consent escalations, Help Desk routes to Application Owner for IGO referral.</w:t>
            </w:r>
          </w:p>
        </w:tc>
      </w:tr>
      <w:tr>
        <w:tc>
          <w:tcPr/>
          <w:p>
            <w:pPr>
              <w:pStyle w:val="Compact"/>
            </w:pPr>
            <w:r>
              <w:rPr>
                <w:b/>
                <w:bCs/>
              </w:rPr>
              <w:t xml:space="preserve">Identity Governance Officer (IGO)</w:t>
            </w:r>
          </w:p>
        </w:tc>
        <w:tc>
          <w:tcPr/>
          <w:p>
            <w:pPr>
              <w:pStyle w:val="Compact"/>
            </w:pPr>
            <w:r>
              <w:t xml:space="preserve">Final approval authority in SAM for high-risk access, ImmutableID changes, and all Admin Consent matters. Acts directly for Admin Consent approvals in the Entra portal — Help Desk does not handle that action.</w:t>
            </w:r>
          </w:p>
        </w:tc>
        <w:tc>
          <w:tcPr/>
          <w:p>
            <w:pPr>
              <w:pStyle w:val="Compact"/>
            </w:pPr>
            <w:r>
              <w:t xml:space="preserve">For ImmutableID and high-risk actions: Help Desk executes the Entra action only after IGO approval appears in the ServiceNow ticket. For Admin Consent: IGO acts directly — Help Desk role is triage and escalation to Application Owner, who refers to IGO.</w:t>
            </w:r>
          </w:p>
        </w:tc>
      </w:tr>
      <w:tr>
        <w:tc>
          <w:tcPr/>
          <w:p>
            <w:pPr>
              <w:pStyle w:val="Compact"/>
            </w:pPr>
            <w:r>
              <w:rPr>
                <w:b/>
                <w:bCs/>
              </w:rPr>
              <w:t xml:space="preserve">SAM System (Automated)</w:t>
            </w:r>
          </w:p>
        </w:tc>
        <w:tc>
          <w:tcPr/>
          <w:p>
            <w:pPr>
              <w:pStyle w:val="Compact"/>
            </w:pPr>
            <w:r>
              <w:t xml:space="preserve">Provisions access via Entra ID connector for apps and groups that have a configured SAM-Entra connector with write access to the target resource.</w:t>
            </w:r>
          </w:p>
        </w:tc>
        <w:tc>
          <w:tcPr/>
          <w:p>
            <w:pPr>
              <w:pStyle w:val="Compact"/>
            </w:pPr>
            <w:r>
              <w:t xml:space="preserve">Help Desk handles residual manual steps SAM cannot automate — primarily Enterprise Application group assignments where the SAM connector lacks write access to app role assignments, and ImmutableID operations requiring PowerShell.</w:t>
            </w:r>
          </w:p>
        </w:tc>
      </w:tr>
      <w:tr>
        <w:tc>
          <w:tcPr/>
          <w:p>
            <w:pPr>
              <w:pStyle w:val="Compact"/>
            </w:pPr>
            <w:r>
              <w:rPr>
                <w:b/>
                <w:bCs/>
              </w:rPr>
              <w:t xml:space="preserve">Help Desk Operator</w:t>
            </w:r>
          </w:p>
        </w:tc>
        <w:tc>
          <w:tcPr/>
          <w:p>
            <w:pPr>
              <w:pStyle w:val="Compact"/>
            </w:pPr>
            <w:r>
              <w:t xml:space="preserve">Receives ServiceNow RITM task after all required SAM approvals are complete. Executes the Entra action. Resolves the task with full documentation.</w:t>
            </w:r>
          </w:p>
        </w:tc>
        <w:tc>
          <w:tcPr/>
          <w:p>
            <w:pPr>
              <w:pStyle w:val="Compact"/>
            </w:pPr>
            <w:r>
              <w:t xml:space="preserve">Performs PIM elevation, executes action in Entra portal or PowerShell, validates result, documents in ServiceNow, and resolves ticket.</w:t>
            </w:r>
          </w:p>
        </w:tc>
      </w:tr>
    </w:tbl>
    <w:bookmarkEnd w:id="404"/>
    <w:bookmarkStart w:id="405" w:name="how-sam-auto-routes-to-servicenow"/>
    <w:p>
      <w:pPr>
        <w:pStyle w:val="Heading3"/>
      </w:pPr>
      <w:r>
        <w:t xml:space="preserve">How SAM auto-routes to ServiceNow</w:t>
      </w:r>
    </w:p>
    <w:p>
      <w:pPr>
        <w:pStyle w:val="FirstParagraph"/>
      </w:pPr>
      <w:r>
        <w:t xml:space="preserve">Help Desk personnel do not execute any Entra action until all three of the</w:t>
      </w:r>
      <w:r>
        <w:t xml:space="preserve"> </w:t>
      </w:r>
      <w:r>
        <w:t xml:space="preserve">following conditions are met:</w:t>
      </w:r>
    </w:p>
    <w:p>
      <w:pPr>
        <w:pStyle w:val="Compact"/>
        <w:numPr>
          <w:ilvl w:val="0"/>
          <w:numId w:val="1185"/>
        </w:numPr>
      </w:pPr>
      <w:r>
        <w:rPr>
          <w:b/>
          <w:bCs/>
        </w:rPr>
        <w:t xml:space="preserve">SAM shows the request as fully approved</w:t>
      </w:r>
      <w:r>
        <w:t xml:space="preserve"> </w:t>
      </w:r>
      <w:r>
        <w:t xml:space="preserve">— all approval stages in the SAM</w:t>
      </w:r>
      <w:r>
        <w:t xml:space="preserve"> </w:t>
      </w:r>
      <w:r>
        <w:t xml:space="preserve">workflow are in</w:t>
      </w:r>
      <w:r>
        <w:t xml:space="preserve"> </w:t>
      </w:r>
      <w:r>
        <w:t xml:space="preserve">“Approved”</w:t>
      </w:r>
      <w:r>
        <w:t xml:space="preserve"> </w:t>
      </w:r>
      <w:r>
        <w:t xml:space="preserve">status. If any stage is pending, incomplete, or</w:t>
      </w:r>
      <w:r>
        <w:t xml:space="preserve"> </w:t>
      </w:r>
      <w:r>
        <w:t xml:space="preserve">returned, Help Desk waits. Help Desk does not contact SAM actors to expedite</w:t>
      </w:r>
      <w:r>
        <w:t xml:space="preserve"> </w:t>
      </w:r>
      <w:r>
        <w:t xml:space="preserve">approvals.</w:t>
      </w:r>
    </w:p>
    <w:p>
      <w:pPr>
        <w:pStyle w:val="Compact"/>
        <w:numPr>
          <w:ilvl w:val="0"/>
          <w:numId w:val="1185"/>
        </w:numPr>
      </w:pPr>
      <w:r>
        <w:rPr>
          <w:b/>
          <w:bCs/>
        </w:rPr>
        <w:t xml:space="preserve">A ServiceNow RITM task is in the Help Desk queue in</w:t>
      </w:r>
      <w:r>
        <w:rPr>
          <w:b/>
          <w:bCs/>
        </w:rPr>
        <w:t xml:space="preserve"> </w:t>
      </w:r>
      <w:r>
        <w:rPr>
          <w:b/>
          <w:bCs/>
        </w:rPr>
        <w:t xml:space="preserve">“Assigned”</w:t>
      </w:r>
      <w:r>
        <w:rPr>
          <w:b/>
          <w:bCs/>
        </w:rPr>
        <w:t xml:space="preserve"> </w:t>
      </w:r>
      <w:r>
        <w:rPr>
          <w:b/>
          <w:bCs/>
        </w:rPr>
        <w:t xml:space="preserve">status</w:t>
      </w:r>
      <w:r>
        <w:t xml:space="preserve"> </w:t>
      </w:r>
      <w:r>
        <w:t xml:space="preserve">— the</w:t>
      </w:r>
      <w:r>
        <w:t xml:space="preserve"> </w:t>
      </w:r>
      <w:r>
        <w:t xml:space="preserve">task has been generated by SAM’s ServiceNow integration, assigned to the Help</w:t>
      </w:r>
      <w:r>
        <w:t xml:space="preserve"> </w:t>
      </w:r>
      <w:r>
        <w:t xml:space="preserve">Desk group, and is actively awaiting action. Tickets in</w:t>
      </w:r>
      <w:r>
        <w:t xml:space="preserve"> </w:t>
      </w:r>
      <w:r>
        <w:t xml:space="preserve">“New,”</w:t>
      </w:r>
      <w:r>
        <w:t xml:space="preserve"> </w:t>
      </w:r>
      <w:r>
        <w:t xml:space="preserve">“Pending</w:t>
      </w:r>
      <w:r>
        <w:t xml:space="preserve"> </w:t>
      </w:r>
      <w:r>
        <w:t xml:space="preserve">Approval,”</w:t>
      </w:r>
      <w:r>
        <w:t xml:space="preserve"> </w:t>
      </w:r>
      <w:r>
        <w:t xml:space="preserve">or</w:t>
      </w:r>
      <w:r>
        <w:t xml:space="preserve"> </w:t>
      </w:r>
      <w:r>
        <w:t xml:space="preserve">“On Hold”</w:t>
      </w:r>
      <w:r>
        <w:t xml:space="preserve"> </w:t>
      </w:r>
      <w:r>
        <w:t xml:space="preserve">status are not ready for action.</w:t>
      </w:r>
    </w:p>
    <w:p>
      <w:pPr>
        <w:pStyle w:val="Compact"/>
        <w:numPr>
          <w:ilvl w:val="0"/>
          <w:numId w:val="1185"/>
        </w:numPr>
      </w:pPr>
      <w:r>
        <w:rPr>
          <w:b/>
          <w:bCs/>
        </w:rPr>
        <w:t xml:space="preserve">The RITM contains all required metadata</w:t>
      </w:r>
      <w:r>
        <w:t xml:space="preserve"> </w:t>
      </w:r>
      <w:r>
        <w:t xml:space="preserve">— the ticket must include: the full</w:t>
      </w:r>
      <w:r>
        <w:t xml:space="preserve"> </w:t>
      </w:r>
      <w:r>
        <w:t xml:space="preserve">approval chain (all approver names and approval timestamps), the requester’s</w:t>
      </w:r>
      <w:r>
        <w:t xml:space="preserve"> </w:t>
      </w:r>
      <w:r>
        <w:t xml:space="preserve">name and UPN, the target application name, the risk tier assigned by SAM, and</w:t>
      </w:r>
      <w:r>
        <w:t xml:space="preserve"> </w:t>
      </w:r>
      <w:r>
        <w:t xml:space="preserve">the specific action required of Help Desk.</w:t>
      </w:r>
    </w:p>
    <w:p>
      <w:pPr>
        <w:pStyle w:val="FirstParagraph"/>
      </w:pPr>
      <w:r>
        <w:t xml:space="preserve">If any of these conditions is not met, Help Desk must place the ticket On Hold and</w:t>
      </w:r>
      <w:r>
        <w:t xml:space="preserve"> </w:t>
      </w:r>
      <w:r>
        <w:t xml:space="preserve">contact the SAM team or Help Desk Supervisor. Help Desk may not proceed on partial</w:t>
      </w:r>
      <w:r>
        <w:t xml:space="preserve"> </w:t>
      </w:r>
      <w:r>
        <w:t xml:space="preserve">information.</w:t>
      </w:r>
    </w:p>
    <w:bookmarkEnd w:id="405"/>
    <w:bookmarkStart w:id="406" w:name="X5204b20b0a1e8906afdbbaf2f65d377c77adaa7"/>
    <w:p>
      <w:pPr>
        <w:pStyle w:val="Heading3"/>
      </w:pPr>
      <w:r>
        <w:t xml:space="preserve">SAM automation vs. Help Desk manual action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Action</w:t>
            </w:r>
          </w:p>
        </w:tc>
        <w:tc>
          <w:tcPr/>
          <w:p>
            <w:pPr>
              <w:pStyle w:val="Compact"/>
            </w:pPr>
            <w:r>
              <w:rPr>
                <w:b/>
                <w:bCs/>
              </w:rPr>
              <w:t xml:space="preserve">Why SAM cannot automate</w:t>
            </w:r>
          </w:p>
        </w:tc>
        <w:tc>
          <w:tcPr/>
          <w:p>
            <w:pPr>
              <w:pStyle w:val="Compact"/>
            </w:pPr>
            <w:r>
              <w:rPr>
                <w:b/>
                <w:bCs/>
              </w:rPr>
              <w:t xml:space="preserve">Help Desk action required</w:t>
            </w:r>
          </w:p>
        </w:tc>
        <w:tc>
          <w:tcPr/>
          <w:p>
            <w:pPr>
              <w:pStyle w:val="Compact"/>
            </w:pPr>
            <w:r>
              <w:rPr>
                <w:b/>
                <w:bCs/>
              </w:rPr>
              <w:t xml:space="preserve">PIM role required</w:t>
            </w:r>
          </w:p>
        </w:tc>
      </w:tr>
      <w:tr>
        <w:tc>
          <w:tcPr/>
          <w:p>
            <w:pPr>
              <w:pStyle w:val="Compact"/>
            </w:pPr>
            <w:r>
              <w:t xml:space="preserve">Admin Consent approval</w:t>
            </w:r>
          </w:p>
        </w:tc>
        <w:tc>
          <w:tcPr/>
          <w:p>
            <w:pPr>
              <w:pStyle w:val="Compact"/>
            </w:pPr>
            <w:r>
              <w:t xml:space="preserve">Requires a human administrator action in the Entra portal with Global Admin or Privileged Role Administrator rights. Cannot be scripted via SAM connector safely.</w:t>
            </w:r>
          </w:p>
        </w:tc>
        <w:tc>
          <w:tcPr/>
          <w:p>
            <w:pPr>
              <w:pStyle w:val="Compact"/>
            </w:pPr>
            <w:r>
              <w:rPr>
                <w:b/>
                <w:bCs/>
              </w:rPr>
              <w:t xml:space="preserve">ESCALATE ONLY</w:t>
            </w:r>
            <w:r>
              <w:t xml:space="preserve"> </w:t>
            </w:r>
            <w:r>
              <w:t xml:space="preserve">— Help Desk triages, documents, and escalates to IGO via Application Owner. IGO acts directly. Help Desk documents outcome.</w:t>
            </w:r>
          </w:p>
        </w:tc>
        <w:tc>
          <w:tcPr/>
          <w:p>
            <w:pPr>
              <w:pStyle w:val="Compact"/>
            </w:pPr>
            <w:r>
              <w:t xml:space="preserve">N/A — Help Desk does not perform this action.</w:t>
            </w:r>
          </w:p>
        </w:tc>
      </w:tr>
      <w:tr>
        <w:tc>
          <w:tcPr/>
          <w:p>
            <w:pPr>
              <w:pStyle w:val="Compact"/>
            </w:pPr>
            <w:r>
              <w:t xml:space="preserve">Group assignment to Enterprise Application role</w:t>
            </w:r>
          </w:p>
        </w:tc>
        <w:tc>
          <w:tcPr/>
          <w:p>
            <w:pPr>
              <w:pStyle w:val="Compact"/>
            </w:pPr>
            <w:r>
              <w:t xml:space="preserve">SAM Entra connector may lack write access to app role assignment endpoint for specific applications. Not all apps are connector-provisioned.</w:t>
            </w:r>
          </w:p>
        </w:tc>
        <w:tc>
          <w:tcPr/>
          <w:p>
            <w:pPr>
              <w:pStyle w:val="Compact"/>
            </w:pPr>
            <w:r>
              <w:t xml:space="preserve">Assign the SAM-approved group to the specified app role in Entra Enterprise Apps blade.</w:t>
            </w:r>
          </w:p>
        </w:tc>
        <w:tc>
          <w:tcPr/>
          <w:p>
            <w:pPr>
              <w:pStyle w:val="Compact"/>
            </w:pPr>
            <w:r>
              <w:t xml:space="preserve">Yes — Application Administrator</w:t>
            </w:r>
          </w:p>
        </w:tc>
      </w:tr>
      <w:tr>
        <w:tc>
          <w:tcPr/>
          <w:p>
            <w:pPr>
              <w:pStyle w:val="Compact"/>
            </w:pPr>
            <w:r>
              <w:t xml:space="preserve">ImmutableID reset</w:t>
            </w:r>
          </w:p>
        </w:tc>
        <w:tc>
          <w:tcPr/>
          <w:p>
            <w:pPr>
              <w:pStyle w:val="Compact"/>
            </w:pPr>
            <w:r>
              <w:t xml:space="preserve">Requires PowerShell operations on cloud object (Set-MsolUser or Microsoft Graph). Cannot be executed by SAM connector. High risk — requires human judgment.</w:t>
            </w:r>
          </w:p>
        </w:tc>
        <w:tc>
          <w:tcPr/>
          <w:p>
            <w:pPr>
              <w:pStyle w:val="Compact"/>
            </w:pPr>
            <w:r>
              <w:t xml:space="preserve">Execute ImmutableID reset via PowerShell after Identity Engineering Lead and IGO approval. See the Hybrid identity operations section.</w:t>
            </w:r>
          </w:p>
        </w:tc>
        <w:tc>
          <w:tcPr/>
          <w:p>
            <w:pPr>
              <w:pStyle w:val="Compact"/>
            </w:pPr>
            <w:r>
              <w:t xml:space="preserve">Yes — Hybrid Identity Administrator</w:t>
            </w:r>
          </w:p>
        </w:tc>
      </w:tr>
      <w:tr>
        <w:tc>
          <w:tcPr/>
          <w:p>
            <w:pPr>
              <w:pStyle w:val="Compact"/>
            </w:pPr>
            <w:r>
              <w:t xml:space="preserve">MFA method reset</w:t>
            </w:r>
          </w:p>
        </w:tc>
        <w:tc>
          <w:tcPr/>
          <w:p>
            <w:pPr>
              <w:pStyle w:val="Compact"/>
            </w:pPr>
            <w:r>
              <w:t xml:space="preserve">Requires Authentication Administrator role action in Entra portal. SAM connector does not have authentication method management capability.</w:t>
            </w:r>
          </w:p>
        </w:tc>
        <w:tc>
          <w:tcPr/>
          <w:p>
            <w:pPr>
              <w:pStyle w:val="Compact"/>
            </w:pPr>
            <w:r>
              <w:t xml:space="preserve">Reset specified authentication methods via Entra Portal → Users → Authentication Methods.</w:t>
            </w:r>
          </w:p>
        </w:tc>
        <w:tc>
          <w:tcPr/>
          <w:p>
            <w:pPr>
              <w:pStyle w:val="Compact"/>
            </w:pPr>
            <w:r>
              <w:t xml:space="preserve">Yes — Authentication Administrator (optional role)</w:t>
            </w:r>
          </w:p>
        </w:tc>
      </w:tr>
      <w:tr>
        <w:tc>
          <w:tcPr/>
          <w:p>
            <w:pPr>
              <w:pStyle w:val="Compact"/>
            </w:pPr>
            <w:r>
              <w:t xml:space="preserve">OneDrive provisioning trigger</w:t>
            </w:r>
          </w:p>
        </w:tc>
        <w:tc>
          <w:tcPr/>
          <w:p>
            <w:pPr>
              <w:pStyle w:val="Compact"/>
            </w:pPr>
            <w:r>
              <w:t xml:space="preserve">Provisioning trigger requires M365 Admin Center access. SAM provisions the license but may not trigger the storage provisioning event.</w:t>
            </w:r>
          </w:p>
        </w:tc>
        <w:tc>
          <w:tcPr/>
          <w:p>
            <w:pPr>
              <w:pStyle w:val="Compact"/>
            </w:pPr>
            <w:r>
              <w:t xml:space="preserve">Trigger provisioning via M365 Admin Center → Users → [User] → OneDrive tab.</w:t>
            </w:r>
          </w:p>
        </w:tc>
        <w:tc>
          <w:tcPr/>
          <w:p>
            <w:pPr>
              <w:pStyle w:val="Compact"/>
            </w:pPr>
            <w:r>
              <w:t xml:space="preserve">No — M365 Admin Center action (non-PIM)</w:t>
            </w:r>
          </w:p>
        </w:tc>
      </w:tr>
      <w:tr>
        <w:tc>
          <w:tcPr/>
          <w:p>
            <w:pPr>
              <w:pStyle w:val="Compact"/>
            </w:pPr>
            <w:r>
              <w:t xml:space="preserve">Entra group creation</w:t>
            </w:r>
          </w:p>
        </w:tc>
        <w:tc>
          <w:tcPr/>
          <w:p>
            <w:pPr>
              <w:pStyle w:val="Compact"/>
            </w:pPr>
            <w:r>
              <w:t xml:space="preserve">SAM flags the need for a new Entra group but cannot create it in tenants where group creation policy restricts creation to Identity Engineering.</w:t>
            </w:r>
          </w:p>
        </w:tc>
        <w:tc>
          <w:tcPr/>
          <w:p>
            <w:pPr>
              <w:pStyle w:val="Compact"/>
            </w:pPr>
            <w:r>
              <w:t xml:space="preserve">Create Entra security group per naming convention documented by Identity Engineering. Confirm with SAM team after creation.</w:t>
            </w:r>
          </w:p>
        </w:tc>
        <w:tc>
          <w:tcPr/>
          <w:p>
            <w:pPr>
              <w:pStyle w:val="Compact"/>
            </w:pPr>
            <w:r>
              <w:t xml:space="preserve">No — Groups Administrator (if assigned) or via Identity Engineering</w:t>
            </w:r>
          </w:p>
        </w:tc>
      </w:tr>
    </w:tbl>
    <w:bookmarkEnd w:id="406"/>
    <w:bookmarkEnd w:id="407"/>
    <w:bookmarkStart w:id="418" w:name="incoming-request-types"/>
    <w:p>
      <w:pPr>
        <w:pStyle w:val="Heading2"/>
      </w:pPr>
      <w:r>
        <w:t xml:space="preserve">Incoming request types</w:t>
      </w:r>
    </w:p>
    <w:bookmarkStart w:id="410" w:name="microsoft-security-notifications"/>
    <w:p>
      <w:pPr>
        <w:pStyle w:val="Heading3"/>
      </w:pPr>
      <w:r>
        <w:t xml:space="preserve">Microsoft Security notifications</w:t>
      </w:r>
    </w:p>
    <w:bookmarkStart w:id="408" w:name="what-these-notifications-are"/>
    <w:p>
      <w:pPr>
        <w:pStyle w:val="Heading4"/>
      </w:pPr>
      <w:r>
        <w:t xml:space="preserve">What these notifications are</w:t>
      </w:r>
    </w:p>
    <w:p>
      <w:pPr>
        <w:pStyle w:val="FirstParagraph"/>
      </w:pPr>
      <w:r>
        <w:t xml:space="preserve">Microsoft generates automated security and consent-related email notifications to</w:t>
      </w:r>
      <w:r>
        <w:t xml:space="preserve"> </w:t>
      </w:r>
      <w:r>
        <w:t xml:space="preserve">tenant administrators and users. These messages originate from the sender address</w:t>
      </w:r>
      <w:r>
        <w:t xml:space="preserve"> </w:t>
      </w:r>
      <w:r>
        <w:rPr>
          <w:b/>
          <w:bCs/>
        </w:rPr>
        <w:t xml:space="preserve">MSSecurity-noreply@microsoft.com</w:t>
      </w:r>
      <w:r>
        <w:t xml:space="preserve">. Common notification types include: Admin</w:t>
      </w:r>
      <w:r>
        <w:t xml:space="preserve"> </w:t>
      </w:r>
      <w:r>
        <w:t xml:space="preserve">Consent request notifications (sent when a user requests consent for an</w:t>
      </w:r>
      <w:r>
        <w:t xml:space="preserve"> </w:t>
      </w:r>
      <w:r>
        <w:t xml:space="preserve">application and the tenant is configured to require admin approval), sign-in risk</w:t>
      </w:r>
      <w:r>
        <w:t xml:space="preserve"> </w:t>
      </w:r>
      <w:r>
        <w:t xml:space="preserve">alerts, identity protection risk detections, and service health notifications.</w:t>
      </w:r>
    </w:p>
    <w:p>
      <w:pPr>
        <w:pStyle w:val="BodyText"/>
      </w:pPr>
      <w:r>
        <w:rPr>
          <w:b/>
          <w:bCs/>
        </w:rPr>
        <w:t xml:space="preserve">Admin Consent emails</w:t>
      </w:r>
    </w:p>
    <w:p>
      <w:pPr>
        <w:pStyle w:val="BodyText"/>
      </w:pPr>
      <w:r>
        <w:t xml:space="preserve">Help Desk personnel who receive or are forwarded a Microsoft Admin Consent request</w:t>
      </w:r>
      <w:r>
        <w:t xml:space="preserve"> </w:t>
      </w:r>
      <w:r>
        <w:t xml:space="preserve">email</w:t>
      </w:r>
      <w:r>
        <w:t xml:space="preserve"> </w:t>
      </w:r>
      <w:r>
        <w:rPr>
          <w:b/>
          <w:bCs/>
        </w:rPr>
        <w:t xml:space="preserve">must NOT</w:t>
      </w:r>
      <w:r>
        <w:t xml:space="preserve"> </w:t>
      </w:r>
      <w:r>
        <w:t xml:space="preserve">click the</w:t>
      </w:r>
      <w:r>
        <w:t xml:space="preserve"> </w:t>
      </w:r>
      <w:r>
        <w:t xml:space="preserve">“Review permissions”</w:t>
      </w:r>
      <w:r>
        <w:t xml:space="preserve"> </w:t>
      </w:r>
      <w:r>
        <w:t xml:space="preserve">or</w:t>
      </w:r>
      <w:r>
        <w:t xml:space="preserve"> </w:t>
      </w:r>
      <w:r>
        <w:t xml:space="preserve">“Approve”</w:t>
      </w:r>
      <w:r>
        <w:t xml:space="preserve"> </w:t>
      </w:r>
      <w:r>
        <w:t xml:space="preserve">link and approve</w:t>
      </w:r>
      <w:r>
        <w:t xml:space="preserve"> </w:t>
      </w:r>
      <w:r>
        <w:t xml:space="preserve">the consent grant. These links, if followed and approved by a Help Desk account</w:t>
      </w:r>
      <w:r>
        <w:t xml:space="preserve"> </w:t>
      </w:r>
      <w:r>
        <w:t xml:space="preserve">with Application Administrator role activated, may execute a consent grant with</w:t>
      </w:r>
      <w:r>
        <w:t xml:space="preserve"> </w:t>
      </w:r>
      <w:r>
        <w:t xml:space="preserve">elevated scope. Forward the email to the Application Owner and document in</w:t>
      </w:r>
      <w:r>
        <w:t xml:space="preserve"> </w:t>
      </w:r>
      <w:r>
        <w:t xml:space="preserve">ServiceNow. Do not action the email. See the Admin Consent triage workflow for the</w:t>
      </w:r>
      <w:r>
        <w:t xml:space="preserve"> </w:t>
      </w:r>
      <w:r>
        <w:t xml:space="preserve">full procedure.</w:t>
      </w:r>
    </w:p>
    <w:bookmarkEnd w:id="408"/>
    <w:bookmarkStart w:id="409" w:name="Xe498c04cb999df8a479acac5a1cca71007f18c5"/>
    <w:p>
      <w:pPr>
        <w:pStyle w:val="Heading4"/>
      </w:pPr>
      <w:r>
        <w:t xml:space="preserve">Help Desk triage steps for Microsoft Security notifications</w:t>
      </w:r>
    </w:p>
    <w:p>
      <w:pPr>
        <w:pStyle w:val="Compact"/>
        <w:numPr>
          <w:ilvl w:val="0"/>
          <w:numId w:val="1186"/>
        </w:numPr>
      </w:pPr>
      <w:r>
        <w:rPr>
          <w:b/>
          <w:bCs/>
        </w:rPr>
        <w:t xml:space="preserve">Validate legitimacy</w:t>
      </w:r>
      <w:r>
        <w:t xml:space="preserve"> </w:t>
      </w:r>
      <w:r>
        <w:t xml:space="preserve">— Confirm the email sender is exactly</w:t>
      </w:r>
      <w:r>
        <w:t xml:space="preserve"> </w:t>
      </w:r>
      <w:r>
        <w:rPr>
          <w:b/>
          <w:bCs/>
        </w:rPr>
        <w:t xml:space="preserve">MSSecurity-noreply@microsoft.com</w:t>
      </w:r>
      <w:r>
        <w:t xml:space="preserve">. Spoofed addresses may use similar but</w:t>
      </w:r>
      <w:r>
        <w:t xml:space="preserve"> </w:t>
      </w:r>
      <w:r>
        <w:t xml:space="preserve">distinct domains. If the domain is not microsoft.com, treat as phishing and</w:t>
      </w:r>
      <w:r>
        <w:t xml:space="preserve"> </w:t>
      </w:r>
      <w:r>
        <w:t xml:space="preserve">report to the SOC.</w:t>
      </w:r>
    </w:p>
    <w:p>
      <w:pPr>
        <w:pStyle w:val="Compact"/>
        <w:numPr>
          <w:ilvl w:val="0"/>
          <w:numId w:val="1186"/>
        </w:numPr>
      </w:pPr>
      <w:r>
        <w:rPr>
          <w:b/>
          <w:bCs/>
        </w:rPr>
        <w:t xml:space="preserve">Identify notification type</w:t>
      </w:r>
      <w:r>
        <w:t xml:space="preserve"> </w:t>
      </w:r>
      <w:r>
        <w:t xml:space="preserve">— Is this an Admin Consent request, a risk</w:t>
      </w:r>
      <w:r>
        <w:t xml:space="preserve"> </w:t>
      </w:r>
      <w:r>
        <w:t xml:space="preserve">alert, an identity protection detection, or a service health notice?</w:t>
      </w:r>
    </w:p>
    <w:p>
      <w:pPr>
        <w:pStyle w:val="Compact"/>
        <w:numPr>
          <w:ilvl w:val="0"/>
          <w:numId w:val="1186"/>
        </w:numPr>
      </w:pPr>
      <w:r>
        <w:rPr>
          <w:b/>
          <w:bCs/>
        </w:rPr>
        <w:t xml:space="preserve">Check Entra Audit Logs</w:t>
      </w:r>
      <w:r>
        <w:t xml:space="preserve"> </w:t>
      </w:r>
      <w:r>
        <w:t xml:space="preserve">— Navigate to Entra Portal → Monitoring → Audit</w:t>
      </w:r>
      <w:r>
        <w:t xml:space="preserve"> </w:t>
      </w:r>
      <w:r>
        <w:t xml:space="preserve">Logs. Filter by the relevant user or application. Confirm whether any action</w:t>
      </w:r>
      <w:r>
        <w:t xml:space="preserve"> </w:t>
      </w:r>
      <w:r>
        <w:t xml:space="preserve">has already been taken in the tenant (e.g., a consent grant already executed).</w:t>
      </w:r>
    </w:p>
    <w:p>
      <w:pPr>
        <w:pStyle w:val="Compact"/>
        <w:numPr>
          <w:ilvl w:val="0"/>
          <w:numId w:val="1186"/>
        </w:numPr>
      </w:pPr>
      <w:r>
        <w:rPr>
          <w:b/>
          <w:bCs/>
        </w:rPr>
        <w:t xml:space="preserve">Do NOT approve</w:t>
      </w:r>
      <w:r>
        <w:t xml:space="preserve"> </w:t>
      </w:r>
      <w:r>
        <w:t xml:space="preserve">Admin Consent grants based on the email. See the Admin</w:t>
      </w:r>
      <w:r>
        <w:t xml:space="preserve"> </w:t>
      </w:r>
      <w:r>
        <w:t xml:space="preserve">Consent triage workflow.</w:t>
      </w:r>
    </w:p>
    <w:p>
      <w:pPr>
        <w:pStyle w:val="Compact"/>
        <w:numPr>
          <w:ilvl w:val="0"/>
          <w:numId w:val="1186"/>
        </w:numPr>
      </w:pPr>
      <w:r>
        <w:rPr>
          <w:b/>
          <w:bCs/>
        </w:rPr>
        <w:t xml:space="preserve">Create or update ServiceNow ticket</w:t>
      </w:r>
      <w:r>
        <w:t xml:space="preserve"> </w:t>
      </w:r>
      <w:r>
        <w:t xml:space="preserve">— Document the notification, your triage</w:t>
      </w:r>
      <w:r>
        <w:t xml:space="preserve"> </w:t>
      </w:r>
      <w:r>
        <w:t xml:space="preserve">findings, and your escalation action.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Notification type</w:t>
            </w:r>
          </w:p>
        </w:tc>
        <w:tc>
          <w:tcPr/>
          <w:p>
            <w:pPr>
              <w:pStyle w:val="Compact"/>
            </w:pPr>
            <w:r>
              <w:rPr>
                <w:b/>
                <w:bCs/>
              </w:rPr>
              <w:t xml:space="preserve">Help Desk action</w:t>
            </w:r>
          </w:p>
        </w:tc>
        <w:tc>
          <w:tcPr/>
          <w:p>
            <w:pPr>
              <w:pStyle w:val="Compact"/>
            </w:pPr>
            <w:r>
              <w:rPr>
                <w:b/>
                <w:bCs/>
              </w:rPr>
              <w:t xml:space="preserve">Escalation path</w:t>
            </w:r>
          </w:p>
        </w:tc>
      </w:tr>
      <w:tr>
        <w:tc>
          <w:tcPr/>
          <w:p>
            <w:pPr>
              <w:pStyle w:val="Compact"/>
            </w:pPr>
            <w:r>
              <w:t xml:space="preserve">Admin Consent request</w:t>
            </w:r>
          </w:p>
        </w:tc>
        <w:tc>
          <w:tcPr/>
          <w:p>
            <w:pPr>
              <w:pStyle w:val="Compact"/>
            </w:pPr>
            <w:r>
              <w:t xml:space="preserve">Triage and escalate. Do NOT approve.</w:t>
            </w:r>
          </w:p>
        </w:tc>
        <w:tc>
          <w:tcPr/>
          <w:p>
            <w:pPr>
              <w:pStyle w:val="Compact"/>
            </w:pPr>
            <w:r>
              <w:t xml:space="preserve">Application Owner → IGO. See the Admin Consent triage workflow.</w:t>
            </w:r>
          </w:p>
        </w:tc>
      </w:tr>
      <w:tr>
        <w:tc>
          <w:tcPr/>
          <w:p>
            <w:pPr>
              <w:pStyle w:val="Compact"/>
            </w:pPr>
            <w:r>
              <w:t xml:space="preserve">Sign-in risk alert (user risk elevated)</w:t>
            </w:r>
          </w:p>
        </w:tc>
        <w:tc>
          <w:tcPr/>
          <w:p>
            <w:pPr>
              <w:pStyle w:val="Compact"/>
            </w:pPr>
            <w:r>
              <w:t xml:space="preserve">Check sign-in logs. If confirmed compromise risk, place account on hold and escalate.</w:t>
            </w:r>
          </w:p>
        </w:tc>
        <w:tc>
          <w:tcPr/>
          <w:p>
            <w:pPr>
              <w:pStyle w:val="Compact"/>
            </w:pPr>
            <w:r>
              <w:t xml:space="preserve">Security Operations Center (SOC) + Help Desk Supervisor</w:t>
            </w:r>
          </w:p>
        </w:tc>
      </w:tr>
      <w:tr>
        <w:tc>
          <w:tcPr/>
          <w:p>
            <w:pPr>
              <w:pStyle w:val="Compact"/>
            </w:pPr>
            <w:r>
              <w:t xml:space="preserve">Identity Protection risk detection</w:t>
            </w:r>
          </w:p>
        </w:tc>
        <w:tc>
          <w:tcPr/>
          <w:p>
            <w:pPr>
              <w:pStyle w:val="Compact"/>
            </w:pPr>
            <w:r>
              <w:t xml:space="preserve">Document detection. Do not remediate risk policy settings.</w:t>
            </w:r>
          </w:p>
        </w:tc>
        <w:tc>
          <w:tcPr/>
          <w:p>
            <w:pPr>
              <w:pStyle w:val="Compact"/>
            </w:pPr>
            <w:r>
              <w:t xml:space="preserve">Security Operations / Identity Engineering</w:t>
            </w:r>
          </w:p>
        </w:tc>
      </w:tr>
      <w:tr>
        <w:tc>
          <w:tcPr/>
          <w:p>
            <w:pPr>
              <w:pStyle w:val="Compact"/>
            </w:pPr>
            <w:r>
              <w:t xml:space="preserve">Service health / outage notification</w:t>
            </w:r>
          </w:p>
        </w:tc>
        <w:tc>
          <w:tcPr/>
          <w:p>
            <w:pPr>
              <w:pStyle w:val="Compact"/>
            </w:pPr>
            <w:r>
              <w:t xml:space="preserve">Check M365 Service Health Dashboard. Correlate with active user-reported issues.</w:t>
            </w:r>
          </w:p>
        </w:tc>
        <w:tc>
          <w:tcPr/>
          <w:p>
            <w:pPr>
              <w:pStyle w:val="Compact"/>
            </w:pPr>
            <w:r>
              <w:t xml:space="preserve">Notify Help Desk Supervisor. Update open tickets with known-issue note.</w:t>
            </w:r>
          </w:p>
        </w:tc>
      </w:tr>
    </w:tbl>
    <w:bookmarkEnd w:id="409"/>
    <w:bookmarkEnd w:id="410"/>
    <w:bookmarkStart w:id="417" w:name="servicenow-request-types"/>
    <w:p>
      <w:pPr>
        <w:pStyle w:val="Heading3"/>
      </w:pPr>
      <w:r>
        <w:t xml:space="preserve">ServiceNow request types</w:t>
      </w:r>
    </w:p>
    <w:p>
      <w:pPr>
        <w:pStyle w:val="FirstParagraph"/>
      </w:pPr>
      <w:r>
        <w:t xml:space="preserve">The following RITM types may appear in the Help Desk ServiceNow queue. Each is</w:t>
      </w:r>
      <w:r>
        <w:t xml:space="preserve"> </w:t>
      </w:r>
      <w:r>
        <w:t xml:space="preserve">described with the required validation, approval authority, and resolution steps.</w:t>
      </w:r>
    </w:p>
    <w:bookmarkStart w:id="411" w:name="X5a04288013809d3f303ad4c75c85c220161cf7e"/>
    <w:p>
      <w:pPr>
        <w:pStyle w:val="Heading4"/>
      </w:pPr>
      <w:r>
        <w:t xml:space="preserve">SAM-generated RITM — Enterprise Application group access request</w:t>
      </w:r>
    </w:p>
    <w:p>
      <w:pPr>
        <w:pStyle w:val="Compact"/>
        <w:numPr>
          <w:ilvl w:val="0"/>
          <w:numId w:val="1187"/>
        </w:numPr>
      </w:pPr>
      <w:r>
        <w:rPr>
          <w:b/>
          <w:bCs/>
        </w:rPr>
        <w:t xml:space="preserve">Description:</w:t>
      </w:r>
      <w:r>
        <w:t xml:space="preserve"> </w:t>
      </w:r>
      <w:r>
        <w:t xml:space="preserve">A user or group has been approved in SAM for access to an</w:t>
      </w:r>
      <w:r>
        <w:t xml:space="preserve"> </w:t>
      </w:r>
      <w:r>
        <w:t xml:space="preserve">Enterprise Application. The SAM-Entra connector could not automate the group</w:t>
      </w:r>
      <w:r>
        <w:t xml:space="preserve"> </w:t>
      </w:r>
      <w:r>
        <w:t xml:space="preserve">assignment. ServiceNow RITM is auto-created and assigned to Help Desk.</w:t>
      </w:r>
    </w:p>
    <w:p>
      <w:pPr>
        <w:pStyle w:val="Compact"/>
        <w:numPr>
          <w:ilvl w:val="0"/>
          <w:numId w:val="1187"/>
        </w:numPr>
      </w:pPr>
      <w:r>
        <w:rPr>
          <w:b/>
          <w:bCs/>
        </w:rPr>
        <w:t xml:space="preserve">Required validation:</w:t>
      </w:r>
      <w:r>
        <w:t xml:space="preserve"> </w:t>
      </w:r>
      <w:r>
        <w:t xml:space="preserve">Confirm SAM request status is</w:t>
      </w:r>
      <w:r>
        <w:t xml:space="preserve"> </w:t>
      </w:r>
      <w:r>
        <w:t xml:space="preserve">“Fully Approved.”</w:t>
      </w:r>
      <w:r>
        <w:t xml:space="preserve"> </w:t>
      </w:r>
      <w:r>
        <w:t xml:space="preserve">Confirm</w:t>
      </w:r>
      <w:r>
        <w:t xml:space="preserve"> </w:t>
      </w:r>
      <w:r>
        <w:t xml:space="preserve">the group name in the RITM matches an existing Entra security group. Confirm the</w:t>
      </w:r>
      <w:r>
        <w:t xml:space="preserve"> </w:t>
      </w:r>
      <w:r>
        <w:t xml:space="preserve">application name matches a registered Enterprise Application in Entra.</w:t>
      </w:r>
    </w:p>
    <w:p>
      <w:pPr>
        <w:pStyle w:val="Compact"/>
        <w:numPr>
          <w:ilvl w:val="0"/>
          <w:numId w:val="1187"/>
        </w:numPr>
      </w:pPr>
      <w:r>
        <w:rPr>
          <w:b/>
          <w:bCs/>
        </w:rPr>
        <w:t xml:space="preserve">Approval authority:</w:t>
      </w:r>
      <w:r>
        <w:t xml:space="preserve"> </w:t>
      </w:r>
      <w:r>
        <w:t xml:space="preserve">SAM approval chain (already complete). No additional</w:t>
      </w:r>
      <w:r>
        <w:t xml:space="preserve"> </w:t>
      </w:r>
      <w:r>
        <w:t xml:space="preserve">approval needed at execution stage.</w:t>
      </w:r>
    </w:p>
    <w:p>
      <w:pPr>
        <w:pStyle w:val="Compact"/>
        <w:numPr>
          <w:ilvl w:val="0"/>
          <w:numId w:val="1187"/>
        </w:numPr>
      </w:pPr>
      <w:r>
        <w:rPr>
          <w:b/>
          <w:bCs/>
        </w:rPr>
        <w:t xml:space="preserve">PIM required:</w:t>
      </w:r>
      <w:r>
        <w:t xml:space="preserve"> </w:t>
      </w:r>
      <w:r>
        <w:t xml:space="preserve">Yes — Application Administrator.</w:t>
      </w:r>
    </w:p>
    <w:p>
      <w:pPr>
        <w:pStyle w:val="Compact"/>
        <w:numPr>
          <w:ilvl w:val="0"/>
          <w:numId w:val="1187"/>
        </w:numPr>
      </w:pPr>
      <w:r>
        <w:rPr>
          <w:b/>
          <w:bCs/>
        </w:rPr>
        <w:t xml:space="preserve">Resolution steps:</w:t>
      </w:r>
      <w:r>
        <w:t xml:space="preserve"> </w:t>
      </w:r>
      <w:r>
        <w:t xml:space="preserve">See the Enterprise Application access assignment</w:t>
      </w:r>
      <w:r>
        <w:t xml:space="preserve"> </w:t>
      </w:r>
      <w:r>
        <w:t xml:space="preserve">procedures.</w:t>
      </w:r>
    </w:p>
    <w:bookmarkEnd w:id="411"/>
    <w:bookmarkStart w:id="412" w:name="Xd51402ae88162f4c0e4ae0af780f7ff47d600a6"/>
    <w:p>
      <w:pPr>
        <w:pStyle w:val="Heading4"/>
      </w:pPr>
      <w:r>
        <w:t xml:space="preserve">SAM-generated RITM — Access certification revocation</w:t>
      </w:r>
    </w:p>
    <w:p>
      <w:pPr>
        <w:pStyle w:val="Compact"/>
        <w:numPr>
          <w:ilvl w:val="0"/>
          <w:numId w:val="1188"/>
        </w:numPr>
      </w:pPr>
      <w:r>
        <w:rPr>
          <w:b/>
          <w:bCs/>
        </w:rPr>
        <w:t xml:space="preserve">Description:</w:t>
      </w:r>
      <w:r>
        <w:t xml:space="preserve"> </w:t>
      </w:r>
      <w:r>
        <w:t xml:space="preserve">A periodic SAM access certification has resulted in a revocation</w:t>
      </w:r>
      <w:r>
        <w:t xml:space="preserve"> </w:t>
      </w:r>
      <w:r>
        <w:t xml:space="preserve">decision for a user’s application access. SAM creates a ServiceNow RITM to remove</w:t>
      </w:r>
      <w:r>
        <w:t xml:space="preserve"> </w:t>
      </w:r>
      <w:r>
        <w:t xml:space="preserve">the group assignment from the Enterprise Application.</w:t>
      </w:r>
    </w:p>
    <w:p>
      <w:pPr>
        <w:pStyle w:val="Compact"/>
        <w:numPr>
          <w:ilvl w:val="0"/>
          <w:numId w:val="1188"/>
        </w:numPr>
      </w:pPr>
      <w:r>
        <w:rPr>
          <w:b/>
          <w:bCs/>
        </w:rPr>
        <w:t xml:space="preserve">Required validation:</w:t>
      </w:r>
      <w:r>
        <w:t xml:space="preserve"> </w:t>
      </w:r>
      <w:r>
        <w:t xml:space="preserve">Confirm the SAM certification decision is</w:t>
      </w:r>
      <w:r>
        <w:t xml:space="preserve"> </w:t>
      </w:r>
      <w:r>
        <w:t xml:space="preserve">“Revoked”</w:t>
      </w:r>
      <w:r>
        <w:t xml:space="preserve"> </w:t>
      </w:r>
      <w:r>
        <w:t xml:space="preserve">and</w:t>
      </w:r>
      <w:r>
        <w:t xml:space="preserve"> </w:t>
      </w:r>
      <w:r>
        <w:t xml:space="preserve">has been finalized (not pending). Confirm the group and application names match</w:t>
      </w:r>
      <w:r>
        <w:t xml:space="preserve"> </w:t>
      </w:r>
      <w:r>
        <w:t xml:space="preserve">Entra objects. Do not remove access if the certification is still in-progress.</w:t>
      </w:r>
    </w:p>
    <w:p>
      <w:pPr>
        <w:pStyle w:val="Compact"/>
        <w:numPr>
          <w:ilvl w:val="0"/>
          <w:numId w:val="1188"/>
        </w:numPr>
      </w:pPr>
      <w:r>
        <w:rPr>
          <w:b/>
          <w:bCs/>
        </w:rPr>
        <w:t xml:space="preserve">Approval authority:</w:t>
      </w:r>
      <w:r>
        <w:t xml:space="preserve"> </w:t>
      </w:r>
      <w:r>
        <w:t xml:space="preserve">SAM certification result is authoritative — no additional</w:t>
      </w:r>
      <w:r>
        <w:t xml:space="preserve"> </w:t>
      </w:r>
      <w:r>
        <w:t xml:space="preserve">approval.</w:t>
      </w:r>
    </w:p>
    <w:p>
      <w:pPr>
        <w:pStyle w:val="Compact"/>
        <w:numPr>
          <w:ilvl w:val="0"/>
          <w:numId w:val="1188"/>
        </w:numPr>
      </w:pPr>
      <w:r>
        <w:rPr>
          <w:b/>
          <w:bCs/>
        </w:rPr>
        <w:t xml:space="preserve">PIM required:</w:t>
      </w:r>
      <w:r>
        <w:t xml:space="preserve"> </w:t>
      </w:r>
      <w:r>
        <w:t xml:space="preserve">Yes — Application Administrator.</w:t>
      </w:r>
    </w:p>
    <w:p>
      <w:pPr>
        <w:pStyle w:val="Compact"/>
        <w:numPr>
          <w:ilvl w:val="0"/>
          <w:numId w:val="1188"/>
        </w:numPr>
      </w:pPr>
      <w:r>
        <w:rPr>
          <w:b/>
          <w:bCs/>
        </w:rPr>
        <w:t xml:space="preserve">Resolution steps:</w:t>
      </w:r>
      <w:r>
        <w:t xml:space="preserve"> </w:t>
      </w:r>
      <w:r>
        <w:t xml:space="preserve">Remove group from app role assignment in Entra Enterprise</w:t>
      </w:r>
      <w:r>
        <w:t xml:space="preserve"> </w:t>
      </w:r>
      <w:r>
        <w:t xml:space="preserve">Apps blade. Document the certification ID in the ServiceNow ticket. Resolve</w:t>
      </w:r>
      <w:r>
        <w:t xml:space="preserve"> </w:t>
      </w:r>
      <w:r>
        <w:t xml:space="preserve">ticket.</w:t>
      </w:r>
    </w:p>
    <w:bookmarkEnd w:id="412"/>
    <w:bookmarkStart w:id="413" w:name="admin-consent-escalation-ticket"/>
    <w:p>
      <w:pPr>
        <w:pStyle w:val="Heading4"/>
      </w:pPr>
      <w:r>
        <w:t xml:space="preserve">Admin Consent escalation ticket</w:t>
      </w:r>
    </w:p>
    <w:p>
      <w:pPr>
        <w:pStyle w:val="Compact"/>
        <w:numPr>
          <w:ilvl w:val="0"/>
          <w:numId w:val="1189"/>
        </w:numPr>
      </w:pPr>
      <w:r>
        <w:rPr>
          <w:b/>
          <w:bCs/>
        </w:rPr>
        <w:t xml:space="preserve">Description:</w:t>
      </w:r>
      <w:r>
        <w:t xml:space="preserve"> </w:t>
      </w:r>
      <w:r>
        <w:t xml:space="preserve">A ServiceNow ticket requesting Admin Consent approval,</w:t>
      </w:r>
      <w:r>
        <w:t xml:space="preserve"> </w:t>
      </w:r>
      <w:r>
        <w:t xml:space="preserve">originated by a user, manager, or forwarded Microsoft notification.</w:t>
      </w:r>
    </w:p>
    <w:p>
      <w:pPr>
        <w:pStyle w:val="Compact"/>
        <w:numPr>
          <w:ilvl w:val="0"/>
          <w:numId w:val="1189"/>
        </w:numPr>
      </w:pPr>
      <w:r>
        <w:rPr>
          <w:b/>
          <w:bCs/>
        </w:rPr>
        <w:t xml:space="preserve">Required action:</w:t>
      </w:r>
      <w:r>
        <w:t xml:space="preserve"> </w:t>
      </w:r>
      <w:r>
        <w:t xml:space="preserve">TRIAGE AND ESCALATE ONLY. See the Admin Consent triage</w:t>
      </w:r>
      <w:r>
        <w:t xml:space="preserve"> </w:t>
      </w:r>
      <w:r>
        <w:t xml:space="preserve">workflow.</w:t>
      </w:r>
    </w:p>
    <w:p>
      <w:pPr>
        <w:pStyle w:val="Compact"/>
        <w:numPr>
          <w:ilvl w:val="0"/>
          <w:numId w:val="1189"/>
        </w:numPr>
      </w:pPr>
      <w:r>
        <w:rPr>
          <w:b/>
          <w:bCs/>
        </w:rPr>
        <w:t xml:space="preserve">Approval authority:</w:t>
      </w:r>
      <w:r>
        <w:t xml:space="preserve"> </w:t>
      </w:r>
      <w:r>
        <w:t xml:space="preserve">IGO or Global Administrator only. Help Desk does not</w:t>
      </w:r>
      <w:r>
        <w:t xml:space="preserve"> </w:t>
      </w:r>
      <w:r>
        <w:t xml:space="preserve">approve.</w:t>
      </w:r>
    </w:p>
    <w:p>
      <w:pPr>
        <w:pStyle w:val="Compact"/>
        <w:numPr>
          <w:ilvl w:val="0"/>
          <w:numId w:val="1189"/>
        </w:numPr>
      </w:pPr>
      <w:r>
        <w:rPr>
          <w:b/>
          <w:bCs/>
        </w:rPr>
        <w:t xml:space="preserve">PIM required:</w:t>
      </w:r>
      <w:r>
        <w:t xml:space="preserve"> </w:t>
      </w:r>
      <w:r>
        <w:t xml:space="preserve">No — Help Desk does not execute this action.</w:t>
      </w:r>
    </w:p>
    <w:bookmarkEnd w:id="413"/>
    <w:bookmarkStart w:id="414" w:name="immutableid-reset-ticket"/>
    <w:p>
      <w:pPr>
        <w:pStyle w:val="Heading4"/>
      </w:pPr>
      <w:r>
        <w:t xml:space="preserve">ImmutableID reset ticket</w:t>
      </w:r>
    </w:p>
    <w:p>
      <w:pPr>
        <w:pStyle w:val="Compact"/>
        <w:numPr>
          <w:ilvl w:val="0"/>
          <w:numId w:val="1190"/>
        </w:numPr>
      </w:pPr>
      <w:r>
        <w:rPr>
          <w:b/>
          <w:bCs/>
        </w:rPr>
        <w:t xml:space="preserve">Description:</w:t>
      </w:r>
      <w:r>
        <w:t xml:space="preserve"> </w:t>
      </w:r>
      <w:r>
        <w:t xml:space="preserve">A user’s on-premises AD account and Entra ID cloud account have</w:t>
      </w:r>
      <w:r>
        <w:t xml:space="preserve"> </w:t>
      </w:r>
      <w:r>
        <w:t xml:space="preserve">become de-synced due to an ImmutableID mismatch. The ServiceNow RITM has been</w:t>
      </w:r>
      <w:r>
        <w:t xml:space="preserve"> </w:t>
      </w:r>
      <w:r>
        <w:t xml:space="preserve">approved by both Identity Engineering Lead and the IGO.</w:t>
      </w:r>
    </w:p>
    <w:p>
      <w:pPr>
        <w:pStyle w:val="Compact"/>
        <w:numPr>
          <w:ilvl w:val="0"/>
          <w:numId w:val="1190"/>
        </w:numPr>
      </w:pPr>
      <w:r>
        <w:rPr>
          <w:b/>
          <w:bCs/>
        </w:rPr>
        <w:t xml:space="preserve">Required validation:</w:t>
      </w:r>
      <w:r>
        <w:t xml:space="preserve"> </w:t>
      </w:r>
      <w:r>
        <w:t xml:space="preserve">Confirm two-stage approval is complete in the RITM</w:t>
      </w:r>
      <w:r>
        <w:t xml:space="preserve"> </w:t>
      </w:r>
      <w:r>
        <w:t xml:space="preserve">(Identity Engineering Lead + IGO). Confirm the target UPN and the correct</w:t>
      </w:r>
      <w:r>
        <w:t xml:space="preserve"> </w:t>
      </w:r>
      <w:r>
        <w:t xml:space="preserve">ImmutableID value to set are documented in the ticket. Do not proceed on</w:t>
      </w:r>
      <w:r>
        <w:t xml:space="preserve"> </w:t>
      </w:r>
      <w:r>
        <w:t xml:space="preserve">incomplete approvals.</w:t>
      </w:r>
    </w:p>
    <w:p>
      <w:pPr>
        <w:pStyle w:val="Compact"/>
        <w:numPr>
          <w:ilvl w:val="0"/>
          <w:numId w:val="1190"/>
        </w:numPr>
      </w:pPr>
      <w:r>
        <w:rPr>
          <w:b/>
          <w:bCs/>
        </w:rPr>
        <w:t xml:space="preserve">Approval authority:</w:t>
      </w:r>
      <w:r>
        <w:t xml:space="preserve"> </w:t>
      </w:r>
      <w:r>
        <w:t xml:space="preserve">Identity Engineering Lead + IGO (both required).</w:t>
      </w:r>
    </w:p>
    <w:p>
      <w:pPr>
        <w:pStyle w:val="Compact"/>
        <w:numPr>
          <w:ilvl w:val="0"/>
          <w:numId w:val="1190"/>
        </w:numPr>
      </w:pPr>
      <w:r>
        <w:rPr>
          <w:b/>
          <w:bCs/>
        </w:rPr>
        <w:t xml:space="preserve">PIM required:</w:t>
      </w:r>
      <w:r>
        <w:t xml:space="preserve"> </w:t>
      </w:r>
      <w:r>
        <w:t xml:space="preserve">Yes — Hybrid Identity Administrator.</w:t>
      </w:r>
    </w:p>
    <w:p>
      <w:pPr>
        <w:pStyle w:val="Compact"/>
        <w:numPr>
          <w:ilvl w:val="0"/>
          <w:numId w:val="1190"/>
        </w:numPr>
      </w:pPr>
      <w:r>
        <w:rPr>
          <w:b/>
          <w:bCs/>
        </w:rPr>
        <w:t xml:space="preserve">Resolution steps:</w:t>
      </w:r>
      <w:r>
        <w:t xml:space="preserve"> </w:t>
      </w:r>
      <w:r>
        <w:t xml:space="preserve">See the Hybrid identity operations section.</w:t>
      </w:r>
    </w:p>
    <w:bookmarkEnd w:id="414"/>
    <w:bookmarkStart w:id="415" w:name="mfa-reset-request"/>
    <w:p>
      <w:pPr>
        <w:pStyle w:val="Heading4"/>
      </w:pPr>
      <w:r>
        <w:t xml:space="preserve">MFA reset request</w:t>
      </w:r>
    </w:p>
    <w:p>
      <w:pPr>
        <w:pStyle w:val="Compact"/>
        <w:numPr>
          <w:ilvl w:val="0"/>
          <w:numId w:val="1191"/>
        </w:numPr>
      </w:pPr>
      <w:r>
        <w:rPr>
          <w:b/>
          <w:bCs/>
        </w:rPr>
        <w:t xml:space="preserve">Description:</w:t>
      </w:r>
      <w:r>
        <w:t xml:space="preserve"> </w:t>
      </w:r>
      <w:r>
        <w:t xml:space="preserve">A user cannot authenticate due to lost MFA device or method</w:t>
      </w:r>
      <w:r>
        <w:t xml:space="preserve"> </w:t>
      </w:r>
      <w:r>
        <w:t xml:space="preserve">failure. ServiceNow RITM has been created and Help Desk Supervisor has approved.</w:t>
      </w:r>
    </w:p>
    <w:p>
      <w:pPr>
        <w:pStyle w:val="Compact"/>
        <w:numPr>
          <w:ilvl w:val="0"/>
          <w:numId w:val="1191"/>
        </w:numPr>
      </w:pPr>
      <w:r>
        <w:rPr>
          <w:b/>
          <w:bCs/>
        </w:rPr>
        <w:t xml:space="preserve">Required validation:</w:t>
      </w:r>
      <w:r>
        <w:t xml:space="preserve"> </w:t>
      </w:r>
      <w:r>
        <w:t xml:space="preserve">Confirm user identity via agency-approved out-of-band</w:t>
      </w:r>
      <w:r>
        <w:t xml:space="preserve"> </w:t>
      </w:r>
      <w:r>
        <w:t xml:space="preserve">verification process (not email alone). Confirm Supervisor approval in the</w:t>
      </w:r>
      <w:r>
        <w:t xml:space="preserve"> </w:t>
      </w:r>
      <w:r>
        <w:t xml:space="preserve">ServiceNow approval task. Confirm the user does not hold an Entra directory role</w:t>
      </w:r>
      <w:r>
        <w:t xml:space="preserve"> </w:t>
      </w:r>
      <w:r>
        <w:t xml:space="preserve">(if they do, escalate — out of Help Desk scope).</w:t>
      </w:r>
    </w:p>
    <w:p>
      <w:pPr>
        <w:pStyle w:val="Compact"/>
        <w:numPr>
          <w:ilvl w:val="0"/>
          <w:numId w:val="1191"/>
        </w:numPr>
      </w:pPr>
      <w:r>
        <w:rPr>
          <w:b/>
          <w:bCs/>
        </w:rPr>
        <w:t xml:space="preserve">Approval authority:</w:t>
      </w:r>
      <w:r>
        <w:t xml:space="preserve"> </w:t>
      </w:r>
      <w:r>
        <w:t xml:space="preserve">Help Desk Supervisor.</w:t>
      </w:r>
    </w:p>
    <w:p>
      <w:pPr>
        <w:pStyle w:val="Compact"/>
        <w:numPr>
          <w:ilvl w:val="0"/>
          <w:numId w:val="1191"/>
        </w:numPr>
      </w:pPr>
      <w:r>
        <w:rPr>
          <w:b/>
          <w:bCs/>
        </w:rPr>
        <w:t xml:space="preserve">PIM required:</w:t>
      </w:r>
      <w:r>
        <w:t xml:space="preserve"> </w:t>
      </w:r>
      <w:r>
        <w:t xml:space="preserve">Yes — Authentication Administrator (if assigned).</w:t>
      </w:r>
    </w:p>
    <w:p>
      <w:pPr>
        <w:pStyle w:val="Compact"/>
        <w:numPr>
          <w:ilvl w:val="0"/>
          <w:numId w:val="1191"/>
        </w:numPr>
      </w:pPr>
      <w:r>
        <w:rPr>
          <w:b/>
          <w:bCs/>
        </w:rPr>
        <w:t xml:space="preserve">Resolution steps:</w:t>
      </w:r>
      <w:r>
        <w:t xml:space="preserve"> </w:t>
      </w:r>
      <w:r>
        <w:t xml:space="preserve">Delete the existing authentication methods for the user in</w:t>
      </w:r>
      <w:r>
        <w:t xml:space="preserve"> </w:t>
      </w:r>
      <w:r>
        <w:t xml:space="preserve">Entra Portal → Users → [User] → Authentication Methods. Instruct user to</w:t>
      </w:r>
      <w:r>
        <w:t xml:space="preserve"> </w:t>
      </w:r>
      <w:r>
        <w:t xml:space="preserve">re-register. Document in ServiceNow. Resolve ticket.</w:t>
      </w:r>
    </w:p>
    <w:bookmarkEnd w:id="415"/>
    <w:bookmarkStart w:id="416" w:name="onedrive-sync-issues-user-self-service"/>
    <w:p>
      <w:pPr>
        <w:pStyle w:val="Heading4"/>
      </w:pPr>
      <w:r>
        <w:t xml:space="preserve">OneDrive sync issues — user self-service</w:t>
      </w:r>
    </w:p>
    <w:p>
      <w:pPr>
        <w:pStyle w:val="Compact"/>
        <w:numPr>
          <w:ilvl w:val="0"/>
          <w:numId w:val="1192"/>
        </w:numPr>
      </w:pPr>
      <w:r>
        <w:rPr>
          <w:b/>
          <w:bCs/>
        </w:rPr>
        <w:t xml:space="preserve">Description:</w:t>
      </w:r>
      <w:r>
        <w:t xml:space="preserve"> </w:t>
      </w:r>
      <w:r>
        <w:t xml:space="preserve">User submits ServiceNow catalog item</w:t>
      </w:r>
      <w:r>
        <w:t xml:space="preserve"> </w:t>
      </w:r>
      <w:r>
        <w:t xml:space="preserve">“OneDrive Sync Issue.”</w:t>
      </w:r>
      <w:r>
        <w:t xml:space="preserve"> </w:t>
      </w:r>
      <w:r>
        <w:t xml:space="preserve">Ticket is auto-assigned to Help Desk.</w:t>
      </w:r>
    </w:p>
    <w:p>
      <w:pPr>
        <w:pStyle w:val="Compact"/>
        <w:numPr>
          <w:ilvl w:val="0"/>
          <w:numId w:val="1192"/>
        </w:numPr>
      </w:pPr>
      <w:r>
        <w:rPr>
          <w:b/>
          <w:bCs/>
        </w:rPr>
        <w:t xml:space="preserve">Required validation:</w:t>
      </w:r>
      <w:r>
        <w:t xml:space="preserve"> </w:t>
      </w:r>
      <w:r>
        <w:t xml:space="preserve">Ticket in Assigned status. No additional pre-approval</w:t>
      </w:r>
      <w:r>
        <w:t xml:space="preserve"> </w:t>
      </w:r>
      <w:r>
        <w:t xml:space="preserve">required for client-side triage. Entra-level actions require approval as</w:t>
      </w:r>
      <w:r>
        <w:t xml:space="preserve"> </w:t>
      </w:r>
      <w:r>
        <w:t xml:space="preserve">documented in the OneDrive sync issues section.</w:t>
      </w:r>
    </w:p>
    <w:p>
      <w:pPr>
        <w:pStyle w:val="Compact"/>
        <w:numPr>
          <w:ilvl w:val="0"/>
          <w:numId w:val="1192"/>
        </w:numPr>
      </w:pPr>
      <w:r>
        <w:rPr>
          <w:b/>
          <w:bCs/>
        </w:rPr>
        <w:t xml:space="preserve">Approval authority:</w:t>
      </w:r>
      <w:r>
        <w:t xml:space="preserve"> </w:t>
      </w:r>
      <w:r>
        <w:t xml:space="preserve">Varies by resolution action. See the OneDrive sync</w:t>
      </w:r>
      <w:r>
        <w:t xml:space="preserve"> </w:t>
      </w:r>
      <w:r>
        <w:t xml:space="preserve">issues section.</w:t>
      </w:r>
    </w:p>
    <w:p>
      <w:pPr>
        <w:pStyle w:val="Compact"/>
        <w:numPr>
          <w:ilvl w:val="0"/>
          <w:numId w:val="1192"/>
        </w:numPr>
      </w:pPr>
      <w:r>
        <w:rPr>
          <w:b/>
          <w:bCs/>
        </w:rPr>
        <w:t xml:space="preserve">PIM required:</w:t>
      </w:r>
      <w:r>
        <w:t xml:space="preserve"> </w:t>
      </w:r>
      <w:r>
        <w:t xml:space="preserve">Varies by resolution action. See the OneDrive sync issues</w:t>
      </w:r>
      <w:r>
        <w:t xml:space="preserve"> </w:t>
      </w:r>
      <w:r>
        <w:t xml:space="preserve">section.</w:t>
      </w:r>
    </w:p>
    <w:p>
      <w:pPr>
        <w:pStyle w:val="Compact"/>
        <w:numPr>
          <w:ilvl w:val="0"/>
          <w:numId w:val="1192"/>
        </w:numPr>
      </w:pPr>
      <w:r>
        <w:rPr>
          <w:b/>
          <w:bCs/>
        </w:rPr>
        <w:t xml:space="preserve">Resolution steps:</w:t>
      </w:r>
      <w:r>
        <w:t xml:space="preserve"> </w:t>
      </w:r>
      <w:r>
        <w:t xml:space="preserve">See the OneDrive sync issues section for the full triage</w:t>
      </w:r>
      <w:r>
        <w:t xml:space="preserve"> </w:t>
      </w:r>
      <w:r>
        <w:t xml:space="preserve">and resolution workflow.</w:t>
      </w:r>
    </w:p>
    <w:bookmarkEnd w:id="416"/>
    <w:bookmarkEnd w:id="417"/>
    <w:bookmarkEnd w:id="418"/>
    <w:bookmarkStart w:id="421" w:name="admin-consent-triage-workflow"/>
    <w:p>
      <w:pPr>
        <w:pStyle w:val="Heading2"/>
      </w:pPr>
      <w:r>
        <w:t xml:space="preserve">Admin Consent triage workflow</w:t>
      </w:r>
    </w:p>
    <w:p>
      <w:pPr>
        <w:pStyle w:val="FirstParagraph"/>
      </w:pPr>
      <w:r>
        <w:rPr>
          <w:b/>
          <w:bCs/>
        </w:rPr>
        <w:t xml:space="preserve">Prohibited action</w:t>
      </w:r>
    </w:p>
    <w:p>
      <w:pPr>
        <w:pStyle w:val="BodyText"/>
      </w:pPr>
      <w:r>
        <w:rPr>
          <w:b/>
          <w:bCs/>
        </w:rPr>
        <w:t xml:space="preserve">Help Desk personnel may NEVER approve Admin Consent grants for Enterprise</w:t>
      </w:r>
      <w:r>
        <w:rPr>
          <w:b/>
          <w:bCs/>
        </w:rPr>
        <w:t xml:space="preserve"> </w:t>
      </w:r>
      <w:r>
        <w:rPr>
          <w:b/>
          <w:bCs/>
        </w:rPr>
        <w:t xml:space="preserve">Applications, regardless of the source of the request (email, ticket, verbal).</w:t>
      </w:r>
      <w:r>
        <w:t xml:space="preserve"> </w:t>
      </w:r>
      <w:r>
        <w:t xml:space="preserve">Admin Consent approval authority is reserved exclusively for the</w:t>
      </w:r>
      <w:r>
        <w:t xml:space="preserve"> </w:t>
      </w:r>
      <w:r>
        <w:rPr>
          <w:b/>
          <w:bCs/>
        </w:rPr>
        <w:t xml:space="preserve">Identity</w:t>
      </w:r>
      <w:r>
        <w:rPr>
          <w:b/>
          <w:bCs/>
        </w:rPr>
        <w:t xml:space="preserve"> </w:t>
      </w:r>
      <w:r>
        <w:rPr>
          <w:b/>
          <w:bCs/>
        </w:rPr>
        <w:t xml:space="preserve">Governance Officer (IGO)</w:t>
      </w:r>
      <w:r>
        <w:t xml:space="preserve"> </w:t>
      </w:r>
      <w:r>
        <w:t xml:space="preserve">or</w:t>
      </w:r>
      <w:r>
        <w:t xml:space="preserve"> </w:t>
      </w:r>
      <w:r>
        <w:rPr>
          <w:b/>
          <w:bCs/>
        </w:rPr>
        <w:t xml:space="preserve">Global Administrator</w:t>
      </w:r>
      <w:r>
        <w:t xml:space="preserve"> </w:t>
      </w:r>
      <w:r>
        <w:t xml:space="preserve">acting under IGO direction.</w:t>
      </w:r>
      <w:r>
        <w:t xml:space="preserve"> </w:t>
      </w:r>
      <w:r>
        <w:t xml:space="preserve">Help Desk role is</w:t>
      </w:r>
      <w:r>
        <w:t xml:space="preserve"> </w:t>
      </w:r>
      <w:r>
        <w:rPr>
          <w:b/>
          <w:bCs/>
        </w:rPr>
        <w:t xml:space="preserve">triage and escalation only</w:t>
      </w:r>
      <w:r>
        <w:t xml:space="preserve">. Any technician who approves an</w:t>
      </w:r>
      <w:r>
        <w:t xml:space="preserve"> </w:t>
      </w:r>
      <w:r>
        <w:t xml:space="preserve">Admin Consent grant outside this chain will be considered to have acted outside</w:t>
      </w:r>
      <w:r>
        <w:t xml:space="preserve"> </w:t>
      </w:r>
      <w:r>
        <w:t xml:space="preserve">their authority.</w:t>
      </w:r>
    </w:p>
    <w:bookmarkStart w:id="419" w:name="admin-consent-triage-procedure"/>
    <w:p>
      <w:pPr>
        <w:pStyle w:val="Heading3"/>
      </w:pPr>
      <w:r>
        <w:t xml:space="preserve">Admin Consent triage procedure</w:t>
      </w:r>
    </w:p>
    <w:p>
      <w:pPr>
        <w:pStyle w:val="Compact"/>
        <w:numPr>
          <w:ilvl w:val="0"/>
          <w:numId w:val="1193"/>
        </w:numPr>
      </w:pPr>
      <w:r>
        <w:rPr>
          <w:b/>
          <w:bCs/>
        </w:rPr>
        <w:t xml:space="preserve">Receive notification or ticket.</w:t>
      </w:r>
      <w:r>
        <w:t xml:space="preserve"> </w:t>
      </w:r>
      <w:r>
        <w:t xml:space="preserve">The trigger may be a Microsoft Security</w:t>
      </w:r>
      <w:r>
        <w:t xml:space="preserve"> </w:t>
      </w:r>
      <w:r>
        <w:t xml:space="preserve">notification email (MSSecurity-noreply@microsoft.com), a user-submitted</w:t>
      </w:r>
      <w:r>
        <w:t xml:space="preserve"> </w:t>
      </w:r>
      <w:r>
        <w:t xml:space="preserve">ServiceNow ticket, a forwarded email from a manager, or a verbal report. In all</w:t>
      </w:r>
      <w:r>
        <w:t xml:space="preserve"> </w:t>
      </w:r>
      <w:r>
        <w:t xml:space="preserve">cases, create a ServiceNow ticket (or locate the existing one) and document the</w:t>
      </w:r>
      <w:r>
        <w:t xml:space="preserve"> </w:t>
      </w:r>
      <w:r>
        <w:t xml:space="preserve">source and time of notification.</w:t>
      </w:r>
    </w:p>
    <w:p>
      <w:pPr>
        <w:pStyle w:val="Compact"/>
        <w:numPr>
          <w:ilvl w:val="0"/>
          <w:numId w:val="1193"/>
        </w:numPr>
      </w:pPr>
      <w:r>
        <w:rPr>
          <w:b/>
          <w:bCs/>
        </w:rPr>
        <w:t xml:space="preserve">Identify the request type.</w:t>
      </w:r>
      <w:r>
        <w:t xml:space="preserve"> </w:t>
      </w:r>
      <w:r>
        <w:t xml:space="preserve">Determine whether the request involves: (a)</w:t>
      </w:r>
      <w:r>
        <w:t xml:space="preserve"> </w:t>
      </w:r>
      <w:r>
        <w:rPr>
          <w:b/>
          <w:bCs/>
        </w:rPr>
        <w:t xml:space="preserve">User consent</w:t>
      </w:r>
      <w:r>
        <w:t xml:space="preserve"> </w:t>
      </w:r>
      <w:r>
        <w:t xml:space="preserve">— a user consenting to app permissions on their own behalf; (b)</w:t>
      </w:r>
      <w:r>
        <w:t xml:space="preserve"> </w:t>
      </w:r>
      <w:r>
        <w:rPr>
          <w:b/>
          <w:bCs/>
        </w:rPr>
        <w:t xml:space="preserve">Admin Consent</w:t>
      </w:r>
      <w:r>
        <w:t xml:space="preserve"> </w:t>
      </w:r>
      <w:r>
        <w:t xml:space="preserve">— an application requesting organization-wide permission</w:t>
      </w:r>
      <w:r>
        <w:t xml:space="preserve"> </w:t>
      </w:r>
      <w:r>
        <w:t xml:space="preserve">grants requiring a tenant-level administrator action; or (c)</w:t>
      </w:r>
      <w:r>
        <w:t xml:space="preserve"> </w:t>
      </w:r>
      <w:r>
        <w:rPr>
          <w:b/>
          <w:bCs/>
        </w:rPr>
        <w:t xml:space="preserve">App permission</w:t>
      </w:r>
      <w:r>
        <w:rPr>
          <w:b/>
          <w:bCs/>
        </w:rPr>
        <w:t xml:space="preserve"> </w:t>
      </w:r>
      <w:r>
        <w:rPr>
          <w:b/>
          <w:bCs/>
        </w:rPr>
        <w:t xml:space="preserve">change</w:t>
      </w:r>
      <w:r>
        <w:t xml:space="preserve"> </w:t>
      </w:r>
      <w:r>
        <w:t xml:space="preserve">— an existing app’s API permissions have been modified and require</w:t>
      </w:r>
      <w:r>
        <w:t xml:space="preserve"> </w:t>
      </w:r>
      <w:r>
        <w:t xml:space="preserve">re-consent. If the answer is (b) or (c), proceed to Step 5 without delay.</w:t>
      </w:r>
    </w:p>
    <w:p>
      <w:pPr>
        <w:pStyle w:val="Compact"/>
        <w:numPr>
          <w:ilvl w:val="0"/>
          <w:numId w:val="1193"/>
        </w:numPr>
      </w:pPr>
      <w:r>
        <w:rPr>
          <w:b/>
          <w:bCs/>
        </w:rPr>
        <w:t xml:space="preserve">Validate requestor identity and business justification.</w:t>
      </w:r>
      <w:r>
        <w:t xml:space="preserve"> </w:t>
      </w:r>
      <w:r>
        <w:t xml:space="preserve">Identify who is</w:t>
      </w:r>
      <w:r>
        <w:t xml:space="preserve"> </w:t>
      </w:r>
      <w:r>
        <w:t xml:space="preserve">requesting the consent. Is there a legitimate business application associated</w:t>
      </w:r>
      <w:r>
        <w:t xml:space="preserve"> </w:t>
      </w:r>
      <w:r>
        <w:t xml:space="preserve">with the request? Is the application name recognizable as an agency-sanctioned</w:t>
      </w:r>
      <w:r>
        <w:t xml:space="preserve"> </w:t>
      </w:r>
      <w:r>
        <w:t xml:space="preserve">or commonly used vendor application? Document findings. A request for an unknown</w:t>
      </w:r>
      <w:r>
        <w:t xml:space="preserve"> </w:t>
      </w:r>
      <w:r>
        <w:t xml:space="preserve">application or one with no verifiable business justification should be flagged</w:t>
      </w:r>
      <w:r>
        <w:t xml:space="preserve"> </w:t>
      </w:r>
      <w:r>
        <w:t xml:space="preserve">as high-risk in the ticket.</w:t>
      </w:r>
    </w:p>
    <w:p>
      <w:pPr>
        <w:pStyle w:val="Compact"/>
        <w:numPr>
          <w:ilvl w:val="0"/>
          <w:numId w:val="1193"/>
        </w:numPr>
      </w:pPr>
      <w:r>
        <w:rPr>
          <w:b/>
          <w:bCs/>
        </w:rPr>
        <w:t xml:space="preserve">Check Entra Audit Logs for consent grant activity.</w:t>
      </w:r>
      <w:r>
        <w:t xml:space="preserve"> </w:t>
      </w:r>
      <w:r>
        <w:t xml:space="preserve">Navigate to Entra Portal</w:t>
      </w:r>
      <w:r>
        <w:t xml:space="preserve"> </w:t>
      </w:r>
      <w:r>
        <w:t xml:space="preserve">→ Monitoring → Audit Logs. Filter Activity:</w:t>
      </w:r>
      <w:r>
        <w:t xml:space="preserve"> </w:t>
      </w:r>
      <w:r>
        <w:t xml:space="preserve">“Consent to application.”</w:t>
      </w:r>
      <w:r>
        <w:t xml:space="preserve"> </w:t>
      </w:r>
      <w:r>
        <w:t xml:space="preserve">Look for</w:t>
      </w:r>
      <w:r>
        <w:t xml:space="preserve"> </w:t>
      </w:r>
      <w:r>
        <w:t xml:space="preserve">any consent events associated with the application or the requesting user. If</w:t>
      </w:r>
      <w:r>
        <w:t xml:space="preserve"> </w:t>
      </w:r>
      <w:r>
        <w:t xml:space="preserve">consent has already been granted, document it and escalate immediately — an</w:t>
      </w:r>
      <w:r>
        <w:t xml:space="preserve"> </w:t>
      </w:r>
      <w:r>
        <w:t xml:space="preserve">unauthorized grant may have occurred and requires security review.</w:t>
      </w:r>
    </w:p>
    <w:p>
      <w:pPr>
        <w:pStyle w:val="Compact"/>
        <w:numPr>
          <w:ilvl w:val="0"/>
          <w:numId w:val="1193"/>
        </w:numPr>
      </w:pPr>
      <w:r>
        <w:rPr>
          <w:b/>
          <w:bCs/>
        </w:rPr>
        <w:t xml:space="preserve">If Admin Consent is required: STOP. Do not proceed.</w:t>
      </w:r>
      <w:r>
        <w:t xml:space="preserve"> </w:t>
      </w:r>
      <w:r>
        <w:t xml:space="preserve">Do not click any</w:t>
      </w:r>
      <w:r>
        <w:t xml:space="preserve"> </w:t>
      </w:r>
      <w:r>
        <w:t xml:space="preserve">approval links in the Microsoft notification email. Do not navigate to the Admin</w:t>
      </w:r>
      <w:r>
        <w:t xml:space="preserve"> </w:t>
      </w:r>
      <w:r>
        <w:t xml:space="preserve">Consent requests page with the intent to approve. Escalate the ticket to the</w:t>
      </w:r>
      <w:r>
        <w:t xml:space="preserve"> </w:t>
      </w:r>
      <w:r>
        <w:rPr>
          <w:b/>
          <w:bCs/>
        </w:rPr>
        <w:t xml:space="preserve">Application Owner</w:t>
      </w:r>
      <w:r>
        <w:t xml:space="preserve"> </w:t>
      </w:r>
      <w:r>
        <w:t xml:space="preserve">identified in the SAM record for the application. Notify</w:t>
      </w:r>
      <w:r>
        <w:t xml:space="preserve"> </w:t>
      </w:r>
      <w:r>
        <w:t xml:space="preserve">the Application Owner that IGO review is required. Update the ServiceNow ticket</w:t>
      </w:r>
      <w:r>
        <w:t xml:space="preserve"> </w:t>
      </w:r>
      <w:r>
        <w:t xml:space="preserve">with escalation action and timestamp.</w:t>
      </w:r>
    </w:p>
    <w:p>
      <w:pPr>
        <w:pStyle w:val="Compact"/>
        <w:numPr>
          <w:ilvl w:val="0"/>
          <w:numId w:val="1193"/>
        </w:numPr>
      </w:pPr>
      <w:r>
        <w:rPr>
          <w:b/>
          <w:bCs/>
        </w:rPr>
        <w:t xml:space="preserve">Document outcome in ServiceNow.</w:t>
      </w:r>
      <w:r>
        <w:t xml:space="preserve"> </w:t>
      </w:r>
      <w:r>
        <w:t xml:space="preserve">Regardless of outcome, document in the</w:t>
      </w:r>
      <w:r>
        <w:t xml:space="preserve"> </w:t>
      </w:r>
      <w:r>
        <w:t xml:space="preserve">ticket: notification source and content summary, request type determination,</w:t>
      </w:r>
      <w:r>
        <w:t xml:space="preserve"> </w:t>
      </w:r>
      <w:r>
        <w:t xml:space="preserve">audit log findings, escalation target and timestamp, and current ticket status.</w:t>
      </w:r>
      <w:r>
        <w:t xml:space="preserve"> </w:t>
      </w:r>
      <w:r>
        <w:t xml:space="preserve">Set the ticket to</w:t>
      </w:r>
      <w:r>
        <w:t xml:space="preserve"> </w:t>
      </w:r>
      <w:r>
        <w:t xml:space="preserve">“Pending”</w:t>
      </w:r>
      <w:r>
        <w:t xml:space="preserve"> </w:t>
      </w:r>
      <w:r>
        <w:t xml:space="preserve">with reason</w:t>
      </w:r>
      <w:r>
        <w:t xml:space="preserve"> </w:t>
      </w:r>
      <w:r>
        <w:t xml:space="preserve">“Awaiting IGO Decision.”</w:t>
      </w:r>
    </w:p>
    <w:p>
      <w:pPr>
        <w:pStyle w:val="Compact"/>
        <w:numPr>
          <w:ilvl w:val="0"/>
          <w:numId w:val="1193"/>
        </w:numPr>
      </w:pPr>
      <w:r>
        <w:rPr>
          <w:b/>
          <w:bCs/>
        </w:rPr>
        <w:t xml:space="preserve">Notify the requestor.</w:t>
      </w:r>
      <w:r>
        <w:t xml:space="preserve"> </w:t>
      </w:r>
      <w:r>
        <w:t xml:space="preserve">Inform the original requestor (user or manager) that</w:t>
      </w:r>
      <w:r>
        <w:t xml:space="preserve"> </w:t>
      </w:r>
      <w:r>
        <w:t xml:space="preserve">the consent request has been received, has been escalated to the appropriate</w:t>
      </w:r>
      <w:r>
        <w:t xml:space="preserve"> </w:t>
      </w:r>
      <w:r>
        <w:t xml:space="preserve">approval authority per agency policy, and that Help Desk cannot provide an</w:t>
      </w:r>
      <w:r>
        <w:t xml:space="preserve"> </w:t>
      </w:r>
      <w:r>
        <w:t xml:space="preserve">approval timeline. Do not indicate whether approval is likely or unlikely.</w:t>
      </w:r>
    </w:p>
    <w:bookmarkEnd w:id="419"/>
    <w:bookmarkStart w:id="420" w:name="admin-consent-escalation-decision-tree"/>
    <w:p>
      <w:pPr>
        <w:pStyle w:val="Heading3"/>
      </w:pPr>
      <w:r>
        <w:t xml:space="preserve">Admin Consent escalation decision tree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Condition</w:t>
            </w:r>
          </w:p>
        </w:tc>
        <w:tc>
          <w:tcPr/>
          <w:p>
            <w:pPr>
              <w:pStyle w:val="Compact"/>
            </w:pPr>
            <w:r>
              <w:rPr>
                <w:b/>
                <w:bCs/>
              </w:rPr>
              <w:t xml:space="preserve">Help Desk action</w:t>
            </w:r>
          </w:p>
        </w:tc>
        <w:tc>
          <w:tcPr/>
          <w:p>
            <w:pPr>
              <w:pStyle w:val="Compact"/>
            </w:pPr>
            <w:r>
              <w:rPr>
                <w:b/>
                <w:bCs/>
              </w:rPr>
              <w:t xml:space="preserve">Escalate to</w:t>
            </w:r>
          </w:p>
        </w:tc>
        <w:tc>
          <w:tcPr/>
          <w:p>
            <w:pPr>
              <w:pStyle w:val="Compact"/>
            </w:pPr>
            <w:r>
              <w:rPr>
                <w:b/>
                <w:bCs/>
              </w:rPr>
              <w:t xml:space="preserve">Priority</w:t>
            </w:r>
          </w:p>
        </w:tc>
      </w:tr>
      <w:tr>
        <w:tc>
          <w:tcPr/>
          <w:p>
            <w:pPr>
              <w:pStyle w:val="Compact"/>
            </w:pPr>
            <w:r>
              <w:t xml:space="preserve">Admin Consent requested — no prior consent event in audit logs</w:t>
            </w:r>
          </w:p>
        </w:tc>
        <w:tc>
          <w:tcPr/>
          <w:p>
            <w:pPr>
              <w:pStyle w:val="Compact"/>
            </w:pPr>
            <w:r>
              <w:t xml:space="preserve">Triage Steps 1–7. Escalate.</w:t>
            </w:r>
          </w:p>
        </w:tc>
        <w:tc>
          <w:tcPr/>
          <w:p>
            <w:pPr>
              <w:pStyle w:val="Compact"/>
            </w:pPr>
            <w:r>
              <w:t xml:space="preserve">Application Owner → IGO</w:t>
            </w:r>
          </w:p>
        </w:tc>
        <w:tc>
          <w:tcPr/>
          <w:p>
            <w:pPr>
              <w:pStyle w:val="Compact"/>
            </w:pPr>
            <w:r>
              <w:t xml:space="preserve">Normal — route per SLA</w:t>
            </w:r>
          </w:p>
        </w:tc>
      </w:tr>
      <w:tr>
        <w:tc>
          <w:tcPr/>
          <w:p>
            <w:pPr>
              <w:pStyle w:val="Compact"/>
            </w:pPr>
            <w:r>
              <w:t xml:space="preserve">Admin Consent already granted in audit logs — source unclear</w:t>
            </w:r>
          </w:p>
        </w:tc>
        <w:tc>
          <w:tcPr/>
          <w:p>
            <w:pPr>
              <w:pStyle w:val="Compact"/>
            </w:pPr>
            <w:r>
              <w:t xml:space="preserve">Escalate immediately. Flag as potential unauthorized action.</w:t>
            </w:r>
          </w:p>
        </w:tc>
        <w:tc>
          <w:tcPr/>
          <w:p>
            <w:pPr>
              <w:pStyle w:val="Compact"/>
            </w:pPr>
            <w:r>
              <w:t xml:space="preserve">IGO + Security Operations</w:t>
            </w:r>
          </w:p>
        </w:tc>
        <w:tc>
          <w:tcPr/>
          <w:p>
            <w:pPr>
              <w:pStyle w:val="Compact"/>
            </w:pPr>
            <w:r>
              <w:rPr>
                <w:b/>
                <w:bCs/>
              </w:rPr>
              <w:t xml:space="preserve">High — immediate escalation</w:t>
            </w:r>
          </w:p>
        </w:tc>
      </w:tr>
      <w:tr>
        <w:tc>
          <w:tcPr/>
          <w:p>
            <w:pPr>
              <w:pStyle w:val="Compact"/>
            </w:pPr>
            <w:r>
              <w:t xml:space="preserve">Consent for unknown or unrecognized application</w:t>
            </w:r>
          </w:p>
        </w:tc>
        <w:tc>
          <w:tcPr/>
          <w:p>
            <w:pPr>
              <w:pStyle w:val="Compact"/>
            </w:pPr>
            <w:r>
              <w:t xml:space="preserve">Do not approve. Flag as high-risk. Escalate.</w:t>
            </w:r>
          </w:p>
        </w:tc>
        <w:tc>
          <w:tcPr/>
          <w:p>
            <w:pPr>
              <w:pStyle w:val="Compact"/>
            </w:pPr>
            <w:r>
              <w:t xml:space="preserve">IGO + Security Operations</w:t>
            </w:r>
          </w:p>
        </w:tc>
        <w:tc>
          <w:tcPr/>
          <w:p>
            <w:pPr>
              <w:pStyle w:val="Compact"/>
            </w:pPr>
            <w:r>
              <w:rPr>
                <w:b/>
                <w:bCs/>
              </w:rPr>
              <w:t xml:space="preserve">High — immediate escalation</w:t>
            </w:r>
          </w:p>
        </w:tc>
      </w:tr>
      <w:tr>
        <w:tc>
          <w:tcPr/>
          <w:p>
            <w:pPr>
              <w:pStyle w:val="Compact"/>
            </w:pPr>
            <w:r>
              <w:t xml:space="preserve">User consent only (not admin-level permissions)</w:t>
            </w:r>
          </w:p>
        </w:tc>
        <w:tc>
          <w:tcPr/>
          <w:p>
            <w:pPr>
              <w:pStyle w:val="Compact"/>
            </w:pPr>
            <w:r>
              <w:t xml:space="preserve">Confirm user consent settings permit user consent. If yes, inform user. If tenant policy blocks user consent, escalate.</w:t>
            </w:r>
          </w:p>
        </w:tc>
        <w:tc>
          <w:tcPr/>
          <w:p>
            <w:pPr>
              <w:pStyle w:val="Compact"/>
            </w:pPr>
            <w:r>
              <w:t xml:space="preserve">Application Owner if escalation needed</w:t>
            </w:r>
          </w:p>
        </w:tc>
        <w:tc>
          <w:tcPr/>
          <w:p>
            <w:pPr>
              <w:pStyle w:val="Compact"/>
            </w:pPr>
            <w:r>
              <w:t xml:space="preserve">Normal</w:t>
            </w:r>
          </w:p>
        </w:tc>
      </w:tr>
      <w:tr>
        <w:tc>
          <w:tcPr/>
          <w:p>
            <w:pPr>
              <w:pStyle w:val="Compact"/>
            </w:pPr>
            <w:r>
              <w:t xml:space="preserve">App permission scope change requiring re-consent</w:t>
            </w:r>
          </w:p>
        </w:tc>
        <w:tc>
          <w:tcPr/>
          <w:p>
            <w:pPr>
              <w:pStyle w:val="Compact"/>
            </w:pPr>
            <w:r>
              <w:t xml:space="preserve">Triage as Admin Consent. Escalate to Application Owner → IGO.</w:t>
            </w:r>
          </w:p>
        </w:tc>
        <w:tc>
          <w:tcPr/>
          <w:p>
            <w:pPr>
              <w:pStyle w:val="Compact"/>
            </w:pPr>
            <w:r>
              <w:t xml:space="preserve">Application Owner → IGO</w:t>
            </w:r>
          </w:p>
        </w:tc>
        <w:tc>
          <w:tcPr/>
          <w:p>
            <w:pPr>
              <w:pStyle w:val="Compact"/>
            </w:pPr>
            <w:r>
              <w:t xml:space="preserve">Normal — route per SLA</w:t>
            </w:r>
          </w:p>
        </w:tc>
      </w:tr>
      <w:tr>
        <w:tc>
          <w:tcPr/>
          <w:p>
            <w:pPr>
              <w:pStyle w:val="Compact"/>
            </w:pPr>
            <w:r>
              <w:t xml:space="preserve">Microsoft Security notification forwarded by manager requesting action</w:t>
            </w:r>
          </w:p>
        </w:tc>
        <w:tc>
          <w:tcPr/>
          <w:p>
            <w:pPr>
              <w:pStyle w:val="Compact"/>
            </w:pPr>
            <w:r>
              <w:t xml:space="preserve">Do NOT action the email link. Triage Steps 1–7. Escalate.</w:t>
            </w:r>
          </w:p>
        </w:tc>
        <w:tc>
          <w:tcPr/>
          <w:p>
            <w:pPr>
              <w:pStyle w:val="Compact"/>
            </w:pPr>
            <w:r>
              <w:t xml:space="preserve">Application Owner → IGO</w:t>
            </w:r>
          </w:p>
        </w:tc>
        <w:tc>
          <w:tcPr/>
          <w:p>
            <w:pPr>
              <w:pStyle w:val="Compact"/>
            </w:pPr>
            <w:r>
              <w:t xml:space="preserve">Normal</w:t>
            </w:r>
          </w:p>
        </w:tc>
      </w:tr>
    </w:tbl>
    <w:bookmarkEnd w:id="420"/>
    <w:bookmarkEnd w:id="421"/>
    <w:bookmarkStart w:id="426" w:name="Xcce64a4744c8fe182ea7507992489ee910a5c7a"/>
    <w:p>
      <w:pPr>
        <w:pStyle w:val="Heading2"/>
      </w:pPr>
      <w:r>
        <w:t xml:space="preserve">Enterprise Application access assignment procedures</w:t>
      </w:r>
    </w:p>
    <w:p>
      <w:pPr>
        <w:pStyle w:val="FirstParagraph"/>
      </w:pPr>
      <w:r>
        <w:rPr>
          <w:b/>
          <w:bCs/>
        </w:rPr>
        <w:t xml:space="preserve">Prerequisite</w:t>
      </w:r>
    </w:p>
    <w:p>
      <w:pPr>
        <w:pStyle w:val="BodyText"/>
      </w:pPr>
      <w:r>
        <w:t xml:space="preserve">A</w:t>
      </w:r>
      <w:r>
        <w:t xml:space="preserve"> </w:t>
      </w:r>
      <w:r>
        <w:rPr>
          <w:b/>
          <w:bCs/>
        </w:rPr>
        <w:t xml:space="preserve">SAM-approved RITM must be in</w:t>
      </w:r>
      <w:r>
        <w:rPr>
          <w:b/>
          <w:bCs/>
        </w:rPr>
        <w:t xml:space="preserve"> </w:t>
      </w:r>
      <w:r>
        <w:rPr>
          <w:b/>
          <w:bCs/>
        </w:rPr>
        <w:t xml:space="preserve">“Assigned”</w:t>
      </w:r>
      <w:r>
        <w:rPr>
          <w:b/>
          <w:bCs/>
        </w:rPr>
        <w:t xml:space="preserve"> </w:t>
      </w:r>
      <w:r>
        <w:rPr>
          <w:b/>
          <w:bCs/>
        </w:rPr>
        <w:t xml:space="preserve">status</w:t>
      </w:r>
      <w:r>
        <w:t xml:space="preserve"> </w:t>
      </w:r>
      <w:r>
        <w:t xml:space="preserve">in ServiceNow before any</w:t>
      </w:r>
      <w:r>
        <w:t xml:space="preserve"> </w:t>
      </w:r>
      <w:r>
        <w:t xml:space="preserve">Enterprise Application access assignment or removal action is initiated. Actions</w:t>
      </w:r>
      <w:r>
        <w:t xml:space="preserve"> </w:t>
      </w:r>
      <w:r>
        <w:t xml:space="preserve">performed without an active, approved RITM are a policy violation and will be</w:t>
      </w:r>
      <w:r>
        <w:t xml:space="preserve"> </w:t>
      </w:r>
      <w:r>
        <w:t xml:space="preserve">flagged in the next audit cycle.</w:t>
      </w:r>
    </w:p>
    <w:bookmarkStart w:id="422" w:name="Xd8efe4538bbd20659d65cd5142ea4a7c3af9da0"/>
    <w:p>
      <w:pPr>
        <w:pStyle w:val="Heading3"/>
      </w:pPr>
      <w:r>
        <w:t xml:space="preserve">Assigning a group to an Enterprise Application</w:t>
      </w:r>
    </w:p>
    <w:p>
      <w:pPr>
        <w:pStyle w:val="FirstParagraph"/>
      </w:pPr>
      <w:r>
        <w:t xml:space="preserve">The following steps assign an Entra security group to a role on an Enterprise</w:t>
      </w:r>
      <w:r>
        <w:t xml:space="preserve"> </w:t>
      </w:r>
      <w:r>
        <w:t xml:space="preserve">Application, granting the group’s members access to the application.</w:t>
      </w:r>
    </w:p>
    <w:p>
      <w:pPr>
        <w:pStyle w:val="Compact"/>
        <w:numPr>
          <w:ilvl w:val="0"/>
          <w:numId w:val="1194"/>
        </w:numPr>
      </w:pPr>
      <w:r>
        <w:rPr>
          <w:b/>
          <w:bCs/>
        </w:rPr>
        <w:t xml:space="preserve">Verify RITM prerequisites:</w:t>
      </w:r>
      <w:r>
        <w:t xml:space="preserve"> </w:t>
      </w:r>
      <w:r>
        <w:t xml:space="preserve">Confirm the ServiceNow RITM is in</w:t>
      </w:r>
      <w:r>
        <w:t xml:space="preserve"> </w:t>
      </w:r>
      <w:r>
        <w:t xml:space="preserve">“Assigned”</w:t>
      </w:r>
      <w:r>
        <w:t xml:space="preserve"> </w:t>
      </w:r>
      <w:r>
        <w:t xml:space="preserve">status, all SAM approvals are complete, and the RITM contains the group name,</w:t>
      </w:r>
      <w:r>
        <w:t xml:space="preserve"> </w:t>
      </w:r>
      <w:r>
        <w:t xml:space="preserve">application name, and app role name.</w:t>
      </w:r>
    </w:p>
    <w:p>
      <w:pPr>
        <w:pStyle w:val="Compact"/>
        <w:numPr>
          <w:ilvl w:val="0"/>
          <w:numId w:val="1194"/>
        </w:numPr>
      </w:pPr>
      <w:r>
        <w:rPr>
          <w:b/>
          <w:bCs/>
        </w:rPr>
        <w:t xml:space="preserve">Activate PIM — Application Administrator:</w:t>
      </w:r>
      <w:r>
        <w:t xml:space="preserve"> </w:t>
      </w:r>
      <w:r>
        <w:t xml:space="preserve">Navigate to Entra Portal →</w:t>
      </w:r>
      <w:r>
        <w:t xml:space="preserve"> </w:t>
      </w:r>
      <w:r>
        <w:t xml:space="preserve">Identity Governance → Privileged Identity Management → My Roles → Eligible</w:t>
      </w:r>
      <w:r>
        <w:t xml:space="preserve"> </w:t>
      </w:r>
      <w:r>
        <w:t xml:space="preserve">Assignments. Activate</w:t>
      </w:r>
      <w:r>
        <w:t xml:space="preserve"> </w:t>
      </w:r>
      <w:r>
        <w:rPr>
          <w:b/>
          <w:bCs/>
        </w:rPr>
        <w:t xml:space="preserve">Application Administrator</w:t>
      </w:r>
      <w:r>
        <w:t xml:space="preserve">. Enter the RITM number and a</w:t>
      </w:r>
      <w:r>
        <w:t xml:space="preserve"> </w:t>
      </w:r>
      <w:r>
        <w:t xml:space="preserve">brief action description in the justification field. Submit for supervisor</w:t>
      </w:r>
      <w:r>
        <w:t xml:space="preserve"> </w:t>
      </w:r>
      <w:r>
        <w:t xml:space="preserve">approval. Wait for approval confirmation before proceeding.</w:t>
      </w:r>
    </w:p>
    <w:p>
      <w:pPr>
        <w:pStyle w:val="Compact"/>
        <w:numPr>
          <w:ilvl w:val="0"/>
          <w:numId w:val="1194"/>
        </w:numPr>
      </w:pPr>
      <w:r>
        <w:rPr>
          <w:b/>
          <w:bCs/>
        </w:rPr>
        <w:t xml:space="preserve">Navigate to Enterprise Applications:</w:t>
      </w:r>
      <w:r>
        <w:t xml:space="preserve"> </w:t>
      </w:r>
      <w:r>
        <w:t xml:space="preserve">In the Entra Portal, navigate to</w:t>
      </w:r>
      <w:r>
        <w:t xml:space="preserve"> </w:t>
      </w:r>
      <w:r>
        <w:rPr>
          <w:b/>
          <w:bCs/>
        </w:rPr>
        <w:t xml:space="preserve">Enterprise Applications</w:t>
      </w:r>
      <w:r>
        <w:t xml:space="preserve">. Search for the application by name as specified in</w:t>
      </w:r>
      <w:r>
        <w:t xml:space="preserve"> </w:t>
      </w:r>
      <w:r>
        <w:t xml:space="preserve">the RITM.</w:t>
      </w:r>
    </w:p>
    <w:p>
      <w:pPr>
        <w:pStyle w:val="Compact"/>
        <w:numPr>
          <w:ilvl w:val="0"/>
          <w:numId w:val="1194"/>
        </w:numPr>
      </w:pPr>
      <w:r>
        <w:rPr>
          <w:b/>
          <w:bCs/>
        </w:rPr>
        <w:t xml:space="preserve">Open Users and groups:</w:t>
      </w:r>
      <w:r>
        <w:t xml:space="preserve"> </w:t>
      </w:r>
      <w:r>
        <w:t xml:space="preserve">Select the application. In the left navigation,</w:t>
      </w:r>
      <w:r>
        <w:t xml:space="preserve"> </w:t>
      </w:r>
      <w:r>
        <w:t xml:space="preserve">select</w:t>
      </w:r>
      <w:r>
        <w:t xml:space="preserve"> </w:t>
      </w:r>
      <w:r>
        <w:rPr>
          <w:b/>
          <w:bCs/>
        </w:rPr>
        <w:t xml:space="preserve">Users and groups</w:t>
      </w:r>
      <w:r>
        <w:t xml:space="preserve">.</w:t>
      </w:r>
    </w:p>
    <w:p>
      <w:pPr>
        <w:pStyle w:val="Compact"/>
        <w:numPr>
          <w:ilvl w:val="0"/>
          <w:numId w:val="1194"/>
        </w:numPr>
      </w:pPr>
      <w:r>
        <w:rPr>
          <w:b/>
          <w:bCs/>
        </w:rPr>
        <w:t xml:space="preserve">Add Assignment:</w:t>
      </w:r>
      <w:r>
        <w:t xml:space="preserve"> </w:t>
      </w:r>
      <w:r>
        <w:t xml:space="preserve">Click</w:t>
      </w:r>
      <w:r>
        <w:t xml:space="preserve"> </w:t>
      </w:r>
      <w:r>
        <w:rPr>
          <w:b/>
          <w:bCs/>
        </w:rPr>
        <w:t xml:space="preserve">+ Add user/group</w:t>
      </w:r>
      <w:r>
        <w:t xml:space="preserve">. In the assignment panel, click</w:t>
      </w:r>
      <w:r>
        <w:t xml:space="preserve"> </w:t>
      </w:r>
      <w:r>
        <w:rPr>
          <w:b/>
          <w:bCs/>
        </w:rPr>
        <w:t xml:space="preserve">None Selected</w:t>
      </w:r>
      <w:r>
        <w:t xml:space="preserve"> </w:t>
      </w:r>
      <w:r>
        <w:t xml:space="preserve">under Users and groups. Search for and select the Entra</w:t>
      </w:r>
      <w:r>
        <w:t xml:space="preserve"> </w:t>
      </w:r>
      <w:r>
        <w:t xml:space="preserve">security group specified in the RITM.</w:t>
      </w:r>
    </w:p>
    <w:p>
      <w:pPr>
        <w:pStyle w:val="Compact"/>
        <w:numPr>
          <w:ilvl w:val="0"/>
          <w:numId w:val="1194"/>
        </w:numPr>
      </w:pPr>
      <w:r>
        <w:rPr>
          <w:b/>
          <w:bCs/>
        </w:rPr>
        <w:t xml:space="preserve">Select App Role:</w:t>
      </w:r>
      <w:r>
        <w:t xml:space="preserve"> </w:t>
      </w:r>
      <w:r>
        <w:t xml:space="preserve">Click</w:t>
      </w:r>
      <w:r>
        <w:t xml:space="preserve"> </w:t>
      </w:r>
      <w:r>
        <w:rPr>
          <w:b/>
          <w:bCs/>
        </w:rPr>
        <w:t xml:space="preserve">None Selected</w:t>
      </w:r>
      <w:r>
        <w:t xml:space="preserve"> </w:t>
      </w:r>
      <w:r>
        <w:t xml:space="preserve">under Select a role. Select the app</w:t>
      </w:r>
      <w:r>
        <w:t xml:space="preserve"> </w:t>
      </w:r>
      <w:r>
        <w:t xml:space="preserve">role specified in the RITM. If only one role exists, it will be pre-selected.</w:t>
      </w:r>
    </w:p>
    <w:p>
      <w:pPr>
        <w:pStyle w:val="Compact"/>
        <w:numPr>
          <w:ilvl w:val="0"/>
          <w:numId w:val="1194"/>
        </w:numPr>
      </w:pPr>
      <w:r>
        <w:rPr>
          <w:b/>
          <w:bCs/>
        </w:rPr>
        <w:t xml:space="preserve">Confirm Assignment:</w:t>
      </w:r>
      <w:r>
        <w:t xml:space="preserve"> </w:t>
      </w:r>
      <w:r>
        <w:t xml:space="preserve">Click</w:t>
      </w:r>
      <w:r>
        <w:t xml:space="preserve"> </w:t>
      </w:r>
      <w:r>
        <w:rPr>
          <w:b/>
          <w:bCs/>
        </w:rPr>
        <w:t xml:space="preserve">Assign</w:t>
      </w:r>
      <w:r>
        <w:t xml:space="preserve">. Verify the group now appears in the</w:t>
      </w:r>
      <w:r>
        <w:t xml:space="preserve"> </w:t>
      </w:r>
      <w:r>
        <w:t xml:space="preserve">Users and groups list for the application with the correct role.</w:t>
      </w:r>
    </w:p>
    <w:p>
      <w:pPr>
        <w:pStyle w:val="Compact"/>
        <w:numPr>
          <w:ilvl w:val="0"/>
          <w:numId w:val="1194"/>
        </w:numPr>
      </w:pPr>
      <w:r>
        <w:rPr>
          <w:b/>
          <w:bCs/>
        </w:rPr>
        <w:t xml:space="preserve">Validate:</w:t>
      </w:r>
      <w:r>
        <w:t xml:space="preserve"> </w:t>
      </w:r>
      <w:r>
        <w:t xml:space="preserve">Confirm the group assignment persists after page refresh. If the</w:t>
      </w:r>
      <w:r>
        <w:t xml:space="preserve"> </w:t>
      </w:r>
      <w:r>
        <w:t xml:space="preserve">group does not appear, do not close the ticket — document the failure and</w:t>
      </w:r>
      <w:r>
        <w:t xml:space="preserve"> </w:t>
      </w:r>
      <w:r>
        <w:t xml:space="preserve">escalate to Identity Engineering.</w:t>
      </w:r>
    </w:p>
    <w:p>
      <w:pPr>
        <w:pStyle w:val="Compact"/>
        <w:numPr>
          <w:ilvl w:val="0"/>
          <w:numId w:val="1194"/>
        </w:numPr>
      </w:pPr>
      <w:r>
        <w:rPr>
          <w:b/>
          <w:bCs/>
        </w:rPr>
        <w:t xml:space="preserve">Document in ServiceNow:</w:t>
      </w:r>
      <w:r>
        <w:t xml:space="preserve"> </w:t>
      </w:r>
      <w:r>
        <w:t xml:space="preserve">In the RITM work notes, record: action performed,</w:t>
      </w:r>
      <w:r>
        <w:t xml:space="preserve"> </w:t>
      </w:r>
      <w:r>
        <w:t xml:space="preserve">group name assigned, application name, app role assigned, time of action, and</w:t>
      </w:r>
      <w:r>
        <w:t xml:space="preserve"> </w:t>
      </w:r>
      <w:r>
        <w:t xml:space="preserve">your UPN. Attach a screenshot if the agency’s ServiceNow configuration supports</w:t>
      </w:r>
      <w:r>
        <w:t xml:space="preserve"> </w:t>
      </w:r>
      <w:r>
        <w:t xml:space="preserve">attachments.</w:t>
      </w:r>
    </w:p>
    <w:p>
      <w:pPr>
        <w:pStyle w:val="Compact"/>
        <w:numPr>
          <w:ilvl w:val="0"/>
          <w:numId w:val="1194"/>
        </w:numPr>
      </w:pPr>
      <w:r>
        <w:rPr>
          <w:b/>
          <w:bCs/>
        </w:rPr>
        <w:t xml:space="preserve">Deactivate PIM session:</w:t>
      </w:r>
      <w:r>
        <w:t xml:space="preserve"> </w:t>
      </w:r>
      <w:r>
        <w:t xml:space="preserve">After completing the action and documentation,</w:t>
      </w:r>
      <w:r>
        <w:t xml:space="preserve"> </w:t>
      </w:r>
      <w:r>
        <w:t xml:space="preserve">return to PIM and deactivate the Application Administrator role. Do not leave</w:t>
      </w:r>
      <w:r>
        <w:t xml:space="preserve"> </w:t>
      </w:r>
      <w:r>
        <w:t xml:space="preserve">the role active beyond the time needed for the task.</w:t>
      </w:r>
    </w:p>
    <w:p>
      <w:pPr>
        <w:pStyle w:val="Compact"/>
        <w:numPr>
          <w:ilvl w:val="0"/>
          <w:numId w:val="1194"/>
        </w:numPr>
      </w:pPr>
      <w:r>
        <w:rPr>
          <w:b/>
          <w:bCs/>
        </w:rPr>
        <w:t xml:space="preserve">Resolve RITM:</w:t>
      </w:r>
      <w:r>
        <w:t xml:space="preserve"> </w:t>
      </w:r>
      <w:r>
        <w:t xml:space="preserve">Set the RITM to</w:t>
      </w:r>
      <w:r>
        <w:t xml:space="preserve"> </w:t>
      </w:r>
      <w:r>
        <w:t xml:space="preserve">“Resolved”</w:t>
      </w:r>
      <w:r>
        <w:t xml:space="preserve"> </w:t>
      </w:r>
      <w:r>
        <w:t xml:space="preserve">with resolution code</w:t>
      </w:r>
      <w:r>
        <w:t xml:space="preserve"> </w:t>
      </w:r>
      <w:r>
        <w:t xml:space="preserve">“Successfully</w:t>
      </w:r>
      <w:r>
        <w:t xml:space="preserve"> </w:t>
      </w:r>
      <w:r>
        <w:t xml:space="preserve">Completed.”</w:t>
      </w:r>
      <w:r>
        <w:t xml:space="preserve"> </w:t>
      </w:r>
      <w:r>
        <w:t xml:space="preserve">Notify the requesting party per ticket workflow.</w:t>
      </w:r>
    </w:p>
    <w:bookmarkEnd w:id="422"/>
    <w:bookmarkStart w:id="423" w:name="X57893134cde92fe4a12faed80f2481416835a03"/>
    <w:p>
      <w:pPr>
        <w:pStyle w:val="Heading3"/>
      </w:pPr>
      <w:r>
        <w:t xml:space="preserve">Removing a group from an Enterprise Application</w:t>
      </w:r>
    </w:p>
    <w:p>
      <w:pPr>
        <w:pStyle w:val="Compact"/>
        <w:numPr>
          <w:ilvl w:val="0"/>
          <w:numId w:val="1195"/>
        </w:numPr>
      </w:pPr>
      <w:r>
        <w:t xml:space="preserve">Verify RITM prerequisites as in the assignment procedure, Step 1. Confirm the</w:t>
      </w:r>
      <w:r>
        <w:t xml:space="preserve"> </w:t>
      </w:r>
      <w:r>
        <w:t xml:space="preserve">removal is SAM-certification-driven or IGO-directed.</w:t>
      </w:r>
    </w:p>
    <w:p>
      <w:pPr>
        <w:pStyle w:val="Compact"/>
        <w:numPr>
          <w:ilvl w:val="0"/>
          <w:numId w:val="1195"/>
        </w:numPr>
      </w:pPr>
      <w:r>
        <w:t xml:space="preserve">Activate PIM — Application Administrator (same as the assignment procedure, Step</w:t>
      </w:r>
      <w:r>
        <w:t xml:space="preserve"> </w:t>
      </w:r>
      <w:r>
        <w:t xml:space="preserve">2).</w:t>
      </w:r>
    </w:p>
    <w:p>
      <w:pPr>
        <w:pStyle w:val="Compact"/>
        <w:numPr>
          <w:ilvl w:val="0"/>
          <w:numId w:val="1195"/>
        </w:numPr>
      </w:pPr>
      <w:r>
        <w:t xml:space="preserve">Navigate to Enterprise Applications → [Application] → Users and groups.</w:t>
      </w:r>
    </w:p>
    <w:p>
      <w:pPr>
        <w:pStyle w:val="Compact"/>
        <w:numPr>
          <w:ilvl w:val="0"/>
          <w:numId w:val="1195"/>
        </w:numPr>
      </w:pPr>
      <w:r>
        <w:t xml:space="preserve">Locate the group to be removed. Check the checkbox next to the group name.</w:t>
      </w:r>
    </w:p>
    <w:p>
      <w:pPr>
        <w:pStyle w:val="Compact"/>
        <w:numPr>
          <w:ilvl w:val="0"/>
          <w:numId w:val="1195"/>
        </w:numPr>
      </w:pPr>
      <w:r>
        <w:t xml:space="preserve">Click</w:t>
      </w:r>
      <w:r>
        <w:t xml:space="preserve"> </w:t>
      </w:r>
      <w:r>
        <w:rPr>
          <w:b/>
          <w:bCs/>
        </w:rPr>
        <w:t xml:space="preserve">Remove</w:t>
      </w:r>
      <w:r>
        <w:t xml:space="preserve"> </w:t>
      </w:r>
      <w:r>
        <w:t xml:space="preserve">in the toolbar. Confirm the removal in the dialog.</w:t>
      </w:r>
    </w:p>
    <w:p>
      <w:pPr>
        <w:pStyle w:val="Compact"/>
        <w:numPr>
          <w:ilvl w:val="0"/>
          <w:numId w:val="1195"/>
        </w:numPr>
      </w:pPr>
      <w:r>
        <w:t xml:space="preserve">Verify the group no longer appears in the Users and groups list.</w:t>
      </w:r>
    </w:p>
    <w:p>
      <w:pPr>
        <w:pStyle w:val="Compact"/>
        <w:numPr>
          <w:ilvl w:val="0"/>
          <w:numId w:val="1195"/>
        </w:numPr>
      </w:pPr>
      <w:r>
        <w:t xml:space="preserve">Document in ServiceNow as in the assignment procedure, Step 9. Deactivate PIM</w:t>
      </w:r>
      <w:r>
        <w:t xml:space="preserve"> </w:t>
      </w:r>
      <w:r>
        <w:t xml:space="preserve">session. Resolve RITM.</w:t>
      </w:r>
    </w:p>
    <w:bookmarkEnd w:id="423"/>
    <w:bookmarkStart w:id="424" w:name="validating-existing-app-role-assignments"/>
    <w:p>
      <w:pPr>
        <w:pStyle w:val="Heading3"/>
      </w:pPr>
      <w:r>
        <w:t xml:space="preserve">Validating existing app role assignments</w:t>
      </w:r>
    </w:p>
    <w:p>
      <w:pPr>
        <w:pStyle w:val="FirstParagraph"/>
      </w:pPr>
      <w:r>
        <w:t xml:space="preserve">For audit or triage purposes, Help Desk may review existing app role assignments.</w:t>
      </w:r>
      <w:r>
        <w:t xml:space="preserve"> </w:t>
      </w:r>
      <w:r>
        <w:t xml:space="preserve">This is a read-only action and does not require PIM elevation if the technician</w:t>
      </w:r>
      <w:r>
        <w:t xml:space="preserve"> </w:t>
      </w:r>
      <w:r>
        <w:t xml:space="preserve">has been granted reader access. Navigate to: Entra Portal → Enterprise</w:t>
      </w:r>
      <w:r>
        <w:t xml:space="preserve"> </w:t>
      </w:r>
      <w:r>
        <w:t xml:space="preserve">Applications → [Application] → Users and groups. Review the list of assigned users</w:t>
      </w:r>
      <w:r>
        <w:t xml:space="preserve"> </w:t>
      </w:r>
      <w:r>
        <w:t xml:space="preserve">and groups, their assigned roles, and assignment dates. Document findings in the</w:t>
      </w:r>
      <w:r>
        <w:t xml:space="preserve"> </w:t>
      </w:r>
      <w:r>
        <w:t xml:space="preserve">associated ServiceNow ticket.</w:t>
      </w:r>
    </w:p>
    <w:bookmarkEnd w:id="424"/>
    <w:bookmarkStart w:id="425" w:name="X6f00c9e7d6c2b941b5a6280a0a88c2414bd8954"/>
    <w:p>
      <w:pPr>
        <w:pStyle w:val="Heading3"/>
      </w:pPr>
      <w:r>
        <w:t xml:space="preserve">Authorization summary for Enterprise App actions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Action type</w:t>
            </w:r>
          </w:p>
        </w:tc>
        <w:tc>
          <w:tcPr/>
          <w:p>
            <w:pPr>
              <w:pStyle w:val="Compact"/>
            </w:pPr>
            <w:r>
              <w:rPr>
                <w:b/>
                <w:bCs/>
              </w:rPr>
              <w:t xml:space="preserve">Authorizing body</w:t>
            </w:r>
          </w:p>
        </w:tc>
        <w:tc>
          <w:tcPr/>
          <w:p>
            <w:pPr>
              <w:pStyle w:val="Compact"/>
            </w:pPr>
            <w:r>
              <w:rPr>
                <w:b/>
                <w:bCs/>
              </w:rPr>
              <w:t xml:space="preserve">SAM approval required</w:t>
            </w:r>
          </w:p>
        </w:tc>
        <w:tc>
          <w:tcPr/>
          <w:p>
            <w:pPr>
              <w:pStyle w:val="Compact"/>
            </w:pPr>
            <w:r>
              <w:rPr>
                <w:b/>
                <w:bCs/>
              </w:rPr>
              <w:t xml:space="preserve">Additional approver</w:t>
            </w:r>
          </w:p>
        </w:tc>
        <w:tc>
          <w:tcPr/>
          <w:p>
            <w:pPr>
              <w:pStyle w:val="Compact"/>
            </w:pPr>
            <w:r>
              <w:rPr>
                <w:b/>
                <w:bCs/>
              </w:rPr>
              <w:t xml:space="preserve">PIM role</w:t>
            </w:r>
          </w:p>
        </w:tc>
      </w:tr>
      <w:tr>
        <w:tc>
          <w:tcPr/>
          <w:p>
            <w:pPr>
              <w:pStyle w:val="Compact"/>
            </w:pPr>
            <w:r>
              <w:t xml:space="preserve">Assign group to app role (new access)</w:t>
            </w:r>
          </w:p>
        </w:tc>
        <w:tc>
          <w:tcPr/>
          <w:p>
            <w:pPr>
              <w:pStyle w:val="Compact"/>
            </w:pPr>
            <w:r>
              <w:t xml:space="preserve">SAM (Business Approver + App Owner)</w:t>
            </w:r>
          </w:p>
        </w:tc>
        <w:tc>
          <w:tcPr/>
          <w:p>
            <w:pPr>
              <w:pStyle w:val="Compact"/>
            </w:pPr>
            <w:r>
              <w:t xml:space="preserve">Yes</w:t>
            </w:r>
          </w:p>
        </w:tc>
        <w:tc>
          <w:tcPr/>
          <w:p>
            <w:pPr>
              <w:pStyle w:val="Compact"/>
            </w:pPr>
            <w:r>
              <w:t xml:space="preserve">None</w:t>
            </w:r>
          </w:p>
        </w:tc>
        <w:tc>
          <w:tcPr/>
          <w:p>
            <w:pPr>
              <w:pStyle w:val="Compact"/>
            </w:pPr>
            <w:r>
              <w:t xml:space="preserve">Application Administrator</w:t>
            </w:r>
          </w:p>
        </w:tc>
      </w:tr>
      <w:tr>
        <w:tc>
          <w:tcPr/>
          <w:p>
            <w:pPr>
              <w:pStyle w:val="Compact"/>
            </w:pPr>
            <w:r>
              <w:t xml:space="preserve">Remove group from app role (revocation)</w:t>
            </w:r>
          </w:p>
        </w:tc>
        <w:tc>
          <w:tcPr/>
          <w:p>
            <w:pPr>
              <w:pStyle w:val="Compact"/>
            </w:pPr>
            <w:r>
              <w:t xml:space="preserve">SAM (certification result or IGO direction)</w:t>
            </w:r>
          </w:p>
        </w:tc>
        <w:tc>
          <w:tcPr/>
          <w:p>
            <w:pPr>
              <w:pStyle w:val="Compact"/>
            </w:pPr>
            <w:r>
              <w:t xml:space="preserve">Yes</w:t>
            </w:r>
          </w:p>
        </w:tc>
        <w:tc>
          <w:tcPr/>
          <w:p>
            <w:pPr>
              <w:pStyle w:val="Compact"/>
            </w:pPr>
            <w:r>
              <w:t xml:space="preserve">None</w:t>
            </w:r>
          </w:p>
        </w:tc>
        <w:tc>
          <w:tcPr/>
          <w:p>
            <w:pPr>
              <w:pStyle w:val="Compact"/>
            </w:pPr>
            <w:r>
              <w:t xml:space="preserve">Application Administrator</w:t>
            </w:r>
          </w:p>
        </w:tc>
      </w:tr>
      <w:tr>
        <w:tc>
          <w:tcPr/>
          <w:p>
            <w:pPr>
              <w:pStyle w:val="Compact"/>
            </w:pPr>
            <w:r>
              <w:t xml:space="preserve">Read/view app role assignments (audit)</w:t>
            </w:r>
          </w:p>
        </w:tc>
        <w:tc>
          <w:tcPr/>
          <w:p>
            <w:pPr>
              <w:pStyle w:val="Compact"/>
            </w:pPr>
            <w:r>
              <w:t xml:space="preserve">Help Desk Supervisor (informal)</w:t>
            </w:r>
          </w:p>
        </w:tc>
        <w:tc>
          <w:tcPr/>
          <w:p>
            <w:pPr>
              <w:pStyle w:val="Compact"/>
            </w:pPr>
            <w:r>
              <w:t xml:space="preserve">No</w:t>
            </w:r>
          </w:p>
        </w:tc>
        <w:tc>
          <w:tcPr/>
          <w:p>
            <w:pPr>
              <w:pStyle w:val="Compact"/>
            </w:pPr>
            <w:r>
              <w:t xml:space="preserve">None</w:t>
            </w:r>
          </w:p>
        </w:tc>
        <w:tc>
          <w:tcPr/>
          <w:p>
            <w:pPr>
              <w:pStyle w:val="Compact"/>
            </w:pPr>
            <w:r>
              <w:t xml:space="preserve">None required (read-only)</w:t>
            </w:r>
          </w:p>
        </w:tc>
      </w:tr>
      <w:tr>
        <w:tc>
          <w:tcPr/>
          <w:p>
            <w:pPr>
              <w:pStyle w:val="Compact"/>
            </w:pPr>
            <w:r>
              <w:t xml:space="preserve">Modify app role definitions or permissions</w:t>
            </w:r>
          </w:p>
        </w:tc>
        <w:tc>
          <w:tcPr/>
          <w:p>
            <w:pPr>
              <w:pStyle w:val="Compact"/>
            </w:pPr>
            <w:r>
              <w:rPr>
                <w:b/>
                <w:bCs/>
              </w:rPr>
              <w:t xml:space="preserve">OUT OF SCOPE — NOT AUTHORIZED</w:t>
            </w:r>
          </w:p>
        </w:tc>
        <w:tc>
          <w:tcPr/>
          <w:p>
            <w:pPr>
              <w:pStyle w:val="Compact"/>
            </w:pPr>
            <w:r>
              <w:t xml:space="preserve">N/A</w:t>
            </w:r>
          </w:p>
        </w:tc>
        <w:tc>
          <w:tcPr/>
          <w:p>
            <w:pPr>
              <w:pStyle w:val="Compact"/>
            </w:pPr>
            <w:r>
              <w:t xml:space="preserve">N/A</w:t>
            </w:r>
          </w:p>
        </w:tc>
        <w:tc>
          <w:tcPr/>
          <w:p>
            <w:pPr>
              <w:pStyle w:val="Compact"/>
            </w:pPr>
            <w:r>
              <w:t xml:space="preserve">N/A</w:t>
            </w:r>
          </w:p>
        </w:tc>
      </w:tr>
    </w:tbl>
    <w:bookmarkEnd w:id="425"/>
    <w:bookmarkEnd w:id="426"/>
    <w:bookmarkStart w:id="431" w:name="hybrid-identity-operations"/>
    <w:p>
      <w:pPr>
        <w:pStyle w:val="Heading2"/>
      </w:pPr>
      <w:r>
        <w:t xml:space="preserve">Hybrid identity operations</w:t>
      </w:r>
    </w:p>
    <w:p>
      <w:pPr>
        <w:pStyle w:val="FirstParagraph"/>
      </w:pPr>
      <w:r>
        <w:rPr>
          <w:b/>
          <w:bCs/>
        </w:rPr>
        <w:t xml:space="preserve">High-risk operations</w:t>
      </w:r>
    </w:p>
    <w:p>
      <w:pPr>
        <w:pStyle w:val="BodyText"/>
      </w:pPr>
      <w:r>
        <w:t xml:space="preserve">Hybrid identity operations — particularly ImmutableID resets — carry significant</w:t>
      </w:r>
      <w:r>
        <w:t xml:space="preserve"> </w:t>
      </w:r>
      <w:r>
        <w:t xml:space="preserve">risk of user account disruption, duplicate object creation, or unrecoverable sync</w:t>
      </w:r>
      <w:r>
        <w:t xml:space="preserve"> </w:t>
      </w:r>
      <w:r>
        <w:t xml:space="preserve">state.</w:t>
      </w:r>
      <w:r>
        <w:t xml:space="preserve"> </w:t>
      </w:r>
      <w:r>
        <w:rPr>
          <w:b/>
          <w:bCs/>
        </w:rPr>
        <w:t xml:space="preserve">Help Desk must not proceed with any ImmutableID operation until both the</w:t>
      </w:r>
      <w:r>
        <w:rPr>
          <w:b/>
          <w:bCs/>
        </w:rPr>
        <w:t xml:space="preserve"> </w:t>
      </w:r>
      <w:r>
        <w:rPr>
          <w:b/>
          <w:bCs/>
        </w:rPr>
        <w:t xml:space="preserve">Identity Engineering Lead and the IGO have approved the RITM.</w:t>
      </w:r>
      <w:r>
        <w:t xml:space="preserve"> </w:t>
      </w:r>
      <w:r>
        <w:t xml:space="preserve">If there is any</w:t>
      </w:r>
      <w:r>
        <w:t xml:space="preserve"> </w:t>
      </w:r>
      <w:r>
        <w:t xml:space="preserve">doubt about the correct ImmutableID value to set, stop and contact Identity</w:t>
      </w:r>
      <w:r>
        <w:t xml:space="preserve"> </w:t>
      </w:r>
      <w:r>
        <w:t xml:space="preserve">Engineering before proceeding.</w:t>
      </w:r>
    </w:p>
    <w:bookmarkStart w:id="427" w:name="immutableid-reset-procedure"/>
    <w:p>
      <w:pPr>
        <w:pStyle w:val="Heading3"/>
      </w:pPr>
      <w:r>
        <w:t xml:space="preserve">ImmutableID reset procedure</w:t>
      </w:r>
    </w:p>
    <w:p>
      <w:pPr>
        <w:pStyle w:val="FirstParagraph"/>
      </w:pPr>
      <w:r>
        <w:t xml:space="preserve">The</w:t>
      </w:r>
      <w:r>
        <w:t xml:space="preserve"> </w:t>
      </w:r>
      <w:r>
        <w:rPr>
          <w:b/>
          <w:bCs/>
        </w:rPr>
        <w:t xml:space="preserve">ImmutableID</w:t>
      </w:r>
      <w:r>
        <w:t xml:space="preserve"> </w:t>
      </w:r>
      <w:r>
        <w:t xml:space="preserve">(also called</w:t>
      </w:r>
      <w:r>
        <w:t xml:space="preserve"> </w:t>
      </w:r>
      <w:r>
        <w:rPr>
          <w:i/>
          <w:iCs/>
        </w:rPr>
        <w:t xml:space="preserve">onPremisesImmutableId</w:t>
      </w:r>
      <w:r>
        <w:t xml:space="preserve"> </w:t>
      </w:r>
      <w:r>
        <w:t xml:space="preserve">in Microsoft Graph) is</w:t>
      </w:r>
      <w:r>
        <w:t xml:space="preserve"> </w:t>
      </w:r>
      <w:r>
        <w:t xml:space="preserve">the attribute that links a cloud Entra ID user object to its corresponding</w:t>
      </w:r>
      <w:r>
        <w:t xml:space="preserve"> </w:t>
      </w:r>
      <w:r>
        <w:t xml:space="preserve">on-premises Active Directory object. If this value is mismatched, corrupted, or</w:t>
      </w:r>
      <w:r>
        <w:t xml:space="preserve"> </w:t>
      </w:r>
      <w:r>
        <w:t xml:space="preserve">absent, the user account will fail to synchronize and may experience</w:t>
      </w:r>
      <w:r>
        <w:t xml:space="preserve"> </w:t>
      </w:r>
      <w:r>
        <w:t xml:space="preserve">authentication failures, license issues, or a duplicate cloud account.</w:t>
      </w:r>
    </w:p>
    <w:p>
      <w:pPr>
        <w:pStyle w:val="Compact"/>
        <w:numPr>
          <w:ilvl w:val="0"/>
          <w:numId w:val="1196"/>
        </w:numPr>
      </w:pPr>
      <w:r>
        <w:rPr>
          <w:b/>
          <w:bCs/>
        </w:rPr>
        <w:t xml:space="preserve">Verify dual approval in RITM:</w:t>
      </w:r>
      <w:r>
        <w:t xml:space="preserve"> </w:t>
      </w:r>
      <w:r>
        <w:t xml:space="preserve">Confirm the ServiceNow RITM contains approval</w:t>
      </w:r>
      <w:r>
        <w:t xml:space="preserve"> </w:t>
      </w:r>
      <w:r>
        <w:t xml:space="preserve">records for both the</w:t>
      </w:r>
      <w:r>
        <w:t xml:space="preserve"> </w:t>
      </w:r>
      <w:r>
        <w:rPr>
          <w:b/>
          <w:bCs/>
        </w:rPr>
        <w:t xml:space="preserve">Identity Engineering Lead</w:t>
      </w:r>
      <w:r>
        <w:t xml:space="preserve"> </w:t>
      </w:r>
      <w:r>
        <w:t xml:space="preserve">and the</w:t>
      </w:r>
      <w:r>
        <w:t xml:space="preserve"> </w:t>
      </w:r>
      <w:r>
        <w:rPr>
          <w:b/>
          <w:bCs/>
        </w:rPr>
        <w:t xml:space="preserve">IGO</w:t>
      </w:r>
      <w:r>
        <w:t xml:space="preserve">. Both</w:t>
      </w:r>
      <w:r>
        <w:t xml:space="preserve"> </w:t>
      </w:r>
      <w:r>
        <w:t xml:space="preserve">approvals must be in</w:t>
      </w:r>
      <w:r>
        <w:t xml:space="preserve"> </w:t>
      </w:r>
      <w:r>
        <w:t xml:space="preserve">“Approved”</w:t>
      </w:r>
      <w:r>
        <w:t xml:space="preserve"> </w:t>
      </w:r>
      <w:r>
        <w:t xml:space="preserve">status. If either is missing or pending, stop</w:t>
      </w:r>
      <w:r>
        <w:t xml:space="preserve"> </w:t>
      </w:r>
      <w:r>
        <w:t xml:space="preserve">and contact your supervisor.</w:t>
      </w:r>
    </w:p>
    <w:p>
      <w:pPr>
        <w:pStyle w:val="Compact"/>
        <w:numPr>
          <w:ilvl w:val="0"/>
          <w:numId w:val="1196"/>
        </w:numPr>
      </w:pPr>
      <w:r>
        <w:rPr>
          <w:b/>
          <w:bCs/>
        </w:rPr>
        <w:t xml:space="preserve">Confirm target information:</w:t>
      </w:r>
      <w:r>
        <w:t xml:space="preserve"> </w:t>
      </w:r>
      <w:r>
        <w:t xml:space="preserve">The RITM must contain the user’s</w:t>
      </w:r>
      <w:r>
        <w:t xml:space="preserve"> </w:t>
      </w:r>
      <w:r>
        <w:rPr>
          <w:b/>
          <w:bCs/>
        </w:rPr>
        <w:t xml:space="preserve">UPN</w:t>
      </w:r>
      <w:r>
        <w:t xml:space="preserve">, the</w:t>
      </w:r>
      <w:r>
        <w:t xml:space="preserve"> </w:t>
      </w:r>
      <w:r>
        <w:rPr>
          <w:b/>
          <w:bCs/>
        </w:rPr>
        <w:t xml:space="preserve">current ImmutableID</w:t>
      </w:r>
      <w:r>
        <w:t xml:space="preserve"> </w:t>
      </w:r>
      <w:r>
        <w:t xml:space="preserve">(if known), the</w:t>
      </w:r>
      <w:r>
        <w:t xml:space="preserve"> </w:t>
      </w:r>
      <w:r>
        <w:rPr>
          <w:b/>
          <w:bCs/>
        </w:rPr>
        <w:t xml:space="preserve">correct ImmutableID value to set</w:t>
      </w:r>
      <w:r>
        <w:t xml:space="preserve"> </w:t>
      </w:r>
      <w:r>
        <w:t xml:space="preserve">(the</w:t>
      </w:r>
      <w:r>
        <w:t xml:space="preserve"> </w:t>
      </w:r>
      <w:r>
        <w:t xml:space="preserve">Base64-encoded objectGUID from on-premises AD), and the reason for the reset. Do</w:t>
      </w:r>
      <w:r>
        <w:t xml:space="preserve"> </w:t>
      </w:r>
      <w:r>
        <w:t xml:space="preserve">not determine these values independently — they must be provided in the approved</w:t>
      </w:r>
      <w:r>
        <w:t xml:space="preserve"> </w:t>
      </w:r>
      <w:r>
        <w:t xml:space="preserve">ticket.</w:t>
      </w:r>
    </w:p>
    <w:p>
      <w:pPr>
        <w:pStyle w:val="Compact"/>
        <w:numPr>
          <w:ilvl w:val="0"/>
          <w:numId w:val="1196"/>
        </w:numPr>
      </w:pPr>
      <w:r>
        <w:rPr>
          <w:b/>
          <w:bCs/>
        </w:rPr>
        <w:t xml:space="preserve">Activate PIM — Hybrid Identity Administrator:</w:t>
      </w:r>
      <w:r>
        <w:t xml:space="preserve"> </w:t>
      </w:r>
      <w:r>
        <w:t xml:space="preserve">In Entra Portal → PIM → My</w:t>
      </w:r>
      <w:r>
        <w:t xml:space="preserve"> </w:t>
      </w:r>
      <w:r>
        <w:t xml:space="preserve">Roles → Eligible Assignments, activate</w:t>
      </w:r>
      <w:r>
        <w:t xml:space="preserve"> </w:t>
      </w:r>
      <w:r>
        <w:rPr>
          <w:b/>
          <w:bCs/>
        </w:rPr>
        <w:t xml:space="preserve">Hybrid Identity Administrator</w:t>
      </w:r>
      <w:r>
        <w:t xml:space="preserve">. Enter</w:t>
      </w:r>
      <w:r>
        <w:t xml:space="preserve"> </w:t>
      </w:r>
      <w:r>
        <w:t xml:space="preserve">the RITM number in the justification field. Wait for supervisor approval.</w:t>
      </w:r>
    </w:p>
    <w:p>
      <w:pPr>
        <w:pStyle w:val="Compact"/>
        <w:numPr>
          <w:ilvl w:val="0"/>
          <w:numId w:val="1196"/>
        </w:numPr>
      </w:pPr>
      <w:r>
        <w:rPr>
          <w:b/>
          <w:bCs/>
        </w:rPr>
        <w:t xml:space="preserve">Connect to Microsoft Graph PowerShell (or MSOnline):</w:t>
      </w:r>
      <w:r>
        <w:t xml:space="preserve"> </w:t>
      </w:r>
      <w:r>
        <w:t xml:space="preserve">Open a privileged</w:t>
      </w:r>
      <w:r>
        <w:t xml:space="preserve"> </w:t>
      </w:r>
      <w:r>
        <w:t xml:space="preserve">PowerShell session. Connect using the elevated session credentials:</w:t>
      </w:r>
      <w:r>
        <w:t xml:space="preserve"> </w:t>
      </w:r>
      <w:r>
        <w:t xml:space="preserve">Connect-MgGraph -Scopes</w:t>
      </w:r>
      <w:r>
        <w:t xml:space="preserve"> </w:t>
      </w:r>
      <w:r>
        <w:t xml:space="preserve">“User.ReadWrite.All”</w:t>
      </w:r>
    </w:p>
    <w:p>
      <w:pPr>
        <w:pStyle w:val="Compact"/>
        <w:numPr>
          <w:ilvl w:val="0"/>
          <w:numId w:val="1196"/>
        </w:numPr>
      </w:pPr>
      <w:r>
        <w:rPr>
          <w:b/>
          <w:bCs/>
        </w:rPr>
        <w:t xml:space="preserve">Retrieve the current user object:</w:t>
      </w:r>
      <w:r>
        <w:t xml:space="preserve"> </w:t>
      </w:r>
      <w:r>
        <w:t xml:space="preserve">Run Get-MgUser -UserId [UPN] | Select</w:t>
      </w:r>
      <w:r>
        <w:t xml:space="preserve"> </w:t>
      </w:r>
      <w:r>
        <w:t xml:space="preserve">DisplayName, OnPremisesImmutableId. Confirm the displayed ImmutableID matches</w:t>
      </w:r>
      <w:r>
        <w:t xml:space="preserve"> </w:t>
      </w:r>
      <w:r>
        <w:t xml:space="preserve">what is documented in the RITM as the</w:t>
      </w:r>
      <w:r>
        <w:t xml:space="preserve"> </w:t>
      </w:r>
      <w:r>
        <w:t xml:space="preserve">“current”</w:t>
      </w:r>
      <w:r>
        <w:t xml:space="preserve"> </w:t>
      </w:r>
      <w:r>
        <w:t xml:space="preserve">value. If it does not match,</w:t>
      </w:r>
      <w:r>
        <w:t xml:space="preserve"> </w:t>
      </w:r>
      <w:r>
        <w:t xml:space="preserve">stop and contact Identity Engineering.</w:t>
      </w:r>
    </w:p>
    <w:p>
      <w:pPr>
        <w:pStyle w:val="Compact"/>
        <w:numPr>
          <w:ilvl w:val="0"/>
          <w:numId w:val="1196"/>
        </w:numPr>
      </w:pPr>
      <w:r>
        <w:rPr>
          <w:b/>
          <w:bCs/>
        </w:rPr>
        <w:t xml:space="preserve">Set the corrected ImmutableID:</w:t>
      </w:r>
      <w:r>
        <w:t xml:space="preserve"> </w:t>
      </w:r>
      <w:r>
        <w:t xml:space="preserve">Run Update-MgUser -UserId [UPN]</w:t>
      </w:r>
      <w:r>
        <w:t xml:space="preserve"> </w:t>
      </w:r>
      <w:r>
        <w:t xml:space="preserve">-OnPremisesImmutableId</w:t>
      </w:r>
      <w:r>
        <w:t xml:space="preserve"> </w:t>
      </w:r>
      <w:r>
        <w:t xml:space="preserve">“[CorrectValue]”</w:t>
      </w:r>
      <w:r>
        <w:t xml:space="preserve">. The correct value must exactly match</w:t>
      </w:r>
      <w:r>
        <w:t xml:space="preserve"> </w:t>
      </w:r>
      <w:r>
        <w:t xml:space="preserve">what is in the approved ticket.</w:t>
      </w:r>
    </w:p>
    <w:p>
      <w:pPr>
        <w:pStyle w:val="Compact"/>
        <w:numPr>
          <w:ilvl w:val="0"/>
          <w:numId w:val="1196"/>
        </w:numPr>
      </w:pPr>
      <w:r>
        <w:rPr>
          <w:b/>
          <w:bCs/>
        </w:rPr>
        <w:t xml:space="preserve">Verify the change:</w:t>
      </w:r>
      <w:r>
        <w:t xml:space="preserve"> </w:t>
      </w:r>
      <w:r>
        <w:t xml:space="preserve">Re-run the Get-MgUser command from Step 5 and confirm the</w:t>
      </w:r>
      <w:r>
        <w:t xml:space="preserve"> </w:t>
      </w:r>
      <w:r>
        <w:t xml:space="preserve">ImmutableID now reflects the correct value.</w:t>
      </w:r>
    </w:p>
    <w:p>
      <w:pPr>
        <w:pStyle w:val="Compact"/>
        <w:numPr>
          <w:ilvl w:val="0"/>
          <w:numId w:val="1196"/>
        </w:numPr>
      </w:pPr>
      <w:r>
        <w:rPr>
          <w:b/>
          <w:bCs/>
        </w:rPr>
        <w:t xml:space="preserve">Initiate re-sync (if directed by Identity Engineering):</w:t>
      </w:r>
      <w:r>
        <w:t xml:space="preserve"> </w:t>
      </w:r>
      <w:r>
        <w:t xml:space="preserve">On the Entra Connect</w:t>
      </w:r>
      <w:r>
        <w:t xml:space="preserve"> </w:t>
      </w:r>
      <w:r>
        <w:t xml:space="preserve">server (coordinated with on-premises AD team), run a delta sync:</w:t>
      </w:r>
      <w:r>
        <w:t xml:space="preserve"> </w:t>
      </w:r>
      <w:r>
        <w:t xml:space="preserve">Start-ADSyncSyncCycle -PolicyType Delta. Confirm the user object syncs</w:t>
      </w:r>
      <w:r>
        <w:t xml:space="preserve"> </w:t>
      </w:r>
      <w:r>
        <w:t xml:space="preserve">successfully in Entra Connect Health.</w:t>
      </w:r>
    </w:p>
    <w:p>
      <w:pPr>
        <w:pStyle w:val="Compact"/>
        <w:numPr>
          <w:ilvl w:val="0"/>
          <w:numId w:val="1196"/>
        </w:numPr>
      </w:pPr>
      <w:r>
        <w:rPr>
          <w:b/>
          <w:bCs/>
        </w:rPr>
        <w:t xml:space="preserve">Validate user account status:</w:t>
      </w:r>
      <w:r>
        <w:t xml:space="preserve"> </w:t>
      </w:r>
      <w:r>
        <w:t xml:space="preserve">In the Entra Portal, confirm the user account</w:t>
      </w:r>
      <w:r>
        <w:t xml:space="preserve"> </w:t>
      </w:r>
      <w:r>
        <w:t xml:space="preserve">is in a healthy sync state, UPN is correct, and no duplicate accounts exist.</w:t>
      </w:r>
    </w:p>
    <w:p>
      <w:pPr>
        <w:pStyle w:val="Compact"/>
        <w:numPr>
          <w:ilvl w:val="0"/>
          <w:numId w:val="1196"/>
        </w:numPr>
      </w:pPr>
      <w:r>
        <w:rPr>
          <w:b/>
          <w:bCs/>
        </w:rPr>
        <w:t xml:space="preserve">Document and resolve:</w:t>
      </w:r>
      <w:r>
        <w:t xml:space="preserve"> </w:t>
      </w:r>
      <w:r>
        <w:t xml:space="preserve">Enter full command output (sanitized of any</w:t>
      </w:r>
      <w:r>
        <w:t xml:space="preserve"> </w:t>
      </w:r>
      <w:r>
        <w:t xml:space="preserve">credentials) into the ServiceNow work notes. Deactivate PIM session. Resolve</w:t>
      </w:r>
      <w:r>
        <w:t xml:space="preserve"> </w:t>
      </w:r>
      <w:r>
        <w:t xml:space="preserve">RITM.</w:t>
      </w:r>
    </w:p>
    <w:bookmarkEnd w:id="427"/>
    <w:bookmarkStart w:id="428" w:name="sync-mismatch-identification-and-repair"/>
    <w:p>
      <w:pPr>
        <w:pStyle w:val="Heading3"/>
      </w:pPr>
      <w:r>
        <w:t xml:space="preserve">Sync mismatch identification and repair</w:t>
      </w:r>
    </w:p>
    <w:p>
      <w:pPr>
        <w:pStyle w:val="FirstParagraph"/>
      </w:pPr>
      <w:r>
        <w:t xml:space="preserve">When a user reports authentication failures or access loss that may be related to</w:t>
      </w:r>
      <w:r>
        <w:t xml:space="preserve"> </w:t>
      </w:r>
      <w:r>
        <w:t xml:space="preserve">hybrid identity, Help Desk should first check for sync mismatches before executing</w:t>
      </w:r>
      <w:r>
        <w:t xml:space="preserve"> </w:t>
      </w:r>
      <w:r>
        <w:t xml:space="preserve">any changes:</w:t>
      </w:r>
    </w:p>
    <w:p>
      <w:pPr>
        <w:pStyle w:val="Compact"/>
        <w:numPr>
          <w:ilvl w:val="0"/>
          <w:numId w:val="1197"/>
        </w:numPr>
      </w:pPr>
      <w:r>
        <w:t xml:space="preserve">In Entra Portal → Users → [User]: Check</w:t>
      </w:r>
      <w:r>
        <w:t xml:space="preserve"> </w:t>
      </w:r>
      <w:r>
        <w:t xml:space="preserve">“On-premises sync enabled”</w:t>
      </w:r>
      <w:r>
        <w:t xml:space="preserve"> </w:t>
      </w:r>
      <w:r>
        <w:t xml:space="preserve">status. If it</w:t>
      </w:r>
      <w:r>
        <w:t xml:space="preserve"> </w:t>
      </w:r>
      <w:r>
        <w:t xml:space="preserve">shows</w:t>
      </w:r>
      <w:r>
        <w:t xml:space="preserve"> </w:t>
      </w:r>
      <w:r>
        <w:t xml:space="preserve">“No”</w:t>
      </w:r>
      <w:r>
        <w:t xml:space="preserve"> </w:t>
      </w:r>
      <w:r>
        <w:t xml:space="preserve">for a user who should be hybrid-synced, a sync issue is present.</w:t>
      </w:r>
    </w:p>
    <w:p>
      <w:pPr>
        <w:pStyle w:val="Compact"/>
        <w:numPr>
          <w:ilvl w:val="0"/>
          <w:numId w:val="1197"/>
        </w:numPr>
      </w:pPr>
      <w:r>
        <w:t xml:space="preserve">Check</w:t>
      </w:r>
      <w:r>
        <w:t xml:space="preserve"> </w:t>
      </w:r>
      <w:r>
        <w:t xml:space="preserve">“Last sync time”</w:t>
      </w:r>
      <w:r>
        <w:t xml:space="preserve"> </w:t>
      </w:r>
      <w:r>
        <w:t xml:space="preserve">under the user’s On-Premises section. If sync is stale</w:t>
      </w:r>
      <w:r>
        <w:t xml:space="preserve"> </w:t>
      </w:r>
      <w:r>
        <w:t xml:space="preserve">(older than the Entra Connect sync cycle — typically 30 minutes), escalate to</w:t>
      </w:r>
      <w:r>
        <w:t xml:space="preserve"> </w:t>
      </w:r>
      <w:r>
        <w:t xml:space="preserve">Identity Engineering to check Entra Connect health.</w:t>
      </w:r>
    </w:p>
    <w:p>
      <w:pPr>
        <w:pStyle w:val="Compact"/>
        <w:numPr>
          <w:ilvl w:val="0"/>
          <w:numId w:val="1197"/>
        </w:numPr>
      </w:pPr>
      <w:r>
        <w:t xml:space="preserve">Check for duplicate user objects: Search Entra ID for the user’s display name and</w:t>
      </w:r>
      <w:r>
        <w:t xml:space="preserve"> </w:t>
      </w:r>
      <w:r>
        <w:t xml:space="preserve">confirm only one active object exists with the correct UPN.</w:t>
      </w:r>
    </w:p>
    <w:p>
      <w:pPr>
        <w:pStyle w:val="Compact"/>
        <w:numPr>
          <w:ilvl w:val="0"/>
          <w:numId w:val="1197"/>
        </w:numPr>
      </w:pPr>
      <w:r>
        <w:t xml:space="preserve">If duplicate objects are found, do not delete either object — escalate to</w:t>
      </w:r>
      <w:r>
        <w:t xml:space="preserve"> </w:t>
      </w:r>
      <w:r>
        <w:t xml:space="preserve">Identity Engineering immediately. Duplicate hybrid objects require careful merge</w:t>
      </w:r>
      <w:r>
        <w:t xml:space="preserve"> </w:t>
      </w:r>
      <w:r>
        <w:t xml:space="preserve">or clean-up procedures beyond Help Desk scope.</w:t>
      </w:r>
    </w:p>
    <w:bookmarkEnd w:id="428"/>
    <w:bookmarkStart w:id="429" w:name="entra-connect-health-checks"/>
    <w:p>
      <w:pPr>
        <w:pStyle w:val="Heading3"/>
      </w:pPr>
      <w:r>
        <w:t xml:space="preserve">Entra Connect health checks</w:t>
      </w:r>
    </w:p>
    <w:p>
      <w:pPr>
        <w:pStyle w:val="FirstParagraph"/>
      </w:pPr>
      <w:r>
        <w:t xml:space="preserve">Help Desk may perform read-only Entra Connect Health monitoring as a diagnostic</w:t>
      </w:r>
      <w:r>
        <w:t xml:space="preserve"> </w:t>
      </w:r>
      <w:r>
        <w:t xml:space="preserve">step. Navigate to Entra Portal → Entra Connect → Connect Health. Review sync</w:t>
      </w:r>
      <w:r>
        <w:t xml:space="preserve"> </w:t>
      </w:r>
      <w:r>
        <w:t xml:space="preserve">errors, agent status, and alert notifications. Help Desk</w:t>
      </w:r>
      <w:r>
        <w:t xml:space="preserve"> </w:t>
      </w:r>
      <w:r>
        <w:rPr>
          <w:b/>
          <w:bCs/>
        </w:rPr>
        <w:t xml:space="preserve">may not</w:t>
      </w:r>
      <w:r>
        <w:t xml:space="preserve"> </w:t>
      </w:r>
      <w:r>
        <w:t xml:space="preserve">modify Entra</w:t>
      </w:r>
      <w:r>
        <w:t xml:space="preserve"> </w:t>
      </w:r>
      <w:r>
        <w:t xml:space="preserve">Connect sync rules, connector configurations, or schedules. All modifications to</w:t>
      </w:r>
      <w:r>
        <w:t xml:space="preserve"> </w:t>
      </w:r>
      <w:r>
        <w:t xml:space="preserve">Entra Connect are reserved for Identity Engineering.</w:t>
      </w:r>
    </w:p>
    <w:bookmarkEnd w:id="429"/>
    <w:bookmarkStart w:id="430" w:name="Xbca496ec7612468cbfe13566fbc5e5abc7b3fbd"/>
    <w:p>
      <w:pPr>
        <w:pStyle w:val="Heading3"/>
      </w:pPr>
      <w:r>
        <w:t xml:space="preserve">Escalation to Tier 3 / Identity Engineering</w:t>
      </w:r>
    </w:p>
    <w:p>
      <w:pPr>
        <w:pStyle w:val="FirstParagraph"/>
      </w:pPr>
      <w:r>
        <w:t xml:space="preserve">The following conditions require immediate escalation to Identity Engineering and</w:t>
      </w:r>
      <w:r>
        <w:t xml:space="preserve"> </w:t>
      </w:r>
      <w:r>
        <w:t xml:space="preserve">suspension of Help Desk action:</w:t>
      </w:r>
    </w:p>
    <w:p>
      <w:pPr>
        <w:pStyle w:val="Compact"/>
        <w:numPr>
          <w:ilvl w:val="0"/>
          <w:numId w:val="1198"/>
        </w:numPr>
      </w:pPr>
      <w:r>
        <w:t xml:space="preserve">Duplicate user objects detected in Entra ID for a single on-premises account.</w:t>
      </w:r>
    </w:p>
    <w:p>
      <w:pPr>
        <w:pStyle w:val="Compact"/>
        <w:numPr>
          <w:ilvl w:val="0"/>
          <w:numId w:val="1198"/>
        </w:numPr>
      </w:pPr>
      <w:r>
        <w:t xml:space="preserve">ImmutableID value in the ticket does not match the current value in Entra ID.</w:t>
      </w:r>
    </w:p>
    <w:p>
      <w:pPr>
        <w:pStyle w:val="Compact"/>
        <w:numPr>
          <w:ilvl w:val="0"/>
          <w:numId w:val="1198"/>
        </w:numPr>
      </w:pPr>
      <w:r>
        <w:t xml:space="preserve">Entra Connect sync agent is in error state or not communicating.</w:t>
      </w:r>
    </w:p>
    <w:p>
      <w:pPr>
        <w:pStyle w:val="Compact"/>
        <w:numPr>
          <w:ilvl w:val="0"/>
          <w:numId w:val="1198"/>
        </w:numPr>
      </w:pPr>
      <w:r>
        <w:t xml:space="preserve">Password hash sync or pass-through authentication is failing tenant-wide.</w:t>
      </w:r>
    </w:p>
    <w:p>
      <w:pPr>
        <w:pStyle w:val="Compact"/>
        <w:numPr>
          <w:ilvl w:val="0"/>
          <w:numId w:val="1198"/>
        </w:numPr>
      </w:pPr>
      <w:r>
        <w:t xml:space="preserve">Any PowerShell command produces an error during an ImmutableID operation.</w:t>
      </w:r>
    </w:p>
    <w:p>
      <w:pPr>
        <w:pStyle w:val="Compact"/>
        <w:numPr>
          <w:ilvl w:val="0"/>
          <w:numId w:val="1198"/>
        </w:numPr>
      </w:pPr>
      <w:r>
        <w:t xml:space="preserve">User account does not recover to healthy sync state after ImmutableID reset and</w:t>
      </w:r>
      <w:r>
        <w:t xml:space="preserve"> </w:t>
      </w:r>
      <w:r>
        <w:t xml:space="preserve">delta sync.</w:t>
      </w:r>
    </w:p>
    <w:bookmarkEnd w:id="430"/>
    <w:bookmarkEnd w:id="431"/>
    <w:bookmarkStart w:id="440" w:name="X9f4500b4aa4b0f6a8ccccf689a80e62c2d08bae"/>
    <w:p>
      <w:pPr>
        <w:pStyle w:val="Heading2"/>
      </w:pPr>
      <w:r>
        <w:t xml:space="preserve">OneDrive sync issues — Help Desk triage and resolution guide</w:t>
      </w:r>
    </w:p>
    <w:bookmarkStart w:id="432" w:name="overview"/>
    <w:p>
      <w:pPr>
        <w:pStyle w:val="Heading3"/>
      </w:pPr>
      <w:r>
        <w:t xml:space="preserve">Overview</w:t>
      </w:r>
    </w:p>
    <w:p>
      <w:pPr>
        <w:pStyle w:val="FirstParagraph"/>
      </w:pPr>
      <w:r>
        <w:t xml:space="preserve">OneDrive sync failures frequently intersect with multiple layers of the identity</w:t>
      </w:r>
      <w:r>
        <w:t xml:space="preserve"> </w:t>
      </w:r>
      <w:r>
        <w:t xml:space="preserve">and device stack: Entra ID account status, license assignment, Conditional Access</w:t>
      </w:r>
      <w:r>
        <w:t xml:space="preserve"> </w:t>
      </w:r>
      <w:r>
        <w:t xml:space="preserve">policy enforcement, hybrid identity sync, device compliance, and OneDrive client</w:t>
      </w:r>
      <w:r>
        <w:t xml:space="preserve"> </w:t>
      </w:r>
      <w:r>
        <w:t xml:space="preserve">configuration. Help Desk is responsible for triaging all layers and resolving</w:t>
      </w:r>
      <w:r>
        <w:t xml:space="preserve"> </w:t>
      </w:r>
      <w:r>
        <w:t xml:space="preserve">those within its authority. Some root causes require PIM elevation; others are</w:t>
      </w:r>
      <w:r>
        <w:t xml:space="preserve"> </w:t>
      </w:r>
      <w:r>
        <w:t xml:space="preserve">pure client-side remediation. Conditional Access root causes must be escalated —</w:t>
      </w:r>
      <w:r>
        <w:t xml:space="preserve"> </w:t>
      </w:r>
      <w:r>
        <w:t xml:space="preserve">Help Desk may not modify CA policies.</w:t>
      </w:r>
    </w:p>
    <w:bookmarkEnd w:id="432"/>
    <w:bookmarkStart w:id="433" w:name="common-causes-reference-table"/>
    <w:p>
      <w:pPr>
        <w:pStyle w:val="Heading3"/>
      </w:pPr>
      <w:r>
        <w:t xml:space="preserve">Common causes reference table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Cause</w:t>
            </w:r>
          </w:p>
        </w:tc>
        <w:tc>
          <w:tcPr/>
          <w:p>
            <w:pPr>
              <w:pStyle w:val="Compact"/>
            </w:pPr>
            <w:r>
              <w:rPr>
                <w:b/>
                <w:bCs/>
              </w:rPr>
              <w:t xml:space="preserve">Category</w:t>
            </w:r>
          </w:p>
        </w:tc>
        <w:tc>
          <w:tcPr/>
          <w:p>
            <w:pPr>
              <w:pStyle w:val="Compact"/>
            </w:pPr>
            <w:r>
              <w:rPr>
                <w:b/>
                <w:bCs/>
              </w:rPr>
              <w:t xml:space="preserve">Help Desk can resolve?</w:t>
            </w:r>
          </w:p>
        </w:tc>
        <w:tc>
          <w:tcPr/>
          <w:p>
            <w:pPr>
              <w:pStyle w:val="Compact"/>
            </w:pPr>
            <w:r>
              <w:rPr>
                <w:b/>
                <w:bCs/>
              </w:rPr>
              <w:t xml:space="preserve">Notes</w:t>
            </w:r>
          </w:p>
        </w:tc>
      </w:tr>
      <w:tr>
        <w:tc>
          <w:tcPr/>
          <w:p>
            <w:pPr>
              <w:pStyle w:val="Compact"/>
            </w:pPr>
            <w:r>
              <w:t xml:space="preserve">Expired auth token / user not signed in to OneDrive client</w:t>
            </w:r>
          </w:p>
        </w:tc>
        <w:tc>
          <w:tcPr/>
          <w:p>
            <w:pPr>
              <w:pStyle w:val="Compact"/>
            </w:pPr>
            <w:r>
              <w:t xml:space="preserve">Identity</w:t>
            </w:r>
          </w:p>
        </w:tc>
        <w:tc>
          <w:tcPr/>
          <w:p>
            <w:pPr>
              <w:pStyle w:val="Compact"/>
            </w:pPr>
            <w:r>
              <w:rPr>
                <w:b/>
                <w:bCs/>
              </w:rPr>
              <w:t xml:space="preserve">Yes</w:t>
            </w:r>
            <w:r>
              <w:t xml:space="preserve"> </w:t>
            </w:r>
            <w:r>
              <w:t xml:space="preserve">— client-side</w:t>
            </w:r>
          </w:p>
        </w:tc>
        <w:tc>
          <w:tcPr/>
          <w:p>
            <w:pPr>
              <w:pStyle w:val="Compact"/>
            </w:pPr>
            <w:r>
              <w:t xml:space="preserve">Instruct user to sign out and back in. Most common cause.</w:t>
            </w:r>
          </w:p>
        </w:tc>
      </w:tr>
      <w:tr>
        <w:tc>
          <w:tcPr/>
          <w:p>
            <w:pPr>
              <w:pStyle w:val="Compact"/>
            </w:pPr>
            <w:r>
              <w:t xml:space="preserve">Account not licensed for OneDrive / SharePoint</w:t>
            </w:r>
          </w:p>
        </w:tc>
        <w:tc>
          <w:tcPr/>
          <w:p>
            <w:pPr>
              <w:pStyle w:val="Compact"/>
            </w:pPr>
            <w:r>
              <w:t xml:space="preserve">License</w:t>
            </w:r>
          </w:p>
        </w:tc>
        <w:tc>
          <w:tcPr/>
          <w:p>
            <w:pPr>
              <w:pStyle w:val="Compact"/>
            </w:pPr>
            <w:r>
              <w:rPr>
                <w:b/>
                <w:bCs/>
              </w:rPr>
              <w:t xml:space="preserve">Yes</w:t>
            </w:r>
            <w:r>
              <w:t xml:space="preserve"> </w:t>
            </w:r>
            <w:r>
              <w:t xml:space="preserve">— with User Admin role and Departmental Owner approval</w:t>
            </w:r>
          </w:p>
        </w:tc>
        <w:tc>
          <w:tcPr/>
          <w:p>
            <w:pPr>
              <w:pStyle w:val="Compact"/>
            </w:pPr>
            <w:r>
              <w:t xml:space="preserve">Requires SAM-originated RITM with approval before license assignment.</w:t>
            </w:r>
          </w:p>
        </w:tc>
      </w:tr>
      <w:tr>
        <w:tc>
          <w:tcPr/>
          <w:p>
            <w:pPr>
              <w:pStyle w:val="Compact"/>
            </w:pPr>
            <w:r>
              <w:t xml:space="preserve">Conditional Access policy blocking device or session</w:t>
            </w:r>
          </w:p>
        </w:tc>
        <w:tc>
          <w:tcPr/>
          <w:p>
            <w:pPr>
              <w:pStyle w:val="Compact"/>
            </w:pPr>
            <w:r>
              <w:t xml:space="preserve">Conditional Access</w:t>
            </w:r>
          </w:p>
        </w:tc>
        <w:tc>
          <w:tcPr/>
          <w:p>
            <w:pPr>
              <w:pStyle w:val="Compact"/>
            </w:pPr>
            <w:r>
              <w:rPr>
                <w:b/>
                <w:bCs/>
              </w:rPr>
              <w:t xml:space="preserve">No — Escalate</w:t>
            </w:r>
          </w:p>
        </w:tc>
        <w:tc>
          <w:tcPr/>
          <w:p>
            <w:pPr>
              <w:pStyle w:val="Compact"/>
            </w:pPr>
            <w:r>
              <w:t xml:space="preserve">Help Desk identifies CA as the cause. Escalates to Security Admin. Help Desk cannot modify CA policy.</w:t>
            </w:r>
          </w:p>
        </w:tc>
      </w:tr>
      <w:tr>
        <w:tc>
          <w:tcPr/>
          <w:p>
            <w:pPr>
              <w:pStyle w:val="Compact"/>
            </w:pPr>
            <w:r>
              <w:t xml:space="preserve">Device not Entra-joined or not registered</w:t>
            </w:r>
          </w:p>
        </w:tc>
        <w:tc>
          <w:tcPr/>
          <w:p>
            <w:pPr>
              <w:pStyle w:val="Compact"/>
            </w:pPr>
            <w:r>
              <w:t xml:space="preserve">Device Compliance</w:t>
            </w:r>
          </w:p>
        </w:tc>
        <w:tc>
          <w:tcPr/>
          <w:p>
            <w:pPr>
              <w:pStyle w:val="Compact"/>
            </w:pPr>
            <w:r>
              <w:rPr>
                <w:b/>
                <w:bCs/>
              </w:rPr>
              <w:t xml:space="preserve">Partial</w:t>
            </w:r>
            <w:r>
              <w:t xml:space="preserve"> </w:t>
            </w:r>
            <w:r>
              <w:t xml:space="preserve">— Help Desk checks; may escalate</w:t>
            </w:r>
          </w:p>
        </w:tc>
        <w:tc>
          <w:tcPr/>
          <w:p>
            <w:pPr>
              <w:pStyle w:val="Compact"/>
            </w:pPr>
            <w:r>
              <w:t xml:space="preserve">Help Desk can verify device join status and guide user through device re-registration where policy permits. Compliance remediation may escalate.</w:t>
            </w:r>
          </w:p>
        </w:tc>
      </w:tr>
      <w:tr>
        <w:tc>
          <w:tcPr/>
          <w:p>
            <w:pPr>
              <w:pStyle w:val="Compact"/>
            </w:pPr>
            <w:r>
              <w:t xml:space="preserve">Known Folder Move (KFM) conflict</w:t>
            </w:r>
          </w:p>
        </w:tc>
        <w:tc>
          <w:tcPr/>
          <w:p>
            <w:pPr>
              <w:pStyle w:val="Compact"/>
            </w:pPr>
            <w:r>
              <w:t xml:space="preserve">Client-side</w:t>
            </w:r>
          </w:p>
        </w:tc>
        <w:tc>
          <w:tcPr/>
          <w:p>
            <w:pPr>
              <w:pStyle w:val="Compact"/>
            </w:pPr>
            <w:r>
              <w:rPr>
                <w:b/>
                <w:bCs/>
              </w:rPr>
              <w:t xml:space="preserve">Yes</w:t>
            </w:r>
          </w:p>
        </w:tc>
        <w:tc>
          <w:tcPr/>
          <w:p>
            <w:pPr>
              <w:pStyle w:val="Compact"/>
            </w:pPr>
            <w:r>
              <w:t xml:space="preserve">Disable KFM, re-enable, or reset KFM policy in local OneDrive settings.</w:t>
            </w:r>
          </w:p>
        </w:tc>
      </w:tr>
      <w:tr>
        <w:tc>
          <w:tcPr/>
          <w:p>
            <w:pPr>
              <w:pStyle w:val="Compact"/>
            </w:pPr>
            <w:r>
              <w:t xml:space="preserve">File path too long (&gt;260 characters)</w:t>
            </w:r>
          </w:p>
        </w:tc>
        <w:tc>
          <w:tcPr/>
          <w:p>
            <w:pPr>
              <w:pStyle w:val="Compact"/>
            </w:pPr>
            <w:r>
              <w:t xml:space="preserve">Client-side</w:t>
            </w:r>
          </w:p>
        </w:tc>
        <w:tc>
          <w:tcPr/>
          <w:p>
            <w:pPr>
              <w:pStyle w:val="Compact"/>
            </w:pPr>
            <w:r>
              <w:rPr>
                <w:b/>
                <w:bCs/>
              </w:rPr>
              <w:t xml:space="preserve">Yes</w:t>
            </w:r>
          </w:p>
        </w:tc>
        <w:tc>
          <w:tcPr/>
          <w:p>
            <w:pPr>
              <w:pStyle w:val="Compact"/>
            </w:pPr>
            <w:r>
              <w:t xml:space="preserve">Instruct user to shorten file or folder names. Error code 0x8007005A.</w:t>
            </w:r>
          </w:p>
        </w:tc>
      </w:tr>
      <w:tr>
        <w:tc>
          <w:tcPr/>
          <w:p>
            <w:pPr>
              <w:pStyle w:val="Compact"/>
            </w:pPr>
            <w:r>
              <w:t xml:space="preserve">Corrupted OneDrive sync cache</w:t>
            </w:r>
          </w:p>
        </w:tc>
        <w:tc>
          <w:tcPr/>
          <w:p>
            <w:pPr>
              <w:pStyle w:val="Compact"/>
            </w:pPr>
            <w:r>
              <w:t xml:space="preserve">Client-side</w:t>
            </w:r>
          </w:p>
        </w:tc>
        <w:tc>
          <w:tcPr/>
          <w:p>
            <w:pPr>
              <w:pStyle w:val="Compact"/>
            </w:pPr>
            <w:r>
              <w:rPr>
                <w:b/>
                <w:bCs/>
              </w:rPr>
              <w:t xml:space="preserve">Yes</w:t>
            </w:r>
          </w:p>
        </w:tc>
        <w:tc>
          <w:tcPr/>
          <w:p>
            <w:pPr>
              <w:pStyle w:val="Compact"/>
            </w:pPr>
            <w:r>
              <w:t xml:space="preserve">Reset cache: %localappdata%</w:t>
            </w:r>
            <w:r>
              <w:t xml:space="preserve">.exe /reset</w:t>
            </w:r>
          </w:p>
        </w:tc>
      </w:tr>
      <w:tr>
        <w:tc>
          <w:tcPr/>
          <w:p>
            <w:pPr>
              <w:pStyle w:val="Compact"/>
            </w:pPr>
            <w:r>
              <w:t xml:space="preserve">SharePoint site quota exceeded</w:t>
            </w:r>
          </w:p>
        </w:tc>
        <w:tc>
          <w:tcPr/>
          <w:p>
            <w:pPr>
              <w:pStyle w:val="Compact"/>
            </w:pPr>
            <w:r>
              <w:t xml:space="preserve">Storage</w:t>
            </w:r>
          </w:p>
        </w:tc>
        <w:tc>
          <w:tcPr/>
          <w:p>
            <w:pPr>
              <w:pStyle w:val="Compact"/>
            </w:pPr>
            <w:r>
              <w:rPr>
                <w:b/>
                <w:bCs/>
              </w:rPr>
              <w:t xml:space="preserve">Yes</w:t>
            </w:r>
            <w:r>
              <w:t xml:space="preserve"> </w:t>
            </w:r>
            <w:r>
              <w:t xml:space="preserve">— notify site owner; may require SharePoint Admin for quota increase</w:t>
            </w:r>
          </w:p>
        </w:tc>
        <w:tc>
          <w:tcPr/>
          <w:p>
            <w:pPr>
              <w:pStyle w:val="Compact"/>
            </w:pPr>
            <w:r>
              <w:t xml:space="preserve">Help Desk identifies the site quota status in SharePoint Admin Center. Quota increase requires SharePoint Admin.</w:t>
            </w:r>
          </w:p>
        </w:tc>
      </w:tr>
      <w:tr>
        <w:tc>
          <w:tcPr/>
          <w:p>
            <w:pPr>
              <w:pStyle w:val="Compact"/>
            </w:pPr>
            <w:r>
              <w:t xml:space="preserve">UPN changed without re-sign-in to OneDrive client</w:t>
            </w:r>
          </w:p>
        </w:tc>
        <w:tc>
          <w:tcPr/>
          <w:p>
            <w:pPr>
              <w:pStyle w:val="Compact"/>
            </w:pPr>
            <w:r>
              <w:t xml:space="preserve">Identity</w:t>
            </w:r>
          </w:p>
        </w:tc>
        <w:tc>
          <w:tcPr/>
          <w:p>
            <w:pPr>
              <w:pStyle w:val="Compact"/>
            </w:pPr>
            <w:r>
              <w:rPr>
                <w:b/>
                <w:bCs/>
              </w:rPr>
              <w:t xml:space="preserve">Yes</w:t>
            </w:r>
          </w:p>
        </w:tc>
        <w:tc>
          <w:tcPr/>
          <w:p>
            <w:pPr>
              <w:pStyle w:val="Compact"/>
            </w:pPr>
            <w:r>
              <w:t xml:space="preserve">Expected behavior after UPN change. User must sign out and sign back in to OneDrive client. No Entra action needed.</w:t>
            </w:r>
          </w:p>
        </w:tc>
      </w:tr>
      <w:tr>
        <w:tc>
          <w:tcPr/>
          <w:p>
            <w:pPr>
              <w:pStyle w:val="Compact"/>
            </w:pPr>
            <w:r>
              <w:t xml:space="preserve">ImmutableID mismatch / duplicate cloud account</w:t>
            </w:r>
          </w:p>
        </w:tc>
        <w:tc>
          <w:tcPr/>
          <w:p>
            <w:pPr>
              <w:pStyle w:val="Compact"/>
            </w:pPr>
            <w:r>
              <w:t xml:space="preserve">Hybrid Identity</w:t>
            </w:r>
          </w:p>
        </w:tc>
        <w:tc>
          <w:tcPr/>
          <w:p>
            <w:pPr>
              <w:pStyle w:val="Compact"/>
            </w:pPr>
            <w:r>
              <w:rPr>
                <w:b/>
                <w:bCs/>
              </w:rPr>
              <w:t xml:space="preserve">Yes</w:t>
            </w:r>
            <w:r>
              <w:t xml:space="preserve"> </w:t>
            </w:r>
            <w:r>
              <w:t xml:space="preserve">— with Hybrid Identity Administrator and full approval</w:t>
            </w:r>
          </w:p>
        </w:tc>
        <w:tc>
          <w:tcPr/>
          <w:p>
            <w:pPr>
              <w:pStyle w:val="Compact"/>
            </w:pPr>
            <w:r>
              <w:t xml:space="preserve">Follow the full procedure in the Hybrid identity operations section. Requires Identity Engineering Lead + IGO approval.</w:t>
            </w:r>
          </w:p>
        </w:tc>
      </w:tr>
      <w:tr>
        <w:tc>
          <w:tcPr/>
          <w:p>
            <w:pPr>
              <w:pStyle w:val="Compact"/>
            </w:pPr>
            <w:r>
              <w:t xml:space="preserve">OneDrive provisioning not completed after licensing</w:t>
            </w:r>
          </w:p>
        </w:tc>
        <w:tc>
          <w:tcPr/>
          <w:p>
            <w:pPr>
              <w:pStyle w:val="Compact"/>
            </w:pPr>
            <w:r>
              <w:t xml:space="preserve">Provisioning</w:t>
            </w:r>
          </w:p>
        </w:tc>
        <w:tc>
          <w:tcPr/>
          <w:p>
            <w:pPr>
              <w:pStyle w:val="Compact"/>
            </w:pPr>
            <w:r>
              <w:rPr>
                <w:b/>
                <w:bCs/>
              </w:rPr>
              <w:t xml:space="preserve">Yes</w:t>
            </w:r>
            <w:r>
              <w:t xml:space="preserve"> </w:t>
            </w:r>
            <w:r>
              <w:t xml:space="preserve">— trigger via M365 Admin Center</w:t>
            </w:r>
          </w:p>
        </w:tc>
        <w:tc>
          <w:tcPr/>
          <w:p>
            <w:pPr>
              <w:pStyle w:val="Compact"/>
            </w:pPr>
            <w:r>
              <w:t xml:space="preserve">Navigate to M365 Admin Center → Users → [User] → OneDrive tab → Trigger provisioning.</w:t>
            </w:r>
          </w:p>
        </w:tc>
      </w:tr>
      <w:tr>
        <w:tc>
          <w:tcPr/>
          <w:p>
            <w:pPr>
              <w:pStyle w:val="Compact"/>
            </w:pPr>
            <w:r>
              <w:t xml:space="preserve">MFA prompt loop / modern authentication failure</w:t>
            </w:r>
          </w:p>
        </w:tc>
        <w:tc>
          <w:tcPr/>
          <w:p>
            <w:pPr>
              <w:pStyle w:val="Compact"/>
            </w:pPr>
            <w:r>
              <w:t xml:space="preserve">Identity</w:t>
            </w:r>
          </w:p>
        </w:tc>
        <w:tc>
          <w:tcPr/>
          <w:p>
            <w:pPr>
              <w:pStyle w:val="Compact"/>
            </w:pPr>
            <w:r>
              <w:rPr>
                <w:b/>
                <w:bCs/>
              </w:rPr>
              <w:t xml:space="preserve">Yes</w:t>
            </w:r>
            <w:r>
              <w:t xml:space="preserve"> </w:t>
            </w:r>
            <w:r>
              <w:t xml:space="preserve">— with Authentication Administrator role if method reset needed</w:t>
            </w:r>
          </w:p>
        </w:tc>
        <w:tc>
          <w:tcPr/>
          <w:p>
            <w:pPr>
              <w:pStyle w:val="Compact"/>
            </w:pPr>
            <w:r>
              <w:t xml:space="preserve">First attempt sign-out/sign-in. If auth method is broken, reset via Entra Auth Methods with PIM elevation.</w:t>
            </w:r>
          </w:p>
        </w:tc>
      </w:tr>
      <w:tr>
        <w:tc>
          <w:tcPr/>
          <w:p>
            <w:pPr>
              <w:pStyle w:val="Compact"/>
            </w:pPr>
            <w:r>
              <w:t xml:space="preserve">Blocked file types (SharePoint policy)</w:t>
            </w:r>
          </w:p>
        </w:tc>
        <w:tc>
          <w:tcPr/>
          <w:p>
            <w:pPr>
              <w:pStyle w:val="Compact"/>
            </w:pPr>
            <w:r>
              <w:t xml:space="preserve">Policy</w:t>
            </w:r>
          </w:p>
        </w:tc>
        <w:tc>
          <w:tcPr/>
          <w:p>
            <w:pPr>
              <w:pStyle w:val="Compact"/>
            </w:pPr>
            <w:r>
              <w:rPr>
                <w:b/>
                <w:bCs/>
              </w:rPr>
              <w:t xml:space="preserve">Partial</w:t>
            </w:r>
            <w:r>
              <w:t xml:space="preserve"> </w:t>
            </w:r>
            <w:r>
              <w:t xml:space="preserve">— Help Desk identifies; policy change escalates to SharePoint Admin</w:t>
            </w:r>
          </w:p>
        </w:tc>
        <w:tc>
          <w:tcPr/>
          <w:p>
            <w:pPr>
              <w:pStyle w:val="Compact"/>
            </w:pPr>
            <w:r>
              <w:t xml:space="preserve">Check SharePoint Admin Center → Settings → Blocked file types. Help Desk cannot modify the blocked list.</w:t>
            </w:r>
          </w:p>
        </w:tc>
      </w:tr>
    </w:tbl>
    <w:bookmarkEnd w:id="433"/>
    <w:bookmarkStart w:id="434" w:name="step-by-step-triage-workflow"/>
    <w:p>
      <w:pPr>
        <w:pStyle w:val="Heading3"/>
      </w:pPr>
      <w:r>
        <w:t xml:space="preserve">Step-by-step triage workflow</w:t>
      </w:r>
    </w:p>
    <w:p>
      <w:pPr>
        <w:pStyle w:val="Compact"/>
        <w:numPr>
          <w:ilvl w:val="0"/>
          <w:numId w:val="1199"/>
        </w:numPr>
      </w:pPr>
      <w:r>
        <w:rPr>
          <w:b/>
          <w:bCs/>
        </w:rPr>
        <w:t xml:space="preserve">Gather information from user.</w:t>
      </w:r>
      <w:r>
        <w:t xml:space="preserve"> </w:t>
      </w:r>
      <w:r>
        <w:t xml:space="preserve">Collect: When did sync stop? What changed</w:t>
      </w:r>
      <w:r>
        <w:t xml:space="preserve"> </w:t>
      </w:r>
      <w:r>
        <w:t xml:space="preserve">recently (password reset, new device, UPN change, relocation to new site)? What</w:t>
      </w:r>
      <w:r>
        <w:t xml:space="preserve"> </w:t>
      </w:r>
      <w:r>
        <w:t xml:space="preserve">is the exact error message or error code displayed? Is the issue on a specific</w:t>
      </w:r>
      <w:r>
        <w:t xml:space="preserve"> </w:t>
      </w:r>
      <w:r>
        <w:t xml:space="preserve">device or all devices? Is it affecting one OneDrive account or also SharePoint</w:t>
      </w:r>
      <w:r>
        <w:t xml:space="preserve"> </w:t>
      </w:r>
      <w:r>
        <w:t xml:space="preserve">sites? Is the user fully or partially licensed?</w:t>
      </w:r>
    </w:p>
    <w:p>
      <w:pPr>
        <w:pStyle w:val="Compact"/>
        <w:numPr>
          <w:ilvl w:val="0"/>
          <w:numId w:val="1199"/>
        </w:numPr>
      </w:pPr>
      <w:r>
        <w:rPr>
          <w:b/>
          <w:bCs/>
        </w:rPr>
        <w:t xml:space="preserve">Check Entra ID account status.</w:t>
      </w:r>
      <w:r>
        <w:t xml:space="preserve"> </w:t>
      </w:r>
      <w:r>
        <w:t xml:space="preserve">In Entra Portal, navigate to Users → [User].</w:t>
      </w:r>
      <w:r>
        <w:t xml:space="preserve"> </w:t>
      </w:r>
      <w:r>
        <w:t xml:space="preserve">Confirm: Account is Enabled (not blocked). UPN is correct and matches what the</w:t>
      </w:r>
      <w:r>
        <w:t xml:space="preserve"> </w:t>
      </w:r>
      <w:r>
        <w:t xml:space="preserve">user is signing in with. License is assigned and includes SharePoint/OneDrive.</w:t>
      </w:r>
      <w:r>
        <w:t xml:space="preserve"> </w:t>
      </w:r>
      <w:r>
        <w:t xml:space="preserve">“On-premises sync enabled”</w:t>
      </w:r>
      <w:r>
        <w:t xml:space="preserve"> </w:t>
      </w:r>
      <w:r>
        <w:t xml:space="preserve">status is correct for the user type.</w:t>
      </w:r>
    </w:p>
    <w:p>
      <w:pPr>
        <w:pStyle w:val="Compact"/>
        <w:numPr>
          <w:ilvl w:val="0"/>
          <w:numId w:val="1199"/>
        </w:numPr>
      </w:pPr>
      <w:r>
        <w:rPr>
          <w:b/>
          <w:bCs/>
        </w:rPr>
        <w:t xml:space="preserve">Check for Conditional Access blocks in sign-in logs (PIM elevation</w:t>
      </w:r>
      <w:r>
        <w:rPr>
          <w:b/>
          <w:bCs/>
        </w:rPr>
        <w:t xml:space="preserve"> </w:t>
      </w:r>
      <w:r>
        <w:rPr>
          <w:b/>
          <w:bCs/>
        </w:rPr>
        <w:t xml:space="preserve">required).</w:t>
      </w:r>
      <w:r>
        <w:t xml:space="preserve"> </w:t>
      </w:r>
      <w:r>
        <w:t xml:space="preserve">Activate Application Administrator via PIM if not already active.</w:t>
      </w:r>
      <w:r>
        <w:t xml:space="preserve"> </w:t>
      </w:r>
      <w:r>
        <w:t xml:space="preserve">Navigate to Entra Portal → Monitoring → Sign-in Logs. Filter by the user’s UPN</w:t>
      </w:r>
      <w:r>
        <w:t xml:space="preserve"> </w:t>
      </w:r>
      <w:r>
        <w:t xml:space="preserve">and the OneDrive or SharePoint application. Look for sign-in events with Status</w:t>
      </w:r>
      <w:r>
        <w:t xml:space="preserve"> </w:t>
      </w:r>
      <w:r>
        <w:t xml:space="preserve">“Failure”</w:t>
      </w:r>
      <w:r>
        <w:t xml:space="preserve"> </w:t>
      </w:r>
      <w:r>
        <w:t xml:space="preserve">and check the Conditional Access tab within the event. If a CA policy</w:t>
      </w:r>
      <w:r>
        <w:t xml:space="preserve"> </w:t>
      </w:r>
      <w:r>
        <w:t xml:space="preserve">shows</w:t>
      </w:r>
      <w:r>
        <w:t xml:space="preserve"> </w:t>
      </w:r>
      <w:r>
        <w:t xml:space="preserve">“Failed,”</w:t>
      </w:r>
      <w:r>
        <w:t xml:space="preserve"> </w:t>
      </w:r>
      <w:r>
        <w:t xml:space="preserve">that CA policy is the root cause — document and escalate. Do not</w:t>
      </w:r>
      <w:r>
        <w:t xml:space="preserve"> </w:t>
      </w:r>
      <w:r>
        <w:t xml:space="preserve">modify CA policy.</w:t>
      </w:r>
    </w:p>
    <w:p>
      <w:pPr>
        <w:pStyle w:val="Compact"/>
        <w:numPr>
          <w:ilvl w:val="0"/>
          <w:numId w:val="1199"/>
        </w:numPr>
      </w:pPr>
      <w:r>
        <w:rPr>
          <w:b/>
          <w:bCs/>
        </w:rPr>
        <w:t xml:space="preserve">Check device compliance status.</w:t>
      </w:r>
      <w:r>
        <w:t xml:space="preserve"> </w:t>
      </w:r>
      <w:r>
        <w:t xml:space="preserve">In Entra Portal → Devices, search for the</w:t>
      </w:r>
      <w:r>
        <w:t xml:space="preserve"> </w:t>
      </w:r>
      <w:r>
        <w:t xml:space="preserve">user’s device by name or device ID. Confirm: Device is Entra Joined or</w:t>
      </w:r>
      <w:r>
        <w:t xml:space="preserve"> </w:t>
      </w:r>
      <w:r>
        <w:t xml:space="preserve">Registered. Compliance state is</w:t>
      </w:r>
      <w:r>
        <w:t xml:space="preserve"> </w:t>
      </w:r>
      <w:r>
        <w:t xml:space="preserve">“Compliant.”</w:t>
      </w:r>
      <w:r>
        <w:t xml:space="preserve"> </w:t>
      </w:r>
      <w:r>
        <w:t xml:space="preserve">MDM enrollment is present. If the</w:t>
      </w:r>
      <w:r>
        <w:t xml:space="preserve"> </w:t>
      </w:r>
      <w:r>
        <w:t xml:space="preserve">device is non-compliant or not registered, guide the user through re-enrollment</w:t>
      </w:r>
      <w:r>
        <w:t xml:space="preserve"> </w:t>
      </w:r>
      <w:r>
        <w:t xml:space="preserve">where policy permits, or escalate to device management team.</w:t>
      </w:r>
    </w:p>
    <w:p>
      <w:pPr>
        <w:pStyle w:val="Compact"/>
        <w:numPr>
          <w:ilvl w:val="0"/>
          <w:numId w:val="1199"/>
        </w:numPr>
      </w:pPr>
      <w:r>
        <w:rPr>
          <w:b/>
          <w:bCs/>
        </w:rPr>
        <w:t xml:space="preserve">Check OneDrive provisioning status.</w:t>
      </w:r>
      <w:r>
        <w:t xml:space="preserve"> </w:t>
      </w:r>
      <w:r>
        <w:t xml:space="preserve">Navigate to M365 Admin Center → Users →</w:t>
      </w:r>
      <w:r>
        <w:t xml:space="preserve"> </w:t>
      </w:r>
      <w:r>
        <w:t xml:space="preserve">Active Users → [User] → OneDrive tab. Confirm OneDrive provisioning has</w:t>
      </w:r>
      <w:r>
        <w:t xml:space="preserve"> </w:t>
      </w:r>
      <w:r>
        <w:t xml:space="preserve">completed. If provisioning is not initiated, click</w:t>
      </w:r>
      <w:r>
        <w:t xml:space="preserve"> </w:t>
      </w:r>
      <w:r>
        <w:t xml:space="preserve">“Create OneDrive”</w:t>
      </w:r>
      <w:r>
        <w:t xml:space="preserve"> </w:t>
      </w:r>
      <w:r>
        <w:t xml:space="preserve">or</w:t>
      </w:r>
      <w:r>
        <w:t xml:space="preserve"> </w:t>
      </w:r>
      <w:r>
        <w:t xml:space="preserve">“Trigger</w:t>
      </w:r>
      <w:r>
        <w:t xml:space="preserve"> </w:t>
      </w:r>
      <w:r>
        <w:t xml:space="preserve">provisioning.”</w:t>
      </w:r>
      <w:r>
        <w:t xml:space="preserve"> </w:t>
      </w:r>
      <w:r>
        <w:t xml:space="preserve">This action requires a SAM-originated RITM with Departmental</w:t>
      </w:r>
      <w:r>
        <w:t xml:space="preserve"> </w:t>
      </w:r>
      <w:r>
        <w:t xml:space="preserve">Owner approval in the ServiceNow ticket before proceeding.</w:t>
      </w:r>
    </w:p>
    <w:p>
      <w:pPr>
        <w:pStyle w:val="Compact"/>
        <w:numPr>
          <w:ilvl w:val="0"/>
          <w:numId w:val="1199"/>
        </w:numPr>
      </w:pPr>
      <w:r>
        <w:rPr>
          <w:b/>
          <w:bCs/>
        </w:rPr>
        <w:t xml:space="preserve">Check for ImmutableID / hybrid identity issues.</w:t>
      </w:r>
      <w:r>
        <w:t xml:space="preserve"> </w:t>
      </w:r>
      <w:r>
        <w:t xml:space="preserve">If the user is a</w:t>
      </w:r>
      <w:r>
        <w:t xml:space="preserve"> </w:t>
      </w:r>
      <w:r>
        <w:t xml:space="preserve">hybrid-synced account and Steps 2–5 did not identify the cause, check Entra</w:t>
      </w:r>
      <w:r>
        <w:t xml:space="preserve"> </w:t>
      </w:r>
      <w:r>
        <w:t xml:space="preserve">Connect Health for the user’s sync object status. If an ImmutableID mismatch or</w:t>
      </w:r>
      <w:r>
        <w:t xml:space="preserve"> </w:t>
      </w:r>
      <w:r>
        <w:t xml:space="preserve">duplicate object is found, escalate to Identity Engineering. Follow the Hybrid</w:t>
      </w:r>
      <w:r>
        <w:t xml:space="preserve"> </w:t>
      </w:r>
      <w:r>
        <w:t xml:space="preserve">identity operations procedure if full approval is obtained.</w:t>
      </w:r>
    </w:p>
    <w:p>
      <w:pPr>
        <w:pStyle w:val="Compact"/>
        <w:numPr>
          <w:ilvl w:val="0"/>
          <w:numId w:val="1199"/>
        </w:numPr>
      </w:pPr>
      <w:r>
        <w:rPr>
          <w:b/>
          <w:bCs/>
        </w:rPr>
        <w:t xml:space="preserve">Client-side remediation.</w:t>
      </w:r>
      <w:r>
        <w:t xml:space="preserve"> </w:t>
      </w:r>
      <w:r>
        <w:t xml:space="preserve">If the root cause is client-side (expired token,</w:t>
      </w:r>
      <w:r>
        <w:t xml:space="preserve"> </w:t>
      </w:r>
      <w:r>
        <w:t xml:space="preserve">cache corruption, file path, KFM conflict): (a) Instruct user to sign out of</w:t>
      </w:r>
      <w:r>
        <w:t xml:space="preserve"> </w:t>
      </w:r>
      <w:r>
        <w:t xml:space="preserve">OneDrive client and sign back in with correct credentials. (b) If that fails,</w:t>
      </w:r>
      <w:r>
        <w:t xml:space="preserve"> </w:t>
      </w:r>
      <w:r>
        <w:t xml:space="preserve">run: %localappdata%</w:t>
      </w:r>
      <w:r>
        <w:t xml:space="preserve">.exe /reset from Windows Run</w:t>
      </w:r>
      <w:r>
        <w:t xml:space="preserve"> </w:t>
      </w:r>
      <w:r>
        <w:t xml:space="preserve">dialog. (c) If that fails, clear OneDrive cache: delete contents of</w:t>
      </w:r>
      <w:r>
        <w:t xml:space="preserve"> </w:t>
      </w:r>
      <w:r>
        <w:t xml:space="preserve">%localappdata%</w:t>
      </w:r>
      <w:r>
        <w:t xml:space="preserve">. (d) If sync still fails, uninstall</w:t>
      </w:r>
      <w:r>
        <w:t xml:space="preserve"> </w:t>
      </w:r>
      <w:r>
        <w:t xml:space="preserve">and reinstall the OneDrive client. (e) Re-open OneDrive and sign in.</w:t>
      </w:r>
    </w:p>
    <w:p>
      <w:pPr>
        <w:pStyle w:val="Compact"/>
        <w:numPr>
          <w:ilvl w:val="0"/>
          <w:numId w:val="1199"/>
        </w:numPr>
      </w:pPr>
      <w:r>
        <w:rPr>
          <w:b/>
          <w:bCs/>
        </w:rPr>
        <w:t xml:space="preserve">Document and resolve in ServiceNow.</w:t>
      </w:r>
      <w:r>
        <w:t xml:space="preserve"> </w:t>
      </w:r>
      <w:r>
        <w:t xml:space="preserve">Enter full triage findings, each step</w:t>
      </w:r>
      <w:r>
        <w:t xml:space="preserve"> </w:t>
      </w:r>
      <w:r>
        <w:t xml:space="preserve">performed, results, and final resolution method in the ServiceNow ticket work</w:t>
      </w:r>
      <w:r>
        <w:t xml:space="preserve"> </w:t>
      </w:r>
      <w:r>
        <w:t xml:space="preserve">notes. If the issue was fully resolved, set to</w:t>
      </w:r>
      <w:r>
        <w:t xml:space="preserve"> </w:t>
      </w:r>
      <w:r>
        <w:t xml:space="preserve">“Resolved.”</w:t>
      </w:r>
      <w:r>
        <w:t xml:space="preserve"> </w:t>
      </w:r>
      <w:r>
        <w:t xml:space="preserve">If escalated, set to</w:t>
      </w:r>
      <w:r>
        <w:t xml:space="preserve"> </w:t>
      </w:r>
      <w:r>
        <w:t xml:space="preserve">“Pending”</w:t>
      </w:r>
      <w:r>
        <w:t xml:space="preserve"> </w:t>
      </w:r>
      <w:r>
        <w:t xml:space="preserve">with escalation details. Deactivate any active PIM sessions.</w:t>
      </w:r>
    </w:p>
    <w:bookmarkEnd w:id="434"/>
    <w:bookmarkStart w:id="435" w:name="X82ac3bac72c1872c5edb17c6366e2af313d5803"/>
    <w:p>
      <w:pPr>
        <w:pStyle w:val="Heading3"/>
      </w:pPr>
      <w:r>
        <w:t xml:space="preserve">Entra-specific resolution actions (PIM required)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Action</w:t>
            </w:r>
          </w:p>
        </w:tc>
        <w:tc>
          <w:tcPr/>
          <w:p>
            <w:pPr>
              <w:pStyle w:val="Compact"/>
            </w:pPr>
            <w:r>
              <w:rPr>
                <w:b/>
                <w:bCs/>
              </w:rPr>
              <w:t xml:space="preserve">Required role</w:t>
            </w:r>
          </w:p>
        </w:tc>
        <w:tc>
          <w:tcPr/>
          <w:p>
            <w:pPr>
              <w:pStyle w:val="Compact"/>
            </w:pPr>
            <w:r>
              <w:rPr>
                <w:b/>
                <w:bCs/>
              </w:rPr>
              <w:t xml:space="preserve">PIM required</w:t>
            </w:r>
          </w:p>
        </w:tc>
        <w:tc>
          <w:tcPr/>
          <w:p>
            <w:pPr>
              <w:pStyle w:val="Compact"/>
            </w:pPr>
            <w:r>
              <w:rPr>
                <w:b/>
                <w:bCs/>
              </w:rPr>
              <w:t xml:space="preserve">Steps</w:t>
            </w:r>
          </w:p>
        </w:tc>
      </w:tr>
      <w:tr>
        <w:tc>
          <w:tcPr/>
          <w:p>
            <w:pPr>
              <w:pStyle w:val="Compact"/>
            </w:pPr>
            <w:r>
              <w:t xml:space="preserve">Check sign-in logs for OneDrive app</w:t>
            </w:r>
          </w:p>
        </w:tc>
        <w:tc>
          <w:tcPr/>
          <w:p>
            <w:pPr>
              <w:pStyle w:val="Compact"/>
            </w:pPr>
            <w:r>
              <w:t xml:space="preserve">Application Administrator</w:t>
            </w:r>
          </w:p>
        </w:tc>
        <w:tc>
          <w:tcPr/>
          <w:p>
            <w:pPr>
              <w:pStyle w:val="Compact"/>
            </w:pPr>
            <w:r>
              <w:t xml:space="preserve">Yes</w:t>
            </w:r>
          </w:p>
        </w:tc>
        <w:tc>
          <w:tcPr/>
          <w:p>
            <w:pPr>
              <w:pStyle w:val="Compact"/>
            </w:pPr>
            <w:r>
              <w:t xml:space="preserve">Entra Portal → Monitoring → Sign-in Logs → filter by user and OneDrive app</w:t>
            </w:r>
          </w:p>
        </w:tc>
      </w:tr>
      <w:tr>
        <w:tc>
          <w:tcPr/>
          <w:p>
            <w:pPr>
              <w:pStyle w:val="Compact"/>
            </w:pPr>
            <w:r>
              <w:t xml:space="preserve">Confirm or assign OneDrive license</w:t>
            </w:r>
          </w:p>
        </w:tc>
        <w:tc>
          <w:tcPr/>
          <w:p>
            <w:pPr>
              <w:pStyle w:val="Compact"/>
            </w:pPr>
            <w:r>
              <w:t xml:space="preserve">User Administrator</w:t>
            </w:r>
          </w:p>
        </w:tc>
        <w:tc>
          <w:tcPr/>
          <w:p>
            <w:pPr>
              <w:pStyle w:val="Compact"/>
            </w:pPr>
            <w:r>
              <w:t xml:space="preserve">Yes</w:t>
            </w:r>
          </w:p>
        </w:tc>
        <w:tc>
          <w:tcPr/>
          <w:p>
            <w:pPr>
              <w:pStyle w:val="Compact"/>
            </w:pPr>
            <w:r>
              <w:t xml:space="preserve">Entra Portal → Users → [User] → Licenses → Assign; requires RITM + Departmental Owner approval</w:t>
            </w:r>
          </w:p>
        </w:tc>
      </w:tr>
      <w:tr>
        <w:tc>
          <w:tcPr/>
          <w:p>
            <w:pPr>
              <w:pStyle w:val="Compact"/>
            </w:pPr>
            <w:r>
              <w:t xml:space="preserve">Trigger OneDrive provisioning</w:t>
            </w:r>
          </w:p>
        </w:tc>
        <w:tc>
          <w:tcPr/>
          <w:p>
            <w:pPr>
              <w:pStyle w:val="Compact"/>
            </w:pPr>
            <w:r>
              <w:t xml:space="preserve">M365 Global Reader or Admin</w:t>
            </w:r>
          </w:p>
        </w:tc>
        <w:tc>
          <w:tcPr/>
          <w:p>
            <w:pPr>
              <w:pStyle w:val="Compact"/>
            </w:pPr>
            <w:r>
              <w:t xml:space="preserve">No (M365 Admin Center action)</w:t>
            </w:r>
          </w:p>
        </w:tc>
        <w:tc>
          <w:tcPr/>
          <w:p>
            <w:pPr>
              <w:pStyle w:val="Compact"/>
            </w:pPr>
            <w:r>
              <w:t xml:space="preserve">M365 Admin Center → Users → [User] → OneDrive tab → Create OneDrive; requires RITM + Departmental Owner approval</w:t>
            </w:r>
          </w:p>
        </w:tc>
      </w:tr>
      <w:tr>
        <w:tc>
          <w:tcPr/>
          <w:p>
            <w:pPr>
              <w:pStyle w:val="Compact"/>
            </w:pPr>
            <w:r>
              <w:t xml:space="preserve">Reset MFA blocking authentication</w:t>
            </w:r>
          </w:p>
        </w:tc>
        <w:tc>
          <w:tcPr/>
          <w:p>
            <w:pPr>
              <w:pStyle w:val="Compact"/>
            </w:pPr>
            <w:r>
              <w:t xml:space="preserve">Authentication Administrator</w:t>
            </w:r>
          </w:p>
        </w:tc>
        <w:tc>
          <w:tcPr/>
          <w:p>
            <w:pPr>
              <w:pStyle w:val="Compact"/>
            </w:pPr>
            <w:r>
              <w:t xml:space="preserve">Yes</w:t>
            </w:r>
          </w:p>
        </w:tc>
        <w:tc>
          <w:tcPr/>
          <w:p>
            <w:pPr>
              <w:pStyle w:val="Compact"/>
            </w:pPr>
            <w:r>
              <w:t xml:space="preserve">Entra Portal → Users → [User] → Authentication Methods → Delete broken method; requires Help Desk Supervisor approval</w:t>
            </w:r>
          </w:p>
        </w:tc>
      </w:tr>
      <w:tr>
        <w:tc>
          <w:tcPr/>
          <w:p>
            <w:pPr>
              <w:pStyle w:val="Compact"/>
            </w:pPr>
            <w:r>
              <w:t xml:space="preserve">Check and repair ImmutableID</w:t>
            </w:r>
          </w:p>
        </w:tc>
        <w:tc>
          <w:tcPr/>
          <w:p>
            <w:pPr>
              <w:pStyle w:val="Compact"/>
            </w:pPr>
            <w:r>
              <w:t xml:space="preserve">Hybrid Identity Administrator</w:t>
            </w:r>
          </w:p>
        </w:tc>
        <w:tc>
          <w:tcPr/>
          <w:p>
            <w:pPr>
              <w:pStyle w:val="Compact"/>
            </w:pPr>
            <w:r>
              <w:t xml:space="preserve">Yes</w:t>
            </w:r>
          </w:p>
        </w:tc>
        <w:tc>
          <w:tcPr/>
          <w:p>
            <w:pPr>
              <w:pStyle w:val="Compact"/>
            </w:pPr>
            <w:r>
              <w:t xml:space="preserve">PowerShell — see the Hybrid identity operations section; requires Identity Engineering Lead + IGO approval</w:t>
            </w:r>
          </w:p>
        </w:tc>
      </w:tr>
    </w:tbl>
    <w:bookmarkEnd w:id="435"/>
    <w:bookmarkStart w:id="439" w:name="X30919aa66658132a0c2c78f81c6e47aa18e2fef"/>
    <w:p>
      <w:pPr>
        <w:pStyle w:val="Heading3"/>
      </w:pPr>
      <w:r>
        <w:t xml:space="preserve">ServiceNow auto-routing and approval workflow for OneDrive sync issues</w:t>
      </w:r>
    </w:p>
    <w:bookmarkStart w:id="436" w:name="auto-routing-trigger-mechanisms"/>
    <w:p>
      <w:pPr>
        <w:pStyle w:val="Heading4"/>
      </w:pPr>
      <w:r>
        <w:t xml:space="preserve">Auto-routing trigger mechanisms</w:t>
      </w:r>
    </w:p>
    <w:p>
      <w:pPr>
        <w:pStyle w:val="Compact"/>
        <w:numPr>
          <w:ilvl w:val="0"/>
          <w:numId w:val="1200"/>
        </w:numPr>
      </w:pPr>
      <w:r>
        <w:rPr>
          <w:b/>
          <w:bCs/>
        </w:rPr>
        <w:t xml:space="preserve">User Self-Service:</w:t>
      </w:r>
      <w:r>
        <w:t xml:space="preserve"> </w:t>
      </w:r>
      <w:r>
        <w:t xml:space="preserve">User submits ServiceNow catalog item</w:t>
      </w:r>
      <w:r>
        <w:t xml:space="preserve"> </w:t>
      </w:r>
      <w:r>
        <w:t xml:space="preserve">“OneDrive Sync</w:t>
      </w:r>
      <w:r>
        <w:t xml:space="preserve"> </w:t>
      </w:r>
      <w:r>
        <w:t xml:space="preserve">Issue.”</w:t>
      </w:r>
      <w:r>
        <w:t xml:space="preserve"> </w:t>
      </w:r>
      <w:r>
        <w:t xml:space="preserve">Ticket is automatically assigned to the Help Desk tier queue. No</w:t>
      </w:r>
      <w:r>
        <w:t xml:space="preserve"> </w:t>
      </w:r>
      <w:r>
        <w:t xml:space="preserve">pre-approval required to begin triage. Entra-level actions require approval</w:t>
      </w:r>
      <w:r>
        <w:t xml:space="preserve"> </w:t>
      </w:r>
      <w:r>
        <w:t xml:space="preserve">before execution.</w:t>
      </w:r>
    </w:p>
    <w:p>
      <w:pPr>
        <w:pStyle w:val="Compact"/>
        <w:numPr>
          <w:ilvl w:val="0"/>
          <w:numId w:val="1200"/>
        </w:numPr>
      </w:pPr>
      <w:r>
        <w:rPr>
          <w:b/>
          <w:bCs/>
        </w:rPr>
        <w:t xml:space="preserve">SAM Alert:</w:t>
      </w:r>
      <w:r>
        <w:t xml:space="preserve"> </w:t>
      </w:r>
      <w:r>
        <w:t xml:space="preserve">SAM detects a provisioning failure or license gap for a user</w:t>
      </w:r>
      <w:r>
        <w:t xml:space="preserve"> </w:t>
      </w:r>
      <w:r>
        <w:t xml:space="preserve">account (e.g., license removed during access certification). SAM automatically</w:t>
      </w:r>
      <w:r>
        <w:t xml:space="preserve"> </w:t>
      </w:r>
      <w:r>
        <w:t xml:space="preserve">creates a ServiceNow incident and assigns to Help Desk with the affected user’s</w:t>
      </w:r>
      <w:r>
        <w:t xml:space="preserve"> </w:t>
      </w:r>
      <w:r>
        <w:t xml:space="preserve">UPN and specific failure reason.</w:t>
      </w:r>
    </w:p>
    <w:p>
      <w:pPr>
        <w:pStyle w:val="Compact"/>
        <w:numPr>
          <w:ilvl w:val="0"/>
          <w:numId w:val="1200"/>
        </w:numPr>
      </w:pPr>
      <w:r>
        <w:rPr>
          <w:b/>
          <w:bCs/>
        </w:rPr>
        <w:t xml:space="preserve">Azure Monitor / Entra Alert:</w:t>
      </w:r>
      <w:r>
        <w:t xml:space="preserve"> </w:t>
      </w:r>
      <w:r>
        <w:t xml:space="preserve">An Azure Monitor alert or Entra diagnostic rule</w:t>
      </w:r>
      <w:r>
        <w:t xml:space="preserve"> </w:t>
      </w:r>
      <w:r>
        <w:t xml:space="preserve">detects repeated sign-in failures for the OneDrive application from a specific</w:t>
      </w:r>
      <w:r>
        <w:t xml:space="preserve"> </w:t>
      </w:r>
      <w:r>
        <w:t xml:space="preserve">user or group of users. The alert fires a webhook that auto-creates a ServiceNow</w:t>
      </w:r>
      <w:r>
        <w:t xml:space="preserve"> </w:t>
      </w:r>
      <w:r>
        <w:t xml:space="preserve">incident assigned to Help Desk for investigation.</w:t>
      </w:r>
    </w:p>
    <w:bookmarkEnd w:id="436"/>
    <w:bookmarkStart w:id="437" w:name="X4752acc9ea6fd4ba36fdc1e42f08867d65f790a"/>
    <w:p>
      <w:pPr>
        <w:pStyle w:val="Heading4"/>
      </w:pPr>
      <w:r>
        <w:t xml:space="preserve">Approval requirements by resolution action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Resolution action</w:t>
            </w:r>
          </w:p>
        </w:tc>
        <w:tc>
          <w:tcPr/>
          <w:p>
            <w:pPr>
              <w:pStyle w:val="Compact"/>
            </w:pPr>
            <w:r>
              <w:rPr>
                <w:b/>
                <w:bCs/>
              </w:rPr>
              <w:t xml:space="preserve">Approval required?</w:t>
            </w:r>
          </w:p>
        </w:tc>
        <w:tc>
          <w:tcPr/>
          <w:p>
            <w:pPr>
              <w:pStyle w:val="Compact"/>
            </w:pPr>
            <w:r>
              <w:rPr>
                <w:b/>
                <w:bCs/>
              </w:rPr>
              <w:t xml:space="preserve">Approver</w:t>
            </w:r>
          </w:p>
        </w:tc>
        <w:tc>
          <w:tcPr/>
          <w:p>
            <w:pPr>
              <w:pStyle w:val="Compact"/>
            </w:pPr>
            <w:r>
              <w:rPr>
                <w:b/>
                <w:bCs/>
              </w:rPr>
              <w:t xml:space="preserve">Approval method</w:t>
            </w:r>
          </w:p>
        </w:tc>
        <w:tc>
          <w:tcPr/>
          <w:p>
            <w:pPr>
              <w:pStyle w:val="Compact"/>
            </w:pPr>
            <w:r>
              <w:rPr>
                <w:b/>
                <w:bCs/>
              </w:rPr>
              <w:t xml:space="preserve">Help Desk proceeds after</w:t>
            </w:r>
          </w:p>
        </w:tc>
      </w:tr>
      <w:tr>
        <w:tc>
          <w:tcPr/>
          <w:p>
            <w:pPr>
              <w:pStyle w:val="Compact"/>
            </w:pPr>
            <w:r>
              <w:t xml:space="preserve">Client-side fix only (sign-out/in, reset, reinstall)</w:t>
            </w:r>
          </w:p>
        </w:tc>
        <w:tc>
          <w:tcPr/>
          <w:p>
            <w:pPr>
              <w:pStyle w:val="Compact"/>
            </w:pPr>
            <w:r>
              <w:t xml:space="preserve">No</w:t>
            </w:r>
          </w:p>
        </w:tc>
        <w:tc>
          <w:tcPr/>
          <w:p>
            <w:pPr>
              <w:pStyle w:val="Compact"/>
            </w:pPr>
            <w:r>
              <w:t xml:space="preserve">N/A</w:t>
            </w:r>
          </w:p>
        </w:tc>
        <w:tc>
          <w:tcPr/>
          <w:p>
            <w:pPr>
              <w:pStyle w:val="Compact"/>
            </w:pPr>
            <w:r>
              <w:t xml:space="preserve">N/A</w:t>
            </w:r>
          </w:p>
        </w:tc>
        <w:tc>
          <w:tcPr/>
          <w:p>
            <w:pPr>
              <w:pStyle w:val="Compact"/>
            </w:pPr>
            <w:r>
              <w:t xml:space="preserve">Ticket in Assigned status</w:t>
            </w:r>
          </w:p>
        </w:tc>
      </w:tr>
      <w:tr>
        <w:tc>
          <w:tcPr/>
          <w:p>
            <w:pPr>
              <w:pStyle w:val="Compact"/>
            </w:pPr>
            <w:r>
              <w:t xml:space="preserve">License assignment or modification</w:t>
            </w:r>
          </w:p>
        </w:tc>
        <w:tc>
          <w:tcPr/>
          <w:p>
            <w:pPr>
              <w:pStyle w:val="Compact"/>
            </w:pPr>
            <w:r>
              <w:t xml:space="preserve">Yes</w:t>
            </w:r>
          </w:p>
        </w:tc>
        <w:tc>
          <w:tcPr/>
          <w:p>
            <w:pPr>
              <w:pStyle w:val="Compact"/>
            </w:pPr>
            <w:r>
              <w:t xml:space="preserve">Departmental Owner</w:t>
            </w:r>
          </w:p>
        </w:tc>
        <w:tc>
          <w:tcPr/>
          <w:p>
            <w:pPr>
              <w:pStyle w:val="Compact"/>
            </w:pPr>
            <w:r>
              <w:t xml:space="preserve">ServiceNow approval task</w:t>
            </w:r>
          </w:p>
        </w:tc>
        <w:tc>
          <w:tcPr/>
          <w:p>
            <w:pPr>
              <w:pStyle w:val="Compact"/>
            </w:pPr>
            <w:r>
              <w:t xml:space="preserve">Approval complete + User Admin PIM elevation</w:t>
            </w:r>
          </w:p>
        </w:tc>
      </w:tr>
      <w:tr>
        <w:tc>
          <w:tcPr/>
          <w:p>
            <w:pPr>
              <w:pStyle w:val="Compact"/>
            </w:pPr>
            <w:r>
              <w:t xml:space="preserve">OneDrive provisioning trigger</w:t>
            </w:r>
          </w:p>
        </w:tc>
        <w:tc>
          <w:tcPr/>
          <w:p>
            <w:pPr>
              <w:pStyle w:val="Compact"/>
            </w:pPr>
            <w:r>
              <w:t xml:space="preserve">Yes</w:t>
            </w:r>
          </w:p>
        </w:tc>
        <w:tc>
          <w:tcPr/>
          <w:p>
            <w:pPr>
              <w:pStyle w:val="Compact"/>
            </w:pPr>
            <w:r>
              <w:t xml:space="preserve">Departmental Owner</w:t>
            </w:r>
          </w:p>
        </w:tc>
        <w:tc>
          <w:tcPr/>
          <w:p>
            <w:pPr>
              <w:pStyle w:val="Compact"/>
            </w:pPr>
            <w:r>
              <w:t xml:space="preserve">ServiceNow approval task</w:t>
            </w:r>
          </w:p>
        </w:tc>
        <w:tc>
          <w:tcPr/>
          <w:p>
            <w:pPr>
              <w:pStyle w:val="Compact"/>
            </w:pPr>
            <w:r>
              <w:t xml:space="preserve">Approval complete in ServiceNow</w:t>
            </w:r>
          </w:p>
        </w:tc>
      </w:tr>
      <w:tr>
        <w:tc>
          <w:tcPr/>
          <w:p>
            <w:pPr>
              <w:pStyle w:val="Compact"/>
            </w:pPr>
            <w:r>
              <w:t xml:space="preserve">MFA reset to resolve authentication loop</w:t>
            </w:r>
          </w:p>
        </w:tc>
        <w:tc>
          <w:tcPr/>
          <w:p>
            <w:pPr>
              <w:pStyle w:val="Compact"/>
            </w:pPr>
            <w:r>
              <w:t xml:space="preserve">Yes</w:t>
            </w:r>
          </w:p>
        </w:tc>
        <w:tc>
          <w:tcPr/>
          <w:p>
            <w:pPr>
              <w:pStyle w:val="Compact"/>
            </w:pPr>
            <w:r>
              <w:t xml:space="preserve">Help Desk Supervisor</w:t>
            </w:r>
          </w:p>
        </w:tc>
        <w:tc>
          <w:tcPr/>
          <w:p>
            <w:pPr>
              <w:pStyle w:val="Compact"/>
            </w:pPr>
            <w:r>
              <w:t xml:space="preserve">ServiceNow approval task</w:t>
            </w:r>
          </w:p>
        </w:tc>
        <w:tc>
          <w:tcPr/>
          <w:p>
            <w:pPr>
              <w:pStyle w:val="Compact"/>
            </w:pPr>
            <w:r>
              <w:t xml:space="preserve">Supervisor approval complete + Auth Admin PIM elevation</w:t>
            </w:r>
          </w:p>
        </w:tc>
      </w:tr>
      <w:tr>
        <w:tc>
          <w:tcPr/>
          <w:p>
            <w:pPr>
              <w:pStyle w:val="Compact"/>
            </w:pPr>
            <w:r>
              <w:t xml:space="preserve">ImmutableID repair</w:t>
            </w:r>
          </w:p>
        </w:tc>
        <w:tc>
          <w:tcPr/>
          <w:p>
            <w:pPr>
              <w:pStyle w:val="Compact"/>
            </w:pPr>
            <w:r>
              <w:t xml:space="preserve">Yes — two-stage</w:t>
            </w:r>
          </w:p>
        </w:tc>
        <w:tc>
          <w:tcPr/>
          <w:p>
            <w:pPr>
              <w:pStyle w:val="Compact"/>
            </w:pPr>
            <w:r>
              <w:t xml:space="preserve">Identity Engineering Lead + IGO</w:t>
            </w:r>
          </w:p>
        </w:tc>
        <w:tc>
          <w:tcPr/>
          <w:p>
            <w:pPr>
              <w:pStyle w:val="Compact"/>
            </w:pPr>
            <w:r>
              <w:t xml:space="preserve">Two-stage ServiceNow approval workflow</w:t>
            </w:r>
          </w:p>
        </w:tc>
        <w:tc>
          <w:tcPr/>
          <w:p>
            <w:pPr>
              <w:pStyle w:val="Compact"/>
            </w:pPr>
            <w:r>
              <w:t xml:space="preserve">Both approvals complete + Hybrid Identity Admin PIM elevation</w:t>
            </w:r>
          </w:p>
        </w:tc>
      </w:tr>
      <w:tr>
        <w:tc>
          <w:tcPr/>
          <w:p>
            <w:pPr>
              <w:pStyle w:val="Compact"/>
            </w:pPr>
            <w:r>
              <w:t xml:space="preserve">Conditional Access exception or policy modification</w:t>
            </w:r>
          </w:p>
        </w:tc>
        <w:tc>
          <w:tcPr/>
          <w:p>
            <w:pPr>
              <w:pStyle w:val="Compact"/>
            </w:pPr>
            <w:r>
              <w:t xml:space="preserve">Yes — ESCALATE, Help Desk does NOT execute</w:t>
            </w:r>
          </w:p>
        </w:tc>
        <w:tc>
          <w:tcPr/>
          <w:p>
            <w:pPr>
              <w:pStyle w:val="Compact"/>
            </w:pPr>
            <w:r>
              <w:t xml:space="preserve">Security Admin + IGO</w:t>
            </w:r>
          </w:p>
        </w:tc>
        <w:tc>
          <w:tcPr/>
          <w:p>
            <w:pPr>
              <w:pStyle w:val="Compact"/>
            </w:pPr>
            <w:r>
              <w:t xml:space="preserve">Separate CAB (Change Advisory Board) process</w:t>
            </w:r>
          </w:p>
        </w:tc>
        <w:tc>
          <w:tcPr/>
          <w:p>
            <w:pPr>
              <w:pStyle w:val="Compact"/>
            </w:pPr>
            <w:r>
              <w:t xml:space="preserve">Help Desk documents and escalates. Does not execute.</w:t>
            </w:r>
          </w:p>
        </w:tc>
      </w:tr>
    </w:tbl>
    <w:bookmarkEnd w:id="437"/>
    <w:bookmarkStart w:id="438" w:name="full-onedrive-resolution-workflow"/>
    <w:p>
      <w:pPr>
        <w:pStyle w:val="Heading4"/>
      </w:pPr>
      <w:r>
        <w:t xml:space="preserve">Full OneDrive resolution workflow</w:t>
      </w:r>
    </w:p>
    <w:p>
      <w:pPr>
        <w:pStyle w:val="Compact"/>
        <w:numPr>
          <w:ilvl w:val="0"/>
          <w:numId w:val="1201"/>
        </w:numPr>
      </w:pPr>
      <w:r>
        <w:rPr>
          <w:b/>
          <w:bCs/>
        </w:rPr>
        <w:t xml:space="preserve">SAM detects issue or user submits catalog item</w:t>
      </w:r>
      <w:r>
        <w:t xml:space="preserve"> </w:t>
      </w:r>
      <w:r>
        <w:t xml:space="preserve">→ ServiceNow ticket created</w:t>
      </w:r>
      <w:r>
        <w:t xml:space="preserve"> </w:t>
      </w:r>
      <w:r>
        <w:t xml:space="preserve">and assigned to Help Desk queue.</w:t>
      </w:r>
    </w:p>
    <w:p>
      <w:pPr>
        <w:pStyle w:val="Compact"/>
        <w:numPr>
          <w:ilvl w:val="0"/>
          <w:numId w:val="1201"/>
        </w:numPr>
      </w:pPr>
      <w:r>
        <w:rPr>
          <w:b/>
          <w:bCs/>
        </w:rPr>
        <w:t xml:space="preserve">Help Desk acknowledges ticket</w:t>
      </w:r>
      <w:r>
        <w:t xml:space="preserve"> </w:t>
      </w:r>
      <w:r>
        <w:t xml:space="preserve">within SLA acknowledgement window. Sets ticket</w:t>
      </w:r>
      <w:r>
        <w:t xml:space="preserve"> </w:t>
      </w:r>
      <w:r>
        <w:t xml:space="preserve">to</w:t>
      </w:r>
      <w:r>
        <w:t xml:space="preserve"> </w:t>
      </w:r>
      <w:r>
        <w:t xml:space="preserve">“In Progress.”</w:t>
      </w:r>
    </w:p>
    <w:p>
      <w:pPr>
        <w:pStyle w:val="Compact"/>
        <w:numPr>
          <w:ilvl w:val="0"/>
          <w:numId w:val="1201"/>
        </w:numPr>
      </w:pPr>
      <w:r>
        <w:rPr>
          <w:b/>
          <w:bCs/>
        </w:rPr>
        <w:t xml:space="preserve">Help Desk performs triage</w:t>
      </w:r>
      <w:r>
        <w:t xml:space="preserve"> </w:t>
      </w:r>
      <w:r>
        <w:t xml:space="preserve">— Steps 1–6 of the step-by-step triage workflow —</w:t>
      </w:r>
      <w:r>
        <w:t xml:space="preserve"> </w:t>
      </w:r>
      <w:r>
        <w:t xml:space="preserve">without PIM elevation where possible.</w:t>
      </w:r>
    </w:p>
    <w:p>
      <w:pPr>
        <w:pStyle w:val="Compact"/>
        <w:numPr>
          <w:ilvl w:val="0"/>
          <w:numId w:val="1201"/>
        </w:numPr>
      </w:pPr>
      <w:r>
        <w:rPr>
          <w:b/>
          <w:bCs/>
        </w:rPr>
        <w:t xml:space="preserve">Help Desk determines root cause</w:t>
      </w:r>
      <w:r>
        <w:t xml:space="preserve"> </w:t>
      </w:r>
      <w:r>
        <w:t xml:space="preserve">and identifies required resolution action.</w:t>
      </w:r>
    </w:p>
    <w:p>
      <w:pPr>
        <w:pStyle w:val="Compact"/>
        <w:numPr>
          <w:ilvl w:val="0"/>
          <w:numId w:val="1201"/>
        </w:numPr>
      </w:pPr>
      <w:r>
        <w:rPr>
          <w:b/>
          <w:bCs/>
        </w:rPr>
        <w:t xml:space="preserve">If resolution requires approval</w:t>
      </w:r>
      <w:r>
        <w:t xml:space="preserve">: Help Desk creates a ServiceNow approval</w:t>
      </w:r>
      <w:r>
        <w:t xml:space="preserve"> </w:t>
      </w:r>
      <w:r>
        <w:t xml:space="preserve">task assigned to the appropriate approver (Departmental Owner, Supervisor,</w:t>
      </w:r>
      <w:r>
        <w:t xml:space="preserve"> </w:t>
      </w:r>
      <w:r>
        <w:t xml:space="preserve">Identity Engineering Lead, or IGO). Sets ticket to</w:t>
      </w:r>
      <w:r>
        <w:t xml:space="preserve"> </w:t>
      </w:r>
      <w:r>
        <w:t xml:space="preserve">“Pending Approval.”</w:t>
      </w:r>
    </w:p>
    <w:p>
      <w:pPr>
        <w:pStyle w:val="Compact"/>
        <w:numPr>
          <w:ilvl w:val="0"/>
          <w:numId w:val="1201"/>
        </w:numPr>
      </w:pPr>
      <w:r>
        <w:rPr>
          <w:b/>
          <w:bCs/>
        </w:rPr>
        <w:t xml:space="preserve">Approver acts on approval task</w:t>
      </w:r>
      <w:r>
        <w:t xml:space="preserve"> </w:t>
      </w:r>
      <w:r>
        <w:t xml:space="preserve">in ServiceNow. Upon approval, ticket returns</w:t>
      </w:r>
      <w:r>
        <w:t xml:space="preserve"> </w:t>
      </w:r>
      <w:r>
        <w:t xml:space="preserve">to</w:t>
      </w:r>
      <w:r>
        <w:t xml:space="preserve"> </w:t>
      </w:r>
      <w:r>
        <w:t xml:space="preserve">“In Progress”</w:t>
      </w:r>
      <w:r>
        <w:t xml:space="preserve"> </w:t>
      </w:r>
      <w:r>
        <w:t xml:space="preserve">in Help Desk queue.</w:t>
      </w:r>
    </w:p>
    <w:p>
      <w:pPr>
        <w:pStyle w:val="Compact"/>
        <w:numPr>
          <w:ilvl w:val="0"/>
          <w:numId w:val="1201"/>
        </w:numPr>
      </w:pPr>
      <w:r>
        <w:rPr>
          <w:b/>
          <w:bCs/>
        </w:rPr>
        <w:t xml:space="preserve">Help Desk executes Entra-level resolution</w:t>
      </w:r>
      <w:r>
        <w:t xml:space="preserve"> </w:t>
      </w:r>
      <w:r>
        <w:t xml:space="preserve">after PIM elevation as required.</w:t>
      </w:r>
      <w:r>
        <w:t xml:space="preserve"> </w:t>
      </w:r>
      <w:r>
        <w:t xml:space="preserve">Documents all actions in work notes.</w:t>
      </w:r>
    </w:p>
    <w:p>
      <w:pPr>
        <w:pStyle w:val="Compact"/>
        <w:numPr>
          <w:ilvl w:val="0"/>
          <w:numId w:val="1201"/>
        </w:numPr>
      </w:pPr>
      <w:r>
        <w:rPr>
          <w:b/>
          <w:bCs/>
        </w:rPr>
        <w:t xml:space="preserve">Help Desk validates resolution</w:t>
      </w:r>
      <w:r>
        <w:t xml:space="preserve">: Confirms with user that OneDrive sync has</w:t>
      </w:r>
      <w:r>
        <w:t xml:space="preserve"> </w:t>
      </w:r>
      <w:r>
        <w:t xml:space="preserve">resumed. Confirms Entra sign-in logs show successful authentication to OneDrive</w:t>
      </w:r>
      <w:r>
        <w:t xml:space="preserve"> </w:t>
      </w:r>
      <w:r>
        <w:t xml:space="preserve">app.</w:t>
      </w:r>
    </w:p>
    <w:p>
      <w:pPr>
        <w:pStyle w:val="Compact"/>
        <w:numPr>
          <w:ilvl w:val="0"/>
          <w:numId w:val="1201"/>
        </w:numPr>
      </w:pPr>
      <w:r>
        <w:rPr>
          <w:b/>
          <w:bCs/>
        </w:rPr>
        <w:t xml:space="preserve">Help Desk resolves ticket</w:t>
      </w:r>
      <w:r>
        <w:t xml:space="preserve">: Enters resolution summary. Updates SAM if a</w:t>
      </w:r>
      <w:r>
        <w:t xml:space="preserve"> </w:t>
      </w:r>
      <w:r>
        <w:t xml:space="preserve">provisioning or license status change was made (SAM team coordinates</w:t>
      </w:r>
      <w:r>
        <w:t xml:space="preserve"> </w:t>
      </w:r>
      <w:r>
        <w:t xml:space="preserve">bi-directional sync). Deactivates PIM session. Closes RITM.</w:t>
      </w:r>
    </w:p>
    <w:p>
      <w:pPr>
        <w:pStyle w:val="FirstParagraph"/>
      </w:pPr>
      <w:r>
        <w:rPr>
          <w:b/>
          <w:bCs/>
        </w:rPr>
        <w:t xml:space="preserve">Conditional Access policies</w:t>
      </w:r>
    </w:p>
    <w:p>
      <w:pPr>
        <w:pStyle w:val="BodyText"/>
      </w:pPr>
      <w:r>
        <w:t xml:space="preserve">Help Desk must</w:t>
      </w:r>
      <w:r>
        <w:t xml:space="preserve"> </w:t>
      </w:r>
      <w:r>
        <w:rPr>
          <w:b/>
          <w:bCs/>
        </w:rPr>
        <w:t xml:space="preserve">NOT modify Conditional Access policies</w:t>
      </w:r>
      <w:r>
        <w:t xml:space="preserve"> </w:t>
      </w:r>
      <w:r>
        <w:t xml:space="preserve">even when CA is confirmed</w:t>
      </w:r>
      <w:r>
        <w:t xml:space="preserve"> </w:t>
      </w:r>
      <w:r>
        <w:t xml:space="preserve">as the root cause of the OneDrive sync failure. CA policy modification is reserved</w:t>
      </w:r>
      <w:r>
        <w:t xml:space="preserve"> </w:t>
      </w:r>
      <w:r>
        <w:t xml:space="preserve">for Security Administrators under Security Operations oversight. Help Desk action</w:t>
      </w:r>
      <w:r>
        <w:t xml:space="preserve"> </w:t>
      </w:r>
      <w:r>
        <w:t xml:space="preserve">is to identify, document, and escalate.</w:t>
      </w:r>
    </w:p>
    <w:p>
      <w:pPr>
        <w:pStyle w:val="BodyText"/>
      </w:pPr>
      <w:r>
        <w:rPr>
          <w:b/>
          <w:bCs/>
        </w:rPr>
        <w:t xml:space="preserve">UPN change behavior</w:t>
      </w:r>
    </w:p>
    <w:p>
      <w:pPr>
        <w:pStyle w:val="BodyText"/>
      </w:pPr>
      <w:r>
        <w:t xml:space="preserve">A UPN change in Entra ID will</w:t>
      </w:r>
      <w:r>
        <w:t xml:space="preserve"> </w:t>
      </w:r>
      <w:r>
        <w:rPr>
          <w:b/>
          <w:bCs/>
        </w:rPr>
        <w:t xml:space="preserve">always</w:t>
      </w:r>
      <w:r>
        <w:t xml:space="preserve"> </w:t>
      </w:r>
      <w:r>
        <w:t xml:space="preserve">break OneDrive sync until the user signs</w:t>
      </w:r>
      <w:r>
        <w:t xml:space="preserve"> </w:t>
      </w:r>
      <w:r>
        <w:t xml:space="preserve">out of the OneDrive client and signs back in with the new UPN. This is expected</w:t>
      </w:r>
      <w:r>
        <w:t xml:space="preserve"> </w:t>
      </w:r>
      <w:r>
        <w:t xml:space="preserve">behavior, not a bug. No Entra-level action is required. Inform the user and</w:t>
      </w:r>
      <w:r>
        <w:t xml:space="preserve"> </w:t>
      </w:r>
      <w:r>
        <w:t xml:space="preserve">instruct them to sign out and sign back in to the OneDrive client on all devices.</w:t>
      </w:r>
    </w:p>
    <w:p>
      <w:pPr>
        <w:pStyle w:val="BodyText"/>
      </w:pPr>
      <w:r>
        <w:rPr>
          <w:b/>
          <w:bCs/>
        </w:rPr>
        <w:t xml:space="preserve">Password reset sync errors</w:t>
      </w:r>
    </w:p>
    <w:p>
      <w:pPr>
        <w:pStyle w:val="BodyText"/>
      </w:pPr>
      <w:r>
        <w:t xml:space="preserve">Password reset sync errors in OneDrive</w:t>
      </w:r>
      <w:r>
        <w:t xml:space="preserve"> </w:t>
      </w:r>
      <w:r>
        <w:rPr>
          <w:b/>
          <w:bCs/>
        </w:rPr>
        <w:t xml:space="preserve">almost always resolve</w:t>
      </w:r>
      <w:r>
        <w:t xml:space="preserve"> </w:t>
      </w:r>
      <w:r>
        <w:t xml:space="preserve">by signing out and</w:t>
      </w:r>
      <w:r>
        <w:t xml:space="preserve"> </w:t>
      </w:r>
      <w:r>
        <w:t xml:space="preserve">back in to the OneDrive client after the password change is complete. Help Desk</w:t>
      </w:r>
      <w:r>
        <w:t xml:space="preserve"> </w:t>
      </w:r>
      <w:r>
        <w:t xml:space="preserve">should verify this simple step before escalating or performing any Entra-level</w:t>
      </w:r>
      <w:r>
        <w:t xml:space="preserve"> </w:t>
      </w:r>
      <w:r>
        <w:t xml:space="preserve">action.</w:t>
      </w:r>
    </w:p>
    <w:p>
      <w:pPr>
        <w:pStyle w:val="BodyText"/>
      </w:pPr>
      <w:r>
        <w:rPr>
          <w:b/>
          <w:bCs/>
        </w:rPr>
        <w:t xml:space="preserve">Ad hoc fixes are a policy violation</w:t>
      </w:r>
    </w:p>
    <w:p>
      <w:pPr>
        <w:pStyle w:val="BodyText"/>
      </w:pPr>
      <w:r>
        <w:t xml:space="preserve">Help Desk must</w:t>
      </w:r>
      <w:r>
        <w:t xml:space="preserve"> </w:t>
      </w:r>
      <w:r>
        <w:rPr>
          <w:b/>
          <w:bCs/>
        </w:rPr>
        <w:t xml:space="preserve">NEVER</w:t>
      </w:r>
      <w:r>
        <w:t xml:space="preserve"> </w:t>
      </w:r>
      <w:r>
        <w:t xml:space="preserve">execute an Entra-level OneDrive fix without a ServiceNow</w:t>
      </w:r>
      <w:r>
        <w:t xml:space="preserve"> </w:t>
      </w:r>
      <w:r>
        <w:t xml:space="preserve">ticket in</w:t>
      </w:r>
      <w:r>
        <w:t xml:space="preserve"> </w:t>
      </w:r>
      <w:r>
        <w:t xml:space="preserve">“Assigned”</w:t>
      </w:r>
      <w:r>
        <w:t xml:space="preserve"> </w:t>
      </w:r>
      <w:r>
        <w:t xml:space="preserve">status and all required approvals complete.</w:t>
      </w:r>
      <w:r>
        <w:t xml:space="preserve"> </w:t>
      </w:r>
      <w:r>
        <w:rPr>
          <w:b/>
          <w:bCs/>
        </w:rPr>
        <w:t xml:space="preserve">Ad hoc fixes</w:t>
      </w:r>
      <w:r>
        <w:rPr>
          <w:b/>
          <w:bCs/>
        </w:rPr>
        <w:t xml:space="preserve"> </w:t>
      </w:r>
      <w:r>
        <w:rPr>
          <w:b/>
          <w:bCs/>
        </w:rPr>
        <w:t xml:space="preserve">performed outside the ServiceNow workflow — regardless of urgency or who requests</w:t>
      </w:r>
      <w:r>
        <w:rPr>
          <w:b/>
          <w:bCs/>
        </w:rPr>
        <w:t xml:space="preserve"> </w:t>
      </w:r>
      <w:r>
        <w:rPr>
          <w:b/>
          <w:bCs/>
        </w:rPr>
        <w:t xml:space="preserve">them — are a policy violation</w:t>
      </w:r>
      <w:r>
        <w:t xml:space="preserve"> </w:t>
      </w:r>
      <w:r>
        <w:t xml:space="preserve">and will be identified during the next audit cycle.</w:t>
      </w:r>
      <w:r>
        <w:t xml:space="preserve"> </w:t>
      </w:r>
      <w:r>
        <w:t xml:space="preserve">If urgency is claimed, escalate to the Help Desk Supervisor who may invoke the</w:t>
      </w:r>
      <w:r>
        <w:t xml:space="preserve"> </w:t>
      </w:r>
      <w:r>
        <w:t xml:space="preserve">emergency change process through ServiceNow.</w:t>
      </w:r>
    </w:p>
    <w:bookmarkEnd w:id="438"/>
    <w:bookmarkEnd w:id="439"/>
    <w:bookmarkEnd w:id="440"/>
    <w:bookmarkStart w:id="441" w:name="escalation-matrix"/>
    <w:p>
      <w:pPr>
        <w:pStyle w:val="Heading2"/>
      </w:pPr>
      <w:r>
        <w:t xml:space="preserve">Escalation matrix</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Issue type</w:t>
            </w:r>
          </w:p>
        </w:tc>
        <w:tc>
          <w:tcPr/>
          <w:p>
            <w:pPr>
              <w:pStyle w:val="Compact"/>
            </w:pPr>
            <w:r>
              <w:rPr>
                <w:b/>
                <w:bCs/>
              </w:rPr>
              <w:t xml:space="preserve">Help Desk can handle?</w:t>
            </w:r>
          </w:p>
        </w:tc>
        <w:tc>
          <w:tcPr/>
          <w:p>
            <w:pPr>
              <w:pStyle w:val="Compact"/>
            </w:pPr>
            <w:r>
              <w:rPr>
                <w:b/>
                <w:bCs/>
              </w:rPr>
              <w:t xml:space="preserve">Escalate to</w:t>
            </w:r>
          </w:p>
        </w:tc>
        <w:tc>
          <w:tcPr/>
          <w:p>
            <w:pPr>
              <w:pStyle w:val="Compact"/>
            </w:pPr>
            <w:r>
              <w:rPr>
                <w:b/>
                <w:bCs/>
              </w:rPr>
              <w:t xml:space="preserve">Escalation trigger</w:t>
            </w:r>
          </w:p>
        </w:tc>
      </w:tr>
      <w:tr>
        <w:tc>
          <w:tcPr/>
          <w:p>
            <w:pPr>
              <w:pStyle w:val="Compact"/>
            </w:pPr>
            <w:r>
              <w:rPr>
                <w:b/>
                <w:bCs/>
              </w:rPr>
              <w:t xml:space="preserve">Admin Consent request</w:t>
            </w:r>
          </w:p>
        </w:tc>
        <w:tc>
          <w:tcPr/>
          <w:p>
            <w:pPr>
              <w:pStyle w:val="Compact"/>
            </w:pPr>
            <w:r>
              <w:t xml:space="preserve">Triage only — NOT approval</w:t>
            </w:r>
          </w:p>
        </w:tc>
        <w:tc>
          <w:tcPr/>
          <w:p>
            <w:pPr>
              <w:pStyle w:val="Compact"/>
            </w:pPr>
            <w:r>
              <w:t xml:space="preserve">Application Owner → Identity Governance Officer (IGO)</w:t>
            </w:r>
          </w:p>
        </w:tc>
        <w:tc>
          <w:tcPr/>
          <w:p>
            <w:pPr>
              <w:pStyle w:val="Compact"/>
            </w:pPr>
            <w:r>
              <w:t xml:space="preserve">Any request involving Admin Consent permissions, regardless of source</w:t>
            </w:r>
          </w:p>
        </w:tc>
      </w:tr>
      <w:tr>
        <w:tc>
          <w:tcPr/>
          <w:p>
            <w:pPr>
              <w:pStyle w:val="Compact"/>
            </w:pPr>
            <w:r>
              <w:rPr>
                <w:b/>
                <w:bCs/>
              </w:rPr>
              <w:t xml:space="preserve">Enterprise Application group assignment</w:t>
            </w:r>
          </w:p>
        </w:tc>
        <w:tc>
          <w:tcPr/>
          <w:p>
            <w:pPr>
              <w:pStyle w:val="Compact"/>
            </w:pPr>
            <w:r>
              <w:t xml:space="preserve">Yes — with App Admin PIM + approved RITM</w:t>
            </w:r>
          </w:p>
        </w:tc>
        <w:tc>
          <w:tcPr/>
          <w:p>
            <w:pPr>
              <w:pStyle w:val="Compact"/>
            </w:pPr>
            <w:r>
              <w:t xml:space="preserve">Identity Engineering if Entra connector or app configuration issue</w:t>
            </w:r>
          </w:p>
        </w:tc>
        <w:tc>
          <w:tcPr/>
          <w:p>
            <w:pPr>
              <w:pStyle w:val="Compact"/>
            </w:pPr>
            <w:r>
              <w:t xml:space="preserve">Assignment fails to persist; App not found in Enterprise Apps; SAM approval metadata incomplete</w:t>
            </w:r>
          </w:p>
        </w:tc>
      </w:tr>
      <w:tr>
        <w:tc>
          <w:tcPr/>
          <w:p>
            <w:pPr>
              <w:pStyle w:val="Compact"/>
            </w:pPr>
            <w:r>
              <w:rPr>
                <w:b/>
                <w:bCs/>
              </w:rPr>
              <w:t xml:space="preserve">ImmutableID reset</w:t>
            </w:r>
          </w:p>
        </w:tc>
        <w:tc>
          <w:tcPr/>
          <w:p>
            <w:pPr>
              <w:pStyle w:val="Compact"/>
            </w:pPr>
            <w:r>
              <w:t xml:space="preserve">Yes — with Hybrid Identity Admin PIM + dual approval (Identity Engineering Lead + IGO)</w:t>
            </w:r>
          </w:p>
        </w:tc>
        <w:tc>
          <w:tcPr/>
          <w:p>
            <w:pPr>
              <w:pStyle w:val="Compact"/>
            </w:pPr>
            <w:r>
              <w:t xml:space="preserve">Identity Engineering if PowerShell errors; if duplicate objects found</w:t>
            </w:r>
          </w:p>
        </w:tc>
        <w:tc>
          <w:tcPr/>
          <w:p>
            <w:pPr>
              <w:pStyle w:val="Compact"/>
            </w:pPr>
            <w:r>
              <w:t xml:space="preserve">Incorrect ImmutableID value provided; command errors; account does not recover after sync; duplicate objects detected</w:t>
            </w:r>
          </w:p>
        </w:tc>
      </w:tr>
      <w:tr>
        <w:tc>
          <w:tcPr/>
          <w:p>
            <w:pPr>
              <w:pStyle w:val="Compact"/>
            </w:pPr>
            <w:r>
              <w:rPr>
                <w:b/>
                <w:bCs/>
              </w:rPr>
              <w:t xml:space="preserve">MFA method reset</w:t>
            </w:r>
          </w:p>
        </w:tc>
        <w:tc>
          <w:tcPr/>
          <w:p>
            <w:pPr>
              <w:pStyle w:val="Compact"/>
            </w:pPr>
            <w:r>
              <w:t xml:space="preserve">Yes — with Auth Admin PIM + Supervisor approval; only for non-admin users</w:t>
            </w:r>
          </w:p>
        </w:tc>
        <w:tc>
          <w:tcPr/>
          <w:p>
            <w:pPr>
              <w:pStyle w:val="Compact"/>
            </w:pPr>
            <w:r>
              <w:t xml:space="preserve">Global Admin or Privileged Auth Administrator for users holding Entra roles</w:t>
            </w:r>
          </w:p>
        </w:tc>
        <w:tc>
          <w:tcPr/>
          <w:p>
            <w:pPr>
              <w:pStyle w:val="Compact"/>
            </w:pPr>
            <w:r>
              <w:t xml:space="preserve">User holds an Entra directory role; Auth Admin role not assigned to PAG; method reset fails</w:t>
            </w:r>
          </w:p>
        </w:tc>
      </w:tr>
      <w:tr>
        <w:tc>
          <w:tcPr/>
          <w:p>
            <w:pPr>
              <w:pStyle w:val="Compact"/>
            </w:pPr>
            <w:r>
              <w:rPr>
                <w:b/>
                <w:bCs/>
              </w:rPr>
              <w:t xml:space="preserve">Conditional Access — access blocked</w:t>
            </w:r>
          </w:p>
        </w:tc>
        <w:tc>
          <w:tcPr/>
          <w:p>
            <w:pPr>
              <w:pStyle w:val="Compact"/>
            </w:pPr>
            <w:r>
              <w:t xml:space="preserve">Identify and document only — NOT modify</w:t>
            </w:r>
          </w:p>
        </w:tc>
        <w:tc>
          <w:tcPr/>
          <w:p>
            <w:pPr>
              <w:pStyle w:val="Compact"/>
            </w:pPr>
            <w:r>
              <w:t xml:space="preserve">Security Operations / Security Administrator + IGO for policy exceptions</w:t>
            </w:r>
          </w:p>
        </w:tc>
        <w:tc>
          <w:tcPr/>
          <w:p>
            <w:pPr>
              <w:pStyle w:val="Compact"/>
            </w:pPr>
            <w:r>
              <w:t xml:space="preserve">CA policy confirmed as root cause of any access issue; user requires policy exception</w:t>
            </w:r>
          </w:p>
        </w:tc>
      </w:tr>
      <w:tr>
        <w:tc>
          <w:tcPr/>
          <w:p>
            <w:pPr>
              <w:pStyle w:val="Compact"/>
            </w:pPr>
            <w:r>
              <w:rPr>
                <w:b/>
                <w:bCs/>
              </w:rPr>
              <w:t xml:space="preserve">Entra directory role assignment</w:t>
            </w:r>
          </w:p>
        </w:tc>
        <w:tc>
          <w:tcPr/>
          <w:p>
            <w:pPr>
              <w:pStyle w:val="Compact"/>
            </w:pPr>
            <w:r>
              <w:t xml:space="preserve">No — completely out of scope</w:t>
            </w:r>
          </w:p>
        </w:tc>
        <w:tc>
          <w:tcPr/>
          <w:p>
            <w:pPr>
              <w:pStyle w:val="Compact"/>
            </w:pPr>
            <w:r>
              <w:t xml:space="preserve">Identity Engineering + IGO</w:t>
            </w:r>
          </w:p>
        </w:tc>
        <w:tc>
          <w:tcPr/>
          <w:p>
            <w:pPr>
              <w:pStyle w:val="Compact"/>
            </w:pPr>
            <w:r>
              <w:t xml:space="preserve">Any request to assign, modify, or remove an Entra directory role from any user or group</w:t>
            </w:r>
          </w:p>
        </w:tc>
      </w:tr>
      <w:tr>
        <w:tc>
          <w:tcPr/>
          <w:p>
            <w:pPr>
              <w:pStyle w:val="Compact"/>
            </w:pPr>
            <w:r>
              <w:rPr>
                <w:b/>
                <w:bCs/>
              </w:rPr>
              <w:t xml:space="preserve">Service Principal creation or modification</w:t>
            </w:r>
          </w:p>
        </w:tc>
        <w:tc>
          <w:tcPr/>
          <w:p>
            <w:pPr>
              <w:pStyle w:val="Compact"/>
            </w:pPr>
            <w:r>
              <w:t xml:space="preserve">No — completely out of scope</w:t>
            </w:r>
          </w:p>
        </w:tc>
        <w:tc>
          <w:tcPr/>
          <w:p>
            <w:pPr>
              <w:pStyle w:val="Compact"/>
            </w:pPr>
            <w:r>
              <w:t xml:space="preserve">Application Owner + Identity Engineering</w:t>
            </w:r>
          </w:p>
        </w:tc>
        <w:tc>
          <w:tcPr/>
          <w:p>
            <w:pPr>
              <w:pStyle w:val="Compact"/>
            </w:pPr>
            <w:r>
              <w:t xml:space="preserve">Any request to create, modify, or delete a Service Principal or App Registration</w:t>
            </w:r>
          </w:p>
        </w:tc>
      </w:tr>
      <w:tr>
        <w:tc>
          <w:tcPr/>
          <w:p>
            <w:pPr>
              <w:pStyle w:val="Compact"/>
            </w:pPr>
            <w:r>
              <w:rPr>
                <w:b/>
                <w:bCs/>
              </w:rPr>
              <w:t xml:space="preserve">OneDrive sync — client-side root cause</w:t>
            </w:r>
          </w:p>
        </w:tc>
        <w:tc>
          <w:tcPr/>
          <w:p>
            <w:pPr>
              <w:pStyle w:val="Compact"/>
            </w:pPr>
            <w:r>
              <w:t xml:space="preserve">Yes — no PIM required</w:t>
            </w:r>
          </w:p>
        </w:tc>
        <w:tc>
          <w:tcPr/>
          <w:p>
            <w:pPr>
              <w:pStyle w:val="Compact"/>
            </w:pPr>
            <w:r>
              <w:t xml:space="preserve">End-user device support team if client reinstall fails</w:t>
            </w:r>
          </w:p>
        </w:tc>
        <w:tc>
          <w:tcPr/>
          <w:p>
            <w:pPr>
              <w:pStyle w:val="Compact"/>
            </w:pPr>
            <w:r>
              <w:t xml:space="preserve">Reinstall fails; device OS issue; managed device policy conflict</w:t>
            </w:r>
          </w:p>
        </w:tc>
      </w:tr>
      <w:tr>
        <w:tc>
          <w:tcPr/>
          <w:p>
            <w:pPr>
              <w:pStyle w:val="Compact"/>
            </w:pPr>
            <w:r>
              <w:rPr>
                <w:b/>
                <w:bCs/>
              </w:rPr>
              <w:t xml:space="preserve">OneDrive sync — Conditional Access root cause</w:t>
            </w:r>
          </w:p>
        </w:tc>
        <w:tc>
          <w:tcPr/>
          <w:p>
            <w:pPr>
              <w:pStyle w:val="Compact"/>
            </w:pPr>
            <w:r>
              <w:t xml:space="preserve">Diagnose only — NOT modify</w:t>
            </w:r>
          </w:p>
        </w:tc>
        <w:tc>
          <w:tcPr/>
          <w:p>
            <w:pPr>
              <w:pStyle w:val="Compact"/>
            </w:pPr>
            <w:r>
              <w:t xml:space="preserve">Security Admin + IGO via CAB process</w:t>
            </w:r>
          </w:p>
        </w:tc>
        <w:tc>
          <w:tcPr/>
          <w:p>
            <w:pPr>
              <w:pStyle w:val="Compact"/>
            </w:pPr>
            <w:r>
              <w:t xml:space="preserve">CA policy confirmed as blocking OneDrive authentication</w:t>
            </w:r>
          </w:p>
        </w:tc>
      </w:tr>
      <w:tr>
        <w:tc>
          <w:tcPr/>
          <w:p>
            <w:pPr>
              <w:pStyle w:val="Compact"/>
            </w:pPr>
            <w:r>
              <w:rPr>
                <w:b/>
                <w:bCs/>
              </w:rPr>
              <w:t xml:space="preserve">OneDrive sync — ImmutableID / hybrid identity root cause</w:t>
            </w:r>
          </w:p>
        </w:tc>
        <w:tc>
          <w:tcPr/>
          <w:p>
            <w:pPr>
              <w:pStyle w:val="Compact"/>
            </w:pPr>
            <w:r>
              <w:t xml:space="preserve">Yes — with full dual approval and Hybrid Identity Admin PIM</w:t>
            </w:r>
          </w:p>
        </w:tc>
        <w:tc>
          <w:tcPr/>
          <w:p>
            <w:pPr>
              <w:pStyle w:val="Compact"/>
            </w:pPr>
            <w:r>
              <w:t xml:space="preserve">Identity Engineering if duplicate objects; if approval cannot be obtained</w:t>
            </w:r>
          </w:p>
        </w:tc>
        <w:tc>
          <w:tcPr/>
          <w:p>
            <w:pPr>
              <w:pStyle w:val="Compact"/>
            </w:pPr>
            <w:r>
              <w:t xml:space="preserve">Duplicate objects; approval not obtained; repair fails</w:t>
            </w:r>
          </w:p>
        </w:tc>
      </w:tr>
      <w:tr>
        <w:tc>
          <w:tcPr/>
          <w:p>
            <w:pPr>
              <w:pStyle w:val="Compact"/>
            </w:pPr>
            <w:r>
              <w:rPr>
                <w:b/>
                <w:bCs/>
              </w:rPr>
              <w:t xml:space="preserve">Unauthorized access grant detected in audit logs</w:t>
            </w:r>
          </w:p>
        </w:tc>
        <w:tc>
          <w:tcPr/>
          <w:p>
            <w:pPr>
              <w:pStyle w:val="Compact"/>
            </w:pPr>
            <w:r>
              <w:t xml:space="preserve">Document and escalate immediately — no remediation without direction</w:t>
            </w:r>
          </w:p>
        </w:tc>
        <w:tc>
          <w:tcPr/>
          <w:p>
            <w:pPr>
              <w:pStyle w:val="Compact"/>
            </w:pPr>
            <w:r>
              <w:t xml:space="preserve">IGO + Security Operations Center (SOC) — immediate notification</w:t>
            </w:r>
          </w:p>
        </w:tc>
        <w:tc>
          <w:tcPr/>
          <w:p>
            <w:pPr>
              <w:pStyle w:val="Compact"/>
            </w:pPr>
            <w:r>
              <w:t xml:space="preserve">Any audit log entry showing consent, role assignment, or access grant without corresponding approved RITM</w:t>
            </w:r>
          </w:p>
        </w:tc>
      </w:tr>
    </w:tbl>
    <w:bookmarkEnd w:id="441"/>
    <w:bookmarkStart w:id="448" w:name="audit-and-compliance-requirements"/>
    <w:p>
      <w:pPr>
        <w:pStyle w:val="Heading2"/>
      </w:pPr>
      <w:r>
        <w:t xml:space="preserve">Audit and compliance requirements</w:t>
      </w:r>
    </w:p>
    <w:bookmarkStart w:id="442" w:name="pim-elevation-logging"/>
    <w:p>
      <w:pPr>
        <w:pStyle w:val="Heading3"/>
      </w:pPr>
      <w:r>
        <w:t xml:space="preserve">PIM elevation logging</w:t>
      </w:r>
    </w:p>
    <w:p>
      <w:pPr>
        <w:pStyle w:val="FirstParagraph"/>
      </w:pPr>
      <w:r>
        <w:t xml:space="preserve">Every PIM role activation by a Help Desk technician generates an audit event in the</w:t>
      </w:r>
      <w:r>
        <w:t xml:space="preserve"> </w:t>
      </w:r>
      <w:r>
        <w:t xml:space="preserve">Entra ID Audit Logs that is automatically exported to the agency’s SIEM system. The</w:t>
      </w:r>
      <w:r>
        <w:t xml:space="preserve"> </w:t>
      </w:r>
      <w:r>
        <w:t xml:space="preserve">audit record includes the activating technician’s UPN, the role activated, the</w:t>
      </w:r>
      <w:r>
        <w:t xml:space="preserve"> </w:t>
      </w:r>
      <w:r>
        <w:t xml:space="preserve">justification text entered (must include the ServiceNow RITM number), the approval</w:t>
      </w:r>
      <w:r>
        <w:t xml:space="preserve"> </w:t>
      </w:r>
      <w:r>
        <w:t xml:space="preserve">chain (supervisor who approved), the activation and deactivation timestamps, and</w:t>
      </w:r>
      <w:r>
        <w:t xml:space="preserve"> </w:t>
      </w:r>
      <w:r>
        <w:t xml:space="preserve">the maximum session duration. Justification fields that do not reference a valid</w:t>
      </w:r>
      <w:r>
        <w:t xml:space="preserve"> </w:t>
      </w:r>
      <w:r>
        <w:t xml:space="preserve">RITM number are automatically flagged for review by the Identity Engineering team</w:t>
      </w:r>
      <w:r>
        <w:t xml:space="preserve"> </w:t>
      </w:r>
      <w:r>
        <w:t xml:space="preserve">and the IGO within 24 hours.</w:t>
      </w:r>
    </w:p>
    <w:bookmarkEnd w:id="442"/>
    <w:bookmarkStart w:id="443" w:name="Xfe0548ce9bf7ff433489520e3bbcec41cfcf989"/>
    <w:p>
      <w:pPr>
        <w:pStyle w:val="Heading3"/>
      </w:pPr>
      <w:r>
        <w:t xml:space="preserve">Enterprise Application change documentation</w:t>
      </w:r>
    </w:p>
    <w:p>
      <w:pPr>
        <w:pStyle w:val="FirstParagraph"/>
      </w:pPr>
      <w:r>
        <w:t xml:space="preserve">All Enterprise Application group assignment and removal actions must be documented</w:t>
      </w:r>
      <w:r>
        <w:t xml:space="preserve"> </w:t>
      </w:r>
      <w:r>
        <w:t xml:space="preserve">in the associated ServiceNow RITM work notes before the ticket is closed. The</w:t>
      </w:r>
      <w:r>
        <w:t xml:space="preserve"> </w:t>
      </w:r>
      <w:r>
        <w:t xml:space="preserve">documentation must include: the specific action performed (assign or remove), the</w:t>
      </w:r>
      <w:r>
        <w:t xml:space="preserve"> </w:t>
      </w:r>
      <w:r>
        <w:t xml:space="preserve">group name, the application name, the app role, the time of action, the</w:t>
      </w:r>
      <w:r>
        <w:t xml:space="preserve"> </w:t>
      </w:r>
      <w:r>
        <w:t xml:space="preserve">technician’s UPN, and confirmation that the action was validated. Tickets closed</w:t>
      </w:r>
      <w:r>
        <w:t xml:space="preserve"> </w:t>
      </w:r>
      <w:r>
        <w:t xml:space="preserve">without adequate work notes documentation will be returned for completion by the</w:t>
      </w:r>
      <w:r>
        <w:t xml:space="preserve"> </w:t>
      </w:r>
      <w:r>
        <w:t xml:space="preserve">Help Desk Supervisor.</w:t>
      </w:r>
    </w:p>
    <w:bookmarkEnd w:id="443"/>
    <w:bookmarkStart w:id="444" w:name="sam-originated-ritm-sla-requirements"/>
    <w:p>
      <w:pPr>
        <w:pStyle w:val="Heading3"/>
      </w:pPr>
      <w:r>
        <w:t xml:space="preserve">SAM-originated RITM SLA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RITM priority</w:t>
            </w:r>
          </w:p>
        </w:tc>
        <w:tc>
          <w:tcPr/>
          <w:p>
            <w:pPr>
              <w:pStyle w:val="Compact"/>
            </w:pPr>
            <w:r>
              <w:rPr>
                <w:b/>
                <w:bCs/>
              </w:rPr>
              <w:t xml:space="preserve">Acknowledgement SLA</w:t>
            </w:r>
          </w:p>
        </w:tc>
        <w:tc>
          <w:tcPr/>
          <w:p>
            <w:pPr>
              <w:pStyle w:val="Compact"/>
            </w:pPr>
            <w:r>
              <w:rPr>
                <w:b/>
                <w:bCs/>
              </w:rPr>
              <w:t xml:space="preserve">Resolution SLA</w:t>
            </w:r>
          </w:p>
        </w:tc>
        <w:tc>
          <w:tcPr/>
          <w:p>
            <w:pPr>
              <w:pStyle w:val="Compact"/>
            </w:pPr>
            <w:r>
              <w:rPr>
                <w:b/>
                <w:bCs/>
              </w:rPr>
              <w:t xml:space="preserve">Escalation trigger</w:t>
            </w:r>
          </w:p>
        </w:tc>
      </w:tr>
      <w:tr>
        <w:tc>
          <w:tcPr/>
          <w:p>
            <w:pPr>
              <w:pStyle w:val="Compact"/>
            </w:pPr>
            <w:r>
              <w:t xml:space="preserve">Priority 1 — Critical (security-related, IGO-directed)</w:t>
            </w:r>
          </w:p>
        </w:tc>
        <w:tc>
          <w:tcPr/>
          <w:p>
            <w:pPr>
              <w:pStyle w:val="Compact"/>
            </w:pPr>
            <w:r>
              <w:t xml:space="preserve">15 minutes</w:t>
            </w:r>
          </w:p>
        </w:tc>
        <w:tc>
          <w:tcPr/>
          <w:p>
            <w:pPr>
              <w:pStyle w:val="Compact"/>
            </w:pPr>
            <w:r>
              <w:t xml:space="preserve">4 hours</w:t>
            </w:r>
          </w:p>
        </w:tc>
        <w:tc>
          <w:tcPr/>
          <w:p>
            <w:pPr>
              <w:pStyle w:val="Compact"/>
            </w:pPr>
            <w:r>
              <w:t xml:space="preserve">Supervisor notified at 50% of resolution window</w:t>
            </w:r>
          </w:p>
        </w:tc>
      </w:tr>
      <w:tr>
        <w:tc>
          <w:tcPr/>
          <w:p>
            <w:pPr>
              <w:pStyle w:val="Compact"/>
            </w:pPr>
            <w:r>
              <w:t xml:space="preserve">Priority 2 — High (access certification revocation, ImmutableID)</w:t>
            </w:r>
          </w:p>
        </w:tc>
        <w:tc>
          <w:tcPr/>
          <w:p>
            <w:pPr>
              <w:pStyle w:val="Compact"/>
            </w:pPr>
            <w:r>
              <w:t xml:space="preserve">1 hour</w:t>
            </w:r>
          </w:p>
        </w:tc>
        <w:tc>
          <w:tcPr/>
          <w:p>
            <w:pPr>
              <w:pStyle w:val="Compact"/>
            </w:pPr>
            <w:r>
              <w:t xml:space="preserve">8 hours (business hours)</w:t>
            </w:r>
          </w:p>
        </w:tc>
        <w:tc>
          <w:tcPr/>
          <w:p>
            <w:pPr>
              <w:pStyle w:val="Compact"/>
            </w:pPr>
            <w:r>
              <w:t xml:space="preserve">Supervisor notified at 6 hours</w:t>
            </w:r>
          </w:p>
        </w:tc>
      </w:tr>
      <w:tr>
        <w:tc>
          <w:tcPr/>
          <w:p>
            <w:pPr>
              <w:pStyle w:val="Compact"/>
            </w:pPr>
            <w:r>
              <w:t xml:space="preserve">Priority 3 — Normal (Enterprise App assignment, MFA reset)</w:t>
            </w:r>
          </w:p>
        </w:tc>
        <w:tc>
          <w:tcPr/>
          <w:p>
            <w:pPr>
              <w:pStyle w:val="Compact"/>
            </w:pPr>
            <w:r>
              <w:t xml:space="preserve">4 hours</w:t>
            </w:r>
          </w:p>
        </w:tc>
        <w:tc>
          <w:tcPr/>
          <w:p>
            <w:pPr>
              <w:pStyle w:val="Compact"/>
            </w:pPr>
            <w:r>
              <w:t xml:space="preserve">3 business days</w:t>
            </w:r>
          </w:p>
        </w:tc>
        <w:tc>
          <w:tcPr/>
          <w:p>
            <w:pPr>
              <w:pStyle w:val="Compact"/>
            </w:pPr>
            <w:r>
              <w:t xml:space="preserve">Supervisor notified at day 2</w:t>
            </w:r>
          </w:p>
        </w:tc>
      </w:tr>
      <w:tr>
        <w:tc>
          <w:tcPr/>
          <w:p>
            <w:pPr>
              <w:pStyle w:val="Compact"/>
            </w:pPr>
            <w:r>
              <w:t xml:space="preserve">Priority 4 — Low (OneDrive sync, provisioning trigger)</w:t>
            </w:r>
          </w:p>
        </w:tc>
        <w:tc>
          <w:tcPr/>
          <w:p>
            <w:pPr>
              <w:pStyle w:val="Compact"/>
            </w:pPr>
            <w:r>
              <w:t xml:space="preserve">8 hours</w:t>
            </w:r>
          </w:p>
        </w:tc>
        <w:tc>
          <w:tcPr/>
          <w:p>
            <w:pPr>
              <w:pStyle w:val="Compact"/>
            </w:pPr>
            <w:r>
              <w:t xml:space="preserve">5 business days</w:t>
            </w:r>
          </w:p>
        </w:tc>
        <w:tc>
          <w:tcPr/>
          <w:p>
            <w:pPr>
              <w:pStyle w:val="Compact"/>
            </w:pPr>
            <w:r>
              <w:t xml:space="preserve">Supervisor notified at day 4</w:t>
            </w:r>
          </w:p>
        </w:tc>
      </w:tr>
    </w:tbl>
    <w:bookmarkEnd w:id="444"/>
    <w:bookmarkStart w:id="445" w:name="quarterly-access-reviews"/>
    <w:p>
      <w:pPr>
        <w:pStyle w:val="Heading3"/>
      </w:pPr>
      <w:r>
        <w:t xml:space="preserve">Quarterly access reviews</w:t>
      </w:r>
    </w:p>
    <w:p>
      <w:pPr>
        <w:pStyle w:val="FirstParagraph"/>
      </w:pPr>
      <w:r>
        <w:t xml:space="preserve">The PAG membership (Entra-HelpDesk-Operators) is subject to a formal access review</w:t>
      </w:r>
      <w:r>
        <w:t xml:space="preserve"> </w:t>
      </w:r>
      <w:r>
        <w:t xml:space="preserve">on a</w:t>
      </w:r>
      <w:r>
        <w:t xml:space="preserve"> </w:t>
      </w:r>
      <w:r>
        <w:rPr>
          <w:b/>
          <w:bCs/>
        </w:rPr>
        <w:t xml:space="preserve">quarterly basis</w:t>
      </w:r>
      <w:r>
        <w:t xml:space="preserve">, coordinated by the IGO and executed through the SAM</w:t>
      </w:r>
      <w:r>
        <w:t xml:space="preserve"> </w:t>
      </w:r>
      <w:r>
        <w:t xml:space="preserve">platform. Each review cycle:</w:t>
      </w:r>
    </w:p>
    <w:p>
      <w:pPr>
        <w:pStyle w:val="Compact"/>
        <w:numPr>
          <w:ilvl w:val="0"/>
          <w:numId w:val="1202"/>
        </w:numPr>
      </w:pPr>
      <w:r>
        <w:t xml:space="preserve">SAM generates a certification campaign for all current PAG members.</w:t>
      </w:r>
    </w:p>
    <w:p>
      <w:pPr>
        <w:pStyle w:val="Compact"/>
        <w:numPr>
          <w:ilvl w:val="0"/>
          <w:numId w:val="1202"/>
        </w:numPr>
      </w:pPr>
      <w:r>
        <w:t xml:space="preserve">Help Desk Supervisor reviews and certifies each member’s continued need for PAG</w:t>
      </w:r>
      <w:r>
        <w:t xml:space="preserve"> </w:t>
      </w:r>
      <w:r>
        <w:t xml:space="preserve">membership.</w:t>
      </w:r>
    </w:p>
    <w:p>
      <w:pPr>
        <w:pStyle w:val="Compact"/>
        <w:numPr>
          <w:ilvl w:val="0"/>
          <w:numId w:val="1202"/>
        </w:numPr>
      </w:pPr>
      <w:r>
        <w:t xml:space="preserve">Any member not certified within the certification window is automatically removed</w:t>
      </w:r>
      <w:r>
        <w:t xml:space="preserve"> </w:t>
      </w:r>
      <w:r>
        <w:t xml:space="preserve">from the PAG by SAM.</w:t>
      </w:r>
    </w:p>
    <w:p>
      <w:pPr>
        <w:pStyle w:val="Compact"/>
        <w:numPr>
          <w:ilvl w:val="0"/>
          <w:numId w:val="1202"/>
        </w:numPr>
      </w:pPr>
      <w:r>
        <w:t xml:space="preserve">Results are documented in SAM and a summary report is provided to the IGO.</w:t>
      </w:r>
    </w:p>
    <w:p>
      <w:pPr>
        <w:pStyle w:val="Compact"/>
        <w:numPr>
          <w:ilvl w:val="0"/>
          <w:numId w:val="1202"/>
        </w:numPr>
      </w:pPr>
      <w:r>
        <w:t xml:space="preserve">Annual re-authorization by the IGO is required for the PAG to remain active with</w:t>
      </w:r>
      <w:r>
        <w:t xml:space="preserve"> </w:t>
      </w:r>
      <w:r>
        <w:t xml:space="preserve">its current role configuration.</w:t>
      </w:r>
    </w:p>
    <w:bookmarkEnd w:id="445"/>
    <w:bookmarkStart w:id="446" w:name="audit-log-retention"/>
    <w:p>
      <w:pPr>
        <w:pStyle w:val="Heading3"/>
      </w:pPr>
      <w:r>
        <w:t xml:space="preserve">Audit log retention</w:t>
      </w:r>
    </w:p>
    <w:p>
      <w:pPr>
        <w:pStyle w:val="FirstParagraph"/>
      </w:pPr>
      <w:r>
        <w:t xml:space="preserve">Entra ID Audit Logs and Sign-in Logs are retained in accordance with the agency’s</w:t>
      </w:r>
      <w:r>
        <w:t xml:space="preserve"> </w:t>
      </w:r>
      <w:r>
        <w:t xml:space="preserve">data retention policy and applicable federal and state records management</w:t>
      </w:r>
      <w:r>
        <w:t xml:space="preserve"> </w:t>
      </w:r>
      <w:r>
        <w:t xml:space="preserve">requirements. Logs are exported from Entra ID to the agency’s SIEM and long-term</w:t>
      </w:r>
      <w:r>
        <w:t xml:space="preserve"> </w:t>
      </w:r>
      <w:r>
        <w:t xml:space="preserve">log management system. Help Desk personnel are</w:t>
      </w:r>
      <w:r>
        <w:t xml:space="preserve"> </w:t>
      </w:r>
      <w:r>
        <w:rPr>
          <w:b/>
          <w:bCs/>
        </w:rPr>
        <w:t xml:space="preserve">not permitted</w:t>
      </w:r>
      <w:r>
        <w:t xml:space="preserve"> </w:t>
      </w:r>
      <w:r>
        <w:t xml:space="preserve">to export, copy,</w:t>
      </w:r>
      <w:r>
        <w:t xml:space="preserve"> </w:t>
      </w:r>
      <w:r>
        <w:t xml:space="preserve">delete, or modify audit logs. Audit log access for Help Desk purposes is read-only</w:t>
      </w:r>
      <w:r>
        <w:t xml:space="preserve"> </w:t>
      </w:r>
      <w:r>
        <w:t xml:space="preserve">and limited to diagnostic triage within active ServiceNow tickets. Any request to</w:t>
      </w:r>
      <w:r>
        <w:t xml:space="preserve"> </w:t>
      </w:r>
      <w:r>
        <w:t xml:space="preserve">access audit logs outside of an active ticket must be approved by the Help Desk</w:t>
      </w:r>
      <w:r>
        <w:t xml:space="preserve"> </w:t>
      </w:r>
      <w:r>
        <w:t xml:space="preserve">Supervisor and the IGO.</w:t>
      </w:r>
    </w:p>
    <w:bookmarkEnd w:id="446"/>
    <w:bookmarkStart w:id="447" w:name="non-compliance-reporting"/>
    <w:p>
      <w:pPr>
        <w:pStyle w:val="Heading3"/>
      </w:pPr>
      <w:r>
        <w:t xml:space="preserve">Non-compliance reporting</w:t>
      </w:r>
    </w:p>
    <w:p>
      <w:pPr>
        <w:pStyle w:val="FirstParagraph"/>
      </w:pPr>
      <w:r>
        <w:t xml:space="preserve">Help Desk Supervisors are responsible for reporting the following conditions to the</w:t>
      </w:r>
      <w:r>
        <w:t xml:space="preserve"> </w:t>
      </w:r>
      <w:r>
        <w:t xml:space="preserve">IGO within one business day of discovery:</w:t>
      </w:r>
    </w:p>
    <w:p>
      <w:pPr>
        <w:pStyle w:val="Compact"/>
        <w:numPr>
          <w:ilvl w:val="0"/>
          <w:numId w:val="1203"/>
        </w:numPr>
      </w:pPr>
      <w:r>
        <w:t xml:space="preserve">A PIM elevation occurred without a corresponding valid ServiceNow RITM number in</w:t>
      </w:r>
      <w:r>
        <w:t xml:space="preserve"> </w:t>
      </w:r>
      <w:r>
        <w:t xml:space="preserve">the justification.</w:t>
      </w:r>
    </w:p>
    <w:p>
      <w:pPr>
        <w:pStyle w:val="Compact"/>
        <w:numPr>
          <w:ilvl w:val="0"/>
          <w:numId w:val="1203"/>
        </w:numPr>
      </w:pPr>
      <w:r>
        <w:t xml:space="preserve">An Entra action was taken and discovered post-hoc to not have a corresponding</w:t>
      </w:r>
      <w:r>
        <w:t xml:space="preserve"> </w:t>
      </w:r>
      <w:r>
        <w:t xml:space="preserve">approved RITM.</w:t>
      </w:r>
    </w:p>
    <w:p>
      <w:pPr>
        <w:pStyle w:val="Compact"/>
        <w:numPr>
          <w:ilvl w:val="0"/>
          <w:numId w:val="1203"/>
        </w:numPr>
      </w:pPr>
      <w:r>
        <w:t xml:space="preserve">A technician attempted or succeeded in performing an action listed as NOT</w:t>
      </w:r>
      <w:r>
        <w:t xml:space="preserve"> </w:t>
      </w:r>
      <w:r>
        <w:t xml:space="preserve">authorized in the Authority boundaries section.</w:t>
      </w:r>
    </w:p>
    <w:p>
      <w:pPr>
        <w:pStyle w:val="Compact"/>
        <w:numPr>
          <w:ilvl w:val="0"/>
          <w:numId w:val="1203"/>
        </w:numPr>
      </w:pPr>
      <w:r>
        <w:t xml:space="preserve">An Admin Consent grant was executed by a Help Desk account.</w:t>
      </w:r>
    </w:p>
    <w:p>
      <w:pPr>
        <w:pStyle w:val="Compact"/>
        <w:numPr>
          <w:ilvl w:val="0"/>
          <w:numId w:val="1203"/>
        </w:numPr>
      </w:pPr>
      <w:r>
        <w:t xml:space="preserve">A technician shared, copied, or attempted to export audit log data outside of</w:t>
      </w:r>
      <w:r>
        <w:t xml:space="preserve"> </w:t>
      </w:r>
      <w:r>
        <w:t xml:space="preserve">approved systems.</w:t>
      </w:r>
    </w:p>
    <w:bookmarkEnd w:id="447"/>
    <w:bookmarkEnd w:id="448"/>
    <w:bookmarkStart w:id="453" w:name="document-control"/>
    <w:p>
      <w:pPr>
        <w:pStyle w:val="Heading2"/>
      </w:pPr>
      <w:r>
        <w:t xml:space="preserve">Document control</w:t>
      </w:r>
    </w:p>
    <w:bookmarkStart w:id="449" w:name="version-history-1"/>
    <w:p>
      <w:pPr>
        <w:pStyle w:val="Heading3"/>
      </w:pPr>
      <w:r>
        <w:t xml:space="preserve">Version 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Version</w:t>
            </w:r>
          </w:p>
        </w:tc>
        <w:tc>
          <w:tcPr/>
          <w:p>
            <w:pPr>
              <w:pStyle w:val="Compact"/>
            </w:pPr>
            <w:r>
              <w:rPr>
                <w:b/>
                <w:bCs/>
              </w:rPr>
              <w:t xml:space="preserve">Date</w:t>
            </w:r>
          </w:p>
        </w:tc>
        <w:tc>
          <w:tcPr/>
          <w:p>
            <w:pPr>
              <w:pStyle w:val="Compact"/>
            </w:pPr>
            <w:r>
              <w:rPr>
                <w:b/>
                <w:bCs/>
              </w:rPr>
              <w:t xml:space="preserve">Author</w:t>
            </w:r>
          </w:p>
        </w:tc>
        <w:tc>
          <w:tcPr/>
          <w:p>
            <w:pPr>
              <w:pStyle w:val="Compact"/>
            </w:pPr>
            <w:r>
              <w:rPr>
                <w:b/>
                <w:bCs/>
              </w:rPr>
              <w:t xml:space="preserve">Reviewed by</w:t>
            </w:r>
          </w:p>
        </w:tc>
        <w:tc>
          <w:tcPr/>
          <w:p>
            <w:pPr>
              <w:pStyle w:val="Compact"/>
            </w:pPr>
            <w:r>
              <w:rPr>
                <w:b/>
                <w:bCs/>
              </w:rPr>
              <w:t xml:space="preserve">Change summary</w:t>
            </w:r>
          </w:p>
        </w:tc>
      </w:tr>
      <w:tr>
        <w:tc>
          <w:tcPr/>
          <w:p>
            <w:pPr>
              <w:pStyle w:val="Compact"/>
            </w:pPr>
            <w:r>
              <w:t xml:space="preserve">1.0</w:t>
            </w:r>
          </w:p>
        </w:tc>
        <w:tc>
          <w:tcPr/>
          <w:p>
            <w:pPr>
              <w:pStyle w:val="Compact"/>
            </w:pPr>
            <w:r>
              <w:t xml:space="preserve">June 2026</w:t>
            </w:r>
          </w:p>
        </w:tc>
        <w:tc>
          <w:tcPr/>
          <w:p>
            <w:pPr>
              <w:pStyle w:val="Compact"/>
            </w:pPr>
            <w:r>
              <w:t xml:space="preserve">Identity Governance Officer</w:t>
            </w:r>
          </w:p>
        </w:tc>
        <w:tc>
          <w:tcPr/>
          <w:p>
            <w:pPr>
              <w:pStyle w:val="Compact"/>
            </w:pPr>
            <w:r>
              <w:t xml:space="preserve">IT Security, Help Desk Supervisor, Identity Engineering Lead</w:t>
            </w:r>
          </w:p>
        </w:tc>
        <w:tc>
          <w:tcPr/>
          <w:p>
            <w:pPr>
              <w:pStyle w:val="Compact"/>
            </w:pPr>
            <w:r>
              <w:t xml:space="preserve">Initial release. Covers full Help Desk Entra ID operational scope including PAG design, SAM integration, Admin Consent triage, Enterprise Application procedures, hybrid identity operations, and OneDrive sync triage.</w:t>
            </w:r>
          </w:p>
        </w:tc>
      </w:tr>
      <w:tr>
        <w:tc>
          <w:tcPr/>
          <w:p>
            <w:pPr>
              <w:pStyle w:val="Compact"/>
            </w:pPr>
            <w:r>
              <w:t xml:space="preserve">1.1</w:t>
            </w:r>
          </w:p>
        </w:tc>
        <w:tc>
          <w:tcPr/>
          <w:p>
            <w:pPr>
              <w:pStyle w:val="Compact"/>
            </w:pPr>
            <w:r>
              <w:t xml:space="preserve">TBD</w:t>
            </w:r>
          </w:p>
        </w:tc>
        <w:tc>
          <w:tcPr/>
          <w:p>
            <w:pPr>
              <w:pStyle w:val="Compact"/>
            </w:pPr>
            <w:r>
              <w:t xml:space="preserve">—</w:t>
            </w:r>
          </w:p>
        </w:tc>
        <w:tc>
          <w:tcPr/>
          <w:p>
            <w:pPr>
              <w:pStyle w:val="Compact"/>
            </w:pPr>
            <w:r>
              <w:t xml:space="preserve">—</w:t>
            </w:r>
          </w:p>
        </w:tc>
        <w:tc>
          <w:tcPr/>
          <w:p>
            <w:pPr>
              <w:pStyle w:val="Compact"/>
            </w:pPr>
            <w:r>
              <w:t xml:space="preserve">Reserved for next review cycle updates.</w:t>
            </w:r>
          </w:p>
        </w:tc>
      </w:tr>
    </w:tbl>
    <w:bookmarkEnd w:id="449"/>
    <w:bookmarkStart w:id="450" w:name="review-cycle-1"/>
    <w:p>
      <w:pPr>
        <w:pStyle w:val="Heading3"/>
      </w:pPr>
      <w:r>
        <w:t xml:space="preserve">Review cycle</w:t>
      </w:r>
    </w:p>
    <w:p>
      <w:pPr>
        <w:pStyle w:val="FirstParagraph"/>
      </w:pPr>
      <w:r>
        <w:t xml:space="preserve">This document is subject to a minimum</w:t>
      </w:r>
      <w:r>
        <w:t xml:space="preserve"> </w:t>
      </w:r>
      <w:r>
        <w:rPr>
          <w:b/>
          <w:bCs/>
        </w:rPr>
        <w:t xml:space="preserve">annual review</w:t>
      </w:r>
      <w:r>
        <w:t xml:space="preserve"> </w:t>
      </w:r>
      <w:r>
        <w:t xml:space="preserve">cycle, with interim updates</w:t>
      </w:r>
      <w:r>
        <w:t xml:space="preserve"> </w:t>
      </w:r>
      <w:r>
        <w:t xml:space="preserve">issued as required when Microsoft Entra ID role definitions change, when SAM</w:t>
      </w:r>
      <w:r>
        <w:t xml:space="preserve"> </w:t>
      </w:r>
      <w:r>
        <w:t xml:space="preserve">platform upgrades affect integration behavior, when new request types are added to</w:t>
      </w:r>
      <w:r>
        <w:t xml:space="preserve"> </w:t>
      </w:r>
      <w:r>
        <w:t xml:space="preserve">the Help Desk scope, or when an audit finding or security incident requires policy</w:t>
      </w:r>
      <w:r>
        <w:t xml:space="preserve"> </w:t>
      </w:r>
      <w:r>
        <w:t xml:space="preserve">revision. Interim updates are classified as minor versions (e.g., 1.1, 1.2). Major</w:t>
      </w:r>
      <w:r>
        <w:t xml:space="preserve"> </w:t>
      </w:r>
      <w:r>
        <w:t xml:space="preserve">structural revisions increment the major version number.</w:t>
      </w:r>
    </w:p>
    <w:bookmarkEnd w:id="450"/>
    <w:bookmarkStart w:id="451" w:name="document-owner-and-approval-authority"/>
    <w:p>
      <w:pPr>
        <w:pStyle w:val="Heading3"/>
      </w:pPr>
      <w:r>
        <w:t xml:space="preserve">Document owner and approval authority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Role</w:t>
            </w:r>
          </w:p>
        </w:tc>
        <w:tc>
          <w:tcPr/>
          <w:p>
            <w:pPr>
              <w:pStyle w:val="Compact"/>
            </w:pPr>
            <w:r>
              <w:rPr>
                <w:b/>
                <w:bCs/>
              </w:rPr>
              <w:t xml:space="preserve">Individual / Position</w:t>
            </w:r>
          </w:p>
        </w:tc>
        <w:tc>
          <w:tcPr/>
          <w:p>
            <w:pPr>
              <w:pStyle w:val="Compact"/>
            </w:pPr>
            <w:r>
              <w:rPr>
                <w:b/>
                <w:bCs/>
              </w:rPr>
              <w:t xml:space="preserve">Responsibility</w:t>
            </w:r>
          </w:p>
        </w:tc>
      </w:tr>
      <w:tr>
        <w:tc>
          <w:tcPr/>
          <w:p>
            <w:pPr>
              <w:pStyle w:val="Compact"/>
            </w:pPr>
            <w:r>
              <w:t xml:space="preserve">Document Owner</w:t>
            </w:r>
          </w:p>
        </w:tc>
        <w:tc>
          <w:tcPr/>
          <w:p>
            <w:pPr>
              <w:pStyle w:val="Compact"/>
            </w:pPr>
            <w:r>
              <w:t xml:space="preserve">Identity Governance Officer (IGO)</w:t>
            </w:r>
          </w:p>
        </w:tc>
        <w:tc>
          <w:tcPr/>
          <w:p>
            <w:pPr>
              <w:pStyle w:val="Compact"/>
            </w:pPr>
            <w:r>
              <w:t xml:space="preserve">Final approval authority for all versions. Directs content updates. Signs off on annual review.</w:t>
            </w:r>
          </w:p>
        </w:tc>
      </w:tr>
      <w:tr>
        <w:tc>
          <w:tcPr/>
          <w:p>
            <w:pPr>
              <w:pStyle w:val="Compact"/>
            </w:pPr>
            <w:r>
              <w:t xml:space="preserve">Technical Author</w:t>
            </w:r>
          </w:p>
        </w:tc>
        <w:tc>
          <w:tcPr/>
          <w:p>
            <w:pPr>
              <w:pStyle w:val="Compact"/>
            </w:pPr>
            <w:r>
              <w:t xml:space="preserve">Identity Engineering Lead</w:t>
            </w:r>
          </w:p>
        </w:tc>
        <w:tc>
          <w:tcPr/>
          <w:p>
            <w:pPr>
              <w:pStyle w:val="Compact"/>
            </w:pPr>
            <w:r>
              <w:t xml:space="preserve">Drafts technical procedure sections. Reviews for accuracy with each version.</w:t>
            </w:r>
          </w:p>
        </w:tc>
      </w:tr>
      <w:tr>
        <w:tc>
          <w:tcPr/>
          <w:p>
            <w:pPr>
              <w:pStyle w:val="Compact"/>
            </w:pPr>
            <w:r>
              <w:t xml:space="preserve">Operational Reviewer</w:t>
            </w:r>
          </w:p>
        </w:tc>
        <w:tc>
          <w:tcPr/>
          <w:p>
            <w:pPr>
              <w:pStyle w:val="Compact"/>
            </w:pPr>
            <w:r>
              <w:t xml:space="preserve">Help Desk Supervisor</w:t>
            </w:r>
          </w:p>
        </w:tc>
        <w:tc>
          <w:tcPr/>
          <w:p>
            <w:pPr>
              <w:pStyle w:val="Compact"/>
            </w:pPr>
            <w:r>
              <w:t xml:space="preserve">Reviews for operational feasibility and clarity. Confirms alignment with current Help Desk workflows.</w:t>
            </w:r>
          </w:p>
        </w:tc>
      </w:tr>
      <w:tr>
        <w:tc>
          <w:tcPr/>
          <w:p>
            <w:pPr>
              <w:pStyle w:val="Compact"/>
            </w:pPr>
            <w:r>
              <w:t xml:space="preserve">Security Reviewer</w:t>
            </w:r>
          </w:p>
        </w:tc>
        <w:tc>
          <w:tcPr/>
          <w:p>
            <w:pPr>
              <w:pStyle w:val="Compact"/>
            </w:pPr>
            <w:r>
              <w:t xml:space="preserve">IT Security Officer</w:t>
            </w:r>
          </w:p>
        </w:tc>
        <w:tc>
          <w:tcPr/>
          <w:p>
            <w:pPr>
              <w:pStyle w:val="Compact"/>
            </w:pPr>
            <w:r>
              <w:t xml:space="preserve">Reviews authority boundary and escalation sections for compliance with agency security policy.</w:t>
            </w:r>
          </w:p>
        </w:tc>
      </w:tr>
      <w:tr>
        <w:tc>
          <w:tcPr/>
          <w:p>
            <w:pPr>
              <w:pStyle w:val="Compact"/>
            </w:pPr>
            <w:r>
              <w:t xml:space="preserve">Distribution</w:t>
            </w:r>
          </w:p>
        </w:tc>
        <w:tc>
          <w:tcPr/>
          <w:p>
            <w:pPr>
              <w:pStyle w:val="Compact"/>
            </w:pPr>
            <w:r>
              <w:t xml:space="preserve">All Help Desk personnel, IT Leadership</w:t>
            </w:r>
          </w:p>
        </w:tc>
        <w:tc>
          <w:tcPr/>
          <w:p>
            <w:pPr>
              <w:pStyle w:val="Compact"/>
            </w:pPr>
            <w:r>
              <w:t xml:space="preserve">Required reading. Acknowledgement recorded in training system on initial distribution and at each major version.</w:t>
            </w:r>
          </w:p>
        </w:tc>
      </w:tr>
    </w:tbl>
    <w:bookmarkEnd w:id="451"/>
    <w:bookmarkStart w:id="452" w:name="related-documents"/>
    <w:p>
      <w:pPr>
        <w:pStyle w:val="Heading3"/>
      </w:pPr>
      <w:r>
        <w:t xml:space="preserve">Related documents</w:t>
      </w:r>
    </w:p>
    <w:p>
      <w:pPr>
        <w:pStyle w:val="Compact"/>
        <w:numPr>
          <w:ilvl w:val="0"/>
          <w:numId w:val="1204"/>
        </w:numPr>
      </w:pPr>
      <w:r>
        <w:rPr>
          <w:b/>
          <w:bCs/>
        </w:rPr>
        <w:t xml:space="preserve">Entra Governance Document 2 of 3:</w:t>
      </w:r>
      <w:r>
        <w:t xml:space="preserve"> </w:t>
      </w:r>
      <w:r>
        <w:t xml:space="preserve">Privileged Identity Management (PIM) Policy</w:t>
      </w:r>
      <w:r>
        <w:t xml:space="preserve"> </w:t>
      </w:r>
      <w:r>
        <w:t xml:space="preserve">and Elevation Procedures</w:t>
      </w:r>
    </w:p>
    <w:p>
      <w:pPr>
        <w:pStyle w:val="Compact"/>
        <w:numPr>
          <w:ilvl w:val="0"/>
          <w:numId w:val="1204"/>
        </w:numPr>
      </w:pPr>
      <w:r>
        <w:rPr>
          <w:b/>
          <w:bCs/>
        </w:rPr>
        <w:t xml:space="preserve">Entra Governance Document 3 of 3:</w:t>
      </w:r>
      <w:r>
        <w:t xml:space="preserve"> </w:t>
      </w:r>
      <w:r>
        <w:t xml:space="preserve">Identity Governance Officer (IGO)</w:t>
      </w:r>
      <w:r>
        <w:t xml:space="preserve"> </w:t>
      </w:r>
      <w:r>
        <w:t xml:space="preserve">Responsibilities and Admin Consent Governance</w:t>
      </w:r>
    </w:p>
    <w:p>
      <w:pPr>
        <w:pStyle w:val="Compact"/>
        <w:numPr>
          <w:ilvl w:val="0"/>
          <w:numId w:val="1204"/>
        </w:numPr>
      </w:pPr>
      <w:r>
        <w:t xml:space="preserve">SAM (SailPoint) Access Request and Certification User Guide</w:t>
      </w:r>
    </w:p>
    <w:p>
      <w:pPr>
        <w:pStyle w:val="Compact"/>
        <w:numPr>
          <w:ilvl w:val="0"/>
          <w:numId w:val="1204"/>
        </w:numPr>
      </w:pPr>
      <w:r>
        <w:t xml:space="preserve">ServiceNow ITSM Help Desk Operator Reference Guide</w:t>
      </w:r>
    </w:p>
    <w:p>
      <w:pPr>
        <w:pStyle w:val="Compact"/>
        <w:numPr>
          <w:ilvl w:val="0"/>
          <w:numId w:val="1204"/>
        </w:numPr>
      </w:pPr>
      <w:r>
        <w:t xml:space="preserve">Agency Information Security Policy — Identity and Access Management chapter</w:t>
      </w:r>
    </w:p>
    <w:p>
      <w:pPr>
        <w:pStyle w:val="Compact"/>
        <w:numPr>
          <w:ilvl w:val="0"/>
          <w:numId w:val="1204"/>
        </w:numPr>
      </w:pPr>
      <w:r>
        <w:t xml:space="preserve">Microsoft Entra ID Least Privilege Role Reference (Microsoft Learn)</w:t>
      </w:r>
    </w:p>
    <w:bookmarkEnd w:id="452"/>
    <w:bookmarkEnd w:id="453"/>
    <w:bookmarkStart w:id="454" w:name="servicenow-automation-alignment-1"/>
    <w:p>
      <w:pPr>
        <w:pStyle w:val="Heading2"/>
      </w:pPr>
      <w:r>
        <w:t xml:space="preserve">ServiceNow automation alignment</w:t>
      </w:r>
    </w:p>
    <w:p>
      <w:pPr>
        <w:pStyle w:val="FirstParagraph"/>
      </w:pPr>
      <w:r>
        <w:rPr>
          <w:b/>
          <w:bCs/>
        </w:rPr>
        <w:t xml:space="preserve">Integrating ServiceNow's shipped functions — not reinventing them</w:t>
      </w:r>
    </w:p>
    <w:p>
      <w:pPr>
        <w:pStyle w:val="BodyText"/>
      </w:pPr>
      <w:r>
        <w:t xml:space="preserve">This guidance does</w:t>
      </w:r>
      <w:r>
        <w:t xml:space="preserve"> </w:t>
      </w:r>
      <w:r>
        <w:rPr>
          <w:b/>
          <w:bCs/>
        </w:rPr>
        <w:t xml:space="preserve">not</w:t>
      </w:r>
      <w:r>
        <w:t xml:space="preserve"> </w:t>
      </w:r>
      <w:r>
        <w:t xml:space="preserve">build a parallel automation engine. ServiceNow already</w:t>
      </w:r>
      <w:r>
        <w:t xml:space="preserve"> </w:t>
      </w:r>
      <w:r>
        <w:t xml:space="preserve">ships the integration: the</w:t>
      </w:r>
      <w:r>
        <w:t xml:space="preserve"> </w:t>
      </w:r>
      <w:r>
        <w:rPr>
          <w:b/>
          <w:bCs/>
        </w:rPr>
        <w:t xml:space="preserve">Microsoft Entra ID Spoke</w:t>
      </w:r>
      <w:r>
        <w:t xml:space="preserve"> </w:t>
      </w:r>
      <w:r>
        <w:t xml:space="preserve">“provides spoke actions to automate Microsoft Entra ID tasks for application management, audit logs, device management, group management, license management, organization management, password management, service principal management, user authentication, and user management”</w:t>
      </w:r>
      <w:r>
        <w:t xml:space="preserve"> </w:t>
      </w:r>
      <w:r>
        <w:t xml:space="preserve">(</w:t>
      </w:r>
      <w:hyperlink r:id="rId385">
        <w:r>
          <w:rPr>
            <w:rStyle w:val="Hyperlink"/>
          </w:rPr>
          <w:t xml:space="preserve">ServiceNow documentation</w:t>
        </w:r>
      </w:hyperlink>
      <w:r>
        <w:t xml:space="preserve">). What this kit adds is</w:t>
      </w:r>
      <w:r>
        <w:t xml:space="preserve"> </w:t>
      </w:r>
      <w:r>
        <w:rPr>
          <w:b/>
          <w:bCs/>
        </w:rPr>
        <w:t xml:space="preserve">integration and</w:t>
      </w:r>
      <w:r>
        <w:rPr>
          <w:b/>
          <w:bCs/>
        </w:rPr>
        <w:t xml:space="preserve"> </w:t>
      </w:r>
      <w:r>
        <w:rPr>
          <w:b/>
          <w:bCs/>
        </w:rPr>
        <w:t xml:space="preserve">customization</w:t>
      </w:r>
      <w:r>
        <w:t xml:space="preserve"> </w:t>
      </w:r>
      <w:r>
        <w:t xml:space="preserve">— routing those shipped actions through the agency’s Help Desk</w:t>
      </w:r>
      <w:r>
        <w:t xml:space="preserve"> </w:t>
      </w:r>
      <w:r>
        <w:t xml:space="preserve">authority model and the ServiceNow / SAM approval pipelines, and filling only the</w:t>
      </w:r>
      <w:r>
        <w:t xml:space="preserve"> </w:t>
      </w:r>
      <w:r>
        <w:t xml:space="preserve">residual gaps the spoke does not cover (OneDrive, ImmutableID hard-match,</w:t>
      </w:r>
      <w:r>
        <w:t xml:space="preserve"> </w:t>
      </w:r>
      <w:r>
        <w:t xml:space="preserve">Conditional Access). It runs ServiceNow-first: requests enter a triage queue, are</w:t>
      </w:r>
      <w:r>
        <w:t xml:space="preserve"> </w:t>
      </w:r>
      <w:r>
        <w:t xml:space="preserve">classified by required authority, and route to the ServiceNow or SAM pipeline. See</w:t>
      </w:r>
      <w:r>
        <w:t xml:space="preserve"> </w:t>
      </w:r>
      <w:r>
        <w:t xml:space="preserve">Help Desk Flow — Intake, Triage, and Routing for the full</w:t>
      </w:r>
      <w:r>
        <w:t xml:space="preserve"> </w:t>
      </w:r>
      <w:r>
        <w:t xml:space="preserve">mechanisms and the task ↔ Spoke capability crosswalk.</w:t>
      </w:r>
    </w:p>
    <w:bookmarkEnd w:id="454"/>
    <w:bookmarkEnd w:id="455"/>
    <w:bookmarkStart w:id="482" w:name="help-desk-flow-intake-triage-and-routing"/>
    <w:p>
      <w:pPr>
        <w:pStyle w:val="Heading1"/>
      </w:pPr>
      <w:r>
        <w:t xml:space="preserve">Help Desk Flow — Intake, Triage, and Routing</w:t>
      </w:r>
    </w:p>
    <w:p>
      <w:pPr>
        <w:pStyle w:val="FirstParagraph"/>
      </w:pPr>
      <w:r>
        <w:t xml:space="preserve">The three governance documents in this set say</w:t>
      </w:r>
      <w:r>
        <w:t xml:space="preserve"> </w:t>
      </w:r>
      <w:r>
        <w:rPr>
          <w:b/>
          <w:bCs/>
        </w:rPr>
        <w:t xml:space="preserve">who owns what</w:t>
      </w:r>
      <w:r>
        <w:t xml:space="preserve"> </w:t>
      </w:r>
      <w:r>
        <w:t xml:space="preserve">and</w:t>
      </w:r>
      <w:r>
        <w:t xml:space="preserve"> </w:t>
      </w:r>
      <w:r>
        <w:rPr>
          <w:b/>
          <w:bCs/>
        </w:rPr>
        <w:t xml:space="preserve">who</w:t>
      </w:r>
      <w:r>
        <w:rPr>
          <w:b/>
          <w:bCs/>
        </w:rPr>
        <w:t xml:space="preserve"> </w:t>
      </w:r>
      <w:r>
        <w:rPr>
          <w:b/>
          <w:bCs/>
        </w:rPr>
        <w:t xml:space="preserve">approves what</w:t>
      </w:r>
      <w:r>
        <w:t xml:space="preserve">. This page is the</w:t>
      </w:r>
      <w:r>
        <w:t xml:space="preserve"> </w:t>
      </w:r>
      <w:r>
        <w:rPr>
          <w:i/>
          <w:iCs/>
        </w:rPr>
        <w:t xml:space="preserve">operations</w:t>
      </w:r>
      <w:r>
        <w:t xml:space="preserve"> </w:t>
      </w:r>
      <w:r>
        <w:t xml:space="preserve">half:</w:t>
      </w:r>
      <w:r>
        <w:t xml:space="preserve"> </w:t>
      </w:r>
      <w:r>
        <w:rPr>
          <w:b/>
          <w:bCs/>
        </w:rPr>
        <w:t xml:space="preserve">how a request gets into</w:t>
      </w:r>
      <w:r>
        <w:rPr>
          <w:b/>
          <w:bCs/>
        </w:rPr>
        <w:t xml:space="preserve"> </w:t>
      </w:r>
      <w:r>
        <w:rPr>
          <w:b/>
          <w:bCs/>
        </w:rPr>
        <w:t xml:space="preserve">ServiceNow, gets triaged, and gets routed</w:t>
      </w:r>
      <w:r>
        <w:t xml:space="preserve"> </w:t>
      </w:r>
      <w:r>
        <w:t xml:space="preserve">to the right approval pipeline — and</w:t>
      </w:r>
      <w:r>
        <w:t xml:space="preserve"> </w:t>
      </w:r>
      <w:r>
        <w:t xml:space="preserve">how you describe, modify, and create those flows. It builds on ServiceNow’s</w:t>
      </w:r>
      <w:r>
        <w:t xml:space="preserve"> </w:t>
      </w:r>
      <w:r>
        <w:t xml:space="preserve">shipped capabilities (Email Accounts, Email Filters</w:t>
      </w:r>
      <w:r>
        <w:rPr>
          <w:rStyle w:val="FootnoteReference"/>
        </w:rPr>
        <w:footnoteReference w:id="456"/>
      </w:r>
      <w:r>
        <w:t xml:space="preserve">, Inbound Email Actions</w:t>
      </w:r>
      <w:r>
        <w:rPr>
          <w:rStyle w:val="FootnoteReference"/>
        </w:rPr>
        <w:footnoteReference w:id="458"/>
      </w:r>
      <w:r>
        <w:t xml:space="preserve">, Flow</w:t>
      </w:r>
      <w:r>
        <w:t xml:space="preserve"> </w:t>
      </w:r>
      <w:r>
        <w:t xml:space="preserve">Designer</w:t>
      </w:r>
      <w:r>
        <w:rPr>
          <w:rStyle w:val="FootnoteReference"/>
        </w:rPr>
        <w:footnoteReference w:id="460"/>
      </w:r>
      <w:r>
        <w:t xml:space="preserve">) and the</w:t>
      </w:r>
      <w:r>
        <w:t xml:space="preserve"> </w:t>
      </w:r>
      <w:r>
        <w:rPr>
          <w:b/>
          <w:bCs/>
        </w:rPr>
        <w:t xml:space="preserve">Microsoft Entra ID Spoke</w:t>
      </w:r>
      <w:r>
        <w:rPr>
          <w:rStyle w:val="FootnoteReference"/>
        </w:rPr>
        <w:footnoteReference w:id="462"/>
      </w:r>
      <w:r>
        <w:t xml:space="preserve">, so most routine tasks execute</w:t>
      </w:r>
      <w:r>
        <w:t xml:space="preserve"> </w:t>
      </w:r>
      <w:r>
        <w:t xml:space="preserve">automatically and the Help Desk performs only the residual manual work.</w:t>
      </w:r>
    </w:p>
    <w:p>
      <w:pPr>
        <w:pStyle w:val="BodyText"/>
      </w:pPr>
      <w:r>
        <w:rPr>
          <w:b/>
          <w:bCs/>
        </w:rPr>
        <w:t xml:space="preserve">The one rule</w:t>
      </w:r>
    </w:p>
    <w:p>
      <w:pPr>
        <w:pStyle w:val="BodyText"/>
      </w:pPr>
      <w:r>
        <w:t xml:space="preserve">Nothing is handled as ad-hoc email to the Cloud Services team.</w:t>
      </w:r>
      <w:r>
        <w:t xml:space="preserve"> </w:t>
      </w:r>
      <w:r>
        <w:rPr>
          <w:b/>
          <w:bCs/>
        </w:rPr>
        <w:t xml:space="preserve">Every request is</w:t>
      </w:r>
      <w:r>
        <w:rPr>
          <w:b/>
          <w:bCs/>
        </w:rPr>
        <w:t xml:space="preserve"> </w:t>
      </w:r>
      <w:r>
        <w:rPr>
          <w:b/>
          <w:bCs/>
        </w:rPr>
        <w:t xml:space="preserve">triaged inside ServiceNow first, then routed to the ServiceNow or SAM approval</w:t>
      </w:r>
      <w:r>
        <w:rPr>
          <w:b/>
          <w:bCs/>
        </w:rPr>
        <w:t xml:space="preserve"> </w:t>
      </w:r>
      <w:r>
        <w:rPr>
          <w:b/>
          <w:bCs/>
        </w:rPr>
        <w:t xml:space="preserve">pipeline by the authority the task requires.</w:t>
      </w:r>
      <w:r>
        <w:t xml:space="preserve"> </w:t>
      </w:r>
      <w:r>
        <w:t xml:space="preserve">Cloud Services is the higher-level</w:t>
      </w:r>
      <w:r>
        <w:t xml:space="preserve"> </w:t>
      </w:r>
      <w:r>
        <w:t xml:space="preserve">review when the Help Desk (and automation) cannot perform a task.</w:t>
      </w:r>
    </w:p>
    <w:p>
      <w:pPr>
        <w:pStyle w:val="BodyText"/>
      </w:pPr>
      <w:r>
        <w:rPr>
          <w:b/>
          <w:bCs/>
        </w:rPr>
        <w:t xml:space="preserve">Integrating ServiceNow's shipped functions — not reinventing them</w:t>
      </w:r>
    </w:p>
    <w:p>
      <w:pPr>
        <w:pStyle w:val="BodyText"/>
      </w:pPr>
      <w:r>
        <w:t xml:space="preserve">This is an</w:t>
      </w:r>
      <w:r>
        <w:t xml:space="preserve"> </w:t>
      </w:r>
      <w:r>
        <w:rPr>
          <w:b/>
          <w:bCs/>
        </w:rPr>
        <w:t xml:space="preserve">integration and customization</w:t>
      </w:r>
      <w:r>
        <w:t xml:space="preserve"> </w:t>
      </w:r>
      <w:r>
        <w:t xml:space="preserve">of capabilities ServiceNow already</w:t>
      </w:r>
      <w:r>
        <w:t xml:space="preserve"> </w:t>
      </w:r>
      <w:r>
        <w:t xml:space="preserve">ships — not a new automation engine. ServiceNow’s</w:t>
      </w:r>
      <w:r>
        <w:t xml:space="preserve"> </w:t>
      </w:r>
      <w:r>
        <w:rPr>
          <w:b/>
          <w:bCs/>
        </w:rPr>
        <w:t xml:space="preserve">Microsoft Entra ID Spoke</w:t>
      </w:r>
      <w:r>
        <w:t xml:space="preserve"> </w:t>
      </w:r>
      <w:r>
        <w:t xml:space="preserve">“provides spoke actions to automate Microsoft Entra ID tasks for application management, audit logs, device management, group management, license management, organization management, password management, service principal management, user authentication, and user management”</w:t>
      </w:r>
      <w:r>
        <w:t xml:space="preserve">.</w:t>
      </w:r>
      <w:r>
        <w:rPr>
          <w:rStyle w:val="FootnoteReference"/>
        </w:rPr>
        <w:footnoteReference w:id="463"/>
      </w:r>
      <w:r>
        <w:t xml:space="preserve"> </w:t>
      </w:r>
      <w:r>
        <w:t xml:space="preserve">This kit routes those shipped actions through the agency’s</w:t>
      </w:r>
      <w:r>
        <w:t xml:space="preserve"> </w:t>
      </w:r>
      <w:r>
        <w:t xml:space="preserve">Help Desk authority model and the ServiceNow / SAM approval pipelines, and fills</w:t>
      </w:r>
      <w:r>
        <w:t xml:space="preserve"> </w:t>
      </w:r>
      <w:r>
        <w:t xml:space="preserve">only the gaps the spoke does not cover.</w:t>
      </w:r>
    </w:p>
    <w:bookmarkStart w:id="465" w:name="the-recommended-target-architecture"/>
    <w:p>
      <w:pPr>
        <w:pStyle w:val="Heading2"/>
      </w:pPr>
      <w:r>
        <w:t xml:space="preserve">The recommended target architecture</w:t>
      </w:r>
    </w:p>
    <w:p>
      <w:pPr>
        <w:pStyle w:val="FirstParagraph"/>
      </w:pPr>
      <w:r>
        <w:t xml:space="preserve">ServiceNow is the single front door. An inbound request is redirected into a</w:t>
      </w:r>
      <w:r>
        <w:t xml:space="preserve"> </w:t>
      </w:r>
      <w:r>
        <w:t xml:space="preserve">ServiceNow triage queue, classified by required authority, and routed to the</w:t>
      </w:r>
      <w:r>
        <w:t xml:space="preserve"> </w:t>
      </w:r>
      <w:r>
        <w:t xml:space="preserve">ServiceNow pipeline (manager approval) or the SAM pipeline (owner / IGO</w:t>
      </w:r>
      <w:r>
        <w:t xml:space="preserve"> </w:t>
      </w:r>
      <w:r>
        <w:t xml:space="preserve">approval). Execution prefers a</w:t>
      </w:r>
      <w:r>
        <w:t xml:space="preserve"> </w:t>
      </w:r>
      <w:r>
        <w:rPr>
          <w:b/>
          <w:bCs/>
        </w:rPr>
        <w:t xml:space="preserve">Microsoft Entra ID Spoke</w:t>
      </w:r>
      <w:r>
        <w:t xml:space="preserve"> </w:t>
      </w:r>
      <w:r>
        <w:t xml:space="preserve">action where one</w:t>
      </w:r>
      <w:r>
        <w:t xml:space="preserve"> </w:t>
      </w:r>
      <w:r>
        <w:t xml:space="preserve">exists; the Help Desk performs the manual gaps.</w:t>
      </w:r>
    </w:p>
    <w:bookmarkStart w:id="464" w:name="the-four-recommendations"/>
    <w:p>
      <w:pPr>
        <w:pStyle w:val="Heading3"/>
      </w:pPr>
      <w:r>
        <w:t xml:space="preserve">The four recommendations</w:t>
      </w:r>
    </w:p>
    <w:p>
      <w:pPr>
        <w:pStyle w:val="Compact"/>
        <w:numPr>
          <w:ilvl w:val="0"/>
          <w:numId w:val="1205"/>
        </w:numPr>
      </w:pPr>
      <w:r>
        <w:rPr>
          <w:b/>
          <w:bCs/>
        </w:rPr>
        <w:t xml:space="preserve">Make ServiceNow the single front door.</w:t>
      </w:r>
      <w:r>
        <w:t xml:space="preserve"> </w:t>
      </w:r>
      <w:r>
        <w:t xml:space="preserve">Redirect the Cloud Services mailbox</w:t>
      </w:r>
      <w:r>
        <w:t xml:space="preserve"> </w:t>
      </w:r>
      <w:r>
        <w:t xml:space="preserve">into a ServiceNow triage queue (Exchange transport rule → Inbound Email</w:t>
      </w:r>
      <w:r>
        <w:t xml:space="preserve"> </w:t>
      </w:r>
      <w:r>
        <w:t xml:space="preserve">Action), and add a Business Rule that pulls any ticket landing directly on</w:t>
      </w:r>
      <w:r>
        <w:t xml:space="preserve"> </w:t>
      </w:r>
      <w:r>
        <w:t xml:space="preserve">Cloud Services back into triage.</w:t>
      </w:r>
    </w:p>
    <w:p>
      <w:pPr>
        <w:pStyle w:val="Compact"/>
        <w:numPr>
          <w:ilvl w:val="0"/>
          <w:numId w:val="1205"/>
        </w:numPr>
      </w:pPr>
      <w:r>
        <w:rPr>
          <w:b/>
          <w:bCs/>
        </w:rPr>
        <w:t xml:space="preserve">Triage by required authority</w:t>
      </w:r>
      <w:r>
        <w:t xml:space="preserve"> </w:t>
      </w:r>
      <w:r>
        <w:t xml:space="preserve">— A0/A1 → ServiceNow, A2/A3 → SAM, OOS →</w:t>
      </w:r>
      <w:r>
        <w:t xml:space="preserve"> </w:t>
      </w:r>
      <w:r>
        <w:t xml:space="preserve">escalate — with all</w:t>
      </w:r>
      <w:r>
        <w:t xml:space="preserve"> </w:t>
      </w:r>
      <w:r>
        <w:rPr>
          <w:rStyle w:val="VerbatimChar"/>
        </w:rPr>
        <w:t xml:space="preserve">@microsoft.com</w:t>
      </w:r>
      <w:r>
        <w:t xml:space="preserve"> </w:t>
      </w:r>
      <w:r>
        <w:t xml:space="preserve">mail forced to A3, escalate-only.</w:t>
      </w:r>
    </w:p>
    <w:p>
      <w:pPr>
        <w:pStyle w:val="Compact"/>
        <w:numPr>
          <w:ilvl w:val="0"/>
          <w:numId w:val="1205"/>
        </w:numPr>
      </w:pPr>
      <w:r>
        <w:rPr>
          <w:b/>
          <w:bCs/>
        </w:rPr>
        <w:t xml:space="preserve">Automate execution with the Entra ID Spoke; reserve people for the gaps.</w:t>
      </w:r>
    </w:p>
    <w:p>
      <w:pPr>
        <w:pStyle w:val="Compact"/>
        <w:numPr>
          <w:ilvl w:val="0"/>
          <w:numId w:val="1205"/>
        </w:numPr>
      </w:pPr>
      <w:r>
        <w:rPr>
          <w:b/>
          <w:bCs/>
        </w:rPr>
        <w:t xml:space="preserve">Cloud Services is escalation review, not the routine queue.</w:t>
      </w:r>
      <w:r>
        <w:t xml:space="preserve"> </w:t>
      </w:r>
      <w:r>
        <w:t xml:space="preserve">Approval sits</w:t>
      </w:r>
      <w:r>
        <w:t xml:space="preserve"> </w:t>
      </w:r>
      <w:r>
        <w:t xml:space="preserve">with the requester’s manager (A1) or the application owner / IGO (A2/A3).</w:t>
      </w:r>
    </w:p>
    <w:bookmarkEnd w:id="464"/>
    <w:bookmarkEnd w:id="465"/>
    <w:bookmarkStart w:id="471" w:name="task-entra-id-spoke-capability-crosswalk"/>
    <w:p>
      <w:pPr>
        <w:pStyle w:val="Heading2"/>
      </w:pPr>
      <w:r>
        <w:t xml:space="preserve">Task ↔ Entra ID Spoke capability crosswalk</w:t>
      </w:r>
    </w:p>
    <w:p>
      <w:pPr>
        <w:pStyle w:val="FirstParagraph"/>
      </w:pPr>
      <w:r>
        <w:rPr>
          <w:rStyle w:val="VerbatimChar"/>
        </w:rPr>
        <w:t xml:space="preserve">Execution</w:t>
      </w:r>
      <w:r>
        <w:t xml:space="preserve"> </w:t>
      </w:r>
      <w:r>
        <w:t xml:space="preserve">is the recommended default:</w:t>
      </w:r>
      <w:r>
        <w:t xml:space="preserve"> </w:t>
      </w:r>
      <w:r>
        <w:rPr>
          <w:b/>
          <w:bCs/>
        </w:rPr>
        <w:t xml:space="preserve">Spoke</w:t>
      </w:r>
      <w:r>
        <w:t xml:space="preserve"> </w:t>
      </w:r>
      <w:r>
        <w:t xml:space="preserve">= Flow Designer auto-executes;</w:t>
      </w:r>
      <w:r>
        <w:t xml:space="preserve"> </w:t>
      </w:r>
      <w:r>
        <w:rPr>
          <w:b/>
          <w:bCs/>
        </w:rPr>
        <w:t xml:space="preserve">Manual</w:t>
      </w:r>
      <w:r>
        <w:t xml:space="preserve"> </w:t>
      </w:r>
      <w:r>
        <w:t xml:space="preserve">= a Help Desk task;</w:t>
      </w:r>
      <w:r>
        <w:t xml:space="preserve"> </w:t>
      </w:r>
      <w:r>
        <w:rPr>
          <w:b/>
          <w:bCs/>
        </w:rPr>
        <w:t xml:space="preserve">SAM</w:t>
      </w:r>
      <w:r>
        <w:t xml:space="preserve"> </w:t>
      </w:r>
      <w:r>
        <w:t xml:space="preserve">= SAM connector;</w:t>
      </w:r>
      <w:r>
        <w:t xml:space="preserve"> </w:t>
      </w:r>
      <w:r>
        <w:rPr>
          <w:b/>
          <w:bCs/>
        </w:rPr>
        <w:t xml:space="preserve">Escalate/OOS</w:t>
      </w:r>
      <w:r>
        <w:t xml:space="preserve"> </w:t>
      </w:r>
      <w:r>
        <w:t xml:space="preserve">= out of</w:t>
      </w:r>
      <w:r>
        <w:t xml:space="preserve"> </w:t>
      </w:r>
      <w:r>
        <w:t xml:space="preserve">the team’s hands.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Task</w:t>
            </w:r>
          </w:p>
        </w:tc>
        <w:tc>
          <w:tcPr/>
          <w:p>
            <w:pPr>
              <w:pStyle w:val="Compact"/>
            </w:pPr>
            <w:r>
              <w:t xml:space="preserve">Spoke category</w:t>
            </w:r>
          </w:p>
        </w:tc>
        <w:tc>
          <w:tcPr/>
          <w:p>
            <w:pPr>
              <w:pStyle w:val="Compact"/>
            </w:pPr>
            <w:r>
              <w:t xml:space="preserve">Tier</w:t>
            </w:r>
          </w:p>
        </w:tc>
        <w:tc>
          <w:tcPr/>
          <w:p>
            <w:pPr>
              <w:pStyle w:val="Compact"/>
            </w:pPr>
            <w:r>
              <w:t xml:space="preserve">Execution</w:t>
            </w:r>
          </w:p>
        </w:tc>
      </w:tr>
      <w:tr>
        <w:tc>
          <w:tcPr/>
          <w:p>
            <w:pPr>
              <w:pStyle w:val="Compact"/>
            </w:pPr>
            <w:r>
              <w:t xml:space="preserve">Password reset —</w:t>
            </w:r>
            <w:r>
              <w:t xml:space="preserve"> </w:t>
            </w:r>
            <w:r>
              <w:rPr>
                <w:b/>
                <w:bCs/>
              </w:rPr>
              <w:t xml:space="preserve">cloud-only</w:t>
            </w:r>
            <w:r>
              <w:t xml:space="preserve"> </w:t>
            </w:r>
            <w:r>
              <w:t xml:space="preserve">user</w:t>
            </w:r>
          </w:p>
        </w:tc>
        <w:tc>
          <w:tcPr/>
          <w:p>
            <w:pPr>
              <w:pStyle w:val="Compact"/>
            </w:pPr>
            <w:r>
              <w:t xml:space="preserve">Password management</w:t>
            </w:r>
          </w:p>
        </w:tc>
        <w:tc>
          <w:tcPr/>
          <w:p>
            <w:pPr>
              <w:pStyle w:val="Compact"/>
            </w:pPr>
            <w:r>
              <w:t xml:space="preserve">A0</w:t>
            </w:r>
          </w:p>
        </w:tc>
        <w:tc>
          <w:tcPr/>
          <w:p>
            <w:pPr>
              <w:pStyle w:val="Compact"/>
            </w:pPr>
            <w:r>
              <w:t xml:space="preserve">Spoke (Delegated work/school grant)</w:t>
            </w:r>
          </w:p>
        </w:tc>
      </w:tr>
      <w:tr>
        <w:tc>
          <w:tcPr/>
          <w:p>
            <w:pPr>
              <w:pStyle w:val="Compact"/>
            </w:pPr>
            <w:r>
              <w:t xml:space="preserve">Password reset —</w:t>
            </w:r>
            <w:r>
              <w:t xml:space="preserve"> </w:t>
            </w:r>
            <w:r>
              <w:rPr>
                <w:b/>
                <w:bCs/>
              </w:rPr>
              <w:t xml:space="preserve">hybrid / federated</w:t>
            </w:r>
            <w:r>
              <w:t xml:space="preserve"> </w:t>
            </w:r>
            <w:r>
              <w:t xml:space="preserve">user</w:t>
            </w:r>
          </w:p>
        </w:tc>
        <w:tc>
          <w:tcPr/>
          <w:p>
            <w:pPr>
              <w:pStyle w:val="Compact"/>
            </w:pPr>
            <w:r>
              <w:t xml:space="preserve">— (synced from on-prem AD)</w:t>
            </w:r>
          </w:p>
        </w:tc>
        <w:tc>
          <w:tcPr/>
          <w:p>
            <w:pPr>
              <w:pStyle w:val="Compact"/>
            </w:pPr>
            <w:r>
              <w:t xml:space="preserve">A0</w:t>
            </w:r>
          </w:p>
        </w:tc>
        <w:tc>
          <w:tcPr/>
          <w:p>
            <w:pPr>
              <w:pStyle w:val="Compact"/>
            </w:pPr>
            <w:r>
              <w:t xml:space="preserve">Manual — on-prem AD / SSPR writeback</w:t>
            </w:r>
          </w:p>
        </w:tc>
      </w:tr>
      <w:tr>
        <w:tc>
          <w:tcPr/>
          <w:p>
            <w:pPr>
              <w:pStyle w:val="Compact"/>
            </w:pPr>
            <w:r>
              <w:t xml:space="preserve">Sign-in / audit-log retrieval</w:t>
            </w:r>
          </w:p>
        </w:tc>
        <w:tc>
          <w:tcPr/>
          <w:p>
            <w:pPr>
              <w:pStyle w:val="Compact"/>
            </w:pPr>
            <w:r>
              <w:t xml:space="preserve">Audit logs</w:t>
            </w:r>
          </w:p>
        </w:tc>
        <w:tc>
          <w:tcPr/>
          <w:p>
            <w:pPr>
              <w:pStyle w:val="Compact"/>
            </w:pPr>
            <w:r>
              <w:t xml:space="preserve">A0</w:t>
            </w:r>
          </w:p>
        </w:tc>
        <w:tc>
          <w:tcPr/>
          <w:p>
            <w:pPr>
              <w:pStyle w:val="Compact"/>
            </w:pPr>
            <w:r>
              <w:t xml:space="preserve">Spoke (read-only)</w:t>
            </w:r>
          </w:p>
        </w:tc>
      </w:tr>
      <w:tr>
        <w:tc>
          <w:tcPr/>
          <w:p>
            <w:pPr>
              <w:pStyle w:val="Compact"/>
            </w:pPr>
            <w:r>
              <w:t xml:space="preserve">MFA / auth-method reset</w:t>
            </w:r>
          </w:p>
        </w:tc>
        <w:tc>
          <w:tcPr/>
          <w:p>
            <w:pPr>
              <w:pStyle w:val="Compact"/>
            </w:pPr>
            <w:r>
              <w:t xml:space="preserve">User authentication</w:t>
            </w:r>
          </w:p>
        </w:tc>
        <w:tc>
          <w:tcPr/>
          <w:p>
            <w:pPr>
              <w:pStyle w:val="Compact"/>
            </w:pPr>
            <w:r>
              <w:t xml:space="preserve">A1</w:t>
            </w:r>
          </w:p>
        </w:tc>
        <w:tc>
          <w:tcPr/>
          <w:p>
            <w:pPr>
              <w:pStyle w:val="Compact"/>
            </w:pPr>
            <w:r>
              <w:t xml:space="preserve">Spoke</w:t>
            </w:r>
          </w:p>
        </w:tc>
      </w:tr>
      <w:tr>
        <w:tc>
          <w:tcPr/>
          <w:p>
            <w:pPr>
              <w:pStyle w:val="Compact"/>
            </w:pPr>
            <w:r>
              <w:t xml:space="preserve">License assign / remove</w:t>
            </w:r>
          </w:p>
        </w:tc>
        <w:tc>
          <w:tcPr/>
          <w:p>
            <w:pPr>
              <w:pStyle w:val="Compact"/>
            </w:pPr>
            <w:r>
              <w:t xml:space="preserve">License management</w:t>
            </w:r>
          </w:p>
        </w:tc>
        <w:tc>
          <w:tcPr/>
          <w:p>
            <w:pPr>
              <w:pStyle w:val="Compact"/>
            </w:pPr>
            <w:r>
              <w:t xml:space="preserve">A1</w:t>
            </w:r>
          </w:p>
        </w:tc>
        <w:tc>
          <w:tcPr/>
          <w:p>
            <w:pPr>
              <w:pStyle w:val="Compact"/>
            </w:pPr>
            <w:r>
              <w:t xml:space="preserve">Spoke</w:t>
            </w:r>
          </w:p>
        </w:tc>
      </w:tr>
      <w:tr>
        <w:tc>
          <w:tcPr/>
          <w:p>
            <w:pPr>
              <w:pStyle w:val="Compact"/>
            </w:pPr>
            <w:r>
              <w:t xml:space="preserve">User enable / update / assign manager</w:t>
            </w:r>
          </w:p>
        </w:tc>
        <w:tc>
          <w:tcPr/>
          <w:p>
            <w:pPr>
              <w:pStyle w:val="Compact"/>
            </w:pPr>
            <w:r>
              <w:t xml:space="preserve">User management</w:t>
            </w:r>
          </w:p>
        </w:tc>
        <w:tc>
          <w:tcPr/>
          <w:p>
            <w:pPr>
              <w:pStyle w:val="Compact"/>
            </w:pPr>
            <w:r>
              <w:t xml:space="preserve">A1</w:t>
            </w:r>
          </w:p>
        </w:tc>
        <w:tc>
          <w:tcPr/>
          <w:p>
            <w:pPr>
              <w:pStyle w:val="Compact"/>
            </w:pPr>
            <w:r>
              <w:t xml:space="preserve">Spoke</w:t>
            </w:r>
          </w:p>
        </w:tc>
      </w:tr>
      <w:tr>
        <w:tc>
          <w:tcPr/>
          <w:p>
            <w:pPr>
              <w:pStyle w:val="Compact"/>
            </w:pPr>
            <w:r>
              <w:t xml:space="preserve">Add user to security group</w:t>
            </w:r>
          </w:p>
        </w:tc>
        <w:tc>
          <w:tcPr/>
          <w:p>
            <w:pPr>
              <w:pStyle w:val="Compact"/>
            </w:pPr>
            <w:r>
              <w:t xml:space="preserve">Group management</w:t>
            </w:r>
          </w:p>
        </w:tc>
        <w:tc>
          <w:tcPr/>
          <w:p>
            <w:pPr>
              <w:pStyle w:val="Compact"/>
            </w:pPr>
            <w:r>
              <w:t xml:space="preserve">A1/A2</w:t>
            </w:r>
          </w:p>
        </w:tc>
        <w:tc>
          <w:tcPr/>
          <w:p>
            <w:pPr>
              <w:pStyle w:val="Compact"/>
            </w:pPr>
            <w:r>
              <w:t xml:space="preserve">Spoke</w:t>
            </w:r>
          </w:p>
        </w:tc>
      </w:tr>
      <w:tr>
        <w:tc>
          <w:tcPr/>
          <w:p>
            <w:pPr>
              <w:pStyle w:val="Compact"/>
            </w:pPr>
            <w:r>
              <w:t xml:space="preserve">Group creation + owner management</w:t>
            </w:r>
          </w:p>
        </w:tc>
        <w:tc>
          <w:tcPr/>
          <w:p>
            <w:pPr>
              <w:pStyle w:val="Compact"/>
            </w:pPr>
            <w:r>
              <w:t xml:space="preserve">Group management</w:t>
            </w:r>
          </w:p>
        </w:tc>
        <w:tc>
          <w:tcPr/>
          <w:p>
            <w:pPr>
              <w:pStyle w:val="Compact"/>
            </w:pPr>
            <w:r>
              <w:t xml:space="preserve">A2</w:t>
            </w:r>
          </w:p>
        </w:tc>
        <w:tc>
          <w:tcPr/>
          <w:p>
            <w:pPr>
              <w:pStyle w:val="Compact"/>
            </w:pPr>
            <w:r>
              <w:t xml:space="preserve">Spoke</w:t>
            </w:r>
          </w:p>
        </w:tc>
      </w:tr>
      <w:tr>
        <w:tc>
          <w:tcPr/>
          <w:p>
            <w:pPr>
              <w:pStyle w:val="Compact"/>
            </w:pPr>
            <w:r>
              <w:t xml:space="preserve">Access-certification revocation</w:t>
            </w:r>
          </w:p>
        </w:tc>
        <w:tc>
          <w:tcPr/>
          <w:p>
            <w:pPr>
              <w:pStyle w:val="Compact"/>
            </w:pPr>
            <w:r>
              <w:t xml:space="preserve">Group management</w:t>
            </w:r>
          </w:p>
        </w:tc>
        <w:tc>
          <w:tcPr/>
          <w:p>
            <w:pPr>
              <w:pStyle w:val="Compact"/>
            </w:pPr>
            <w:r>
              <w:t xml:space="preserve">A2</w:t>
            </w:r>
          </w:p>
        </w:tc>
        <w:tc>
          <w:tcPr/>
          <w:p>
            <w:pPr>
              <w:pStyle w:val="Compact"/>
            </w:pPr>
            <w:r>
              <w:t xml:space="preserve">Spoke</w:t>
            </w:r>
          </w:p>
        </w:tc>
      </w:tr>
      <w:tr>
        <w:tc>
          <w:tcPr/>
          <w:p>
            <w:pPr>
              <w:pStyle w:val="Compact"/>
            </w:pPr>
            <w:r>
              <w:t xml:space="preserve">User create / disable (joiner / leaver)</w:t>
            </w:r>
          </w:p>
        </w:tc>
        <w:tc>
          <w:tcPr/>
          <w:p>
            <w:pPr>
              <w:pStyle w:val="Compact"/>
            </w:pPr>
            <w:r>
              <w:t xml:space="preserve">User management</w:t>
            </w:r>
          </w:p>
        </w:tc>
        <w:tc>
          <w:tcPr/>
          <w:p>
            <w:pPr>
              <w:pStyle w:val="Compact"/>
            </w:pPr>
            <w:r>
              <w:t xml:space="preserve">A2</w:t>
            </w:r>
          </w:p>
        </w:tc>
        <w:tc>
          <w:tcPr/>
          <w:p>
            <w:pPr>
              <w:pStyle w:val="Compact"/>
            </w:pPr>
            <w:r>
              <w:t xml:space="preserve">Spoke (via SAM lifecycle)</w:t>
            </w:r>
          </w:p>
        </w:tc>
      </w:tr>
      <w:tr>
        <w:tc>
          <w:tcPr/>
          <w:p>
            <w:pPr>
              <w:pStyle w:val="Compact"/>
            </w:pPr>
            <w:r>
              <w:t xml:space="preserve">Device enable / disable / delete</w:t>
            </w:r>
          </w:p>
        </w:tc>
        <w:tc>
          <w:tcPr/>
          <w:p>
            <w:pPr>
              <w:pStyle w:val="Compact"/>
            </w:pPr>
            <w:r>
              <w:t xml:space="preserve">Device management</w:t>
            </w:r>
          </w:p>
        </w:tc>
        <w:tc>
          <w:tcPr/>
          <w:p>
            <w:pPr>
              <w:pStyle w:val="Compact"/>
            </w:pPr>
            <w:r>
              <w:t xml:space="preserve">A2 / OOS</w:t>
            </w:r>
          </w:p>
        </w:tc>
        <w:tc>
          <w:tcPr/>
          <w:p>
            <w:pPr>
              <w:pStyle w:val="Compact"/>
            </w:pPr>
            <w:r>
              <w:t xml:space="preserve">Spoke / device team</w:t>
            </w:r>
          </w:p>
        </w:tc>
      </w:tr>
      <w:tr>
        <w:tc>
          <w:tcPr/>
          <w:p>
            <w:pPr>
              <w:pStyle w:val="Compact"/>
            </w:pPr>
            <w:r>
              <w:t xml:space="preserve">Enterprise App access (group → app role)</w:t>
            </w:r>
          </w:p>
        </w:tc>
        <w:tc>
          <w:tcPr/>
          <w:p>
            <w:pPr>
              <w:pStyle w:val="Compact"/>
            </w:pPr>
            <w:r>
              <w:t xml:space="preserve">Group + Application mgmt</w:t>
            </w:r>
          </w:p>
        </w:tc>
        <w:tc>
          <w:tcPr/>
          <w:p>
            <w:pPr>
              <w:pStyle w:val="Compact"/>
            </w:pPr>
            <w:r>
              <w:t xml:space="preserve">A2</w:t>
            </w:r>
          </w:p>
        </w:tc>
        <w:tc>
          <w:tcPr/>
          <w:p>
            <w:pPr>
              <w:pStyle w:val="Compact"/>
            </w:pPr>
            <w:r>
              <w:t xml:space="preserve">Spoke for membership; manual one-time group→app-role binding</w:t>
            </w:r>
          </w:p>
        </w:tc>
      </w:tr>
      <w:tr>
        <w:tc>
          <w:tcPr/>
          <w:p>
            <w:pPr>
              <w:pStyle w:val="Compact"/>
            </w:pPr>
            <w:r>
              <w:t xml:space="preserve">OneDrive provisioning / client-side</w:t>
            </w:r>
          </w:p>
        </w:tc>
        <w:tc>
          <w:tcPr/>
          <w:p>
            <w:pPr>
              <w:pStyle w:val="Compact"/>
            </w:pPr>
            <w:r>
              <w:t xml:space="preserve">none (M365)</w:t>
            </w:r>
          </w:p>
        </w:tc>
        <w:tc>
          <w:tcPr/>
          <w:p>
            <w:pPr>
              <w:pStyle w:val="Compact"/>
            </w:pPr>
            <w:r>
              <w:t xml:space="preserve">A0/A1</w:t>
            </w:r>
          </w:p>
        </w:tc>
        <w:tc>
          <w:tcPr/>
          <w:p>
            <w:pPr>
              <w:pStyle w:val="Compact"/>
            </w:pPr>
            <w:r>
              <w:t xml:space="preserve">Manual</w:t>
            </w:r>
          </w:p>
        </w:tc>
      </w:tr>
      <w:tr>
        <w:tc>
          <w:tcPr/>
          <w:p>
            <w:pPr>
              <w:pStyle w:val="Compact"/>
            </w:pPr>
            <w:r>
              <w:t xml:space="preserve">ImmutableID hard-match repair</w:t>
            </w:r>
          </w:p>
        </w:tc>
        <w:tc>
          <w:tcPr/>
          <w:p>
            <w:pPr>
              <w:pStyle w:val="Compact"/>
            </w:pPr>
            <w:r>
              <w:t xml:space="preserve">none</w:t>
            </w:r>
          </w:p>
        </w:tc>
        <w:tc>
          <w:tcPr/>
          <w:p>
            <w:pPr>
              <w:pStyle w:val="Compact"/>
            </w:pPr>
            <w:r>
              <w:t xml:space="preserve">A3</w:t>
            </w:r>
          </w:p>
        </w:tc>
        <w:tc>
          <w:tcPr/>
          <w:p>
            <w:pPr>
              <w:pStyle w:val="Compact"/>
            </w:pPr>
            <w:r>
              <w:t xml:space="preserve">Manual (Graph)</w:t>
            </w:r>
          </w:p>
        </w:tc>
      </w:tr>
      <w:tr>
        <w:tc>
          <w:tcPr/>
          <w:p>
            <w:pPr>
              <w:pStyle w:val="Compact"/>
            </w:pPr>
            <w:r>
              <w:t xml:space="preserve">Admin Consent</w:t>
            </w:r>
          </w:p>
        </w:tc>
        <w:tc>
          <w:tcPr/>
          <w:p>
            <w:pPr>
              <w:pStyle w:val="Compact"/>
            </w:pPr>
            <w:r>
              <w:t xml:space="preserve">none (governance)</w:t>
            </w:r>
          </w:p>
        </w:tc>
        <w:tc>
          <w:tcPr/>
          <w:p>
            <w:pPr>
              <w:pStyle w:val="Compact"/>
            </w:pPr>
            <w:r>
              <w:t xml:space="preserve">A3</w:t>
            </w:r>
          </w:p>
        </w:tc>
        <w:tc>
          <w:tcPr/>
          <w:p>
            <w:pPr>
              <w:pStyle w:val="Compact"/>
            </w:pPr>
            <w:r>
              <w:t xml:space="preserve">Escalate — never auto</w:t>
            </w:r>
          </w:p>
        </w:tc>
      </w:tr>
      <w:tr>
        <w:tc>
          <w:tcPr/>
          <w:p>
            <w:pPr>
              <w:pStyle w:val="Compact"/>
            </w:pPr>
            <w:r>
              <w:t xml:space="preserve">Conditional Access</w:t>
            </w:r>
          </w:p>
        </w:tc>
        <w:tc>
          <w:tcPr/>
          <w:p>
            <w:pPr>
              <w:pStyle w:val="Compact"/>
            </w:pPr>
            <w:r>
              <w:t xml:space="preserve">none</w:t>
            </w:r>
          </w:p>
        </w:tc>
        <w:tc>
          <w:tcPr/>
          <w:p>
            <w:pPr>
              <w:pStyle w:val="Compact"/>
            </w:pPr>
            <w:r>
              <w:t xml:space="preserve">OOS</w:t>
            </w:r>
          </w:p>
        </w:tc>
        <w:tc>
          <w:tcPr/>
          <w:p>
            <w:pPr>
              <w:pStyle w:val="Compact"/>
            </w:pPr>
            <w:r>
              <w:t xml:space="preserve">Manual / Security Admin</w:t>
            </w:r>
          </w:p>
        </w:tc>
      </w:tr>
      <w:tr>
        <w:tc>
          <w:tcPr/>
          <w:p>
            <w:pPr>
              <w:pStyle w:val="Compact"/>
            </w:pPr>
            <w:r>
              <w:t xml:space="preserve">Directory role / Service Principal</w:t>
            </w:r>
          </w:p>
        </w:tc>
        <w:tc>
          <w:tcPr/>
          <w:p>
            <w:pPr>
              <w:pStyle w:val="Compact"/>
            </w:pPr>
            <w:r>
              <w:t xml:space="preserve">App / SP mgmt (governance keeps manual)</w:t>
            </w:r>
          </w:p>
        </w:tc>
        <w:tc>
          <w:tcPr/>
          <w:p>
            <w:pPr>
              <w:pStyle w:val="Compact"/>
            </w:pPr>
            <w:r>
              <w:t xml:space="preserve">OOS</w:t>
            </w:r>
          </w:p>
        </w:tc>
        <w:tc>
          <w:tcPr/>
          <w:p>
            <w:pPr>
              <w:pStyle w:val="Compact"/>
            </w:pPr>
            <w:r>
              <w:t xml:space="preserve">Manual / Identity Eng</w:t>
            </w:r>
          </w:p>
        </w:tc>
      </w:tr>
    </w:tbl>
    <w:bookmarkStart w:id="470" w:name="what-the-servicenow-entra-id-spoke-ships"/>
    <w:p>
      <w:pPr>
        <w:pStyle w:val="Heading3"/>
      </w:pPr>
      <w:r>
        <w:t xml:space="preserve">What the ServiceNow Entra ID Spoke ships</w:t>
      </w:r>
    </w:p>
    <w:p>
      <w:pPr>
        <w:pStyle w:val="FirstParagraph"/>
      </w:pPr>
      <w:r>
        <w:t xml:space="preserve">ServiceNow’s Microsoft Entra ID Spoke (formerly the Microsoft Azure Active</w:t>
      </w:r>
      <w:r>
        <w:t xml:space="preserve"> </w:t>
      </w:r>
      <w:r>
        <w:t xml:space="preserve">Directory spoke) is a prebuilt Integration Hub spoke with actions across ten</w:t>
      </w:r>
      <w:r>
        <w:t xml:space="preserve"> </w:t>
      </w:r>
      <w:r>
        <w:t xml:space="preserve">categories —</w:t>
      </w:r>
      <w:r>
        <w:t xml:space="preserve"> </w:t>
      </w:r>
      <w:r>
        <w:rPr>
          <w:b/>
          <w:bCs/>
        </w:rPr>
        <w:t xml:space="preserve">application management, audit logs, device management, group</w:t>
      </w:r>
      <w:r>
        <w:rPr>
          <w:b/>
          <w:bCs/>
        </w:rPr>
        <w:t xml:space="preserve"> </w:t>
      </w:r>
      <w:r>
        <w:rPr>
          <w:b/>
          <w:bCs/>
        </w:rPr>
        <w:t xml:space="preserve">management, license management, organization management, password management,</w:t>
      </w:r>
      <w:r>
        <w:rPr>
          <w:b/>
          <w:bCs/>
        </w:rPr>
        <w:t xml:space="preserve"> </w:t>
      </w:r>
      <w:r>
        <w:rPr>
          <w:b/>
          <w:bCs/>
        </w:rPr>
        <w:t xml:space="preserve">service principal management, user authentication, and user management</w:t>
      </w:r>
      <w:r>
        <w:t xml:space="preserve"> </w:t>
      </w:r>
      <w:r>
        <w:t xml:space="preserve">— plus</w:t>
      </w:r>
      <w:r>
        <w:t xml:space="preserve"> </w:t>
      </w:r>
      <w:r>
        <w:t xml:space="preserve">sample flows and subflows you clone.</w:t>
      </w:r>
      <w:r>
        <w:rPr>
          <w:rStyle w:val="FootnoteReference"/>
        </w:rPr>
        <w:footnoteReference w:id="466"/>
      </w:r>
      <w:r>
        <w:t xml:space="preserve"> </w:t>
      </w:r>
      <w:r>
        <w:t xml:space="preserve">It authenticates via a custom OAuth</w:t>
      </w:r>
      <w:r>
        <w:t xml:space="preserve"> </w:t>
      </w:r>
      <w:r>
        <w:t xml:space="preserve">app and calls Microsoft Graph, so each action carries the matching Graph permission</w:t>
      </w:r>
      <w:r>
        <w:t xml:space="preserve"> </w:t>
      </w:r>
      <w:r>
        <w:t xml:space="preserve">and admin consent. Microsoft’s role reference describes the Application</w:t>
      </w:r>
      <w:r>
        <w:t xml:space="preserve"> </w:t>
      </w:r>
      <w:r>
        <w:t xml:space="preserve">Administrator role the app-management actions run under as one that</w:t>
      </w:r>
      <w:r>
        <w:t xml:space="preserve"> </w:t>
      </w:r>
      <w:r>
        <w:t xml:space="preserve">“allows users</w:t>
      </w:r>
      <w:r>
        <w:t xml:space="preserve"> </w:t>
      </w:r>
      <w:r>
        <w:t xml:space="preserve">to add, manage, and configure enterprise applications and app registrations”</w:t>
      </w:r>
      <w:r>
        <w:t xml:space="preserve">.</w:t>
      </w:r>
      <w:r>
        <w:rPr>
          <w:rStyle w:val="FootnoteReference"/>
        </w:rPr>
        <w:footnoteReference w:id="467"/>
      </w:r>
      <w:r>
        <w:t xml:space="preserve"> </w:t>
      </w:r>
      <w:r>
        <w:t xml:space="preserve">For the on-premises side of a hybrid estate, ServiceNow also ships a separate</w:t>
      </w:r>
      <w:r>
        <w:t xml:space="preserve"> </w:t>
      </w:r>
      <w:r>
        <w:rPr>
          <w:b/>
          <w:bCs/>
        </w:rPr>
        <w:t xml:space="preserve">Microsoft Active Directory spoke</w:t>
      </w:r>
      <w:r>
        <w:t xml:space="preserve">; this kit’s manual ImmutableID path covers the</w:t>
      </w:r>
      <w:r>
        <w:t xml:space="preserve"> </w:t>
      </w:r>
      <w:r>
        <w:t xml:space="preserve">hybrid hard-match the Entra ID Spoke does not.</w:t>
      </w:r>
    </w:p>
    <w:p>
      <w:pPr>
        <w:pStyle w:val="BodyText"/>
      </w:pPr>
      <w:r>
        <w:rPr>
          <w:b/>
          <w:bCs/>
        </w:rPr>
        <w:t xml:space="preserve">Two limits that matter on a hybrid, work/school estate</w:t>
      </w:r>
    </w:p>
    <w:p>
      <w:pPr>
        <w:pStyle w:val="Compact"/>
        <w:numPr>
          <w:ilvl w:val="0"/>
          <w:numId w:val="1206"/>
        </w:numPr>
      </w:pPr>
      <w:r>
        <w:rPr>
          <w:b/>
          <w:bCs/>
        </w:rPr>
        <w:t xml:space="preserve">Password reset only covers cloud-only users.</w:t>
      </w:r>
      <w:r>
        <w:t xml:space="preserve"> </w:t>
      </w:r>
      <w:r>
        <w:t xml:space="preserve">ServiceNow’s Reset Password action</w:t>
      </w:r>
      <w:r>
        <w:t xml:space="preserve"> </w:t>
      </w:r>
      <w:r>
        <w:t xml:space="preserve">“resets the password of users created in Entra ID only and does not reset the password of the federated users”</w:t>
      </w:r>
      <w:r>
        <w:rPr>
          <w:rStyle w:val="FootnoteReference"/>
        </w:rPr>
        <w:footnoteReference w:id="468"/>
      </w:r>
      <w:r>
        <w:t xml:space="preserve"> </w:t>
      </w:r>
      <w:r>
        <w:t xml:space="preserve">— so</w:t>
      </w:r>
      <w:r>
        <w:t xml:space="preserve"> </w:t>
      </w:r>
      <w:r>
        <w:rPr>
          <w:b/>
          <w:bCs/>
        </w:rPr>
        <w:t xml:space="preserve">synced / federated users’ password resets stay on-prem</w:t>
      </w:r>
      <w:r>
        <w:t xml:space="preserve"> </w:t>
      </w:r>
      <w:r>
        <w:t xml:space="preserve">(SSPR with password writeback, or on-prem AD), not the Spoke.</w:t>
      </w:r>
    </w:p>
    <w:p>
      <w:pPr>
        <w:pStyle w:val="Compact"/>
        <w:numPr>
          <w:ilvl w:val="0"/>
          <w:numId w:val="1206"/>
        </w:numPr>
      </w:pPr>
      <w:r>
        <w:rPr>
          <w:b/>
          <w:bCs/>
        </w:rPr>
        <w:t xml:space="preserve">No app-only for password / session actions.</w:t>
      </w:r>
      <w:r>
        <w:t xml:space="preserve"> </w:t>
      </w:r>
      <w:r>
        <w:t xml:space="preserve">Reset Password, Change Password, and Revoke Sign-in Sessions are</w:t>
      </w:r>
      <w:r>
        <w:t xml:space="preserve"> </w:t>
      </w:r>
      <w:r>
        <w:rPr>
          <w:b/>
          <w:bCs/>
        </w:rPr>
        <w:t xml:space="preserve">not supported as Application (app-only) permissions</w:t>
      </w:r>
      <w:r>
        <w:t xml:space="preserve"> </w:t>
      </w:r>
      <w:r>
        <w:t xml:space="preserve">— they require a</w:t>
      </w:r>
      <w:r>
        <w:t xml:space="preserve"> </w:t>
      </w:r>
      <w:r>
        <w:rPr>
          <w:b/>
          <w:bCs/>
        </w:rPr>
        <w:t xml:space="preserve">Delegated (work/school)</w:t>
      </w:r>
      <w:r>
        <w:t xml:space="preserve"> </w:t>
      </w:r>
      <w:r>
        <w:t xml:space="preserve">connection. (The spoke’s pervasive</w:t>
      </w:r>
      <w:r>
        <w:t xml:space="preserve"> </w:t>
      </w:r>
      <w:r>
        <w:t xml:space="preserve">“Not supported”</w:t>
      </w:r>
      <w:r>
        <w:t xml:space="preserve"> </w:t>
      </w:r>
      <w:r>
        <w:t xml:space="preserve">entries are for</w:t>
      </w:r>
      <w:r>
        <w:t xml:space="preserve"> </w:t>
      </w:r>
      <w:r>
        <w:rPr>
          <w:i/>
          <w:iCs/>
        </w:rPr>
        <w:t xml:space="preserve">personal Microsoft accounts</w:t>
      </w:r>
      <w:r>
        <w:t xml:space="preserve">, which a federal tenant never uses.)</w:t>
      </w:r>
    </w:p>
    <w:p>
      <w:pPr>
        <w:pStyle w:val="FirstParagraph"/>
      </w:pPr>
      <w:r>
        <w:rPr>
          <w:b/>
          <w:bCs/>
        </w:rPr>
        <w:t xml:space="preserve">Coverage is release-dependent</w:t>
      </w:r>
    </w:p>
    <w:p>
      <w:pPr>
        <w:pStyle w:val="BodyText"/>
      </w:pPr>
      <w:r>
        <w:t xml:space="preserve">Per-action Spoke coverage varies by version — validate against your installed</w:t>
      </w:r>
      <w:r>
        <w:t xml:space="preserve"> </w:t>
      </w:r>
      <w:r>
        <w:t xml:space="preserve">Microsoft Entra ID Spoke. The Spoke authenticates via a custom OAuth app and</w:t>
      </w:r>
      <w:r>
        <w:t xml:space="preserve"> </w:t>
      </w:r>
      <w:r>
        <w:t xml:space="preserve">calls Microsoft Graph, so each action needs the matching Graph permission and</w:t>
      </w:r>
      <w:r>
        <w:t xml:space="preserve"> </w:t>
      </w:r>
      <w:r>
        <w:t xml:space="preserve">admin consent.</w:t>
      </w:r>
      <w:r>
        <w:rPr>
          <w:rStyle w:val="FootnoteReference"/>
        </w:rPr>
        <w:footnoteReference w:id="469"/>
      </w:r>
      <w:r>
        <w:t xml:space="preserve"> </w:t>
      </w:r>
      <w:r>
        <w:t xml:space="preserve">The Spoke requires ServiceNow Integration Hub; without</w:t>
      </w:r>
      <w:r>
        <w:t xml:space="preserve"> </w:t>
      </w:r>
      <w:r>
        <w:t xml:space="preserve">it, every</w:t>
      </w:r>
      <w:r>
        <w:t xml:space="preserve"> </w:t>
      </w:r>
      <w:r>
        <w:t xml:space="preserve">“Spoke”</w:t>
      </w:r>
      <w:r>
        <w:t xml:space="preserve"> </w:t>
      </w:r>
      <w:r>
        <w:t xml:space="preserve">cell becomes a manual Help Desk task and the flow shape is</w:t>
      </w:r>
      <w:r>
        <w:t xml:space="preserve"> </w:t>
      </w:r>
      <w:r>
        <w:t xml:space="preserve">unchanged.</w:t>
      </w:r>
    </w:p>
    <w:bookmarkEnd w:id="470"/>
    <w:bookmarkEnd w:id="471"/>
    <w:bookmarkStart w:id="472" w:name="X67f8424ec2bb0514ca2e8036c23fe25b4443888"/>
    <w:p>
      <w:pPr>
        <w:pStyle w:val="Heading2"/>
      </w:pPr>
      <w:r>
        <w:t xml:space="preserve">Mechanism A — redirect an email into the triage queue</w:t>
      </w:r>
    </w:p>
    <w:p>
      <w:pPr>
        <w:pStyle w:val="FirstParagraph"/>
      </w:pPr>
      <w:r>
        <w:t xml:space="preserve">An Exchange Online transport rule routes mail addressed to the Cloud Services</w:t>
      </w:r>
      <w:r>
        <w:t xml:space="preserve"> </w:t>
      </w:r>
      <w:r>
        <w:t xml:space="preserve">mailbox to the ServiceNow inbound address; a</w:t>
      </w:r>
      <w:r>
        <w:t xml:space="preserve"> </w:t>
      </w:r>
      <w:r>
        <w:rPr>
          <w:i/>
          <w:iCs/>
        </w:rPr>
        <w:t xml:space="preserve">New</w:t>
      </w:r>
      <w:r>
        <w:t xml:space="preserve">-type Inbound Email Action</w:t>
      </w:r>
      <w:r>
        <w:t xml:space="preserve"> </w:t>
      </w:r>
      <w:r>
        <w:t xml:space="preserve">creates the record in a triage queue with the assignee left blank.</w:t>
      </w:r>
    </w:p>
    <w:p>
      <w:pPr>
        <w:pStyle w:val="SourceCode"/>
      </w:pPr>
      <w:r>
        <w:rPr>
          <w:rStyle w:val="CommentTok"/>
        </w:rPr>
        <w:t xml:space="preserve"># Exchange Online — route Cloud Services intake to ServiceNow.  # CONFIGURE addresses</w:t>
      </w:r>
      <w:r>
        <w:br/>
      </w:r>
      <w:r>
        <w:rPr>
          <w:rStyle w:val="NormalTok"/>
        </w:rPr>
        <w:t xml:space="preserve">New-TransportRule </w:t>
      </w:r>
      <w:r>
        <w:rPr>
          <w:rStyle w:val="OperatorTok"/>
        </w:rPr>
        <w:t xml:space="preserve">-</w:t>
      </w:r>
      <w:r>
        <w:rPr>
          <w:rStyle w:val="NormalTok"/>
        </w:rPr>
        <w:t xml:space="preserve">Name </w:t>
      </w:r>
      <w:r>
        <w:rPr>
          <w:rStyle w:val="StringTok"/>
        </w:rPr>
        <w:t xml:space="preserve">"Route Cloud Services intake to ServiceNow"</w:t>
      </w:r>
      <w:r>
        <w:rPr>
          <w:rStyle w:val="NormalTok"/>
        </w:rPr>
        <w:t xml:space="preserve"> `</w:t>
      </w:r>
      <w:r>
        <w:br/>
      </w:r>
      <w:r>
        <w:rPr>
          <w:rStyle w:val="NormalTok"/>
        </w:rPr>
        <w:t xml:space="preserve">  </w:t>
      </w:r>
      <w:r>
        <w:rPr>
          <w:rStyle w:val="OperatorTok"/>
        </w:rPr>
        <w:t xml:space="preserve">-</w:t>
      </w:r>
      <w:r>
        <w:rPr>
          <w:rStyle w:val="NormalTok"/>
        </w:rPr>
        <w:t xml:space="preserve">SentTo </w:t>
      </w:r>
      <w:r>
        <w:rPr>
          <w:rStyle w:val="StringTok"/>
        </w:rPr>
        <w:t xml:space="preserve">"cloud-services@agency.gov"</w:t>
      </w:r>
      <w:r>
        <w:rPr>
          <w:rStyle w:val="NormalTok"/>
        </w:rPr>
        <w:t xml:space="preserve"> `</w:t>
      </w:r>
      <w:r>
        <w:br/>
      </w:r>
      <w:r>
        <w:rPr>
          <w:rStyle w:val="NormalTok"/>
        </w:rPr>
        <w:t xml:space="preserve">  </w:t>
      </w:r>
      <w:r>
        <w:rPr>
          <w:rStyle w:val="OperatorTok"/>
        </w:rPr>
        <w:t xml:space="preserve">-</w:t>
      </w:r>
      <w:r>
        <w:rPr>
          <w:rStyle w:val="NormalTok"/>
        </w:rPr>
        <w:t xml:space="preserve">BlindCopyTo </w:t>
      </w:r>
      <w:r>
        <w:rPr>
          <w:rStyle w:val="StringTok"/>
        </w:rPr>
        <w:t xml:space="preserve">"servicenow-inbound@agency.gov"</w:t>
      </w:r>
      <w:r>
        <w:rPr>
          <w:rStyle w:val="NormalTok"/>
        </w:rPr>
        <w:t xml:space="preserve">   </w:t>
      </w:r>
      <w:r>
        <w:rPr>
          <w:rStyle w:val="CommentTok"/>
        </w:rPr>
        <w:t xml:space="preserve"># address tied to the ServiceNow Email Account</w:t>
      </w:r>
    </w:p>
    <w:p>
      <w:pPr>
        <w:pStyle w:val="FirstParagraph"/>
      </w:pPr>
      <w:r>
        <w:t xml:space="preserve">A Business Rule catches</w:t>
      </w:r>
      <w:r>
        <w:t xml:space="preserve"> </w:t>
      </w:r>
      <w:r>
        <w:t xml:space="preserve">“assigned to Cloud Services but never triaged”</w:t>
      </w:r>
      <w:r>
        <w:t xml:space="preserve"> </w:t>
      </w:r>
      <w:r>
        <w:t xml:space="preserve">and</w:t>
      </w:r>
      <w:r>
        <w:t xml:space="preserve"> </w:t>
      </w:r>
      <w:r>
        <w:t xml:space="preserve">reroutes it — Cloud Services is escalation-only, not the routine intake queue.</w:t>
      </w:r>
    </w:p>
    <w:bookmarkEnd w:id="472"/>
    <w:bookmarkStart w:id="473" w:name="the-triage-decision"/>
    <w:p>
      <w:pPr>
        <w:pStyle w:val="Heading2"/>
      </w:pPr>
      <w:r>
        <w:t xml:space="preserve">The triage decision</w:t>
      </w:r>
    </w:p>
    <w:p>
      <w:pPr>
        <w:pStyle w:val="FirstParagraph"/>
      </w:pPr>
      <w:r>
        <w:t xml:space="preserve">Triage applies the authority matrix. Any mail from</w:t>
      </w:r>
      <w:r>
        <w:t xml:space="preserve"> </w:t>
      </w:r>
      <w:r>
        <w:rPr>
          <w:rStyle w:val="VerbatimChar"/>
        </w:rPr>
        <w:t xml:space="preserve">@microsoft.com</w:t>
      </w:r>
      <w:r>
        <w:t xml:space="preserve"> </w:t>
      </w:r>
      <w:r>
        <w:t xml:space="preserve">— especially</w:t>
      </w:r>
      <w:r>
        <w:t xml:space="preserve"> </w:t>
      </w:r>
      <w:r>
        <w:rPr>
          <w:rStyle w:val="VerbatimChar"/>
        </w:rPr>
        <w:t xml:space="preserve">MSSecurity-noreply@microsoft.com</w:t>
      </w:r>
      <w:r>
        <w:t xml:space="preserve"> </w:t>
      </w:r>
      <w:r>
        <w:t xml:space="preserve">— is forced to A3, escalate-only, and is never</w:t>
      </w:r>
      <w:r>
        <w:t xml:space="preserve"> </w:t>
      </w:r>
      <w:r>
        <w:t xml:space="preserve">actioned from the email.</w:t>
      </w:r>
    </w:p>
    <w:bookmarkEnd w:id="473"/>
    <w:bookmarkStart w:id="474" w:name="the-two-approval-pipelines"/>
    <w:p>
      <w:pPr>
        <w:pStyle w:val="Heading2"/>
      </w:pPr>
      <w:r>
        <w:t xml:space="preserve">The two approval pipelines</w:t>
      </w:r>
    </w:p>
    <w:p>
      <w:pPr>
        <w:pStyle w:val="FirstParagraph"/>
      </w:pPr>
      <w:r>
        <w:rPr>
          <w:b/>
          <w:bCs/>
        </w:rPr>
        <w:t xml:space="preserve">ServiceNow pipeline (A0 / A1)</w:t>
      </w:r>
      <w:r>
        <w:t xml:space="preserve"> </w:t>
      </w:r>
      <w:r>
        <w:t xml:space="preserve">— Flow Designer asks the requester’s manager</w:t>
      </w:r>
      <w:r>
        <w:t xml:space="preserve"> </w:t>
      </w:r>
      <w:r>
        <w:t xml:space="preserve">for approval, then executes: a Spoke action where one exists, otherwise an SCTASK</w:t>
      </w:r>
      <w:r>
        <w:t xml:space="preserve"> </w:t>
      </w:r>
      <w:r>
        <w:t xml:space="preserve">to the Help Desk.</w:t>
      </w:r>
    </w:p>
    <w:p>
      <w:pPr>
        <w:pStyle w:val="BodyText"/>
      </w:pPr>
      <w:r>
        <w:rPr>
          <w:b/>
          <w:bCs/>
        </w:rPr>
        <w:t xml:space="preserve">SAM pipeline (A2 / A3)</w:t>
      </w:r>
      <w:r>
        <w:t xml:space="preserve"> </w:t>
      </w:r>
      <w:r>
        <w:t xml:space="preserve">— SAM owns the access decision and certification; on</w:t>
      </w:r>
      <w:r>
        <w:t xml:space="preserve"> </w:t>
      </w:r>
      <w:r>
        <w:t xml:space="preserve">approval it provisions via its Entra connector or raises a ServiceNow RITM →</w:t>
      </w:r>
      <w:r>
        <w:t xml:space="preserve"> </w:t>
      </w:r>
      <w:r>
        <w:t xml:space="preserve">SCTASK for the gap.</w:t>
      </w:r>
    </w:p>
    <w:p>
      <w:pPr>
        <w:pStyle w:val="BodyText"/>
      </w:pPr>
      <w:r>
        <w:rPr>
          <w:b/>
          <w:bCs/>
        </w:rPr>
        <w:t xml:space="preserve">Admin Consent never auto-executes</w:t>
      </w:r>
    </w:p>
    <w:p>
      <w:pPr>
        <w:pStyle w:val="BodyText"/>
      </w:pPr>
      <w:r>
        <w:t xml:space="preserve">Admin Consent (A3) is never executed by the Help Desk or Cloud Services — triage,</w:t>
      </w:r>
      <w:r>
        <w:t xml:space="preserve"> </w:t>
      </w:r>
      <w:r>
        <w:t xml:space="preserve">verify in the Entra audit log, and escalate to the Application Owner → IGO.</w:t>
      </w:r>
    </w:p>
    <w:bookmarkEnd w:id="474"/>
    <w:bookmarkStart w:id="475" w:name="X17eea1c359545e2bcac6dcdb2b9e45ef7eb455c"/>
    <w:p>
      <w:pPr>
        <w:pStyle w:val="Heading2"/>
      </w:pPr>
      <w:r>
        <w:t xml:space="preserve">How to describe, modify, and create a task flow</w:t>
      </w:r>
    </w:p>
    <w:p>
      <w:pPr>
        <w:pStyle w:val="FirstParagraph"/>
      </w:pPr>
      <w:r>
        <w:t xml:space="preserve">A flow is fully described by</w:t>
      </w:r>
      <w:r>
        <w:t xml:space="preserve"> </w:t>
      </w:r>
      <w:r>
        <w:rPr>
          <w:b/>
          <w:bCs/>
        </w:rPr>
        <w:t xml:space="preserve">one row</w:t>
      </w:r>
      <w:r>
        <w:t xml:space="preserve"> </w:t>
      </w:r>
      <w:r>
        <w:t xml:space="preserve">of a Flow Definition table; building it</w:t>
      </w:r>
      <w:r>
        <w:t xml:space="preserve"> </w:t>
      </w:r>
      <w:r>
        <w:t xml:space="preserve">wires that row into the mechanisms above.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Meaning</w:t>
            </w:r>
          </w:p>
        </w:tc>
        <w:tc>
          <w:tcPr/>
          <w:p>
            <w:pPr>
              <w:pStyle w:val="Compact"/>
            </w:pPr>
            <w:r>
              <w:t xml:space="preserve">Example</w:t>
            </w:r>
          </w:p>
        </w:tc>
      </w:tr>
      <w:tr>
        <w:tc>
          <w:tcPr/>
          <w:p>
            <w:pPr>
              <w:pStyle w:val="Compact"/>
            </w:pPr>
            <w:r>
              <w:t xml:space="preserve">Task type</w:t>
            </w:r>
          </w:p>
        </w:tc>
        <w:tc>
          <w:tcPr/>
          <w:p>
            <w:pPr>
              <w:pStyle w:val="Compact"/>
            </w:pPr>
            <w:r>
              <w:t xml:space="preserve">Short name</w:t>
            </w:r>
          </w:p>
        </w:tc>
        <w:tc>
          <w:tcPr/>
          <w:p>
            <w:pPr>
              <w:pStyle w:val="Compact"/>
            </w:pPr>
            <w:r>
              <w:rPr>
                <w:rStyle w:val="VerbatimChar"/>
              </w:rPr>
              <w:t xml:space="preserve">enterprise-app-access</w:t>
            </w:r>
          </w:p>
        </w:tc>
      </w:tr>
      <w:tr>
        <w:tc>
          <w:tcPr/>
          <w:p>
            <w:pPr>
              <w:pStyle w:val="Compact"/>
            </w:pPr>
            <w:r>
              <w:t xml:space="preserve">Email match</w:t>
            </w:r>
          </w:p>
        </w:tc>
        <w:tc>
          <w:tcPr/>
          <w:p>
            <w:pPr>
              <w:pStyle w:val="Compact"/>
            </w:pPr>
            <w:r>
              <w:t xml:space="preserve">Email Filter / Inbound Action condition</w:t>
            </w:r>
          </w:p>
        </w:tc>
        <w:tc>
          <w:tcPr/>
          <w:p>
            <w:pPr>
              <w:pStyle w:val="Compact"/>
            </w:pPr>
            <w:r>
              <w:t xml:space="preserve">subject/body matches</w:t>
            </w:r>
            <w:r>
              <w:t xml:space="preserve"> </w:t>
            </w:r>
            <w:r>
              <w:rPr>
                <w:rStyle w:val="VerbatimChar"/>
              </w:rPr>
              <w:t xml:space="preserve">access to &lt;app&gt;</w:t>
            </w:r>
          </w:p>
        </w:tc>
      </w:tr>
      <w:tr>
        <w:tc>
          <w:tcPr/>
          <w:p>
            <w:pPr>
              <w:pStyle w:val="Compact"/>
            </w:pPr>
            <w:r>
              <w:t xml:space="preserve">Authority</w:t>
            </w:r>
          </w:p>
        </w:tc>
        <w:tc>
          <w:tcPr/>
          <w:p>
            <w:pPr>
              <w:pStyle w:val="Compact"/>
            </w:pPr>
            <w:r>
              <w:t xml:space="preserve">A0 / A1 / A2 / A3 / OOS</w:t>
            </w:r>
          </w:p>
        </w:tc>
        <w:tc>
          <w:tcPr/>
          <w:p>
            <w:pPr>
              <w:pStyle w:val="Compact"/>
            </w:pPr>
            <w:r>
              <w:t xml:space="preserve">A2</w:t>
            </w:r>
          </w:p>
        </w:tc>
      </w:tr>
      <w:tr>
        <w:tc>
          <w:tcPr/>
          <w:p>
            <w:pPr>
              <w:pStyle w:val="Compact"/>
            </w:pPr>
            <w:r>
              <w:t xml:space="preserve">Approver</w:t>
            </w:r>
          </w:p>
        </w:tc>
        <w:tc>
          <w:tcPr/>
          <w:p>
            <w:pPr>
              <w:pStyle w:val="Compact"/>
            </w:pPr>
            <w:r>
              <w:t xml:space="preserve">Who owns the decision</w:t>
            </w:r>
          </w:p>
        </w:tc>
        <w:tc>
          <w:tcPr/>
          <w:p>
            <w:pPr>
              <w:pStyle w:val="Compact"/>
            </w:pPr>
            <w:r>
              <w:t xml:space="preserve">Manager + Application Owner</w:t>
            </w:r>
          </w:p>
        </w:tc>
      </w:tr>
      <w:tr>
        <w:tc>
          <w:tcPr/>
          <w:p>
            <w:pPr>
              <w:pStyle w:val="Compact"/>
            </w:pPr>
            <w:r>
              <w:t xml:space="preserve">Pipeline</w:t>
            </w:r>
          </w:p>
        </w:tc>
        <w:tc>
          <w:tcPr/>
          <w:p>
            <w:pPr>
              <w:pStyle w:val="Compact"/>
            </w:pPr>
            <w:r>
              <w:t xml:space="preserve">ServiceNow or SAM</w:t>
            </w:r>
          </w:p>
        </w:tc>
        <w:tc>
          <w:tcPr/>
          <w:p>
            <w:pPr>
              <w:pStyle w:val="Compact"/>
            </w:pPr>
            <w:r>
              <w:t xml:space="preserve">SAM</w:t>
            </w:r>
          </w:p>
        </w:tc>
      </w:tr>
      <w:tr>
        <w:tc>
          <w:tcPr/>
          <w:p>
            <w:pPr>
              <w:pStyle w:val="Compact"/>
            </w:pPr>
            <w:r>
              <w:t xml:space="preserve">Execution</w:t>
            </w:r>
          </w:p>
        </w:tc>
        <w:tc>
          <w:tcPr/>
          <w:p>
            <w:pPr>
              <w:pStyle w:val="Compact"/>
            </w:pPr>
            <w:r>
              <w:t xml:space="preserve">Spoke action / manual SCTASK / SAM connector</w:t>
            </w:r>
          </w:p>
        </w:tc>
        <w:tc>
          <w:tcPr/>
          <w:p>
            <w:pPr>
              <w:pStyle w:val="Compact"/>
            </w:pPr>
            <w:r>
              <w:t xml:space="preserve">SAM connector, else SCTASK</w:t>
            </w:r>
          </w:p>
        </w:tc>
      </w:tr>
      <w:tr>
        <w:tc>
          <w:tcPr/>
          <w:p>
            <w:pPr>
              <w:pStyle w:val="Compact"/>
            </w:pPr>
            <w:r>
              <w:t xml:space="preserve">SLA</w:t>
            </w:r>
          </w:p>
        </w:tc>
        <w:tc>
          <w:tcPr/>
          <w:p>
            <w:pPr>
              <w:pStyle w:val="Compact"/>
            </w:pPr>
            <w:r>
              <w:t xml:space="preserve">Time target + escalation</w:t>
            </w:r>
          </w:p>
        </w:tc>
        <w:tc>
          <w:tcPr/>
          <w:p>
            <w:pPr>
              <w:pStyle w:val="Compact"/>
            </w:pPr>
            <w:r>
              <w:t xml:space="preserve">3 business days</w:t>
            </w:r>
          </w:p>
        </w:tc>
      </w:tr>
    </w:tbl>
    <w:p>
      <w:pPr>
        <w:pStyle w:val="BodyText"/>
      </w:pPr>
      <w:r>
        <w:rPr>
          <w:b/>
          <w:bCs/>
        </w:rPr>
        <w:t xml:space="preserve">To create a flow:</w:t>
      </w:r>
      <w:r>
        <w:t xml:space="preserve"> </w:t>
      </w:r>
      <w:r>
        <w:t xml:space="preserve">(1) define the row; (2) add the Email Filter / Inbound</w:t>
      </w:r>
      <w:r>
        <w:t xml:space="preserve"> </w:t>
      </w:r>
      <w:r>
        <w:t xml:space="preserve">Action condition; (3) set the tier in the routing matrix (the kit’s</w:t>
      </w:r>
      <w:r>
        <w:t xml:space="preserve"> </w:t>
      </w:r>
      <w:r>
        <w:rPr>
          <w:rStyle w:val="VerbatimChar"/>
        </w:rPr>
        <w:t xml:space="preserve">$RequestRoutingTable</w:t>
      </w:r>
      <w:r>
        <w:t xml:space="preserve">); (4) clone the Flow Designer approval subflow and set the</w:t>
      </w:r>
      <w:r>
        <w:t xml:space="preserve"> </w:t>
      </w:r>
      <w:r>
        <w:t xml:space="preserve">approver; (5) wire execution (Spoke action, SCTASK, or SAM); (6) test with a</w:t>
      </w:r>
      <w:r>
        <w:t xml:space="preserve"> </w:t>
      </w:r>
      <w:r>
        <w:t xml:space="preserve">sample email and confirm the audit trail.</w:t>
      </w:r>
      <w:r>
        <w:t xml:space="preserve"> </w:t>
      </w:r>
      <w:r>
        <w:rPr>
          <w:b/>
          <w:bCs/>
        </w:rPr>
        <w:t xml:space="preserve">To modify:</w:t>
      </w:r>
      <w:r>
        <w:t xml:space="preserve"> </w:t>
      </w:r>
      <w:r>
        <w:t xml:space="preserve">change the row, then the</w:t>
      </w:r>
      <w:r>
        <w:t xml:space="preserve"> </w:t>
      </w:r>
      <w:r>
        <w:t xml:space="preserve">one mechanism it points at, and re-test.</w:t>
      </w:r>
    </w:p>
    <w:bookmarkEnd w:id="475"/>
    <w:bookmarkStart w:id="476" w:name="X2acbfbb167b39f1ff5a541160dcc194ab0fb29b"/>
    <w:p>
      <w:pPr>
        <w:pStyle w:val="Heading2"/>
      </w:pPr>
      <w:r>
        <w:t xml:space="preserve">Worked example —</w:t>
      </w:r>
      <w:r>
        <w:t xml:space="preserve"> </w:t>
      </w:r>
      <w:r>
        <w:t xml:space="preserve">“I need access to the Payroll app”</w:t>
      </w:r>
      <w:r>
        <w:t xml:space="preserve"> </w:t>
      </w:r>
      <w:r>
        <w:t xml:space="preserve">(A2 → SAM)</w:t>
      </w:r>
    </w:p>
    <w:p>
      <w:pPr>
        <w:pStyle w:val="FirstParagraph"/>
      </w:pPr>
      <w:r>
        <w:t xml:space="preserve">The email is redirected into triage, classified A2, and raised as a SAM access</w:t>
      </w:r>
      <w:r>
        <w:t xml:space="preserve"> </w:t>
      </w:r>
      <w:r>
        <w:t xml:space="preserve">request. The manager and Application Owner approve; SAM provisions the group</w:t>
      </w:r>
      <w:r>
        <w:t xml:space="preserve"> </w:t>
      </w:r>
      <w:r>
        <w:t xml:space="preserve">membership through the Entra ID Spoke, or raises an SCTASK to Cloud Services for</w:t>
      </w:r>
      <w:r>
        <w:t xml:space="preserve"> </w:t>
      </w:r>
      <w:r>
        <w:t xml:space="preserve">the one-time group→app-role binding. The complete chain is recorded in SAM and</w:t>
      </w:r>
      <w:r>
        <w:t xml:space="preserve"> </w:t>
      </w:r>
      <w:r>
        <w:t xml:space="preserve">ServiceNow, with the Entra audit-log reference attached.</w:t>
      </w:r>
    </w:p>
    <w:bookmarkEnd w:id="476"/>
    <w:bookmarkStart w:id="477" w:name="configuration-reference"/>
    <w:p>
      <w:pPr>
        <w:pStyle w:val="Heading2"/>
      </w:pPr>
      <w:r>
        <w:t xml:space="preserve">Configuration 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Artifact</w:t>
            </w:r>
          </w:p>
        </w:tc>
        <w:tc>
          <w:tcPr/>
          <w:p>
            <w:pPr>
              <w:pStyle w:val="Compact"/>
            </w:pPr>
            <w:r>
              <w:t xml:space="preserve">Where</w:t>
            </w:r>
          </w:p>
        </w:tc>
        <w:tc>
          <w:tcPr/>
          <w:p>
            <w:pPr>
              <w:pStyle w:val="Compact"/>
            </w:pPr>
            <w:r>
              <w:t xml:space="preserve">Purpose</w:t>
            </w:r>
          </w:p>
        </w:tc>
      </w:tr>
      <w:tr>
        <w:tc>
          <w:tcPr/>
          <w:p>
            <w:pPr>
              <w:pStyle w:val="Compact"/>
            </w:pPr>
            <w:r>
              <w:t xml:space="preserve">Exchange transport rule</w:t>
            </w:r>
          </w:p>
        </w:tc>
        <w:tc>
          <w:tcPr/>
          <w:p>
            <w:pPr>
              <w:pStyle w:val="Compact"/>
            </w:pPr>
            <w:r>
              <w:t xml:space="preserve">Exchange Online</w:t>
            </w:r>
          </w:p>
        </w:tc>
        <w:tc>
          <w:tcPr/>
          <w:p>
            <w:pPr>
              <w:pStyle w:val="Compact"/>
            </w:pPr>
            <w:r>
              <w:t xml:space="preserve">Redirect Cloud Services mail → ServiceNow inbound</w:t>
            </w:r>
          </w:p>
        </w:tc>
      </w:tr>
      <w:tr>
        <w:tc>
          <w:tcPr/>
          <w:p>
            <w:pPr>
              <w:pStyle w:val="Compact"/>
            </w:pPr>
            <w:r>
              <w:t xml:space="preserve">Email Account</w:t>
            </w:r>
          </w:p>
        </w:tc>
        <w:tc>
          <w:tcPr/>
          <w:p>
            <w:pPr>
              <w:pStyle w:val="Compact"/>
            </w:pPr>
            <w:r>
              <w:t xml:space="preserve">ServiceNow → Email Accounts</w:t>
            </w:r>
          </w:p>
        </w:tc>
        <w:tc>
          <w:tcPr/>
          <w:p>
            <w:pPr>
              <w:pStyle w:val="Compact"/>
            </w:pPr>
            <w:r>
              <w:t xml:space="preserve">Connect the inbound mailbox</w:t>
            </w:r>
          </w:p>
        </w:tc>
      </w:tr>
      <w:tr>
        <w:tc>
          <w:tcPr/>
          <w:p>
            <w:pPr>
              <w:pStyle w:val="Compact"/>
            </w:pPr>
            <w:r>
              <w:t xml:space="preserve">Email Filters</w:t>
            </w:r>
          </w:p>
        </w:tc>
        <w:tc>
          <w:tcPr/>
          <w:p>
            <w:pPr>
              <w:pStyle w:val="Compact"/>
            </w:pPr>
            <w:r>
              <w:t xml:space="preserve">ServiceNow → Filters</w:t>
            </w:r>
          </w:p>
        </w:tc>
        <w:tc>
          <w:tcPr/>
          <w:p>
            <w:pPr>
              <w:pStyle w:val="Compact"/>
            </w:pPr>
            <w:r>
              <w:t xml:space="preserve">Drop loops/junk; pre-route</w:t>
            </w:r>
          </w:p>
        </w:tc>
      </w:tr>
      <w:tr>
        <w:tc>
          <w:tcPr/>
          <w:p>
            <w:pPr>
              <w:pStyle w:val="Compact"/>
            </w:pPr>
            <w:r>
              <w:t xml:space="preserve">Inbound Email Action (New)</w:t>
            </w:r>
          </w:p>
        </w:tc>
        <w:tc>
          <w:tcPr/>
          <w:p>
            <w:pPr>
              <w:pStyle w:val="Compact"/>
            </w:pPr>
            <w:r>
              <w:t xml:space="preserve">ServiceNow → Inbound Actions</w:t>
            </w:r>
          </w:p>
        </w:tc>
        <w:tc>
          <w:tcPr/>
          <w:p>
            <w:pPr>
              <w:pStyle w:val="Compact"/>
            </w:pPr>
            <w:r>
              <w:t xml:space="preserve">Create the triage record, assignee blank</w:t>
            </w:r>
          </w:p>
        </w:tc>
      </w:tr>
      <w:tr>
        <w:tc>
          <w:tcPr/>
          <w:p>
            <w:pPr>
              <w:pStyle w:val="Compact"/>
            </w:pPr>
            <w:r>
              <w:t xml:space="preserve">Reroute Business Rule</w:t>
            </w:r>
          </w:p>
        </w:tc>
        <w:tc>
          <w:tcPr/>
          <w:p>
            <w:pPr>
              <w:pStyle w:val="Compact"/>
            </w:pPr>
            <w:r>
              <w:t xml:space="preserve">ServiceNow → Business Rules</w:t>
            </w:r>
          </w:p>
        </w:tc>
        <w:tc>
          <w:tcPr/>
          <w:p>
            <w:pPr>
              <w:pStyle w:val="Compact"/>
            </w:pPr>
            <w:r>
              <w:t xml:space="preserve">Pull Cloud-Services-assigned mail back to triage</w:t>
            </w:r>
          </w:p>
        </w:tc>
      </w:tr>
      <w:tr>
        <w:tc>
          <w:tcPr/>
          <w:p>
            <w:pPr>
              <w:pStyle w:val="Compact"/>
            </w:pPr>
            <w:r>
              <w:t xml:space="preserve">Triage subflow / classifier</w:t>
            </w:r>
          </w:p>
        </w:tc>
        <w:tc>
          <w:tcPr/>
          <w:p>
            <w:pPr>
              <w:pStyle w:val="Compact"/>
            </w:pPr>
            <w:r>
              <w:t xml:space="preserve">Flow Designer / kit</w:t>
            </w:r>
            <w:r>
              <w:t xml:space="preserve"> </w:t>
            </w:r>
            <w:r>
              <w:rPr>
                <w:rStyle w:val="VerbatimChar"/>
              </w:rPr>
              <w:t xml:space="preserve">scripts/</w:t>
            </w:r>
          </w:p>
        </w:tc>
        <w:tc>
          <w:tcPr/>
          <w:p>
            <w:pPr>
              <w:pStyle w:val="Compact"/>
            </w:pPr>
            <w:r>
              <w:t xml:space="preserve">Classify by authority</w:t>
            </w:r>
          </w:p>
        </w:tc>
      </w:tr>
      <w:tr>
        <w:tc>
          <w:tcPr/>
          <w:p>
            <w:pPr>
              <w:pStyle w:val="Compact"/>
            </w:pPr>
            <w:r>
              <w:t xml:space="preserve">Approval subflows</w:t>
            </w:r>
          </w:p>
        </w:tc>
        <w:tc>
          <w:tcPr/>
          <w:p>
            <w:pPr>
              <w:pStyle w:val="Compact"/>
            </w:pPr>
            <w:r>
              <w:t xml:space="preserve">Flow Designer</w:t>
            </w:r>
          </w:p>
        </w:tc>
        <w:tc>
          <w:tcPr/>
          <w:p>
            <w:pPr>
              <w:pStyle w:val="Compact"/>
            </w:pPr>
            <w:r>
              <w:t xml:space="preserve">Manager / Owner / IGO approval + SLA</w:t>
            </w:r>
          </w:p>
        </w:tc>
      </w:tr>
      <w:tr>
        <w:tc>
          <w:tcPr/>
          <w:p>
            <w:pPr>
              <w:pStyle w:val="Compact"/>
            </w:pPr>
            <w:r>
              <w:t xml:space="preserve">Entra ID Spoke actions</w:t>
            </w:r>
          </w:p>
        </w:tc>
        <w:tc>
          <w:tcPr/>
          <w:p>
            <w:pPr>
              <w:pStyle w:val="Compact"/>
            </w:pPr>
            <w:r>
              <w:t xml:space="preserve">Integration Hub</w:t>
            </w:r>
          </w:p>
        </w:tc>
        <w:tc>
          <w:tcPr/>
          <w:p>
            <w:pPr>
              <w:pStyle w:val="Compact"/>
            </w:pPr>
            <w:r>
              <w:t xml:space="preserve">Execute covered tasks automatically</w:t>
            </w:r>
          </w:p>
        </w:tc>
      </w:tr>
    </w:tbl>
    <w:p>
      <w:pPr>
        <w:pStyle w:val="BodyText"/>
      </w:pPr>
      <w:r>
        <w:rPr>
          <w:b/>
          <w:bCs/>
        </w:rPr>
        <w:t xml:space="preserve">Companion kit</w:t>
      </w:r>
    </w:p>
    <w:p>
      <w:pPr>
        <w:pStyle w:val="BodyText"/>
      </w:pPr>
      <w:r>
        <w:t xml:space="preserve">The runnable companion — the implementation-path guide, the routing module, and</w:t>
      </w:r>
      <w:r>
        <w:t xml:space="preserve"> </w:t>
      </w:r>
      <w:r>
        <w:t xml:space="preserve">the request-triage classifier — ships in the</w:t>
      </w:r>
      <w:r>
        <w:t xml:space="preserve"> </w:t>
      </w:r>
      <w:r>
        <w:t xml:space="preserve">Help Desk / Cloud Services Operations Kit.</w:t>
      </w:r>
      <w:r>
        <w:t xml:space="preserve"> </w:t>
      </w:r>
      <w:r>
        <w:t xml:space="preserve">This page is reference material for review and adaptation, not validated against a</w:t>
      </w:r>
      <w:r>
        <w:t xml:space="preserve"> </w:t>
      </w:r>
      <w:r>
        <w:t xml:space="preserve">live tenant; pilot the Exchange rule and Inbound Email Action before tenant-wide</w:t>
      </w:r>
      <w:r>
        <w:t xml:space="preserve"> </w:t>
      </w:r>
      <w:r>
        <w:t xml:space="preserve">enablement.</w:t>
      </w:r>
    </w:p>
    <w:bookmarkEnd w:id="477"/>
    <w:bookmarkStart w:id="481" w:name="references"/>
    <w:p>
      <w:pPr>
        <w:pStyle w:val="Heading2"/>
      </w:pPr>
      <w:r>
        <w:t xml:space="preserve">References</w:t>
      </w:r>
    </w:p>
    <w:p>
      <w:pPr>
        <w:pStyle w:val="FirstParagraph"/>
      </w:pPr>
      <w:r>
        <w:rPr>
          <w:b/>
          <w:bCs/>
        </w:rPr>
        <w:t xml:space="preserve">ServiceNow documentation</w:t>
      </w:r>
    </w:p>
    <w:p>
      <w:pPr>
        <w:pStyle w:val="Compact"/>
        <w:numPr>
          <w:ilvl w:val="0"/>
          <w:numId w:val="1207"/>
        </w:numPr>
      </w:pPr>
      <w:r>
        <w:rPr>
          <w:i/>
          <w:iCs/>
        </w:rPr>
        <w:t xml:space="preserve">Inbound email actions</w:t>
      </w:r>
      <w:r>
        <w:t xml:space="preserve"> </w:t>
      </w:r>
      <w:r>
        <w:t xml:space="preserve">—</w:t>
      </w:r>
      <w:r>
        <w:t xml:space="preserve"> </w:t>
      </w:r>
      <w:hyperlink r:id="rId459">
        <w:r>
          <w:rPr>
            <w:rStyle w:val="Hyperlink"/>
          </w:rPr>
          <w:t xml:space="preserve">https://www.servicenow.com/docs/bundle/yokohama-platform-administration/page/administer/notification/concept/c_InboundEmailActions.html</w:t>
        </w:r>
      </w:hyperlink>
    </w:p>
    <w:p>
      <w:pPr>
        <w:pStyle w:val="Compact"/>
        <w:numPr>
          <w:ilvl w:val="0"/>
          <w:numId w:val="1207"/>
        </w:numPr>
      </w:pPr>
      <w:r>
        <w:rPr>
          <w:i/>
          <w:iCs/>
        </w:rPr>
        <w:t xml:space="preserve">Email filters</w:t>
      </w:r>
      <w:r>
        <w:t xml:space="preserve"> </w:t>
      </w:r>
      <w:r>
        <w:t xml:space="preserve">—</w:t>
      </w:r>
      <w:r>
        <w:t xml:space="preserve"> </w:t>
      </w:r>
      <w:hyperlink r:id="rId457">
        <w:r>
          <w:rPr>
            <w:rStyle w:val="Hyperlink"/>
          </w:rPr>
          <w:t xml:space="preserve">https://www.servicenow.com/docs/r/platform-administration/c_EmailFilters.html</w:t>
        </w:r>
      </w:hyperlink>
    </w:p>
    <w:p>
      <w:pPr>
        <w:pStyle w:val="Compact"/>
        <w:numPr>
          <w:ilvl w:val="0"/>
          <w:numId w:val="1207"/>
        </w:numPr>
      </w:pPr>
      <w:r>
        <w:rPr>
          <w:i/>
          <w:iCs/>
        </w:rPr>
        <w:t xml:space="preserve">Flow Designer approvals overview</w:t>
      </w:r>
      <w:r>
        <w:t xml:space="preserve"> </w:t>
      </w:r>
      <w:r>
        <w:t xml:space="preserve">—</w:t>
      </w:r>
      <w:r>
        <w:t xml:space="preserve"> </w:t>
      </w:r>
      <w:hyperlink r:id="rId461">
        <w:r>
          <w:rPr>
            <w:rStyle w:val="Hyperlink"/>
          </w:rPr>
          <w:t xml:space="preserve">https://www.servicenow.com/community/workflow-automation-articles/flow-designer-approvals-overview-workflow-automation-center-of/ta-p/2528202</w:t>
        </w:r>
      </w:hyperlink>
    </w:p>
    <w:p>
      <w:pPr>
        <w:pStyle w:val="Compact"/>
        <w:numPr>
          <w:ilvl w:val="0"/>
          <w:numId w:val="1207"/>
        </w:numPr>
      </w:pPr>
      <w:r>
        <w:rPr>
          <w:i/>
          <w:iCs/>
        </w:rPr>
        <w:t xml:space="preserve">Microsoft Entra ID Spoke (Integration Hub)</w:t>
      </w:r>
      <w:r>
        <w:t xml:space="preserve"> </w:t>
      </w:r>
      <w:r>
        <w:t xml:space="preserve">—</w:t>
      </w:r>
      <w:r>
        <w:t xml:space="preserve"> </w:t>
      </w:r>
      <w:hyperlink r:id="rId385">
        <w:r>
          <w:rPr>
            <w:rStyle w:val="Hyperlink"/>
          </w:rPr>
          <w:t xml:space="preserve">https://www.servicenow.com/docs/bundle/zurich-integrate-applications/page/administer/integrationhub/concept/microsoft-azure-ad-spoke.html</w:t>
        </w:r>
      </w:hyperlink>
    </w:p>
    <w:p>
      <w:pPr>
        <w:pStyle w:val="FirstParagraph"/>
      </w:pPr>
      <w:r>
        <w:rPr>
          <w:b/>
          <w:bCs/>
        </w:rPr>
        <w:t xml:space="preserve">Microsoft documentation</w:t>
      </w:r>
    </w:p>
    <w:p>
      <w:pPr>
        <w:pStyle w:val="Compact"/>
        <w:numPr>
          <w:ilvl w:val="0"/>
          <w:numId w:val="1208"/>
        </w:numPr>
      </w:pPr>
      <w:r>
        <w:rPr>
          <w:i/>
          <w:iCs/>
        </w:rPr>
        <w:t xml:space="preserve">Microsoft Entra built-in roles</w:t>
      </w:r>
      <w:r>
        <w:t xml:space="preserve"> </w:t>
      </w:r>
      <w:r>
        <w:t xml:space="preserve">(Application Administrator, Hybrid Identity Administrator, Helpdesk Administrator) —</w:t>
      </w:r>
      <w:r>
        <w:t xml:space="preserve"> </w:t>
      </w:r>
      <w:hyperlink r:id="rId212">
        <w:r>
          <w:rPr>
            <w:rStyle w:val="Hyperlink"/>
          </w:rPr>
          <w:t xml:space="preserve">https://learn.microsoft.com/en-us/entra/identity/role-based-access-control/permissions-reference</w:t>
        </w:r>
      </w:hyperlink>
    </w:p>
    <w:p>
      <w:pPr>
        <w:pStyle w:val="Compact"/>
        <w:numPr>
          <w:ilvl w:val="0"/>
          <w:numId w:val="1208"/>
        </w:numPr>
      </w:pPr>
      <w:r>
        <w:rPr>
          <w:i/>
          <w:iCs/>
        </w:rPr>
        <w:t xml:space="preserve">Privileged Identity Management (PIM) for Groups</w:t>
      </w:r>
      <w:r>
        <w:t xml:space="preserve"> </w:t>
      </w:r>
      <w:r>
        <w:t xml:space="preserve">—</w:t>
      </w:r>
      <w:r>
        <w:t xml:space="preserve"> </w:t>
      </w:r>
      <w:hyperlink r:id="rId478">
        <w:r>
          <w:rPr>
            <w:rStyle w:val="Hyperlink"/>
          </w:rPr>
          <w:t xml:space="preserve">https://learn.microsoft.com/en-us/entra/id-governance/privileged-identity-management/concept-pim-for-groups</w:t>
        </w:r>
      </w:hyperlink>
    </w:p>
    <w:p>
      <w:pPr>
        <w:pStyle w:val="Compact"/>
        <w:numPr>
          <w:ilvl w:val="0"/>
          <w:numId w:val="1208"/>
        </w:numPr>
      </w:pPr>
      <w:r>
        <w:rPr>
          <w:i/>
          <w:iCs/>
        </w:rPr>
        <w:t xml:space="preserve">What is Privileged Identity Management?</w:t>
      </w:r>
      <w:r>
        <w:t xml:space="preserve"> </w:t>
      </w:r>
      <w:r>
        <w:t xml:space="preserve">—</w:t>
      </w:r>
      <w:r>
        <w:t xml:space="preserve"> </w:t>
      </w:r>
      <w:hyperlink r:id="rId479">
        <w:r>
          <w:rPr>
            <w:rStyle w:val="Hyperlink"/>
          </w:rPr>
          <w:t xml:space="preserve">https://learn.microsoft.com/en-us/entra/id-governance/privileged-identity-management/pim-configure</w:t>
        </w:r>
      </w:hyperlink>
    </w:p>
    <w:p>
      <w:pPr>
        <w:pStyle w:val="Compact"/>
        <w:numPr>
          <w:ilvl w:val="0"/>
          <w:numId w:val="1208"/>
        </w:numPr>
      </w:pPr>
      <w:r>
        <w:rPr>
          <w:i/>
          <w:iCs/>
        </w:rPr>
        <w:t xml:space="preserve">Enable Microsoft Entra self-service password reset</w:t>
      </w:r>
      <w:r>
        <w:t xml:space="preserve"> </w:t>
      </w:r>
      <w:r>
        <w:t xml:space="preserve">—</w:t>
      </w:r>
      <w:r>
        <w:t xml:space="preserve"> </w:t>
      </w:r>
      <w:hyperlink r:id="rId480">
        <w:r>
          <w:rPr>
            <w:rStyle w:val="Hyperlink"/>
          </w:rPr>
          <w:t xml:space="preserve">https://learn.microsoft.com/en-us/entra/identity/authentication/tutorial-enable-sspr</w:t>
        </w:r>
      </w:hyperlink>
    </w:p>
    <w:bookmarkEnd w:id="481"/>
    <w:bookmarkEnd w:id="482"/>
    <w:bookmarkStart w:id="486" w:name="X9447f63643d213960d5b266759ef34b636efd17"/>
    <w:p>
      <w:pPr>
        <w:pStyle w:val="Heading1"/>
      </w:pPr>
      <w:r>
        <w:t xml:space="preserve">The Federal Modernization Program Identity Modernization Guide</w:t>
      </w:r>
    </w:p>
    <w:p>
      <w:pPr>
        <w:pStyle w:val="FirstParagraph"/>
      </w:pPr>
      <w:r>
        <w:t xml:space="preserve">The Federal Modernization Program Identity Modernization Guide</w:t>
      </w:r>
    </w:p>
    <w:p>
      <w:pPr>
        <w:pStyle w:val="BodyText"/>
      </w:pPr>
      <w:r>
        <w:t xml:space="preserve">Active Directory to Entra ID Governance Transformation</w:t>
      </w:r>
    </w:p>
    <w:p>
      <w:pPr>
        <w:pStyle w:val="BodyText"/>
      </w:pPr>
      <w:r>
        <w:rPr>
          <w:b/>
          <w:bCs/>
        </w:rPr>
        <w:t xml:space="preserve">Series:</w:t>
      </w:r>
      <w:r>
        <w:t xml:space="preserve"> </w:t>
      </w:r>
      <w:r>
        <w:t xml:space="preserve">the Federal Modernization Program Canon — Companion Document</w:t>
      </w:r>
    </w:p>
    <w:p>
      <w:pPr>
        <w:pStyle w:val="BodyText"/>
      </w:pPr>
      <w:r>
        <w:rPr>
          <w:b/>
          <w:bCs/>
        </w:rPr>
        <w:t xml:space="preserve">Classification:</w:t>
      </w:r>
      <w:r>
        <w:t xml:space="preserve"> </w:t>
      </w:r>
      <w:r>
        <w:t xml:space="preserve">Controlled</w:t>
      </w:r>
    </w:p>
    <w:p>
      <w:pPr>
        <w:pStyle w:val="BodyText"/>
      </w:pPr>
      <w:r>
        <w:rPr>
          <w:b/>
          <w:bCs/>
        </w:rPr>
        <w:t xml:space="preserve">Boundary:</w:t>
      </w:r>
      <w:r>
        <w:t xml:space="preserve"> </w:t>
      </w:r>
      <w:r>
        <w:t xml:space="preserve">GCC-Moderate (Microsoft 365 SaaS only — no Azure IaaS/PaaS services unless explicitly noted)</w:t>
      </w:r>
    </w:p>
    <w:p>
      <w:pPr>
        <w:pStyle w:val="BodyText"/>
      </w:pPr>
      <w:r>
        <w:rPr>
          <w:b/>
          <w:bCs/>
        </w:rPr>
        <w:t xml:space="preserve">Version:</w:t>
      </w:r>
      <w:r>
        <w:t xml:space="preserve"> </w:t>
      </w:r>
      <w:r>
        <w:t xml:space="preserve">1.0</w:t>
      </w:r>
    </w:p>
    <w:p>
      <w:pPr>
        <w:pStyle w:val="BodyText"/>
      </w:pPr>
      <w:r>
        <w:rPr>
          <w:b/>
          <w:bCs/>
        </w:rPr>
        <w:t xml:space="preserve">Author:</w:t>
      </w:r>
      <w:r>
        <w:t xml:space="preserve"> </w:t>
      </w:r>
      <w:r>
        <w:t xml:space="preserve">Michael</w:t>
      </w:r>
    </w:p>
    <w:p>
      <w:pPr>
        <w:pStyle w:val="BodyText"/>
      </w:pPr>
      <w:r>
        <w:rPr>
          <w:b/>
          <w:bCs/>
        </w:rPr>
        <w:t xml:space="preserve">Date:</w:t>
      </w:r>
      <w:r>
        <w:t xml:space="preserve"> </w:t>
      </w:r>
      <w:r>
        <w:t xml:space="preserve">20 April 2026</w:t>
      </w:r>
    </w:p>
    <w:p>
      <w:pPr>
        <w:pStyle w:val="BodyText"/>
      </w:pPr>
      <w:r>
        <w:rPr>
          <w:b/>
          <w:bCs/>
        </w:rPr>
        <w:t xml:space="preserve">Status:</w:t>
      </w:r>
      <w:r>
        <w:t xml:space="preserve"> </w:t>
      </w:r>
      <w:r>
        <w:t xml:space="preserve">Canonical — Authoritative Reference</w:t>
      </w:r>
    </w:p>
    <w:tbl>
      <w:tblPr>
        <w:tblStyle w:val="Table"/>
        <w:tblW w:type="pct" w:w="5011"/>
        <w:tblLayout w:type="fixed"/>
        <w:tblLook w:firstRow="0" w:lastRow="0" w:firstColumn="0" w:lastColumn="0" w:noHBand="0" w:noVBand="0" w:val="0000"/>
      </w:tblPr>
      <w:tblGrid>
        <w:gridCol w:w="7936"/>
      </w:tblGrid>
      <w:tr>
        <w:tc>
          <w:tcPr/>
          <w:p>
            <w:pPr>
              <w:pStyle w:val="Compact"/>
            </w:pPr>
            <w:r>
              <w:rPr>
                <w:b/>
                <w:bCs/>
              </w:rPr>
              <w:t xml:space="preserve">DOCUMENT GOVERNANCE</w:t>
            </w:r>
            <w:r>
              <w:t xml:space="preserve"> </w:t>
            </w:r>
            <w:r>
              <w:t xml:space="preserve">|</w:t>
            </w:r>
            <w:r>
              <w:t xml:space="preserve"> </w:t>
            </w:r>
            <w:r>
              <w:t xml:space="preserve">|</w:t>
            </w:r>
            <w:r>
              <w:t xml:space="preserve"> </w:t>
            </w:r>
            <w:r>
              <w:t xml:space="preserve">This document is a controlled artifact within the Federal Modernization Program Canon. All modifications must be committed to the authoritative Gitea repository with a descriptive commit message. This document does not carry a FOUO designation. Distribution is permitted within the Federal Modernization Program operational boundary. All technical guidance herein assumes GCC-Moderate (Microsoft 365 SaaS) unless an Azure service is explicitly called out with justification.</w:t>
            </w:r>
          </w:p>
        </w:tc>
      </w:tr>
    </w:tbl>
    <w:p>
      <w:pPr>
        <w:pStyle w:val="BodyText"/>
      </w:pPr>
      <w:r>
        <w:t xml:space="preserve">Table of Contents</w:t>
      </w:r>
    </w:p>
    <w:p>
      <w:pPr>
        <w:numPr>
          <w:ilvl w:val="0"/>
          <w:numId w:val="1209"/>
        </w:numPr>
      </w:pPr>
      <w:r>
        <w:t xml:space="preserve">Purpose and Scope</w:t>
      </w:r>
    </w:p>
    <w:p>
      <w:pPr>
        <w:numPr>
          <w:ilvl w:val="0"/>
          <w:numId w:val="1209"/>
        </w:numPr>
      </w:pPr>
      <w:r>
        <w:t xml:space="preserve">AD Identity Landscape Decomposition</w:t>
      </w:r>
    </w:p>
    <w:p>
      <w:pPr>
        <w:numPr>
          <w:ilvl w:val="0"/>
          <w:numId w:val="1209"/>
        </w:numPr>
      </w:pPr>
      <w:r>
        <w:t xml:space="preserve">Entra ID Identity Architecture</w:t>
      </w:r>
    </w:p>
    <w:p>
      <w:pPr>
        <w:numPr>
          <w:ilvl w:val="0"/>
          <w:numId w:val="1209"/>
        </w:numPr>
      </w:pPr>
      <w:r>
        <w:t xml:space="preserve">Entra Connect Sync Architecture</w:t>
      </w:r>
    </w:p>
    <w:p>
      <w:pPr>
        <w:numPr>
          <w:ilvl w:val="0"/>
          <w:numId w:val="1209"/>
        </w:numPr>
      </w:pPr>
      <w:r>
        <w:t xml:space="preserve">Group Migration Strategy</w:t>
      </w:r>
    </w:p>
    <w:p>
      <w:pPr>
        <w:numPr>
          <w:ilvl w:val="0"/>
          <w:numId w:val="1209"/>
        </w:numPr>
      </w:pPr>
      <w:r>
        <w:t xml:space="preserve">Service Account Modernization</w:t>
      </w:r>
    </w:p>
    <w:p>
      <w:pPr>
        <w:numPr>
          <w:ilvl w:val="0"/>
          <w:numId w:val="1209"/>
        </w:numPr>
      </w:pPr>
      <w:r>
        <w:t xml:space="preserve">Privileged Access Management</w:t>
      </w:r>
    </w:p>
    <w:p>
      <w:pPr>
        <w:numPr>
          <w:ilvl w:val="0"/>
          <w:numId w:val="1209"/>
        </w:numPr>
      </w:pPr>
      <w:r>
        <w:t xml:space="preserve">Conditional Access Policy Framework</w:t>
      </w:r>
    </w:p>
    <w:p>
      <w:pPr>
        <w:numPr>
          <w:ilvl w:val="0"/>
          <w:numId w:val="1209"/>
        </w:numPr>
      </w:pPr>
      <w:r>
        <w:t xml:space="preserve">Identity Governance and Lifecycle</w:t>
      </w:r>
    </w:p>
    <w:p>
      <w:pPr>
        <w:numPr>
          <w:ilvl w:val="0"/>
          <w:numId w:val="1209"/>
        </w:numPr>
      </w:pPr>
      <w:r>
        <w:t xml:space="preserve">Cross-Tenant and B2B Collaboration</w:t>
      </w:r>
    </w:p>
    <w:p>
      <w:pPr>
        <w:numPr>
          <w:ilvl w:val="0"/>
          <w:numId w:val="1209"/>
        </w:numPr>
      </w:pPr>
      <w:r>
        <w:t xml:space="preserve">Authentication Modernization</w:t>
      </w:r>
    </w:p>
    <w:p>
      <w:pPr>
        <w:numPr>
          <w:ilvl w:val="0"/>
          <w:numId w:val="1209"/>
        </w:numPr>
      </w:pPr>
      <w:r>
        <w:t xml:space="preserve">Monitoring, Audit, and Compliance</w:t>
      </w:r>
    </w:p>
    <w:p>
      <w:pPr>
        <w:numPr>
          <w:ilvl w:val="0"/>
          <w:numId w:val="1209"/>
        </w:numPr>
      </w:pPr>
      <w:r>
        <w:t xml:space="preserve">Migration Execution Playbook</w:t>
      </w:r>
    </w:p>
    <w:p>
      <w:pPr>
        <w:numPr>
          <w:ilvl w:val="0"/>
          <w:numId w:val="1209"/>
        </w:numPr>
      </w:pPr>
      <w:r>
        <w:t xml:space="preserve">Gitea Integration and Drift Detection</w:t>
      </w:r>
    </w:p>
    <w:p>
      <w:pPr>
        <w:numPr>
          <w:ilvl w:val="0"/>
          <w:numId w:val="1209"/>
        </w:numPr>
      </w:pPr>
      <w:r>
        <w:t xml:space="preserve">Troubleshooting Reference</w:t>
      </w:r>
    </w:p>
    <w:p>
      <w:pPr>
        <w:numPr>
          <w:ilvl w:val="0"/>
          <w:numId w:val="1209"/>
        </w:numPr>
      </w:pPr>
      <w:r>
        <w:t xml:space="preserve">Appendix A — Identity Attribute Mapping Reference</w:t>
      </w:r>
    </w:p>
    <w:p>
      <w:pPr>
        <w:numPr>
          <w:ilvl w:val="0"/>
          <w:numId w:val="1209"/>
        </w:numPr>
      </w:pPr>
      <w:r>
        <w:t xml:space="preserve">Appendix B — Conditional Access Policy Templates</w:t>
      </w:r>
    </w:p>
    <w:p>
      <w:pPr>
        <w:numPr>
          <w:ilvl w:val="0"/>
          <w:numId w:val="1209"/>
        </w:numPr>
      </w:pPr>
      <w:r>
        <w:t xml:space="preserve">Appendix C — PowerShell Module: FMPIdentityAssessment</w:t>
      </w:r>
    </w:p>
    <w:p>
      <w:pPr>
        <w:numPr>
          <w:ilvl w:val="0"/>
          <w:numId w:val="1209"/>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document provides the authoritative technical reference for migrating the full identity lifecycle from on-premises Active Directory Domain Services (AD DS) to Microsoft Entra ID within a GCC-Moderate boundary. It is written for federal and enterprise IT architects who must plan, execute, and govern an identity modernization program that preserves security posture while eliminating dependency on legacy directory infrastructure.</w:t>
      </w:r>
    </w:p>
    <w:p>
      <w:pPr>
        <w:pStyle w:val="BodyText"/>
      </w:pPr>
      <w:r>
        <w:t xml:space="preserve">The scope of this guide encompasses every object class and governance construct that constitutes an AD identity model:</w:t>
      </w:r>
    </w:p>
    <w:p>
      <w:pPr>
        <w:numPr>
          <w:ilvl w:val="0"/>
          <w:numId w:val="1210"/>
        </w:numPr>
      </w:pPr>
      <w:r>
        <w:rPr>
          <w:b/>
          <w:bCs/>
        </w:rPr>
        <w:t xml:space="preserve">User objects</w:t>
      </w:r>
      <w:r>
        <w:t xml:space="preserve"> </w:t>
      </w:r>
      <w:r>
        <w:t xml:space="preserve">— attributes, UPN routing, SID history, group memberships, OU placement, and lifecycle state</w:t>
      </w:r>
    </w:p>
    <w:p>
      <w:pPr>
        <w:numPr>
          <w:ilvl w:val="0"/>
          <w:numId w:val="1210"/>
        </w:numPr>
      </w:pPr>
      <w:r>
        <w:rPr>
          <w:b/>
          <w:bCs/>
        </w:rPr>
        <w:t xml:space="preserve">Security and distribution groups</w:t>
      </w:r>
      <w:r>
        <w:t xml:space="preserve"> </w:t>
      </w:r>
      <w:r>
        <w:t xml:space="preserve">— scope, nesting patterns, mail-enablement, and dynamic membership</w:t>
      </w:r>
    </w:p>
    <w:p>
      <w:pPr>
        <w:numPr>
          <w:ilvl w:val="0"/>
          <w:numId w:val="1210"/>
        </w:numPr>
      </w:pPr>
      <w:r>
        <w:rPr>
          <w:b/>
          <w:bCs/>
        </w:rPr>
        <w:t xml:space="preserve">Service accounts</w:t>
      </w:r>
      <w:r>
        <w:t xml:space="preserve"> </w:t>
      </w:r>
      <w:r>
        <w:t xml:space="preserve">— traditional, Managed Service Accounts (MSA), and Group Managed Service Accounts (gMSA)</w:t>
      </w:r>
    </w:p>
    <w:p>
      <w:pPr>
        <w:numPr>
          <w:ilvl w:val="0"/>
          <w:numId w:val="1210"/>
        </w:numPr>
      </w:pPr>
      <w:r>
        <w:rPr>
          <w:b/>
          <w:bCs/>
        </w:rPr>
        <w:t xml:space="preserve">Privileged access</w:t>
      </w:r>
      <w:r>
        <w:t xml:space="preserve"> </w:t>
      </w:r>
      <w:r>
        <w:t xml:space="preserve">— AdminSDHolder-protected groups, delegation models, and tiered administration</w:t>
      </w:r>
    </w:p>
    <w:p>
      <w:pPr>
        <w:numPr>
          <w:ilvl w:val="0"/>
          <w:numId w:val="1210"/>
        </w:numPr>
      </w:pPr>
      <w:r>
        <w:rPr>
          <w:b/>
          <w:bCs/>
        </w:rPr>
        <w:t xml:space="preserve">Conditional Access</w:t>
      </w:r>
      <w:r>
        <w:t xml:space="preserve"> </w:t>
      </w:r>
      <w:r>
        <w:t xml:space="preserve">— replacing GPO-based logon restrictions with policy-driven cloud controls</w:t>
      </w:r>
    </w:p>
    <w:p>
      <w:pPr>
        <w:numPr>
          <w:ilvl w:val="0"/>
          <w:numId w:val="1210"/>
        </w:numPr>
      </w:pPr>
      <w:r>
        <w:rPr>
          <w:b/>
          <w:bCs/>
        </w:rPr>
        <w:t xml:space="preserve">Identity governance</w:t>
      </w:r>
      <w:r>
        <w:t xml:space="preserve"> </w:t>
      </w:r>
      <w:r>
        <w:t xml:space="preserve">— access reviews, entitlement management, lifecycle workflows, and compliance attestation</w:t>
      </w:r>
    </w:p>
    <w:p>
      <w:pPr>
        <w:pStyle w:val="FirstParagraph"/>
      </w:pPr>
      <w:r>
        <w:t xml:space="preserve">1.2 Classification and Boundary</w:t>
      </w:r>
    </w:p>
    <w:p>
      <w:pPr>
        <w:pStyle w:val="BodyText"/>
      </w:pPr>
      <w:r>
        <w:t xml:space="preserve">This document is classified as</w:t>
      </w:r>
      <w:r>
        <w:t xml:space="preserve"> </w:t>
      </w:r>
      <w:r>
        <w:rPr>
          <w:b/>
          <w:bCs/>
        </w:rPr>
        <w:t xml:space="preserve">Controlled</w:t>
      </w:r>
      <w:r>
        <w:t xml:space="preserve">. It does not carry a For Official Use Only (FOUO) designation. The operational boundary is</w:t>
      </w:r>
      <w:r>
        <w:t xml:space="preserve"> </w:t>
      </w:r>
      <w:r>
        <w:rPr>
          <w:b/>
          <w:bCs/>
        </w:rPr>
        <w:t xml:space="preserve">GCC-Moderate</w:t>
      </w:r>
      <w:r>
        <w:t xml:space="preserve">, which constrains all guidance to Microsoft 365 SaaS services. Azure IaaS and PaaS services are not in scope unless explicitly called out with architectural justification. This distinction is critical: GCC-Moderate tenants run on Microsoft’s commercial cloud infrastructure at FedRAMP Moderate, with worldwide endpoints, but some features arrive later or differ from the commercial offering; verify availability in the Microsoft 365 Government service descriptions.</w:t>
      </w:r>
    </w:p>
    <w:p>
      <w:pPr>
        <w:pStyle w:val="BodyText"/>
      </w:pPr>
      <w:r>
        <w:t xml:space="preserve">1.3 Companion Document Cross-References</w:t>
      </w:r>
    </w:p>
    <w:p>
      <w:pPr>
        <w:pStyle w:val="BodyText"/>
      </w:pPr>
      <w:r>
        <w:t xml:space="preserve">This guide is one document within a larger the Federal Modernization Program Canon corpus. The following companion documents are referenced throughout and should be read in conjunction with this guide:</w:t>
      </w:r>
    </w:p>
    <w:tbl>
      <w:tblPr>
        <w:tblStyle w:val="Table"/>
        <w:tblW w:type="pct" w:w="4958"/>
        <w:tblLayout w:type="fixed"/>
        <w:tblLook w:firstRow="1" w:lastRow="0" w:firstColumn="0" w:lastColumn="0" w:noHBand="0" w:noVBand="0" w:val="0020"/>
      </w:tblPr>
      <w:tblGrid>
        <w:gridCol w:w="1391"/>
        <w:gridCol w:w="3413"/>
        <w:gridCol w:w="3048"/>
      </w:tblGrid>
      <w:tr>
        <w:trPr>
          <w:tblHeader w:val="on"/>
        </w:trPr>
        <w:tc>
          <w:tcPr/>
          <w:p>
            <w:pPr>
              <w:pStyle w:val="Compact"/>
              <w:jc w:val="left"/>
            </w:pPr>
            <w:r>
              <w:rPr>
                <w:b/>
                <w:bCs/>
              </w:rPr>
              <w:t xml:space="preserve">Companion Document</w:t>
            </w:r>
          </w:p>
        </w:tc>
        <w:tc>
          <w:tcPr/>
          <w:p>
            <w:pPr>
              <w:pStyle w:val="Compact"/>
              <w:jc w:val="left"/>
            </w:pPr>
            <w:r>
              <w:rPr>
                <w:b/>
                <w:bCs/>
              </w:rPr>
              <w:t xml:space="preserve">Relevance to This Guide</w:t>
            </w:r>
          </w:p>
        </w:tc>
        <w:tc>
          <w:tcPr/>
          <w:p>
            <w:pPr>
              <w:pStyle w:val="Compact"/>
              <w:jc w:val="left"/>
            </w:pPr>
            <w:r>
              <w:rPr>
                <w:b/>
                <w:bCs/>
              </w:rPr>
              <w:t xml:space="preserve">Primary Cross-Reference Sections</w:t>
            </w:r>
          </w:p>
        </w:tc>
      </w:tr>
      <w:tr>
        <w:tc>
          <w:tcPr/>
          <w:p>
            <w:pPr>
              <w:pStyle w:val="Compact"/>
              <w:jc w:val="left"/>
            </w:pPr>
            <w:r>
              <w:rPr>
                <w:b/>
                <w:bCs/>
              </w:rPr>
              <w:t xml:space="preserve">AD Computer Object Conversion Guide</w:t>
            </w:r>
          </w:p>
        </w:tc>
        <w:tc>
          <w:tcPr/>
          <w:p>
            <w:pPr>
              <w:pStyle w:val="Compact"/>
              <w:jc w:val="left"/>
            </w:pPr>
            <w:r>
              <w:t xml:space="preserve">Covers the migration of computer objects from AD-joined to Entra-joined/Hybrid-joined states</w:t>
            </w:r>
          </w:p>
        </w:tc>
        <w:tc>
          <w:tcPr/>
          <w:p>
            <w:pPr>
              <w:pStyle w:val="Compact"/>
              <w:jc w:val="left"/>
            </w:pPr>
            <w:r>
              <w:t xml:space="preserve">Section 2.5 (Computer Objects), Section 13 (Migration Playbook)</w:t>
            </w:r>
          </w:p>
        </w:tc>
      </w:tr>
      <w:tr>
        <w:tc>
          <w:tcPr/>
          <w:p>
            <w:pPr>
              <w:pStyle w:val="Compact"/>
              <w:jc w:val="left"/>
            </w:pPr>
            <w:r>
              <w:rPr>
                <w:b/>
                <w:bCs/>
              </w:rPr>
              <w:t xml:space="preserve">AD Interaction Guide</w:t>
            </w:r>
          </w:p>
        </w:tc>
        <w:tc>
          <w:tcPr/>
          <w:p>
            <w:pPr>
              <w:pStyle w:val="Compact"/>
              <w:jc w:val="left"/>
            </w:pPr>
            <w:r>
              <w:t xml:space="preserve">Defines AD query patterns, trust relationships, and the Invoke-FMPADAssessment assessment framework S</w:t>
            </w:r>
          </w:p>
        </w:tc>
        <w:tc>
          <w:tcPr/>
          <w:p>
            <w:pPr>
              <w:pStyle w:val="Compact"/>
              <w:jc w:val="left"/>
            </w:pPr>
            <w:r>
              <w:t xml:space="preserve">ection 2 (Landscape Decomposition), Section 10 (B2B/Trust Mapping), Section 13 (Phase 0)</w:t>
            </w:r>
          </w:p>
        </w:tc>
      </w:tr>
      <w:tr>
        <w:tc>
          <w:tcPr/>
          <w:p>
            <w:pPr>
              <w:pStyle w:val="Compact"/>
              <w:jc w:val="left"/>
            </w:pPr>
            <w:r>
              <w:rPr>
                <w:b/>
                <w:bCs/>
              </w:rPr>
              <w:t xml:space="preserve">Platform Server Build Guide</w:t>
            </w:r>
          </w:p>
        </w:tc>
        <w:tc>
          <w:tcPr/>
          <w:p>
            <w:pPr>
              <w:pStyle w:val="Compact"/>
              <w:jc w:val="left"/>
            </w:pPr>
            <w:r>
              <w:t xml:space="preserve">Server infrastructure that hosts AD DS, Entra Connect, and supporting services</w:t>
            </w:r>
          </w:p>
        </w:tc>
        <w:tc>
          <w:tcPr/>
          <w:p>
            <w:pPr>
              <w:pStyle w:val="Compact"/>
              <w:jc w:val="left"/>
            </w:pPr>
            <w:r>
              <w:t xml:space="preserve">Section 4 (Entra Connect Sync), Section 13 (Phase 1)</w:t>
            </w:r>
          </w:p>
        </w:tc>
      </w:tr>
      <w:tr>
        <w:tc>
          <w:tcPr/>
          <w:p>
            <w:pPr>
              <w:pStyle w:val="Compact"/>
              <w:jc w:val="left"/>
            </w:pPr>
            <w:r>
              <w:rPr>
                <w:b/>
                <w:bCs/>
              </w:rPr>
              <w:t xml:space="preserve">DNS Modernization Guide</w:t>
            </w:r>
          </w:p>
        </w:tc>
        <w:tc>
          <w:tcPr/>
          <w:p>
            <w:pPr>
              <w:pStyle w:val="Compact"/>
              <w:jc w:val="left"/>
            </w:pPr>
            <w:r>
              <w:t xml:space="preserve">DNS namespace alignment required for UPN suffix routing and hybrid name resolution</w:t>
            </w:r>
          </w:p>
        </w:tc>
        <w:tc>
          <w:tcPr/>
          <w:p>
            <w:pPr>
              <w:pStyle w:val="Compact"/>
              <w:jc w:val="left"/>
            </w:pPr>
            <w:r>
              <w:t xml:space="preserve">Section 4.7 (UPN Suffix Mismatches), Section 11 (Authentication)</w:t>
            </w:r>
          </w:p>
        </w:tc>
      </w:tr>
      <w:tr>
        <w:tc>
          <w:tcPr/>
          <w:p>
            <w:pPr>
              <w:pStyle w:val="Compact"/>
              <w:jc w:val="left"/>
            </w:pPr>
            <w:r>
              <w:rPr>
                <w:b/>
                <w:bCs/>
              </w:rPr>
              <w:t xml:space="preserve">PKI Modernization Guide</w:t>
            </w:r>
          </w:p>
        </w:tc>
        <w:tc>
          <w:tcPr/>
          <w:p>
            <w:pPr>
              <w:pStyle w:val="Compact"/>
              <w:jc w:val="left"/>
            </w:pPr>
            <w:r>
              <w:t xml:space="preserve">Certificate-based authentication, smart card migration, and cloud PKI integration</w:t>
            </w:r>
          </w:p>
        </w:tc>
        <w:tc>
          <w:tcPr/>
          <w:p>
            <w:pPr>
              <w:pStyle w:val="Compact"/>
              <w:jc w:val="left"/>
            </w:pPr>
            <w:r>
              <w:t xml:space="preserve">Section 6 (Service Account Auth), Section 11 (Phase 4: CBA)</w:t>
            </w:r>
          </w:p>
        </w:tc>
      </w:tr>
      <w:tr>
        <w:tc>
          <w:tcPr/>
          <w:p>
            <w:pPr>
              <w:pStyle w:val="Compact"/>
              <w:jc w:val="left"/>
            </w:pPr>
            <w:r>
              <w:t xml:space="preserve">**The Federal Modernization Program CLI an</w:t>
            </w:r>
          </w:p>
        </w:tc>
        <w:tc>
          <w:tcPr/>
          <w:p>
            <w:pPr>
              <w:pStyle w:val="Compact"/>
              <w:jc w:val="left"/>
            </w:pPr>
            <w:r>
              <w:t xml:space="preserve">d Operations Guide** CLI tooling patterns, Gitea API integration, and automation frameworks</w:t>
            </w:r>
          </w:p>
        </w:tc>
        <w:tc>
          <w:tcPr/>
          <w:p>
            <w:pPr>
              <w:pStyle w:val="Compact"/>
              <w:jc w:val="left"/>
            </w:pPr>
            <w:r>
              <w:t xml:space="preserve">Section 14 (Gitea Integration), Appendix C (PowerShell Module)</w:t>
            </w:r>
          </w:p>
        </w:tc>
      </w:tr>
    </w:tbl>
    <w:p>
      <w:pPr>
        <w:pStyle w:val="BodyText"/>
      </w:pPr>
      <w:r>
        <w:t xml:space="preserve">1.4 Assumptions and Prerequisites</w:t>
      </w:r>
    </w:p>
    <w:p>
      <w:pPr>
        <w:numPr>
          <w:ilvl w:val="0"/>
          <w:numId w:val="1211"/>
        </w:numPr>
      </w:pPr>
      <w:r>
        <w:t xml:space="preserve">The target environment is a Microsoft 365 GCC-Moderate tenant with Entra ID P2 licensing</w:t>
      </w:r>
    </w:p>
    <w:p>
      <w:pPr>
        <w:numPr>
          <w:ilvl w:val="0"/>
          <w:numId w:val="1211"/>
        </w:numPr>
      </w:pPr>
      <w:r>
        <w:t xml:space="preserve">The source environment is one or more Active Directory forests running Windows Server 2016 or later forest functional level</w:t>
      </w:r>
    </w:p>
    <w:p>
      <w:pPr>
        <w:numPr>
          <w:ilvl w:val="0"/>
          <w:numId w:val="1211"/>
        </w:numPr>
      </w:pPr>
      <w:r>
        <w:t xml:space="preserve">Entra Connect Sync or Entra Cloud Sync has been evaluated for deployment (decision matrix in Section 4)</w:t>
      </w:r>
    </w:p>
    <w:p>
      <w:pPr>
        <w:numPr>
          <w:ilvl w:val="0"/>
          <w:numId w:val="1211"/>
        </w:numPr>
      </w:pPr>
      <w:r>
        <w:t xml:space="preserve">The organization has established a Gitea instance for configuration-as-code and drift detection</w:t>
      </w:r>
    </w:p>
    <w:p>
      <w:pPr>
        <w:numPr>
          <w:ilvl w:val="0"/>
          <w:numId w:val="1211"/>
        </w:numPr>
      </w:pPr>
      <w:r>
        <w:t xml:space="preserve">All PowerShell examples target the Microsoft Graph PowerShell SDK v2.x and the ActiveDirectory module</w:t>
      </w:r>
    </w:p>
    <w:p>
      <w:pPr>
        <w:numPr>
          <w:ilvl w:val="0"/>
          <w:numId w:val="1211"/>
        </w:numPr>
      </w:pPr>
      <w:r>
        <w:t xml:space="preserve">The reader has Domain Admin or equivalent access in the source AD environment and Global Reader (minimum) in the Entra ID tenant</w:t>
      </w:r>
    </w:p>
    <w:p>
      <w:pPr>
        <w:pStyle w:val="FirstParagraph"/>
      </w:pPr>
      <w:r>
        <w:t xml:space="preserve">2. AD Identity Landscape Decomposition</w:t>
      </w:r>
    </w:p>
    <w:p>
      <w:pPr>
        <w:pStyle w:val="BodyText"/>
      </w:pPr>
      <w:r>
        <w:t xml:space="preserve">Before migrating any identity object to Entra ID, the existing AD identity model must be broken down into its component object types. Each component is a distinct object class or administrative construct with its own migration considerations, attribute mappings, and Entra ID equivalents. This section provides the decomposition framework.</w:t>
      </w:r>
    </w:p>
    <w:p>
      <w:pPr>
        <w:pStyle w:val="BodyText"/>
      </w:pPr>
      <w:r>
        <w:t xml:space="preserve">2.1 User Objects</w:t>
      </w:r>
    </w:p>
    <w:p>
      <w:pPr>
        <w:pStyle w:val="BodyText"/>
      </w:pPr>
      <w:r>
        <w:t xml:space="preserve">AD user objects are the foundational identity type. Each user object carries attributes that define authentication credentials, organizational placement, group memberships, and authorization scope. The migration of user objects to Entra ID requires careful attribute mapping, UPN suffix alignment, and lifecycle state preservation.</w:t>
      </w:r>
    </w:p>
    <w:p>
      <w:pPr>
        <w:pStyle w:val="BodyText"/>
      </w:pPr>
      <w:r>
        <w:rPr>
          <w:b/>
          <w:bCs/>
        </w:rPr>
        <w:t xml:space="preserve">Key governance dimensions:</w:t>
      </w:r>
    </w:p>
    <w:p>
      <w:pPr>
        <w:numPr>
          <w:ilvl w:val="0"/>
          <w:numId w:val="1212"/>
        </w:numPr>
      </w:pPr>
      <w:r>
        <w:rPr>
          <w:b/>
          <w:bCs/>
        </w:rPr>
        <w:t xml:space="preserve">UPN (userPrincipalName):</w:t>
      </w:r>
      <w:r>
        <w:t xml:space="preserve"> </w:t>
      </w:r>
      <w:r>
        <w:t xml:space="preserve">Must be routable and match the target Entra ID tenant domain. Non-routable UPN suffixes (e.g., .local) require remediation before sync.</w:t>
      </w:r>
    </w:p>
    <w:p>
      <w:pPr>
        <w:numPr>
          <w:ilvl w:val="0"/>
          <w:numId w:val="1212"/>
        </w:numPr>
      </w:pPr>
      <w:r>
        <w:rPr>
          <w:b/>
          <w:bCs/>
        </w:rPr>
        <w:t xml:space="preserve">SID (objectSid):</w:t>
      </w:r>
      <w:r>
        <w:t xml:space="preserve"> </w:t>
      </w:r>
      <w:r>
        <w:t xml:space="preserve">The immutable security identifier. Entra ID does not use SIDs natively; the onPremisesSecurityIdentifier attribute preserves the value for hybrid scenarios.</w:t>
      </w:r>
    </w:p>
    <w:p>
      <w:pPr>
        <w:numPr>
          <w:ilvl w:val="0"/>
          <w:numId w:val="1212"/>
        </w:numPr>
      </w:pPr>
      <w:r>
        <w:rPr>
          <w:b/>
          <w:bCs/>
        </w:rPr>
        <w:t xml:space="preserve">Group Memberships (memberOf):</w:t>
      </w:r>
      <w:r>
        <w:t xml:space="preserve"> </w:t>
      </w:r>
      <w:r>
        <w:t xml:space="preserve">Resolved through group sync. Nested memberships may require flattening.</w:t>
      </w:r>
    </w:p>
    <w:p>
      <w:pPr>
        <w:numPr>
          <w:ilvl w:val="0"/>
          <w:numId w:val="1212"/>
        </w:numPr>
      </w:pPr>
      <w:r>
        <w:rPr>
          <w:b/>
          <w:bCs/>
        </w:rPr>
        <w:t xml:space="preserve">OU Placement:</w:t>
      </w:r>
      <w:r>
        <w:t xml:space="preserve"> </w:t>
      </w:r>
      <w:r>
        <w:t xml:space="preserve">Determines GPO application and administrative delegation. Entra ID uses Administrative Units as the functional equivalent.</w:t>
      </w:r>
    </w:p>
    <w:p>
      <w:pPr>
        <w:numPr>
          <w:ilvl w:val="0"/>
          <w:numId w:val="1212"/>
        </w:numPr>
      </w:pPr>
      <w:r>
        <w:rPr>
          <w:b/>
          <w:bCs/>
        </w:rPr>
        <w:t xml:space="preserve">Attribute Richness:</w:t>
      </w:r>
      <w:r>
        <w:t xml:space="preserve"> </w:t>
      </w:r>
      <w:r>
        <w:t xml:space="preserve">AD supports 1,000+ attributes per user. Entra ID maps a subset natively and supports extension attributes for custom data.</w:t>
      </w:r>
    </w:p>
    <w:p>
      <w:pPr>
        <w:pStyle w:val="FirstParagraph"/>
      </w:pPr>
      <w:r>
        <w:rPr>
          <w:b/>
          <w:bCs/>
        </w:rPr>
        <w:t xml:space="preserve">User Object Attribute Mapping:</w:t>
      </w:r>
    </w:p>
    <w:tbl>
      <w:tblPr>
        <w:tblStyle w:val="Table"/>
        <w:tblW w:type="pct" w:w="4939"/>
        <w:tblLayout w:type="fixed"/>
        <w:tblLook w:firstRow="1" w:lastRow="0" w:firstColumn="0" w:lastColumn="0" w:noHBand="0" w:noVBand="0" w:val="0020"/>
      </w:tblPr>
      <w:tblGrid>
        <w:gridCol w:w="1255"/>
        <w:gridCol w:w="1545"/>
        <w:gridCol w:w="2511"/>
        <w:gridCol w:w="2511"/>
      </w:tblGrid>
      <w:tr>
        <w:trPr>
          <w:tblHeader w:val="on"/>
        </w:trPr>
        <w:tc>
          <w:tcPr/>
          <w:p>
            <w:pPr>
              <w:pStyle w:val="Compact"/>
              <w:jc w:val="left"/>
            </w:pPr>
            <w:r>
              <w:rPr>
                <w:b/>
                <w:bCs/>
              </w:rPr>
              <w:t xml:space="preserve">AD Attribute</w:t>
            </w:r>
          </w:p>
        </w:tc>
        <w:tc>
          <w:tcPr/>
          <w:p>
            <w:pPr>
              <w:pStyle w:val="Compact"/>
              <w:jc w:val="left"/>
            </w:pPr>
            <w:r>
              <w:rPr>
                <w:b/>
                <w:bCs/>
              </w:rPr>
              <w:t xml:space="preserve">Entra ID Attribute</w:t>
            </w:r>
          </w:p>
        </w:tc>
        <w:tc>
          <w:tcPr/>
          <w:p>
            <w:pPr>
              <w:pStyle w:val="Compact"/>
              <w:jc w:val="left"/>
            </w:pPr>
            <w:r>
              <w:rPr>
                <w:b/>
                <w:bCs/>
              </w:rPr>
              <w:t xml:space="preserve">Graph API Property</w:t>
            </w:r>
          </w:p>
        </w:tc>
        <w:tc>
          <w:tcPr/>
          <w:p>
            <w:pPr>
              <w:pStyle w:val="Compact"/>
              <w:jc w:val="left"/>
            </w:pPr>
            <w:r>
              <w:rPr>
                <w:b/>
                <w:bCs/>
              </w:rPr>
              <w:t xml:space="preserve">Notes</w:t>
            </w:r>
          </w:p>
        </w:tc>
      </w:tr>
      <w:tr>
        <w:tc>
          <w:tcPr/>
          <w:p>
            <w:pPr>
              <w:pStyle w:val="Compact"/>
              <w:jc w:val="left"/>
            </w:pPr>
            <w:r>
              <w:t xml:space="preserve">sAMAccountName</w:t>
            </w:r>
          </w:p>
        </w:tc>
        <w:tc>
          <w:tcPr/>
          <w:p>
            <w:pPr>
              <w:pStyle w:val="Compact"/>
              <w:jc w:val="left"/>
            </w:pPr>
            <w:r>
              <w:t xml:space="preserve">onPremisesSamAccountName</w:t>
            </w:r>
          </w:p>
        </w:tc>
        <w:tc>
          <w:tcPr/>
          <w:p>
            <w:pPr>
              <w:pStyle w:val="Compact"/>
              <w:jc w:val="left"/>
            </w:pPr>
            <w:r>
              <w:t xml:space="preserve">onPremisesSamAccountName</w:t>
            </w:r>
          </w:p>
        </w:tc>
        <w:tc>
          <w:tcPr/>
          <w:p>
            <w:pPr>
              <w:pStyle w:val="Compact"/>
              <w:jc w:val="left"/>
            </w:pPr>
            <w:r>
              <w:t xml:space="preserve">Read-only in Entra for synced users</w:t>
            </w:r>
          </w:p>
        </w:tc>
      </w:tr>
      <w:tr>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Must be routable; source of authority for sign-in</w:t>
            </w:r>
          </w:p>
        </w:tc>
      </w:tr>
      <w:tr>
        <w:tc>
          <w:tcPr/>
          <w:p>
            <w:pPr>
              <w:pStyle w:val="Compact"/>
              <w:jc w:val="left"/>
            </w:pPr>
            <w:r>
              <w:t xml:space="preserve">objectSid</w:t>
            </w:r>
          </w:p>
        </w:tc>
        <w:tc>
          <w:tcPr/>
          <w:p>
            <w:pPr>
              <w:pStyle w:val="Compact"/>
              <w:jc w:val="left"/>
            </w:pPr>
            <w:r>
              <w:t xml:space="preserve">onPremisesSecurityIdentifier</w:t>
            </w:r>
          </w:p>
        </w:tc>
        <w:tc>
          <w:tcPr/>
          <w:p>
            <w:pPr>
              <w:pStyle w:val="Compact"/>
              <w:jc w:val="left"/>
            </w:pPr>
            <w:r>
              <w:t xml:space="preserve">onPremisesSecurityIdentifier</w:t>
            </w:r>
          </w:p>
        </w:tc>
        <w:tc>
          <w:tcPr/>
          <w:p>
            <w:pPr>
              <w:pStyle w:val="Compact"/>
              <w:jc w:val="left"/>
            </w:pPr>
            <w:r>
              <w:t xml:space="preserve">Preserved for hybrid Kerberos scenarios</w:t>
            </w:r>
          </w:p>
        </w:tc>
      </w:tr>
      <w:tr>
        <w:tc>
          <w:tcPr/>
          <w:p>
            <w:pPr>
              <w:pStyle w:val="Compact"/>
              <w:jc w:val="left"/>
            </w:pPr>
            <w:r>
              <w:t xml:space="preserve">mail</w:t>
            </w:r>
          </w:p>
        </w:tc>
        <w:tc>
          <w:tcPr/>
          <w:p>
            <w:pPr>
              <w:pStyle w:val="Compact"/>
              <w:jc w:val="left"/>
            </w:pPr>
            <w:r>
              <w:t xml:space="preserve">mail</w:t>
            </w:r>
          </w:p>
        </w:tc>
        <w:tc>
          <w:tcPr/>
          <w:p>
            <w:pPr>
              <w:pStyle w:val="Compact"/>
              <w:jc w:val="left"/>
            </w:pPr>
            <w:r>
              <w:t xml:space="preserve">mail</w:t>
            </w:r>
          </w:p>
        </w:tc>
        <w:tc>
          <w:tcPr/>
          <w:p>
            <w:pPr>
              <w:pStyle w:val="Compact"/>
              <w:jc w:val="left"/>
            </w:pPr>
            <w:r>
              <w:t xml:space="preserve">Primary SMTP address</w:t>
            </w:r>
          </w:p>
        </w:tc>
      </w:tr>
      <w:tr>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Direct mapping</w:t>
            </w:r>
          </w:p>
        </w:tc>
      </w:tr>
      <w:tr>
        <w:tc>
          <w:tcPr/>
          <w:p>
            <w:pPr>
              <w:pStyle w:val="Compact"/>
              <w:jc w:val="left"/>
            </w:pPr>
            <w:r>
              <w:t xml:space="preserve">givenName</w:t>
            </w:r>
          </w:p>
        </w:tc>
        <w:tc>
          <w:tcPr/>
          <w:p>
            <w:pPr>
              <w:pStyle w:val="Compact"/>
              <w:jc w:val="left"/>
            </w:pPr>
            <w:r>
              <w:t xml:space="preserve">givenName</w:t>
            </w:r>
          </w:p>
        </w:tc>
        <w:tc>
          <w:tcPr/>
          <w:p>
            <w:pPr>
              <w:pStyle w:val="Compact"/>
              <w:jc w:val="left"/>
            </w:pPr>
            <w:r>
              <w:t xml:space="preserve">givenName</w:t>
            </w:r>
          </w:p>
        </w:tc>
        <w:tc>
          <w:tcPr/>
          <w:p>
            <w:pPr>
              <w:pStyle w:val="Compact"/>
              <w:jc w:val="left"/>
            </w:pPr>
            <w:r>
              <w:t xml:space="preserve">Direct mapping</w:t>
            </w:r>
          </w:p>
        </w:tc>
      </w:tr>
      <w:tr>
        <w:tc>
          <w:tcPr/>
          <w:p>
            <w:pPr>
              <w:pStyle w:val="Compact"/>
              <w:jc w:val="left"/>
            </w:pPr>
            <w:r>
              <w:t xml:space="preserve">sn (surname)</w:t>
            </w:r>
          </w:p>
        </w:tc>
        <w:tc>
          <w:tcPr/>
          <w:p>
            <w:pPr>
              <w:pStyle w:val="Compact"/>
              <w:jc w:val="left"/>
            </w:pPr>
            <w:r>
              <w:t xml:space="preserve">surname</w:t>
            </w:r>
          </w:p>
        </w:tc>
        <w:tc>
          <w:tcPr/>
          <w:p>
            <w:pPr>
              <w:pStyle w:val="Compact"/>
              <w:jc w:val="left"/>
            </w:pPr>
            <w:r>
              <w:t xml:space="preserve">surname</w:t>
            </w:r>
          </w:p>
        </w:tc>
        <w:tc>
          <w:tcPr/>
          <w:p>
            <w:pPr>
              <w:pStyle w:val="Compact"/>
              <w:jc w:val="left"/>
            </w:pPr>
            <w:r>
              <w:t xml:space="preserve">Direct mapping</w:t>
            </w:r>
          </w:p>
        </w:tc>
      </w:tr>
      <w:tr>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Direct mapping</w:t>
            </w:r>
          </w:p>
        </w:tc>
      </w:tr>
      <w:tr>
        <w:tc>
          <w:tcPr/>
          <w:p>
            <w:pPr>
              <w:pStyle w:val="Compact"/>
              <w:jc w:val="left"/>
            </w:pPr>
            <w:r>
              <w:t xml:space="preserve">title</w:t>
            </w:r>
          </w:p>
        </w:tc>
        <w:tc>
          <w:tcPr/>
          <w:p>
            <w:pPr>
              <w:pStyle w:val="Compact"/>
              <w:jc w:val="left"/>
            </w:pPr>
            <w:r>
              <w:t xml:space="preserve">jobTitle</w:t>
            </w:r>
          </w:p>
        </w:tc>
        <w:tc>
          <w:tcPr/>
          <w:p>
            <w:pPr>
              <w:pStyle w:val="Compact"/>
              <w:jc w:val="left"/>
            </w:pPr>
            <w:r>
              <w:t xml:space="preserve">jobTitle</w:t>
            </w:r>
          </w:p>
        </w:tc>
        <w:tc>
          <w:tcPr/>
          <w:p>
            <w:pPr>
              <w:pStyle w:val="Compact"/>
              <w:jc w:val="left"/>
            </w:pPr>
            <w:r>
              <w:t xml:space="preserve">Direct mapping</w:t>
            </w:r>
          </w:p>
        </w:tc>
      </w:tr>
      <w:tr>
        <w:tc>
          <w:tcPr/>
          <w:p>
            <w:pPr>
              <w:pStyle w:val="Compact"/>
              <w:jc w:val="left"/>
            </w:pPr>
            <w:r>
              <w:t xml:space="preserve">manager (DN)</w:t>
            </w:r>
          </w:p>
        </w:tc>
        <w:tc>
          <w:tcPr/>
          <w:p>
            <w:pPr>
              <w:pStyle w:val="Compact"/>
              <w:jc w:val="left"/>
            </w:pPr>
            <w:r>
              <w:t xml:space="preserve">manager</w:t>
            </w:r>
          </w:p>
        </w:tc>
        <w:tc>
          <w:tcPr/>
          <w:p>
            <w:pPr>
              <w:pStyle w:val="Compact"/>
              <w:jc w:val="left"/>
            </w:pPr>
            <w:r>
              <w:t xml:space="preserve">manager (navigation property)</w:t>
            </w:r>
          </w:p>
        </w:tc>
        <w:tc>
          <w:tcPr/>
          <w:p>
            <w:pPr>
              <w:pStyle w:val="Compact"/>
              <w:jc w:val="left"/>
            </w:pPr>
            <w:r>
              <w:t xml:space="preserve">Resolved as relationship, not attribute</w:t>
            </w:r>
          </w:p>
        </w:tc>
      </w:tr>
      <w:tr>
        <w:tc>
          <w:tcPr/>
          <w:p>
            <w:pPr>
              <w:pStyle w:val="Compact"/>
              <w:jc w:val="left"/>
            </w:pPr>
            <w:r>
              <w:t xml:space="preserve">memberOf</w:t>
            </w:r>
          </w:p>
        </w:tc>
        <w:tc>
          <w:tcPr/>
          <w:p>
            <w:pPr>
              <w:pStyle w:val="Compact"/>
              <w:jc w:val="left"/>
            </w:pPr>
            <w:r>
              <w:t xml:space="preserve">memberOf</w:t>
            </w:r>
          </w:p>
        </w:tc>
        <w:tc>
          <w:tcPr/>
          <w:p>
            <w:pPr>
              <w:pStyle w:val="Compact"/>
              <w:jc w:val="left"/>
            </w:pPr>
            <w:r>
              <w:t xml:space="preserve">memberOf (navigation property)</w:t>
            </w:r>
          </w:p>
        </w:tc>
        <w:tc>
          <w:tcPr/>
          <w:p>
            <w:pPr>
              <w:pStyle w:val="Compact"/>
              <w:jc w:val="left"/>
            </w:pPr>
            <w:r>
              <w:t xml:space="preserve">Groups and roles; resolved by sync engine</w:t>
            </w:r>
          </w:p>
        </w:tc>
      </w:tr>
      <w:tr>
        <w:tc>
          <w:tcPr/>
          <w:p>
            <w:pPr>
              <w:pStyle w:val="Compact"/>
              <w:jc w:val="left"/>
            </w:pPr>
            <w:r>
              <w:t xml:space="preserve">extensionAttribute1–15</w:t>
            </w:r>
          </w:p>
        </w:tc>
        <w:tc>
          <w:tcPr/>
          <w:p>
            <w:pPr>
              <w:pStyle w:val="Compact"/>
              <w:jc w:val="left"/>
            </w:pPr>
            <w:r>
              <w:t xml:space="preserve">onPremisesExtensionAttributes</w:t>
            </w:r>
          </w:p>
        </w:tc>
        <w:tc>
          <w:tcPr/>
          <w:p>
            <w:pPr>
              <w:pStyle w:val="Compact"/>
              <w:jc w:val="left"/>
            </w:pPr>
            <w:r>
              <w:t xml:space="preserve">onPremisesExtensionAttributes.extensionAttribute1</w:t>
            </w:r>
          </w:p>
        </w:tc>
        <w:tc>
          <w:tcPr/>
          <w:p>
            <w:pPr>
              <w:pStyle w:val="Compact"/>
              <w:jc w:val="left"/>
            </w:pPr>
            <w:r>
              <w:t xml:space="preserve">Custom extension attributes</w:t>
            </w:r>
          </w:p>
        </w:tc>
      </w:tr>
      <w:tr>
        <w:tc>
          <w:tcPr/>
          <w:p>
            <w:pPr>
              <w:pStyle w:val="Compact"/>
              <w:jc w:val="left"/>
            </w:pPr>
            <w:r>
              <w:t xml:space="preserve">userAccountControl</w:t>
            </w:r>
          </w:p>
        </w:tc>
        <w:tc>
          <w:tcPr/>
          <w:p>
            <w:pPr>
              <w:pStyle w:val="Compact"/>
              <w:jc w:val="left"/>
            </w:pPr>
            <w:r>
              <w:t xml:space="preserve">accountEnabled</w:t>
            </w:r>
          </w:p>
        </w:tc>
        <w:tc>
          <w:tcPr/>
          <w:p>
            <w:pPr>
              <w:pStyle w:val="Compact"/>
              <w:jc w:val="left"/>
            </w:pPr>
            <w:r>
              <w:t xml:space="preserve">accountEnabled</w:t>
            </w:r>
          </w:p>
        </w:tc>
        <w:tc>
          <w:tcPr/>
          <w:p>
            <w:pPr>
              <w:pStyle w:val="Compact"/>
              <w:jc w:val="left"/>
            </w:pPr>
            <w:r>
              <w:t xml:space="preserve">Bit flag decomposed to boolean</w:t>
            </w:r>
          </w:p>
        </w:tc>
      </w:tr>
      <w:tr>
        <w:tc>
          <w:tcPr/>
          <w:p>
            <w:pPr>
              <w:pStyle w:val="Compact"/>
              <w:jc w:val="left"/>
            </w:pPr>
            <w:r>
              <w:t xml:space="preserve">pwdLastSet</w:t>
            </w:r>
          </w:p>
        </w:tc>
        <w:tc>
          <w:tcPr/>
          <w:p>
            <w:pPr>
              <w:pStyle w:val="Compact"/>
              <w:jc w:val="left"/>
            </w:pPr>
            <w:r>
              <w:t xml:space="preserve">lastPasswordChangeDateTime</w:t>
            </w:r>
          </w:p>
        </w:tc>
        <w:tc>
          <w:tcPr/>
          <w:p>
            <w:pPr>
              <w:pStyle w:val="Compact"/>
              <w:jc w:val="left"/>
            </w:pPr>
            <w:r>
              <w:t xml:space="preserve">lastPasswordChangeDateTime</w:t>
            </w:r>
          </w:p>
        </w:tc>
        <w:tc>
          <w:tcPr/>
          <w:p>
            <w:pPr>
              <w:pStyle w:val="Compact"/>
              <w:jc w:val="left"/>
            </w:pPr>
            <w:r>
              <w:t xml:space="preserve">Used for password age calculations</w:t>
            </w:r>
          </w:p>
        </w:tc>
      </w:tr>
      <w:tr>
        <w:tc>
          <w:tcPr/>
          <w:p>
            <w:pPr>
              <w:pStyle w:val="Compact"/>
              <w:jc w:val="left"/>
            </w:pPr>
            <w:r>
              <w:t xml:space="preserve">whenCreated</w:t>
            </w:r>
          </w:p>
        </w:tc>
        <w:tc>
          <w:tcPr/>
          <w:p>
            <w:pPr>
              <w:pStyle w:val="Compact"/>
              <w:jc w:val="left"/>
            </w:pPr>
            <w:r>
              <w:t xml:space="preserve">createdDateTime</w:t>
            </w:r>
          </w:p>
        </w:tc>
        <w:tc>
          <w:tcPr/>
          <w:p>
            <w:pPr>
              <w:pStyle w:val="Compact"/>
              <w:jc w:val="left"/>
            </w:pPr>
            <w:r>
              <w:t xml:space="preserve">createdDateTime</w:t>
            </w:r>
          </w:p>
        </w:tc>
        <w:tc>
          <w:tcPr/>
          <w:p>
            <w:pPr>
              <w:pStyle w:val="Compact"/>
              <w:jc w:val="left"/>
            </w:pPr>
            <w:r>
              <w:t xml:space="preserve">Object creation timestamp</w:t>
            </w:r>
          </w:p>
        </w:tc>
      </w:tr>
    </w:tbl>
    <w:p>
      <w:pPr>
        <w:pStyle w:val="BodyText"/>
      </w:pPr>
      <w:r>
        <w:t xml:space="preserve">2.2 Security Groups</w:t>
      </w:r>
    </w:p>
    <w:p>
      <w:pPr>
        <w:pStyle w:val="BodyText"/>
      </w:pPr>
      <w:r>
        <w:t xml:space="preserve">AD security groups provide the authorization backbone for resource access. Groups in AD are classified by</w:t>
      </w:r>
      <w:r>
        <w:t xml:space="preserve"> </w:t>
      </w:r>
      <w:r>
        <w:rPr>
          <w:b/>
          <w:bCs/>
        </w:rPr>
        <w:t xml:space="preserve">scope</w:t>
      </w:r>
      <w:r>
        <w:t xml:space="preserve"> </w:t>
      </w:r>
      <w:r>
        <w:t xml:space="preserve">(Domain Local, Global, Universal) and by</w:t>
      </w:r>
      <w:r>
        <w:t xml:space="preserve"> </w:t>
      </w:r>
      <w:r>
        <w:rPr>
          <w:b/>
          <w:bCs/>
        </w:rPr>
        <w:t xml:space="preserve">type</w:t>
      </w:r>
      <w:r>
        <w:t xml:space="preserve"> </w:t>
      </w:r>
      <w:r>
        <w:t xml:space="preserve">(Security, Distribution). The AGDLP (Account → Global → Domain Local → Permission) and AGUDLP (Account → Global → Universal → Domain Local → Permission) nesting patterns define the canonical AD group architecture.</w:t>
      </w:r>
    </w:p>
    <w:p>
      <w:pPr>
        <w:pStyle w:val="BodyText"/>
      </w:pPr>
      <w:r>
        <w:rPr>
          <w:b/>
          <w:bCs/>
        </w:rPr>
        <w:t xml:space="preserve">Group scope migration considerations:</w:t>
      </w:r>
    </w:p>
    <w:tbl>
      <w:tblPr>
        <w:tblStyle w:val="Table"/>
        <w:tblW w:type="pct" w:w="4941"/>
        <w:tblLayout w:type="fixed"/>
        <w:tblLook w:firstRow="1" w:lastRow="0" w:firstColumn="0" w:lastColumn="0" w:noHBand="0" w:noVBand="0" w:val="0020"/>
      </w:tblPr>
      <w:tblGrid>
        <w:gridCol w:w="978"/>
        <w:gridCol w:w="2608"/>
        <w:gridCol w:w="1816"/>
        <w:gridCol w:w="2422"/>
      </w:tblGrid>
      <w:tr>
        <w:trPr>
          <w:tblHeader w:val="on"/>
        </w:trPr>
        <w:tc>
          <w:tcPr/>
          <w:p>
            <w:pPr>
              <w:pStyle w:val="Compact"/>
              <w:jc w:val="left"/>
            </w:pPr>
            <w:r>
              <w:rPr>
                <w:b/>
                <w:bCs/>
              </w:rPr>
              <w:t xml:space="preserve">AD Group Scope</w:t>
            </w:r>
          </w:p>
        </w:tc>
        <w:tc>
          <w:tcPr/>
          <w:p>
            <w:pPr>
              <w:pStyle w:val="Compact"/>
              <w:jc w:val="left"/>
            </w:pPr>
            <w:r>
              <w:rPr>
                <w:b/>
                <w:bCs/>
              </w:rPr>
              <w:t xml:space="preserve">Nesting Capability</w:t>
            </w:r>
          </w:p>
        </w:tc>
        <w:tc>
          <w:tcPr/>
          <w:p>
            <w:pPr>
              <w:pStyle w:val="Compact"/>
              <w:jc w:val="left"/>
            </w:pPr>
            <w:r>
              <w:rPr>
                <w:b/>
                <w:bCs/>
              </w:rPr>
              <w:t xml:space="preserve">Entra ID Equivalent</w:t>
            </w:r>
          </w:p>
        </w:tc>
        <w:tc>
          <w:tcPr/>
          <w:p>
            <w:pPr>
              <w:pStyle w:val="Compact"/>
              <w:jc w:val="left"/>
            </w:pPr>
            <w:r>
              <w:rPr>
                <w:b/>
                <w:bCs/>
              </w:rPr>
              <w:t xml:space="preserve">Migration Path</w:t>
            </w:r>
          </w:p>
        </w:tc>
      </w:tr>
      <w:tr>
        <w:tc>
          <w:tcPr/>
          <w:p>
            <w:pPr>
              <w:pStyle w:val="Compact"/>
              <w:jc w:val="left"/>
            </w:pPr>
            <w:r>
              <w:t xml:space="preserve">Domain Local</w:t>
            </w:r>
          </w:p>
        </w:tc>
        <w:tc>
          <w:tcPr/>
          <w:p>
            <w:pPr>
              <w:pStyle w:val="Compact"/>
              <w:jc w:val="left"/>
            </w:pPr>
            <w:r>
              <w:t xml:space="preserve">Can contain Global/Universal groups from any domain</w:t>
            </w:r>
          </w:p>
        </w:tc>
        <w:tc>
          <w:tcPr/>
          <w:p>
            <w:pPr>
              <w:pStyle w:val="Compact"/>
              <w:jc w:val="left"/>
            </w:pPr>
            <w:r>
              <w:t xml:space="preserve">Security Group (Assigned)</w:t>
            </w:r>
          </w:p>
        </w:tc>
        <w:tc>
          <w:tcPr/>
          <w:p>
            <w:pPr>
              <w:pStyle w:val="Compact"/>
              <w:jc w:val="left"/>
            </w:pPr>
            <w:r>
              <w:t xml:space="preserve">Sync or recreate as cloud-only; flatten if nested</w:t>
            </w:r>
          </w:p>
        </w:tc>
      </w:tr>
      <w:tr>
        <w:tc>
          <w:tcPr/>
          <w:p>
            <w:pPr>
              <w:pStyle w:val="Compact"/>
              <w:jc w:val="left"/>
            </w:pPr>
            <w:r>
              <w:t xml:space="preserve">Global</w:t>
            </w:r>
          </w:p>
        </w:tc>
        <w:tc>
          <w:tcPr/>
          <w:p>
            <w:pPr>
              <w:pStyle w:val="Compact"/>
              <w:jc w:val="left"/>
            </w:pPr>
            <w:r>
              <w:t xml:space="preserve">Can contain users/Global groups from same domain only</w:t>
            </w:r>
          </w:p>
        </w:tc>
        <w:tc>
          <w:tcPr/>
          <w:p>
            <w:pPr>
              <w:pStyle w:val="Compact"/>
              <w:jc w:val="left"/>
            </w:pPr>
            <w:r>
              <w:t xml:space="preserve">Security Group (Assigned or Dynamic)</w:t>
            </w:r>
          </w:p>
        </w:tc>
        <w:tc>
          <w:tcPr/>
          <w:p>
            <w:pPr>
              <w:pStyle w:val="Compact"/>
              <w:jc w:val="left"/>
            </w:pPr>
            <w:r>
              <w:t xml:space="preserve">Sync; evaluate for dynamic membership conversion</w:t>
            </w:r>
          </w:p>
        </w:tc>
      </w:tr>
      <w:tr>
        <w:tc>
          <w:tcPr/>
          <w:p>
            <w:pPr>
              <w:pStyle w:val="Compact"/>
              <w:jc w:val="left"/>
            </w:pPr>
            <w:r>
              <w:t xml:space="preserve">Universal</w:t>
            </w:r>
          </w:p>
        </w:tc>
        <w:tc>
          <w:tcPr/>
          <w:p>
            <w:pPr>
              <w:pStyle w:val="Compact"/>
              <w:jc w:val="left"/>
            </w:pPr>
            <w:r>
              <w:t xml:space="preserve">Can contain users/groups from any domain in forest</w:t>
            </w:r>
          </w:p>
        </w:tc>
        <w:tc>
          <w:tcPr/>
          <w:p>
            <w:pPr>
              <w:pStyle w:val="Compact"/>
              <w:jc w:val="left"/>
            </w:pPr>
            <w:r>
              <w:t xml:space="preserve">Security Group (Assigned)</w:t>
            </w:r>
          </w:p>
        </w:tc>
        <w:tc>
          <w:tcPr/>
          <w:p>
            <w:pPr>
              <w:pStyle w:val="Compact"/>
              <w:jc w:val="left"/>
            </w:pPr>
            <w:r>
              <w:t xml:space="preserve">Sync; preferred scope for multi-domain forests</w:t>
            </w:r>
          </w:p>
        </w:tc>
      </w:tr>
    </w:tbl>
    <w:p>
      <w:pPr>
        <w:pStyle w:val="BodyText"/>
      </w:pPr>
      <w:r>
        <w:t xml:space="preserve">2.3 Distribution Groups</w:t>
      </w:r>
    </w:p>
    <w:p>
      <w:pPr>
        <w:pStyle w:val="BodyText"/>
      </w:pPr>
      <w:r>
        <w:t xml:space="preserve">Distribution groups in AD serve mail-routing functions. They may be mail-enabled security groups (dual-purpose) or pure distribution groups. In Entra ID, these map to either</w:t>
      </w:r>
      <w:r>
        <w:t xml:space="preserve"> </w:t>
      </w:r>
      <w:r>
        <w:rPr>
          <w:b/>
          <w:bCs/>
        </w:rPr>
        <w:t xml:space="preserve">Mail-enabled Security Groups</w:t>
      </w:r>
      <w:r>
        <w:t xml:space="preserve"> </w:t>
      </w:r>
      <w:r>
        <w:t xml:space="preserve">or</w:t>
      </w:r>
      <w:r>
        <w:t xml:space="preserve"> </w:t>
      </w:r>
      <w:r>
        <w:rPr>
          <w:b/>
          <w:bCs/>
        </w:rPr>
        <w:t xml:space="preserve">Distribution Groups</w:t>
      </w:r>
      <w:r>
        <w:t xml:space="preserve"> </w:t>
      </w:r>
      <w:r>
        <w:t xml:space="preserve">managed through Exchange Online.</w:t>
      </w:r>
    </w:p>
    <w:p>
      <w:pPr>
        <w:numPr>
          <w:ilvl w:val="0"/>
          <w:numId w:val="1213"/>
        </w:numPr>
      </w:pPr>
      <w:r>
        <w:rPr>
          <w:b/>
          <w:bCs/>
        </w:rPr>
        <w:t xml:space="preserve">Mail-enabled security groups:</w:t>
      </w:r>
      <w:r>
        <w:t xml:space="preserve"> </w:t>
      </w:r>
      <w:r>
        <w:t xml:space="preserve">Sync from AD and retain both security and mail functions in Exchange Online</w:t>
      </w:r>
    </w:p>
    <w:p>
      <w:pPr>
        <w:numPr>
          <w:ilvl w:val="0"/>
          <w:numId w:val="1213"/>
        </w:numPr>
      </w:pPr>
      <w:r>
        <w:rPr>
          <w:b/>
          <w:bCs/>
        </w:rPr>
        <w:t xml:space="preserve">Dynamic distribution lists:</w:t>
      </w:r>
      <w:r>
        <w:t xml:space="preserve"> </w:t>
      </w:r>
      <w:r>
        <w:t xml:space="preserve">AD dynamic distribution lists do not sync to Entra ID. They must be recreated as Exchange Online dynamic distribution groups with OPATH filter syntax</w:t>
      </w:r>
    </w:p>
    <w:p>
      <w:pPr>
        <w:numPr>
          <w:ilvl w:val="0"/>
          <w:numId w:val="1213"/>
        </w:numPr>
      </w:pPr>
      <w:r>
        <w:rPr>
          <w:b/>
          <w:bCs/>
        </w:rPr>
        <w:t xml:space="preserve">Migration decision:</w:t>
      </w:r>
      <w:r>
        <w:t xml:space="preserve"> </w:t>
      </w:r>
      <w:r>
        <w:t xml:space="preserve">Evaluate whether a distribution group should become a Microsoft 365 Group to gain shared mailbox, calendar, and file storage capabilities</w:t>
      </w:r>
    </w:p>
    <w:p>
      <w:pPr>
        <w:pStyle w:val="FirstParagraph"/>
      </w:pPr>
      <w:r>
        <w:t xml:space="preserve">2.4 Service Accounts</w:t>
      </w:r>
    </w:p>
    <w:p>
      <w:pPr>
        <w:pStyle w:val="BodyText"/>
      </w:pPr>
      <w:r>
        <w:t xml:space="preserve">AD service accounts represent a critical — and often under-governed — identity class. They exist in three forms, each with a distinct migration path to Entra ID:</w:t>
      </w:r>
    </w:p>
    <w:tbl>
      <w:tblPr>
        <w:tblStyle w:val="Table"/>
        <w:tblW w:type="pct" w:w="4962"/>
        <w:tblLayout w:type="fixed"/>
        <w:tblLook w:firstRow="1" w:lastRow="0" w:firstColumn="0" w:lastColumn="0" w:noHBand="0" w:noVBand="0" w:val="0020"/>
      </w:tblPr>
      <w:tblGrid>
        <w:gridCol w:w="1486"/>
        <w:gridCol w:w="2609"/>
        <w:gridCol w:w="1881"/>
        <w:gridCol w:w="1881"/>
      </w:tblGrid>
      <w:tr>
        <w:trPr>
          <w:tblHeader w:val="on"/>
        </w:trPr>
        <w:tc>
          <w:tcPr/>
          <w:p>
            <w:pPr>
              <w:pStyle w:val="Compact"/>
              <w:jc w:val="left"/>
            </w:pPr>
            <w:r>
              <w:rPr>
                <w:b/>
                <w:bCs/>
              </w:rPr>
              <w:t xml:space="preserve">AD Service Account Type</w:t>
            </w:r>
          </w:p>
        </w:tc>
        <w:tc>
          <w:tcPr/>
          <w:p>
            <w:pPr>
              <w:pStyle w:val="Compact"/>
              <w:jc w:val="left"/>
            </w:pPr>
            <w:r>
              <w:rPr>
                <w:b/>
                <w:bCs/>
              </w:rPr>
              <w:t xml:space="preserve">Characteristics</w:t>
            </w:r>
          </w:p>
        </w:tc>
        <w:tc>
          <w:tcPr/>
          <w:p>
            <w:pPr>
              <w:pStyle w:val="Compact"/>
              <w:jc w:val="left"/>
            </w:pPr>
            <w:r>
              <w:rPr>
                <w:b/>
                <w:bCs/>
              </w:rPr>
              <w:t xml:space="preserve">Entra ID Target</w:t>
            </w:r>
          </w:p>
        </w:tc>
        <w:tc>
          <w:tcPr/>
          <w:p>
            <w:pPr>
              <w:pStyle w:val="Compact"/>
              <w:jc w:val="left"/>
            </w:pPr>
            <w:r>
              <w:rPr>
                <w:b/>
                <w:bCs/>
              </w:rPr>
              <w:t xml:space="preserve">Risk Profile</w:t>
            </w:r>
          </w:p>
        </w:tc>
      </w:tr>
      <w:tr>
        <w:tc>
          <w:tcPr/>
          <w:p>
            <w:pPr>
              <w:pStyle w:val="Compact"/>
              <w:jc w:val="left"/>
            </w:pPr>
            <w:r>
              <w:t xml:space="preserve">Traditional (user object with "svc-" prefix)</w:t>
            </w:r>
          </w:p>
        </w:tc>
        <w:tc>
          <w:tcPr/>
          <w:p>
            <w:pPr>
              <w:pStyle w:val="Compact"/>
              <w:jc w:val="left"/>
            </w:pPr>
            <w:r>
              <w:t xml:space="preserve">Password-based, often with "Password never expires," interactive logon capability</w:t>
            </w:r>
          </w:p>
        </w:tc>
        <w:tc>
          <w:tcPr/>
          <w:p>
            <w:pPr>
              <w:pStyle w:val="Compact"/>
              <w:jc w:val="left"/>
            </w:pPr>
            <w:r>
              <w:t xml:space="preserve">App Registration with certificate auth, or Managed Identity</w:t>
            </w:r>
          </w:p>
        </w:tc>
        <w:tc>
          <w:tcPr/>
          <w:p>
            <w:pPr>
              <w:pStyle w:val="Compact"/>
              <w:jc w:val="left"/>
            </w:pPr>
            <w:r>
              <w:t xml:space="preserve">HIGH — static credentials, often over-privileged</w:t>
            </w:r>
          </w:p>
        </w:tc>
      </w:tr>
      <w:tr>
        <w:tc>
          <w:tcPr/>
          <w:p>
            <w:pPr>
              <w:pStyle w:val="Compact"/>
              <w:jc w:val="left"/>
            </w:pPr>
            <w:r>
              <w:t xml:space="preserve">Managed Service Account (MSA)</w:t>
            </w:r>
          </w:p>
        </w:tc>
        <w:tc>
          <w:tcPr/>
          <w:p>
            <w:pPr>
              <w:pStyle w:val="Compact"/>
              <w:jc w:val="left"/>
            </w:pPr>
            <w:r>
              <w:t xml:space="preserve">Auto-managed password, bound to single server</w:t>
            </w:r>
          </w:p>
        </w:tc>
        <w:tc>
          <w:tcPr/>
          <w:p>
            <w:pPr>
              <w:pStyle w:val="Compact"/>
              <w:jc w:val="left"/>
            </w:pPr>
            <w:r>
              <w:t xml:space="preserve">Managed Identity (System-assigned)</w:t>
            </w:r>
          </w:p>
        </w:tc>
        <w:tc>
          <w:tcPr/>
          <w:p>
            <w:pPr>
              <w:pStyle w:val="Compact"/>
              <w:jc w:val="left"/>
            </w:pPr>
            <w:r>
              <w:t xml:space="preserve">MEDIUM — server-scoped but no governance visibility</w:t>
            </w:r>
          </w:p>
        </w:tc>
      </w:tr>
      <w:tr>
        <w:tc>
          <w:tcPr/>
          <w:p>
            <w:pPr>
              <w:pStyle w:val="Compact"/>
              <w:jc w:val="left"/>
            </w:pPr>
            <w:r>
              <w:t xml:space="preserve">Group Managed Service Account (gMSA)</w:t>
            </w:r>
          </w:p>
        </w:tc>
        <w:tc>
          <w:tcPr/>
          <w:p>
            <w:pPr>
              <w:pStyle w:val="Compact"/>
              <w:jc w:val="left"/>
            </w:pPr>
            <w:r>
              <w:t xml:space="preserve">Auto-managed password, multi-server capable, KDS key-derived</w:t>
            </w:r>
          </w:p>
        </w:tc>
        <w:tc>
          <w:tcPr/>
          <w:p>
            <w:pPr>
              <w:pStyle w:val="Compact"/>
              <w:jc w:val="left"/>
            </w:pPr>
            <w:r>
              <w:t xml:space="preserve">Workload Identity with federated credentials</w:t>
            </w:r>
          </w:p>
        </w:tc>
        <w:tc>
          <w:tcPr/>
          <w:p>
            <w:pPr>
              <w:pStyle w:val="Compact"/>
              <w:jc w:val="left"/>
            </w:pPr>
            <w:r>
              <w:t xml:space="preserve">MEDIUM — better than traditional but still AD-dependent</w:t>
            </w:r>
          </w:p>
        </w:tc>
      </w:tr>
    </w:tbl>
    <w:p>
      <w:pPr>
        <w:pStyle w:val="BodyText"/>
      </w:pPr>
      <w:r>
        <w:t xml:space="preserve">Detailed migration patterns for each type are covered in Section 6.</w:t>
      </w:r>
    </w:p>
    <w:p>
      <w:pPr>
        <w:pStyle w:val="BodyText"/>
      </w:pPr>
      <w:r>
        <w:t xml:space="preserve">2.5 Computer Objects</w:t>
      </w:r>
    </w:p>
    <w:p>
      <w:pPr>
        <w:pStyle w:val="BodyText"/>
      </w:pPr>
      <w:r>
        <w:t xml:space="preserve">Computer objects represent domain-joined devices in AD. Their migration to Entra ID involves a device join state transition (AD-joined → Hybrid Entra-joined → Entra-joined). This topic is covered comprehensively in the</w:t>
      </w:r>
      <w:r>
        <w:t xml:space="preserve"> </w:t>
      </w:r>
      <w:r>
        <w:rPr>
          <w:b/>
          <w:bCs/>
        </w:rPr>
        <w:t xml:space="preserve">AD Computer Object Conversion Guide</w:t>
      </w:r>
      <w:r>
        <w:t xml:space="preserve">. This document addresses computer objects only where they intersect with identity governance (e.g., device-based Conditional Access, device compliance as an authentication factor).</w:t>
      </w:r>
    </w:p>
    <w:p>
      <w:pPr>
        <w:pStyle w:val="BodyText"/>
      </w:pPr>
      <w:r>
        <w:t xml:space="preserve">2.6 Organizational Units</w:t>
      </w:r>
    </w:p>
    <w:p>
      <w:pPr>
        <w:pStyle w:val="BodyText"/>
      </w:pPr>
      <w:r>
        <w:t xml:space="preserve">OUs in AD serve three governance functions:</w:t>
      </w:r>
      <w:r>
        <w:t xml:space="preserve"> </w:t>
      </w:r>
      <w:r>
        <w:rPr>
          <w:b/>
          <w:bCs/>
        </w:rPr>
        <w:t xml:space="preserve">GPO scoping</w:t>
      </w:r>
      <w:r>
        <w:t xml:space="preserve">,</w:t>
      </w:r>
      <w:r>
        <w:t xml:space="preserve"> </w:t>
      </w:r>
      <w:r>
        <w:rPr>
          <w:b/>
          <w:bCs/>
        </w:rPr>
        <w:t xml:space="preserve">administrative delegation</w:t>
      </w:r>
      <w:r>
        <w:t xml:space="preserve">, and</w:t>
      </w:r>
      <w:r>
        <w:t xml:space="preserve"> </w:t>
      </w:r>
      <w:r>
        <w:rPr>
          <w:b/>
          <w:bCs/>
        </w:rPr>
        <w:t xml:space="preserve">visual/logical organization</w:t>
      </w:r>
      <w:r>
        <w:t xml:space="preserve">. Entra ID does not have an OU construct. The functional equivalents are:</w:t>
      </w:r>
    </w:p>
    <w:tbl>
      <w:tblPr>
        <w:tblStyle w:val="Table"/>
        <w:tblW w:type="pct" w:w="4933"/>
        <w:tblLayout w:type="fixed"/>
        <w:tblLook w:firstRow="1" w:lastRow="0" w:firstColumn="0" w:lastColumn="0" w:noHBand="0" w:noVBand="0" w:val="0020"/>
      </w:tblPr>
      <w:tblGrid>
        <w:gridCol w:w="1488"/>
        <w:gridCol w:w="3295"/>
        <w:gridCol w:w="3029"/>
      </w:tblGrid>
      <w:tr>
        <w:trPr>
          <w:tblHeader w:val="on"/>
        </w:trPr>
        <w:tc>
          <w:tcPr/>
          <w:p>
            <w:pPr>
              <w:pStyle w:val="Compact"/>
              <w:jc w:val="left"/>
            </w:pPr>
            <w:r>
              <w:rPr>
                <w:b/>
                <w:bCs/>
              </w:rPr>
              <w:t xml:space="preserve">AD OU Function</w:t>
            </w:r>
          </w:p>
        </w:tc>
        <w:tc>
          <w:tcPr/>
          <w:p>
            <w:pPr>
              <w:pStyle w:val="Compact"/>
              <w:jc w:val="left"/>
            </w:pPr>
            <w:r>
              <w:rPr>
                <w:b/>
                <w:bCs/>
              </w:rPr>
              <w:t xml:space="preserve">Entra ID Equivalent</w:t>
            </w:r>
          </w:p>
        </w:tc>
        <w:tc>
          <w:tcPr/>
          <w:p>
            <w:pPr>
              <w:pStyle w:val="Compact"/>
              <w:jc w:val="left"/>
            </w:pPr>
            <w:r>
              <w:rPr>
                <w:b/>
                <w:bCs/>
              </w:rPr>
              <w:t xml:space="preserve">Implementation Notes</w:t>
            </w:r>
          </w:p>
        </w:tc>
      </w:tr>
      <w:tr>
        <w:tc>
          <w:tcPr/>
          <w:p>
            <w:pPr>
              <w:pStyle w:val="Compact"/>
              <w:jc w:val="left"/>
            </w:pPr>
            <w:r>
              <w:t xml:space="preserve">GPO scoping</w:t>
            </w:r>
          </w:p>
        </w:tc>
        <w:tc>
          <w:tcPr/>
          <w:p>
            <w:pPr>
              <w:pStyle w:val="Compact"/>
              <w:jc w:val="left"/>
            </w:pPr>
            <w:r>
              <w:t xml:space="preserve">Conditional Access policies + Intune configuration profiles</w:t>
            </w:r>
          </w:p>
        </w:tc>
        <w:tc>
          <w:tcPr/>
          <w:p>
            <w:pPr>
              <w:pStyle w:val="Compact"/>
              <w:jc w:val="left"/>
            </w:pPr>
            <w:r>
              <w:t xml:space="preserve">Policy targeting by group membership, not container</w:t>
            </w:r>
          </w:p>
        </w:tc>
      </w:tr>
      <w:tr>
        <w:tc>
          <w:tcPr/>
          <w:p>
            <w:pPr>
              <w:pStyle w:val="Compact"/>
              <w:jc w:val="left"/>
            </w:pPr>
            <w:r>
              <w:t xml:space="preserve">Administrative delegation</w:t>
            </w:r>
          </w:p>
        </w:tc>
        <w:tc>
          <w:tcPr/>
          <w:p>
            <w:pPr>
              <w:pStyle w:val="Compact"/>
              <w:jc w:val="left"/>
            </w:pPr>
            <w:r>
              <w:t xml:space="preserve">Administrative Units (AUs)</w:t>
            </w:r>
          </w:p>
        </w:tc>
        <w:tc>
          <w:tcPr/>
          <w:p>
            <w:pPr>
              <w:pStyle w:val="Compact"/>
              <w:jc w:val="left"/>
            </w:pPr>
            <w:r>
              <w:t xml:space="preserve">AUs support restricted management scope; P1 feature</w:t>
            </w:r>
          </w:p>
        </w:tc>
      </w:tr>
      <w:tr>
        <w:tc>
          <w:tcPr/>
          <w:p>
            <w:pPr>
              <w:pStyle w:val="Compact"/>
              <w:jc w:val="left"/>
            </w:pPr>
            <w:r>
              <w:t xml:space="preserve">Logical organization</w:t>
            </w:r>
          </w:p>
        </w:tc>
        <w:tc>
          <w:tcPr/>
          <w:p>
            <w:pPr>
              <w:pStyle w:val="Compact"/>
              <w:jc w:val="left"/>
            </w:pPr>
            <w:r>
              <w:t xml:space="preserve">Dynamic groups + extension attributes</w:t>
            </w:r>
          </w:p>
        </w:tc>
        <w:tc>
          <w:tcPr/>
          <w:p>
            <w:pPr>
              <w:pStyle w:val="Compact"/>
              <w:jc w:val="left"/>
            </w:pPr>
            <w:r>
              <w:t xml:space="preserve">Attribute-driven grouping replaces container hierarchy</w:t>
            </w:r>
          </w:p>
        </w:tc>
      </w:tr>
    </w:tbl>
    <w:p/>
    <w:tbl>
      <w:tblPr>
        <w:tblStyle w:val="Table"/>
        <w:tblW w:type="pct" w:w="5014"/>
        <w:tblLayout w:type="fixed"/>
        <w:tblLook w:firstRow="0" w:lastRow="0" w:firstColumn="0" w:lastColumn="0" w:noHBand="0" w:noVBand="0" w:val="0000"/>
      </w:tblPr>
      <w:tblGrid>
        <w:gridCol w:w="7941"/>
      </w:tblGrid>
      <w:tr>
        <w:tc>
          <w:tcPr/>
          <w:p>
            <w:pPr>
              <w:pStyle w:val="FirstParagraph"/>
            </w:pPr>
            <w:r>
              <w:rPr>
                <w:b/>
                <w:bCs/>
              </w:rPr>
              <w:t xml:space="preserve">DESIGN PRINCIPLE</w:t>
            </w:r>
          </w:p>
          <w:p>
            <w:pPr>
              <w:pStyle w:val="BodyText"/>
            </w:pPr>
            <w:r>
              <w:t xml:space="preserve">Entra ID fundamentally inverts the AD governance model. In AD,</w:t>
            </w:r>
            <w:r>
              <w:t xml:space="preserve"> </w:t>
            </w:r>
            <w:r>
              <w:rPr>
                <w:i/>
                <w:iCs/>
              </w:rPr>
              <w:t xml:space="preserve">placement</w:t>
            </w:r>
            <w:r>
              <w:t xml:space="preserve"> </w:t>
            </w:r>
            <w:r>
              <w:t xml:space="preserve">determines policy (an object's OU determines which GPOs apply). In Entra ID,</w:t>
            </w:r>
            <w:r>
              <w:t xml:space="preserve"> </w:t>
            </w:r>
            <w:r>
              <w:rPr>
                <w:i/>
                <w:iCs/>
              </w:rPr>
              <w:t xml:space="preserve">attributes</w:t>
            </w:r>
            <w:r>
              <w:t xml:space="preserve"> </w:t>
            </w:r>
            <w:r>
              <w:t xml:space="preserve">determine policy (an object's properties determine group membership, which determines policy application). This inversion is the single most important architectural concept in identity modernization.</w:t>
            </w:r>
          </w:p>
        </w:tc>
      </w:tr>
    </w:tbl>
    <w:p>
      <w:pPr>
        <w:pStyle w:val="BodyText"/>
      </w:pPr>
      <w:r>
        <w:t xml:space="preserve">2.7 AdminSDHolder and Protected Groups</w:t>
      </w:r>
    </w:p>
    <w:p>
      <w:pPr>
        <w:pStyle w:val="BodyText"/>
      </w:pPr>
      <w:r>
        <w:t xml:space="preserve">AD protects members of privileged groups through the AdminSDHolder mechanism. Every 60 minutes, the SDProp process overwrites the ACL on protected group members with the ACL from the AdminSDHolder container. This prevents unauthorized delegation changes on privileged accounts.</w:t>
      </w:r>
    </w:p>
    <w:p>
      <w:pPr>
        <w:pStyle w:val="BodyText"/>
      </w:pPr>
      <w:r>
        <w:rPr>
          <w:b/>
          <w:bCs/>
        </w:rPr>
        <w:t xml:space="preserve">AD Protected Groups (AdminSDHolder-covered):</w:t>
      </w:r>
    </w:p>
    <w:p>
      <w:pPr>
        <w:numPr>
          <w:ilvl w:val="0"/>
          <w:numId w:val="1214"/>
        </w:numPr>
      </w:pPr>
      <w:r>
        <w:t xml:space="preserve">Domain Admins</w:t>
      </w:r>
    </w:p>
    <w:p>
      <w:pPr>
        <w:numPr>
          <w:ilvl w:val="0"/>
          <w:numId w:val="1214"/>
        </w:numPr>
      </w:pPr>
      <w:r>
        <w:t xml:space="preserve">Enterprise Admins</w:t>
      </w:r>
    </w:p>
    <w:p>
      <w:pPr>
        <w:numPr>
          <w:ilvl w:val="0"/>
          <w:numId w:val="1214"/>
        </w:numPr>
      </w:pPr>
      <w:r>
        <w:t xml:space="preserve">Schema Admins</w:t>
      </w:r>
    </w:p>
    <w:p>
      <w:pPr>
        <w:numPr>
          <w:ilvl w:val="0"/>
          <w:numId w:val="1214"/>
        </w:numPr>
      </w:pPr>
      <w:r>
        <w:t xml:space="preserve">Administrators (built-in)</w:t>
      </w:r>
    </w:p>
    <w:p>
      <w:pPr>
        <w:numPr>
          <w:ilvl w:val="0"/>
          <w:numId w:val="1214"/>
        </w:numPr>
      </w:pPr>
      <w:r>
        <w:t xml:space="preserve">Account Operators</w:t>
      </w:r>
    </w:p>
    <w:p>
      <w:pPr>
        <w:numPr>
          <w:ilvl w:val="0"/>
          <w:numId w:val="1214"/>
        </w:numPr>
      </w:pPr>
      <w:r>
        <w:t xml:space="preserve">Server Operators</w:t>
      </w:r>
    </w:p>
    <w:p>
      <w:pPr>
        <w:numPr>
          <w:ilvl w:val="0"/>
          <w:numId w:val="1214"/>
        </w:numPr>
      </w:pPr>
      <w:r>
        <w:t xml:space="preserve">Backup Operators</w:t>
      </w:r>
    </w:p>
    <w:p>
      <w:pPr>
        <w:numPr>
          <w:ilvl w:val="0"/>
          <w:numId w:val="1214"/>
        </w:numPr>
      </w:pPr>
      <w:r>
        <w:t xml:space="preserve">Print Operators</w:t>
      </w:r>
    </w:p>
    <w:p>
      <w:pPr>
        <w:numPr>
          <w:ilvl w:val="0"/>
          <w:numId w:val="1214"/>
        </w:numPr>
      </w:pPr>
      <w:r>
        <w:t xml:space="preserve">Cert Publishers</w:t>
      </w:r>
    </w:p>
    <w:p>
      <w:pPr>
        <w:numPr>
          <w:ilvl w:val="0"/>
          <w:numId w:val="1214"/>
        </w:numPr>
      </w:pPr>
      <w:r>
        <w:t xml:space="preserve">Domain Controllers</w:t>
      </w:r>
    </w:p>
    <w:p>
      <w:pPr>
        <w:numPr>
          <w:ilvl w:val="0"/>
          <w:numId w:val="1214"/>
        </w:numPr>
      </w:pPr>
      <w:r>
        <w:t xml:space="preserve">Read-only Domain Controllers</w:t>
      </w:r>
    </w:p>
    <w:p>
      <w:pPr>
        <w:numPr>
          <w:ilvl w:val="0"/>
          <w:numId w:val="1214"/>
        </w:numPr>
      </w:pPr>
      <w:r>
        <w:t xml:space="preserve">Replicator</w:t>
      </w:r>
    </w:p>
    <w:p>
      <w:pPr>
        <w:pStyle w:val="FirstParagraph"/>
      </w:pPr>
      <w:r>
        <w:t xml:space="preserve">In Entra ID, the equivalent protective mechanism is</w:t>
      </w:r>
      <w:r>
        <w:t xml:space="preserve"> </w:t>
      </w:r>
      <w:r>
        <w:rPr>
          <w:b/>
          <w:bCs/>
        </w:rPr>
        <w:t xml:space="preserve">Protected Actions</w:t>
      </w:r>
      <w:r>
        <w:t xml:space="preserve"> </w:t>
      </w:r>
      <w:r>
        <w:t xml:space="preserve">(preview) combined with</w:t>
      </w:r>
      <w:r>
        <w:t xml:space="preserve"> </w:t>
      </w:r>
      <w:r>
        <w:rPr>
          <w:b/>
          <w:bCs/>
        </w:rPr>
        <w:t xml:space="preserve">Privileged Identity Management (PIM)</w:t>
      </w:r>
      <w:r>
        <w:t xml:space="preserve">. Protected Actions require additional authentication context (e.g., phishing-resistant MFA) before sensitive operations can be performed. PIM enforces just-in-time activation for privileged role assignments. The mapping from AD protected groups to Entra PIM roles is detailed in Section 7.</w:t>
      </w:r>
    </w:p>
    <w:p>
      <w:pPr>
        <w:pStyle w:val="BodyText"/>
      </w:pPr>
      <w:r>
        <w:t xml:space="preserve">3. Entra ID Identity Architecture</w:t>
      </w:r>
    </w:p>
    <w:p>
      <w:pPr>
        <w:pStyle w:val="BodyText"/>
      </w:pPr>
      <w:r>
        <w:t xml:space="preserve">3.1 Entra ID Object Model</w:t>
      </w:r>
    </w:p>
    <w:p>
      <w:pPr>
        <w:pStyle w:val="BodyText"/>
      </w:pPr>
      <w:r>
        <w:t xml:space="preserve">Entra ID implements a flat, attribute-driven identity model that differs fundamentally from AD's hierarchical container-based model. The following object types constitute the Entra ID identity architecture:</w:t>
      </w:r>
    </w:p>
    <w:tbl>
      <w:tblPr>
        <w:tblStyle w:val="Table"/>
        <w:tblW w:type="pct" w:w="4951"/>
        <w:tblLayout w:type="fixed"/>
        <w:tblLook w:firstRow="1" w:lastRow="0" w:firstColumn="0" w:lastColumn="0" w:noHBand="0" w:noVBand="0" w:val="0020"/>
      </w:tblPr>
      <w:tblGrid>
        <w:gridCol w:w="1313"/>
        <w:gridCol w:w="3206"/>
        <w:gridCol w:w="1197"/>
        <w:gridCol w:w="2124"/>
      </w:tblGrid>
      <w:tr>
        <w:trPr>
          <w:tblHeader w:val="on"/>
        </w:trPr>
        <w:tc>
          <w:tcPr/>
          <w:p>
            <w:pPr>
              <w:pStyle w:val="Compact"/>
              <w:jc w:val="left"/>
            </w:pPr>
            <w:r>
              <w:rPr>
                <w:b/>
                <w:bCs/>
              </w:rPr>
              <w:t xml:space="preserve">Object Type</w:t>
            </w:r>
          </w:p>
        </w:tc>
        <w:tc>
          <w:tcPr/>
          <w:p>
            <w:pPr>
              <w:pStyle w:val="Compact"/>
              <w:jc w:val="left"/>
            </w:pPr>
            <w:r>
              <w:rPr>
                <w:b/>
                <w:bCs/>
              </w:rPr>
              <w:t xml:space="preserve">Description</w:t>
            </w:r>
          </w:p>
        </w:tc>
        <w:tc>
          <w:tcPr/>
          <w:p>
            <w:pPr>
              <w:pStyle w:val="Compact"/>
              <w:jc w:val="left"/>
            </w:pPr>
            <w:r>
              <w:rPr>
                <w:b/>
                <w:bCs/>
              </w:rPr>
              <w:t xml:space="preserve">AD Equivalent</w:t>
            </w:r>
          </w:p>
        </w:tc>
        <w:tc>
          <w:tcPr/>
          <w:p>
            <w:pPr>
              <w:pStyle w:val="Compact"/>
              <w:jc w:val="left"/>
            </w:pPr>
            <w:r>
              <w:rPr>
                <w:b/>
                <w:bCs/>
              </w:rPr>
              <w:t xml:space="preserve">Source of Authority</w:t>
            </w:r>
          </w:p>
        </w:tc>
      </w:tr>
      <w:tr>
        <w:tc>
          <w:tcPr/>
          <w:p>
            <w:pPr>
              <w:pStyle w:val="Compact"/>
              <w:jc w:val="left"/>
            </w:pPr>
            <w:r>
              <w:rPr>
                <w:b/>
                <w:bCs/>
              </w:rPr>
              <w:t xml:space="preserve">User</w:t>
            </w:r>
          </w:p>
        </w:tc>
        <w:tc>
          <w:tcPr/>
          <w:p>
            <w:pPr>
              <w:pStyle w:val="Compact"/>
              <w:jc w:val="left"/>
            </w:pPr>
            <w:r>
              <w:t xml:space="preserve">Human identity with authentication credentials and profile attributes</w:t>
            </w:r>
          </w:p>
        </w:tc>
        <w:tc>
          <w:tcPr/>
          <w:p>
            <w:pPr>
              <w:pStyle w:val="Compact"/>
              <w:jc w:val="left"/>
            </w:pPr>
            <w:r>
              <w:t xml:space="preserve">User object</w:t>
            </w:r>
          </w:p>
        </w:tc>
        <w:tc>
          <w:tcPr/>
          <w:p>
            <w:pPr>
              <w:pStyle w:val="Compact"/>
              <w:jc w:val="left"/>
            </w:pPr>
            <w:r>
              <w:t xml:space="preserve">Synced (AD) or Cloud-only</w:t>
            </w:r>
          </w:p>
        </w:tc>
      </w:tr>
      <w:tr>
        <w:tc>
          <w:tcPr/>
          <w:p>
            <w:pPr>
              <w:pStyle w:val="Compact"/>
              <w:jc w:val="left"/>
            </w:pPr>
            <w:r>
              <w:rPr>
                <w:b/>
                <w:bCs/>
              </w:rPr>
              <w:t xml:space="preserve">Security Group</w:t>
            </w:r>
          </w:p>
        </w:tc>
        <w:tc>
          <w:tcPr/>
          <w:p>
            <w:pPr>
              <w:pStyle w:val="Compact"/>
              <w:jc w:val="left"/>
            </w:pPr>
            <w:r>
              <w:t xml:space="preserve">Authorization group for resource access; supports assigned or dynamic membership</w:t>
            </w:r>
          </w:p>
        </w:tc>
        <w:tc>
          <w:tcPr/>
          <w:p>
            <w:pPr>
              <w:pStyle w:val="Compact"/>
              <w:jc w:val="left"/>
            </w:pPr>
            <w:r>
              <w:t xml:space="preserve">Security group (all scopes)</w:t>
            </w:r>
          </w:p>
        </w:tc>
        <w:tc>
          <w:tcPr/>
          <w:p>
            <w:pPr>
              <w:pStyle w:val="Compact"/>
              <w:jc w:val="left"/>
            </w:pPr>
            <w:r>
              <w:t xml:space="preserve">Synced or Cloud-only</w:t>
            </w:r>
          </w:p>
        </w:tc>
      </w:tr>
      <w:tr>
        <w:tc>
          <w:tcPr/>
          <w:p>
            <w:pPr>
              <w:pStyle w:val="Compact"/>
              <w:jc w:val="left"/>
            </w:pPr>
            <w:r>
              <w:rPr>
                <w:b/>
                <w:bCs/>
              </w:rPr>
              <w:t xml:space="preserve">Microsoft 365 Group</w:t>
            </w:r>
          </w:p>
        </w:tc>
        <w:tc>
          <w:tcPr/>
          <w:p>
            <w:pPr>
              <w:pStyle w:val="Compact"/>
              <w:jc w:val="left"/>
            </w:pPr>
            <w:r>
              <w:t xml:space="preserve">Collaboration group with shared mailbox, calendar, files, Planner, Teams</w:t>
            </w:r>
          </w:p>
        </w:tc>
        <w:tc>
          <w:tcPr/>
          <w:p>
            <w:pPr>
              <w:pStyle w:val="Compact"/>
              <w:jc w:val="left"/>
            </w:pPr>
            <w:r>
              <w:t xml:space="preserve">No direct equivalent</w:t>
            </w:r>
          </w:p>
        </w:tc>
        <w:tc>
          <w:tcPr/>
          <w:p>
            <w:pPr>
              <w:pStyle w:val="Compact"/>
              <w:jc w:val="left"/>
            </w:pPr>
            <w:r>
              <w:t xml:space="preserve">Cloud-only</w:t>
            </w:r>
          </w:p>
        </w:tc>
      </w:tr>
      <w:tr>
        <w:tc>
          <w:tcPr/>
          <w:p>
            <w:pPr>
              <w:pStyle w:val="Compact"/>
              <w:jc w:val="left"/>
            </w:pPr>
            <w:r>
              <w:rPr>
                <w:b/>
                <w:bCs/>
              </w:rPr>
              <w:t xml:space="preserve">Mail-enabled Security Group</w:t>
            </w:r>
          </w:p>
        </w:tc>
        <w:tc>
          <w:tcPr/>
          <w:p>
            <w:pPr>
              <w:pStyle w:val="Compact"/>
              <w:jc w:val="left"/>
            </w:pPr>
            <w:r>
              <w:t xml:space="preserve">Security group with an Exchange Online email address</w:t>
            </w:r>
          </w:p>
        </w:tc>
        <w:tc>
          <w:tcPr/>
          <w:p>
            <w:pPr>
              <w:pStyle w:val="Compact"/>
              <w:jc w:val="left"/>
            </w:pPr>
            <w:r>
              <w:t xml:space="preserve">Mail-enabled security group</w:t>
            </w:r>
          </w:p>
        </w:tc>
        <w:tc>
          <w:tcPr/>
          <w:p>
            <w:pPr>
              <w:pStyle w:val="Compact"/>
              <w:jc w:val="left"/>
            </w:pPr>
            <w:r>
              <w:t xml:space="preserve">Synced or Cloud-only</w:t>
            </w:r>
          </w:p>
        </w:tc>
      </w:tr>
      <w:tr>
        <w:tc>
          <w:tcPr/>
          <w:p>
            <w:pPr>
              <w:pStyle w:val="Compact"/>
              <w:jc w:val="left"/>
            </w:pPr>
            <w:r>
              <w:rPr>
                <w:b/>
                <w:bCs/>
              </w:rPr>
              <w:t xml:space="preserve">Distribution Group</w:t>
            </w:r>
          </w:p>
        </w:tc>
        <w:tc>
          <w:tcPr/>
          <w:p>
            <w:pPr>
              <w:pStyle w:val="Compact"/>
              <w:jc w:val="left"/>
            </w:pPr>
            <w:r>
              <w:t xml:space="preserve">Mail-routing group without security function</w:t>
            </w:r>
          </w:p>
        </w:tc>
        <w:tc>
          <w:tcPr/>
          <w:p>
            <w:pPr>
              <w:pStyle w:val="Compact"/>
              <w:jc w:val="left"/>
            </w:pPr>
            <w:r>
              <w:t xml:space="preserve">Distribution group</w:t>
            </w:r>
          </w:p>
        </w:tc>
        <w:tc>
          <w:tcPr/>
          <w:p>
            <w:pPr>
              <w:pStyle w:val="Compact"/>
              <w:jc w:val="left"/>
            </w:pPr>
            <w:r>
              <w:t xml:space="preserve">Synced or Cloud-only</w:t>
            </w:r>
          </w:p>
        </w:tc>
      </w:tr>
      <w:tr>
        <w:tc>
          <w:tcPr/>
          <w:p>
            <w:pPr>
              <w:pStyle w:val="Compact"/>
              <w:jc w:val="left"/>
            </w:pPr>
            <w:r>
              <w:rPr>
                <w:b/>
                <w:bCs/>
              </w:rPr>
              <w:t xml:space="preserve">Administrative Unit</w:t>
            </w:r>
          </w:p>
        </w:tc>
        <w:tc>
          <w:tcPr/>
          <w:p>
            <w:pPr>
              <w:pStyle w:val="Compact"/>
              <w:jc w:val="left"/>
            </w:pPr>
            <w:r>
              <w:t xml:space="preserve">Scoped management container for delegated administration</w:t>
            </w:r>
          </w:p>
        </w:tc>
        <w:tc>
          <w:tcPr/>
          <w:p>
            <w:pPr>
              <w:pStyle w:val="Compact"/>
              <w:jc w:val="left"/>
            </w:pPr>
            <w:r>
              <w:t xml:space="preserve">Organizational Unit</w:t>
            </w:r>
          </w:p>
        </w:tc>
        <w:tc>
          <w:tcPr/>
          <w:p>
            <w:pPr>
              <w:pStyle w:val="Compact"/>
              <w:jc w:val="left"/>
            </w:pPr>
            <w:r>
              <w:t xml:space="preserve">Cloud-only</w:t>
            </w:r>
          </w:p>
        </w:tc>
      </w:tr>
      <w:tr>
        <w:tc>
          <w:tcPr/>
          <w:p>
            <w:pPr>
              <w:pStyle w:val="Compact"/>
              <w:jc w:val="left"/>
            </w:pPr>
            <w:r>
              <w:rPr>
                <w:b/>
                <w:bCs/>
              </w:rPr>
              <w:t xml:space="preserve">Service Principal</w:t>
            </w:r>
          </w:p>
        </w:tc>
        <w:tc>
          <w:tcPr/>
          <w:p>
            <w:pPr>
              <w:pStyle w:val="Compact"/>
              <w:jc w:val="left"/>
            </w:pPr>
            <w:r>
              <w:t xml:space="preserve">Application instance in the tenant; represents an app's identity</w:t>
            </w:r>
          </w:p>
        </w:tc>
        <w:tc>
          <w:tcPr/>
          <w:p>
            <w:pPr>
              <w:pStyle w:val="Compact"/>
              <w:jc w:val="left"/>
            </w:pPr>
            <w:r>
              <w:t xml:space="preserve">Service account (functional)</w:t>
            </w:r>
          </w:p>
        </w:tc>
        <w:tc>
          <w:tcPr/>
          <w:p>
            <w:pPr>
              <w:pStyle w:val="Compact"/>
              <w:jc w:val="left"/>
            </w:pPr>
            <w:r>
              <w:t xml:space="preserve">Cloud-only (from App Registration or Enterprise App)</w:t>
            </w:r>
          </w:p>
        </w:tc>
      </w:tr>
      <w:tr>
        <w:tc>
          <w:tcPr/>
          <w:p>
            <w:pPr>
              <w:pStyle w:val="Compact"/>
              <w:jc w:val="left"/>
            </w:pPr>
            <w:r>
              <w:rPr>
                <w:b/>
                <w:bCs/>
              </w:rPr>
              <w:t xml:space="preserve">Managed Identity</w:t>
            </w:r>
          </w:p>
        </w:tc>
        <w:tc>
          <w:tcPr/>
          <w:p>
            <w:pPr>
              <w:pStyle w:val="Compact"/>
              <w:jc w:val="left"/>
            </w:pPr>
            <w:r>
              <w:t xml:space="preserve">Azure-managed identity for workloads; no credential management required</w:t>
            </w:r>
          </w:p>
        </w:tc>
        <w:tc>
          <w:tcPr/>
          <w:p>
            <w:pPr>
              <w:pStyle w:val="Compact"/>
              <w:jc w:val="left"/>
            </w:pPr>
            <w:r>
              <w:t xml:space="preserve">gMSA (functional)</w:t>
            </w:r>
          </w:p>
        </w:tc>
        <w:tc>
          <w:tcPr/>
          <w:p>
            <w:pPr>
              <w:pStyle w:val="Compact"/>
              <w:jc w:val="left"/>
            </w:pPr>
            <w:r>
              <w:t xml:space="preserve">Cloud-only (Azure resource)</w:t>
            </w:r>
          </w:p>
        </w:tc>
      </w:tr>
      <w:tr>
        <w:tc>
          <w:tcPr/>
          <w:p>
            <w:pPr>
              <w:pStyle w:val="Compact"/>
              <w:jc w:val="left"/>
            </w:pPr>
            <w:r>
              <w:rPr>
                <w:b/>
                <w:bCs/>
              </w:rPr>
              <w:t xml:space="preserve">App Registration</w:t>
            </w:r>
          </w:p>
        </w:tc>
        <w:tc>
          <w:tcPr/>
          <w:p>
            <w:pPr>
              <w:pStyle w:val="Compact"/>
              <w:jc w:val="left"/>
            </w:pPr>
            <w:r>
              <w:t xml:space="preserve">Application definition with credentials, permissions, and redirect URIs</w:t>
            </w:r>
          </w:p>
        </w:tc>
        <w:tc>
          <w:tcPr/>
          <w:p>
            <w:pPr>
              <w:pStyle w:val="Compact"/>
              <w:jc w:val="left"/>
            </w:pPr>
            <w:r>
              <w:t xml:space="preserve">No direct equivalent</w:t>
            </w:r>
          </w:p>
        </w:tc>
        <w:tc>
          <w:tcPr/>
          <w:p>
            <w:pPr>
              <w:pStyle w:val="Compact"/>
              <w:jc w:val="left"/>
            </w:pPr>
            <w:r>
              <w:t xml:space="preserve">Cloud-only</w:t>
            </w:r>
          </w:p>
        </w:tc>
      </w:tr>
    </w:tbl>
    <w:p>
      <w:pPr>
        <w:pStyle w:val="BodyText"/>
      </w:pPr>
      <w:r>
        <w:t xml:space="preserve">3.2 Tenant Boundary vs. AD Forest/Domain Boundary</w:t>
      </w:r>
    </w:p>
    <w:p>
      <w:pPr>
        <w:pStyle w:val="BodyText"/>
      </w:pPr>
      <w:r>
        <w:t xml:space="preserve">The Entra ID tenant is the security and administrative boundary — analogous to an AD forest, not an AD domain. Key distinctions:</w:t>
      </w:r>
    </w:p>
    <w:p>
      <w:pPr>
        <w:numPr>
          <w:ilvl w:val="0"/>
          <w:numId w:val="1215"/>
        </w:numPr>
      </w:pPr>
      <w:r>
        <w:rPr>
          <w:b/>
          <w:bCs/>
        </w:rPr>
        <w:t xml:space="preserve">One tenant = one trust boundary.</w:t>
      </w:r>
      <w:r>
        <w:t xml:space="preserve"> </w:t>
      </w:r>
      <w:r>
        <w:t xml:space="preserve">All objects within a tenant implicitly trust each other. There is no concept of "domain trust" within a tenant.</w:t>
      </w:r>
    </w:p>
    <w:p>
      <w:pPr>
        <w:numPr>
          <w:ilvl w:val="0"/>
          <w:numId w:val="1215"/>
        </w:numPr>
      </w:pPr>
      <w:r>
        <w:rPr>
          <w:b/>
          <w:bCs/>
        </w:rPr>
        <w:t xml:space="preserve">Cross-tenant access</w:t>
      </w:r>
      <w:r>
        <w:t xml:space="preserve"> </w:t>
      </w:r>
      <w:r>
        <w:t xml:space="preserve">is governed by B2B collaboration, B2B direct connect, and cross-tenant access policies — functionally replacing AD forest trusts.</w:t>
      </w:r>
    </w:p>
    <w:p>
      <w:pPr>
        <w:numPr>
          <w:ilvl w:val="0"/>
          <w:numId w:val="1215"/>
        </w:numPr>
      </w:pPr>
      <w:r>
        <w:rPr>
          <w:b/>
          <w:bCs/>
        </w:rPr>
        <w:t xml:space="preserve">No domain hierarchy.</w:t>
      </w:r>
      <w:r>
        <w:t xml:space="preserve"> </w:t>
      </w:r>
      <w:r>
        <w:t xml:space="preserve">A tenant is flat. Verified domains are routing suffixes, not security boundaries.</w:t>
      </w:r>
    </w:p>
    <w:p>
      <w:pPr>
        <w:numPr>
          <w:ilvl w:val="0"/>
          <w:numId w:val="1215"/>
        </w:numPr>
      </w:pPr>
      <w:r>
        <w:rPr>
          <w:b/>
          <w:bCs/>
        </w:rPr>
        <w:t xml:space="preserve">Multi-forest sync:</w:t>
      </w:r>
      <w:r>
        <w:t xml:space="preserve"> </w:t>
      </w:r>
      <w:r>
        <w:t xml:space="preserve">Multiple AD forests can sync to a single Entra ID tenant, but each forest requires its own Entra Connect instance (or Entra Cloud Sync agent).</w:t>
      </w:r>
    </w:p>
    <w:p>
      <w:pPr>
        <w:pStyle w:val="FirstParagraph"/>
      </w:pPr>
      <w:r>
        <w:t xml:space="preserve">3.3 Entra ID Licensing Tiers — Identity Governance Features</w:t>
      </w:r>
    </w:p>
    <w:p>
      <w:pPr>
        <w:pStyle w:val="BodyText"/>
      </w:pPr>
      <w:r>
        <w:t xml:space="preserve">Identity governance features in Entra ID are gated by licensing tier. The following table maps features to their minimum required license:</w:t>
      </w:r>
    </w:p>
    <w:tbl>
      <w:tblPr>
        <w:tblStyle w:val="Table"/>
        <w:tblW w:type="pct" w:w="4925"/>
        <w:tblLayout w:type="fixed"/>
        <w:tblLook w:firstRow="1" w:lastRow="0" w:firstColumn="0" w:lastColumn="0" w:noHBand="0" w:noVBand="0" w:val="0020"/>
      </w:tblPr>
      <w:tblGrid>
        <w:gridCol w:w="2679"/>
        <w:gridCol w:w="1190"/>
        <w:gridCol w:w="1071"/>
        <w:gridCol w:w="1310"/>
        <w:gridCol w:w="1548"/>
      </w:tblGrid>
      <w:tr>
        <w:trPr>
          <w:tblHeader w:val="on"/>
        </w:trPr>
        <w:tc>
          <w:tcPr/>
          <w:p>
            <w:pPr>
              <w:pStyle w:val="Compact"/>
              <w:jc w:val="left"/>
            </w:pPr>
            <w:r>
              <w:rPr>
                <w:b/>
                <w:bCs/>
              </w:rPr>
              <w:t xml:space="preserve">Feature</w:t>
            </w:r>
          </w:p>
        </w:tc>
        <w:tc>
          <w:tcPr/>
          <w:p>
            <w:pPr>
              <w:pStyle w:val="Compact"/>
              <w:jc w:val="left"/>
            </w:pPr>
            <w:r>
              <w:rPr>
                <w:b/>
                <w:bCs/>
              </w:rPr>
              <w:t xml:space="preserve">Entra ID Free</w:t>
            </w:r>
          </w:p>
        </w:tc>
        <w:tc>
          <w:tcPr/>
          <w:p>
            <w:pPr>
              <w:pStyle w:val="Compact"/>
              <w:jc w:val="left"/>
            </w:pPr>
            <w:r>
              <w:rPr>
                <w:b/>
                <w:bCs/>
              </w:rPr>
              <w:t xml:space="preserve">Entra ID P1</w:t>
            </w:r>
          </w:p>
        </w:tc>
        <w:tc>
          <w:tcPr/>
          <w:p>
            <w:pPr>
              <w:pStyle w:val="Compact"/>
              <w:jc w:val="left"/>
            </w:pPr>
            <w:r>
              <w:rPr>
                <w:b/>
                <w:bCs/>
              </w:rPr>
              <w:t xml:space="preserve">Entra ID P2</w:t>
            </w:r>
          </w:p>
        </w:tc>
        <w:tc>
          <w:tcPr/>
          <w:p>
            <w:pPr>
              <w:pStyle w:val="Compact"/>
              <w:jc w:val="left"/>
            </w:pPr>
            <w:r>
              <w:rPr>
                <w:b/>
                <w:bCs/>
              </w:rPr>
              <w:t xml:space="preserve">Entra ID Governance</w:t>
            </w:r>
          </w:p>
        </w:tc>
      </w:tr>
      <w:tr>
        <w:tc>
          <w:tcPr/>
          <w:p>
            <w:pPr>
              <w:pStyle w:val="Compact"/>
              <w:jc w:val="left"/>
            </w:pPr>
            <w:r>
              <w:t xml:space="preserve">User/Group management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Conditional Access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Dynamic Groups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Administrative Units</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Self-Service Password Reset</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Identity Protection (risk-based CA)</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Privileged Identity Management (PIM)</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Access Reviews</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Entitlement Management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Lifecycle Workflows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r>
      <w:tr>
        <w:tc>
          <w:tcPr/>
          <w:p>
            <w:pPr>
              <w:pStyle w:val="Compact"/>
              <w:jc w:val="left"/>
            </w:pPr>
            <w:r>
              <w:t xml:space="preserve">Conditional Access for Workload Identities</w:t>
            </w:r>
          </w:p>
        </w:tc>
        <w:tc>
          <w:tcPr/>
          <w:p>
            <w:pPr>
              <w:pStyle w:val="Compact"/>
              <w:jc w:val="left"/>
            </w:pPr>
            <w:r>
              <w:t xml:space="preserve">—</w:t>
            </w:r>
          </w:p>
        </w:tc>
        <w:tc>
          <w:tcPr/>
          <w:p>
            <w:pPr>
              <w:pStyle w:val="Compact"/>
              <w:jc w:val="left"/>
            </w:pPr>
            <w:r>
              <w:t xml:space="preserve">—</w:t>
            </w:r>
          </w:p>
        </w:tc>
        <w:tc>
          <w:tcPr/>
          <w:p>
            <w:pPr>
              <w:pStyle w:val="Compact"/>
              <w:jc w:val="left"/>
            </w:pPr>
            <w:r>
              <w:t xml:space="preserve">Workload ID Premium</w:t>
            </w:r>
          </w:p>
        </w:tc>
        <w:tc>
          <w:tcPr/>
          <w:p>
            <w:pPr>
              <w:pStyle w:val="Compact"/>
              <w:jc w:val="left"/>
            </w:pPr>
            <w:r>
              <w:t xml:space="preserve">Workload ID Premium</w:t>
            </w:r>
          </w:p>
        </w:tc>
      </w:tr>
    </w:tbl>
    <w:p/>
    <w:tbl>
      <w:tblPr>
        <w:tblStyle w:val="Table"/>
        <w:tblW w:type="pct" w:w="5015"/>
        <w:tblLayout w:type="fixed"/>
        <w:tblLook w:firstRow="0" w:lastRow="0" w:firstColumn="0" w:lastColumn="0" w:noHBand="0" w:noVBand="0" w:val="0000"/>
      </w:tblPr>
      <w:tblGrid>
        <w:gridCol w:w="7944"/>
      </w:tblGrid>
      <w:tr>
        <w:tc>
          <w:tcPr/>
          <w:p>
            <w:pPr>
              <w:pStyle w:val="FirstParagraph"/>
            </w:pPr>
            <w:r>
              <w:rPr>
                <w:b/>
                <w:bCs/>
              </w:rPr>
              <w:t xml:space="preserve">LICENSING REQUIREMENT</w:t>
            </w:r>
          </w:p>
          <w:p>
            <w:pPr>
              <w:pStyle w:val="BodyText"/>
            </w:pPr>
            <w:r>
              <w:t xml:space="preserve">This guide assumes Entra ID P2 licensing at minimum. Sections covering Entitlement Management and Lifecycle Workflows require Entra ID Governance add-on licensing. GCC-Moderate tenants should verify feature availability in the Microsoft 365 Government service description, as feature rollout may lag commercial availability.</w:t>
            </w:r>
          </w:p>
        </w:tc>
      </w:tr>
    </w:tbl>
    <w:p>
      <w:pPr>
        <w:pStyle w:val="BodyText"/>
      </w:pPr>
      <w:r>
        <w:t xml:space="preserve">3.4 Dynamic Group Rule Syntax</w:t>
      </w:r>
    </w:p>
    <w:p>
      <w:pPr>
        <w:pStyle w:val="BodyText"/>
      </w:pPr>
      <w:r>
        <w:t xml:space="preserve">Dynamic groups in Entra ID use rule-based membership that evaluates user or device attributes against expressions. The rules follow a specific syntax with operators such as -eq, -ne, -startsWith, -contains, -match, and -in.</w:t>
      </w:r>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NOTE</w:t>
            </w:r>
          </w:p>
          <w:p>
            <w:pPr>
              <w:pStyle w:val="BodyText"/>
            </w:pPr>
            <w:r>
              <w:t xml:space="preserve">Dynamic group membership processing can take from minutes to several hours depending on tenant size. Rules are evaluated when user attributes change — not on a fixed schedule. Plan for propagation delay when dynamic groups gate access to critical resources.</w:t>
            </w:r>
          </w:p>
        </w:tc>
      </w:tr>
    </w:tbl>
    <w:p>
      <w:pPr>
        <w:pStyle w:val="BodyText"/>
      </w:pPr>
      <w:r>
        <w:t xml:space="preserve">4. Entra Connect Sync Architecture</w:t>
      </w:r>
    </w:p>
    <w:p>
      <w:pPr>
        <w:pStyle w:val="BodyText"/>
      </w:pPr>
      <w:r>
        <w:t xml:space="preserve">4.1 Entra Connect Sync vs. Entra Cloud Sync — Decision Matrix</w:t>
      </w:r>
    </w:p>
    <w:p>
      <w:pPr>
        <w:pStyle w:val="BodyText"/>
      </w:pPr>
      <w:r>
        <w:t xml:space="preserve">Microsoft offers two synchronization engines for hybrid identity:</w:t>
      </w:r>
      <w:r>
        <w:t xml:space="preserve"> </w:t>
      </w:r>
      <w:r>
        <w:rPr>
          <w:b/>
          <w:bCs/>
        </w:rPr>
        <w:t xml:space="preserve">Entra Connect Sync</w:t>
      </w:r>
      <w:r>
        <w:t xml:space="preserve"> </w:t>
      </w:r>
      <w:r>
        <w:t xml:space="preserve">(the legacy, full-featured engine) and</w:t>
      </w:r>
      <w:r>
        <w:t xml:space="preserve"> </w:t>
      </w:r>
      <w:r>
        <w:rPr>
          <w:b/>
          <w:bCs/>
        </w:rPr>
        <w:t xml:space="preserve">Entra Cloud Sync</w:t>
      </w:r>
      <w:r>
        <w:t xml:space="preserve"> </w:t>
      </w:r>
      <w:r>
        <w:t xml:space="preserve">(the lightweight, cloud-managed agent). The choice between them is a foundational architectural decision.</w:t>
      </w:r>
    </w:p>
    <w:tbl>
      <w:tblPr>
        <w:tblStyle w:val="Table"/>
        <w:tblW w:type="pct" w:w="4921"/>
        <w:tblLayout w:type="fixed"/>
        <w:tblLook w:firstRow="1" w:lastRow="0" w:firstColumn="0" w:lastColumn="0" w:noHBand="0" w:noVBand="0" w:val="0020"/>
      </w:tblPr>
      <w:tblGrid>
        <w:gridCol w:w="2182"/>
        <w:gridCol w:w="2993"/>
        <w:gridCol w:w="2619"/>
      </w:tblGrid>
      <w:tr>
        <w:trPr>
          <w:tblHeader w:val="on"/>
        </w:trPr>
        <w:tc>
          <w:tcPr/>
          <w:p>
            <w:pPr>
              <w:pStyle w:val="Compact"/>
              <w:jc w:val="left"/>
            </w:pPr>
            <w:r>
              <w:rPr>
                <w:b/>
                <w:bCs/>
              </w:rPr>
              <w:t xml:space="preserve">Capability</w:t>
            </w:r>
          </w:p>
        </w:tc>
        <w:tc>
          <w:tcPr/>
          <w:p>
            <w:pPr>
              <w:pStyle w:val="Compact"/>
              <w:jc w:val="left"/>
            </w:pPr>
            <w:r>
              <w:rPr>
                <w:b/>
                <w:bCs/>
              </w:rPr>
              <w:t xml:space="preserve">Entra Connect Sync</w:t>
            </w:r>
          </w:p>
        </w:tc>
        <w:tc>
          <w:tcPr/>
          <w:p>
            <w:pPr>
              <w:pStyle w:val="Compact"/>
              <w:jc w:val="left"/>
            </w:pPr>
            <w:r>
              <w:rPr>
                <w:b/>
                <w:bCs/>
              </w:rPr>
              <w:t xml:space="preserve">Entra Cloud Sync</w:t>
            </w:r>
          </w:p>
        </w:tc>
      </w:tr>
      <w:tr>
        <w:tc>
          <w:tcPr/>
          <w:p>
            <w:pPr>
              <w:pStyle w:val="Compact"/>
              <w:jc w:val="left"/>
            </w:pPr>
            <w:r>
              <w:t xml:space="preserve">Deployment model</w:t>
            </w:r>
          </w:p>
        </w:tc>
        <w:tc>
          <w:tcPr/>
          <w:p>
            <w:pPr>
              <w:pStyle w:val="Compact"/>
              <w:jc w:val="left"/>
            </w:pPr>
            <w:r>
              <w:t xml:space="preserve">On-premises server (Windows Server)</w:t>
            </w:r>
          </w:p>
        </w:tc>
        <w:tc>
          <w:tcPr/>
          <w:p>
            <w:pPr>
              <w:pStyle w:val="Compact"/>
              <w:jc w:val="left"/>
            </w:pPr>
            <w:r>
              <w:t xml:space="preserve">Lightweight agent (no dedicated server)</w:t>
            </w:r>
          </w:p>
        </w:tc>
      </w:tr>
      <w:tr>
        <w:tc>
          <w:tcPr/>
          <w:p>
            <w:pPr>
              <w:pStyle w:val="Compact"/>
              <w:jc w:val="left"/>
            </w:pPr>
            <w:r>
              <w:t xml:space="preserve">Multi-forest support</w:t>
            </w:r>
          </w:p>
        </w:tc>
        <w:tc>
          <w:tcPr/>
          <w:p>
            <w:pPr>
              <w:pStyle w:val="Compact"/>
              <w:jc w:val="left"/>
            </w:pPr>
            <w:r>
              <w:t xml:space="preserve">Yes (one instance per topology)</w:t>
            </w:r>
          </w:p>
        </w:tc>
        <w:tc>
          <w:tcPr/>
          <w:p>
            <w:pPr>
              <w:pStyle w:val="Compact"/>
              <w:jc w:val="left"/>
            </w:pPr>
            <w:r>
              <w:t xml:space="preserve">Yes (multiple agents, cloud-managed)</w:t>
            </w:r>
          </w:p>
        </w:tc>
      </w:tr>
      <w:tr>
        <w:tc>
          <w:tcPr/>
          <w:p>
            <w:pPr>
              <w:pStyle w:val="Compact"/>
              <w:jc w:val="left"/>
            </w:pPr>
            <w:r>
              <w:t xml:space="preserve">Attribute-level filtering</w:t>
            </w:r>
          </w:p>
        </w:tc>
        <w:tc>
          <w:tcPr/>
          <w:p>
            <w:pPr>
              <w:pStyle w:val="Compact"/>
              <w:jc w:val="left"/>
            </w:pPr>
            <w:r>
              <w:t xml:space="preserve">Full sync rules editor</w:t>
            </w:r>
          </w:p>
        </w:tc>
        <w:tc>
          <w:tcPr/>
          <w:p>
            <w:pPr>
              <w:pStyle w:val="Compact"/>
              <w:jc w:val="left"/>
            </w:pPr>
            <w:r>
              <w:t xml:space="preserve">Scoping filters (limited)</w:t>
            </w:r>
          </w:p>
        </w:tc>
      </w:tr>
      <w:tr>
        <w:tc>
          <w:tcPr/>
          <w:p>
            <w:pPr>
              <w:pStyle w:val="Compact"/>
              <w:jc w:val="left"/>
            </w:pPr>
            <w:r>
              <w:t xml:space="preserve">Custom attribute transformations</w:t>
            </w:r>
          </w:p>
        </w:tc>
        <w:tc>
          <w:tcPr/>
          <w:p>
            <w:pPr>
              <w:pStyle w:val="Compact"/>
              <w:jc w:val="left"/>
            </w:pPr>
            <w:r>
              <w:t xml:space="preserve">Yes (declarative + extensions)</w:t>
            </w:r>
          </w:p>
        </w:tc>
        <w:tc>
          <w:tcPr/>
          <w:p>
            <w:pPr>
              <w:pStyle w:val="Compact"/>
              <w:jc w:val="left"/>
            </w:pPr>
            <w:r>
              <w:t xml:space="preserve">Expression-based (limited)</w:t>
            </w:r>
          </w:p>
        </w:tc>
      </w:tr>
      <w:tr>
        <w:tc>
          <w:tcPr/>
          <w:p>
            <w:pPr>
              <w:pStyle w:val="Compact"/>
              <w:jc w:val="left"/>
            </w:pPr>
            <w:r>
              <w:t xml:space="preserve">Group writeback</w:t>
            </w:r>
          </w:p>
        </w:tc>
        <w:tc>
          <w:tcPr/>
          <w:p>
            <w:pPr>
              <w:pStyle w:val="Compact"/>
              <w:jc w:val="left"/>
            </w:pPr>
            <w:r>
              <w:t xml:space="preserve">Yes (v2)</w:t>
            </w:r>
          </w:p>
        </w:tc>
        <w:tc>
          <w:tcPr/>
          <w:p>
            <w:pPr>
              <w:pStyle w:val="Compact"/>
              <w:jc w:val="left"/>
            </w:pPr>
            <w:r>
              <w:t xml:space="preserve">No</w:t>
            </w:r>
          </w:p>
        </w:tc>
      </w:tr>
      <w:tr>
        <w:tc>
          <w:tcPr/>
          <w:p>
            <w:pPr>
              <w:pStyle w:val="Compact"/>
              <w:jc w:val="left"/>
            </w:pPr>
            <w:r>
              <w:t xml:space="preserve">Device writeback</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Password writeback</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Exchange hybrid</w:t>
            </w:r>
          </w:p>
        </w:tc>
        <w:tc>
          <w:tcPr/>
          <w:p>
            <w:pPr>
              <w:pStyle w:val="Compact"/>
              <w:jc w:val="left"/>
            </w:pPr>
            <w:r>
              <w:t xml:space="preserve">Full support</w:t>
            </w:r>
          </w:p>
        </w:tc>
        <w:tc>
          <w:tcPr/>
          <w:p>
            <w:pPr>
              <w:pStyle w:val="Compact"/>
              <w:jc w:val="left"/>
            </w:pPr>
            <w:r>
              <w:t xml:space="preserve">Limited</w:t>
            </w:r>
          </w:p>
        </w:tc>
      </w:tr>
      <w:tr>
        <w:tc>
          <w:tcPr/>
          <w:p>
            <w:pPr>
              <w:pStyle w:val="Compact"/>
              <w:jc w:val="left"/>
            </w:pPr>
            <w:r>
              <w:t xml:space="preserve">Staging mode</w:t>
            </w:r>
          </w:p>
        </w:tc>
        <w:tc>
          <w:tcPr/>
          <w:p>
            <w:pPr>
              <w:pStyle w:val="Compact"/>
              <w:jc w:val="left"/>
            </w:pPr>
            <w:r>
              <w:t xml:space="preserve">Yes</w:t>
            </w:r>
          </w:p>
        </w:tc>
        <w:tc>
          <w:tcPr/>
          <w:p>
            <w:pPr>
              <w:pStyle w:val="Compact"/>
              <w:jc w:val="left"/>
            </w:pPr>
            <w:r>
              <w:t xml:space="preserve">N/A (cloud-managed HA)</w:t>
            </w:r>
          </w:p>
        </w:tc>
      </w:tr>
      <w:tr>
        <w:tc>
          <w:tcPr/>
          <w:p>
            <w:pPr>
              <w:pStyle w:val="Compact"/>
              <w:jc w:val="left"/>
            </w:pPr>
            <w:r>
              <w:t xml:space="preserve">Pass-Through Authentication</w:t>
            </w:r>
          </w:p>
        </w:tc>
        <w:tc>
          <w:tcPr/>
          <w:p>
            <w:pPr>
              <w:pStyle w:val="Compact"/>
              <w:jc w:val="left"/>
            </w:pPr>
            <w:r>
              <w:t xml:space="preserve">Yes (separate agent)</w:t>
            </w:r>
          </w:p>
        </w:tc>
        <w:tc>
          <w:tcPr/>
          <w:p>
            <w:pPr>
              <w:pStyle w:val="Compact"/>
              <w:jc w:val="left"/>
            </w:pPr>
            <w:r>
              <w:t xml:space="preserve">Yes (separate agent)</w:t>
            </w:r>
          </w:p>
        </w:tc>
      </w:tr>
      <w:tr>
        <w:tc>
          <w:tcPr/>
          <w:p>
            <w:pPr>
              <w:pStyle w:val="Compact"/>
              <w:jc w:val="left"/>
            </w:pPr>
            <w:r>
              <w:t xml:space="preserve">Federation (AD FS) integration</w:t>
            </w:r>
          </w:p>
        </w:tc>
        <w:tc>
          <w:tcPr/>
          <w:p>
            <w:pPr>
              <w:pStyle w:val="Compact"/>
              <w:jc w:val="left"/>
            </w:pPr>
            <w:r>
              <w:t xml:space="preserve">Yes (built-in wizard)</w:t>
            </w:r>
          </w:p>
        </w:tc>
        <w:tc>
          <w:tcPr/>
          <w:p>
            <w:pPr>
              <w:pStyle w:val="Compact"/>
              <w:jc w:val="left"/>
            </w:pPr>
            <w:r>
              <w:t xml:space="preserve">No</w:t>
            </w:r>
          </w:p>
        </w:tc>
      </w:tr>
      <w:tr>
        <w:tc>
          <w:tcPr/>
          <w:p>
            <w:pPr>
              <w:pStyle w:val="Compact"/>
              <w:jc w:val="left"/>
            </w:pPr>
            <w:r>
              <w:t xml:space="preserve">GCC-Moderate support</w:t>
            </w:r>
          </w:p>
        </w:tc>
        <w:tc>
          <w:tcPr/>
          <w:p>
            <w:pPr>
              <w:pStyle w:val="Compact"/>
              <w:jc w:val="left"/>
            </w:pPr>
            <w:r>
              <w:t xml:space="preserve">Yes</w:t>
            </w:r>
          </w:p>
        </w:tc>
        <w:tc>
          <w:tcPr/>
          <w:p>
            <w:pPr>
              <w:pStyle w:val="Compact"/>
              <w:jc w:val="left"/>
            </w:pPr>
            <w:r>
              <w:t xml:space="preserve">Yes (verify current feature parity)</w:t>
            </w:r>
          </w:p>
        </w:tc>
      </w:tr>
      <w:tr>
        <w:tc>
          <w:tcPr/>
          <w:p>
            <w:pPr>
              <w:pStyle w:val="Compact"/>
              <w:jc w:val="left"/>
            </w:pPr>
            <w:r>
              <w:t xml:space="preserve">Management interface</w:t>
            </w:r>
          </w:p>
        </w:tc>
        <w:tc>
          <w:tcPr/>
          <w:p>
            <w:pPr>
              <w:pStyle w:val="Compact"/>
              <w:jc w:val="left"/>
            </w:pPr>
            <w:r>
              <w:t xml:space="preserve">On-premises (Synchronization Service Manager)</w:t>
            </w:r>
          </w:p>
        </w:tc>
        <w:tc>
          <w:tcPr/>
          <w:p>
            <w:pPr>
              <w:pStyle w:val="Compact"/>
              <w:jc w:val="left"/>
            </w:pPr>
            <w:r>
              <w:t xml:space="preserve">Entra admin center (cloud)</w:t>
            </w:r>
          </w:p>
        </w:tc>
      </w:tr>
      <w:tr>
        <w:tc>
          <w:tcPr/>
          <w:p>
            <w:pPr>
              <w:pStyle w:val="Compact"/>
              <w:jc w:val="left"/>
            </w:pPr>
            <w:r>
              <w:t xml:space="preserve">High availability</w:t>
            </w:r>
          </w:p>
        </w:tc>
        <w:tc>
          <w:tcPr/>
          <w:p>
            <w:pPr>
              <w:pStyle w:val="Compact"/>
              <w:jc w:val="left"/>
            </w:pPr>
            <w:r>
              <w:t xml:space="preserve">Staging mode (manual failover)</w:t>
            </w:r>
          </w:p>
        </w:tc>
        <w:tc>
          <w:tcPr/>
          <w:p>
            <w:pPr>
              <w:pStyle w:val="Compact"/>
              <w:jc w:val="left"/>
            </w:pPr>
            <w:r>
              <w:t xml:space="preserve">Multiple agents (automatic)</w:t>
            </w:r>
          </w:p>
        </w:tc>
      </w:tr>
    </w:tbl>
    <w:p/>
    <w:tbl>
      <w:tblPr>
        <w:tblStyle w:val="Table"/>
        <w:tblW w:type="pct" w:w="5014"/>
        <w:tblLayout w:type="fixed"/>
        <w:tblLook w:firstRow="0" w:lastRow="0" w:firstColumn="0" w:lastColumn="0" w:noHBand="0" w:noVBand="0" w:val="0000"/>
      </w:tblPr>
      <w:tblGrid>
        <w:gridCol w:w="7941"/>
      </w:tblGrid>
      <w:tr>
        <w:tc>
          <w:tcPr/>
          <w:p>
            <w:pPr>
              <w:pStyle w:val="FirstParagraph"/>
            </w:pPr>
            <w:r>
              <w:rPr>
                <w:b/>
                <w:bCs/>
              </w:rPr>
              <w:t xml:space="preserve">RECOMMENDATION</w:t>
            </w:r>
          </w:p>
          <w:p>
            <w:pPr>
              <w:pStyle w:val="BodyText"/>
            </w:pPr>
            <w:r>
              <w:t xml:space="preserve">For GCC-Moderate environments with Exchange hybrid requirements, complex attribute transformations, or group writeback needs,</w:t>
            </w:r>
            <w:r>
              <w:t xml:space="preserve"> </w:t>
            </w:r>
            <w:r>
              <w:rPr>
                <w:b/>
                <w:bCs/>
              </w:rPr>
              <w:t xml:space="preserve">Entra Connect Sync</w:t>
            </w:r>
            <w:r>
              <w:t xml:space="preserve"> </w:t>
            </w:r>
            <w:r>
              <w:t xml:space="preserve">remains the recommended engine. For greenfield deployments or simple single-forest topologies without Exchange hybrid,</w:t>
            </w:r>
            <w:r>
              <w:t xml:space="preserve"> </w:t>
            </w:r>
            <w:r>
              <w:rPr>
                <w:b/>
                <w:bCs/>
              </w:rPr>
              <w:t xml:space="preserve">Entra Cloud Sync</w:t>
            </w:r>
            <w:r>
              <w:t xml:space="preserve"> </w:t>
            </w:r>
            <w:r>
              <w:t xml:space="preserve">offers reduced operational overhead with cloud-managed high availability.</w:t>
            </w:r>
          </w:p>
        </w:tc>
      </w:tr>
    </w:tbl>
    <w:p>
      <w:pPr>
        <w:pStyle w:val="BodyText"/>
      </w:pPr>
      <w:r>
        <w:t xml:space="preserve">4.2 Filtering Strategies</w:t>
      </w:r>
    </w:p>
    <w:p>
      <w:pPr>
        <w:pStyle w:val="BodyText"/>
      </w:pPr>
      <w:r>
        <w:t xml:space="preserve">Filtering determines which AD objects are synchronized to Entra ID. Four filtering methods are available, applied in a specific order of precedence:</w:t>
      </w:r>
    </w:p>
    <w:p>
      <w:pPr>
        <w:numPr>
          <w:ilvl w:val="0"/>
          <w:numId w:val="1216"/>
        </w:numPr>
      </w:pPr>
      <w:r>
        <w:rPr>
          <w:b/>
          <w:bCs/>
        </w:rPr>
        <w:t xml:space="preserve">Domain-based filtering:</w:t>
      </w:r>
      <w:r>
        <w:t xml:space="preserve"> </w:t>
      </w:r>
      <w:r>
        <w:t xml:space="preserve">Include or exclude entire AD domains. Applied first. Use when a forest contains domains that should not sync (e.g., test domains, DMZ domains).</w:t>
      </w:r>
    </w:p>
    <w:p>
      <w:pPr>
        <w:numPr>
          <w:ilvl w:val="0"/>
          <w:numId w:val="1216"/>
        </w:numPr>
      </w:pPr>
      <w:r>
        <w:rPr>
          <w:b/>
          <w:bCs/>
        </w:rPr>
        <w:t xml:space="preserve">OU-based filtering:</w:t>
      </w:r>
      <w:r>
        <w:t xml:space="preserve"> </w:t>
      </w:r>
      <w:r>
        <w:t xml:space="preserve">Include or exclude specific OUs within selected domains. Most common filtering method. Exclude OUs containing service accounts, computer objects (if not needed), or staging OUs.</w:t>
      </w:r>
    </w:p>
    <w:p>
      <w:pPr>
        <w:numPr>
          <w:ilvl w:val="0"/>
          <w:numId w:val="1216"/>
        </w:numPr>
      </w:pPr>
      <w:r>
        <w:rPr>
          <w:b/>
          <w:bCs/>
        </w:rPr>
        <w:t xml:space="preserve">Attribute-based filtering:</w:t>
      </w:r>
      <w:r>
        <w:t xml:space="preserve"> </w:t>
      </w:r>
      <w:r>
        <w:t xml:space="preserve">Filter individual objects based on attribute values. Uses sync rules with scoping conditions. Example: exclude objects where extensionAttribute15 -eq "DoNotSync".</w:t>
      </w:r>
    </w:p>
    <w:p>
      <w:pPr>
        <w:numPr>
          <w:ilvl w:val="0"/>
          <w:numId w:val="1216"/>
        </w:numPr>
      </w:pPr>
      <w:r>
        <w:rPr>
          <w:b/>
          <w:bCs/>
        </w:rPr>
        <w:t xml:space="preserve">Group-based filtering:</w:t>
      </w:r>
      <w:r>
        <w:t xml:space="preserve"> </w:t>
      </w:r>
      <w:r>
        <w:t xml:space="preserve">Sync only members of a designated AD group. Useful for pilot deployments. Not recommended for production (does not scale, introduces sync dependency on group membership).</w:t>
      </w:r>
    </w:p>
    <w:p>
      <w:pPr>
        <w:pStyle w:val="FirstParagraph"/>
      </w:pPr>
      <w:r>
        <w:t xml:space="preserve">4.3 Attribute Flow and Transformation Rules</w:t>
      </w:r>
    </w:p>
    <w:p>
      <w:pPr>
        <w:pStyle w:val="BodyText"/>
      </w:pPr>
      <w:r>
        <w:t xml:space="preserve">Attribute flow defines how AD attributes map to Entra ID attributes during synchronization. The sync engine applies rules in precedence order, with custom rules taking precedence over default rules.</w:t>
      </w:r>
    </w:p>
    <w:p>
      <w:pPr>
        <w:pStyle w:val="BodyText"/>
      </w:pPr>
      <w:r>
        <w:rPr>
          <w:b/>
          <w:bCs/>
        </w:rPr>
        <w:t xml:space="preserve">Common transformation patterns:</w:t>
      </w:r>
    </w:p>
    <w:tbl>
      <w:tblPr>
        <w:tblStyle w:val="Table"/>
        <w:tblW w:type="pct" w:w="4969"/>
        <w:tblLayout w:type="fixed"/>
        <w:tblLook w:firstRow="1" w:lastRow="0" w:firstColumn="0" w:lastColumn="0" w:noHBand="0" w:noVBand="0" w:val="0020"/>
      </w:tblPr>
      <w:tblGrid>
        <w:gridCol w:w="744"/>
        <w:gridCol w:w="5188"/>
        <w:gridCol w:w="571"/>
        <w:gridCol w:w="1365"/>
      </w:tblGrid>
      <w:tr>
        <w:trPr>
          <w:tblHeader w:val="on"/>
        </w:trPr>
        <w:tc>
          <w:tcPr/>
          <w:p>
            <w:pPr>
              <w:pStyle w:val="Compact"/>
              <w:jc w:val="left"/>
            </w:pPr>
            <w:r>
              <w:rPr>
                <w:b/>
                <w:bCs/>
              </w:rPr>
              <w:t xml:space="preserve">Scenario</w:t>
            </w:r>
          </w:p>
        </w:tc>
        <w:tc>
          <w:tcPr/>
          <w:p>
            <w:pPr>
              <w:pStyle w:val="Compact"/>
              <w:jc w:val="left"/>
            </w:pPr>
            <w:r>
              <w:rPr>
                <w:b/>
                <w:bCs/>
              </w:rPr>
              <w:t xml:space="preserve">Source Expression</w:t>
            </w:r>
          </w:p>
        </w:tc>
        <w:tc>
          <w:tcPr/>
          <w:p>
            <w:pPr>
              <w:pStyle w:val="Compact"/>
              <w:jc w:val="left"/>
            </w:pPr>
            <w:r>
              <w:rPr>
                <w:b/>
                <w:bCs/>
              </w:rPr>
              <w:t xml:space="preserve">Target Attribute</w:t>
            </w:r>
          </w:p>
        </w:tc>
        <w:tc>
          <w:tcPr/>
          <w:p>
            <w:pPr>
              <w:pStyle w:val="Compact"/>
              <w:jc w:val="left"/>
            </w:pPr>
            <w:r>
              <w:rPr>
                <w:b/>
                <w:bCs/>
              </w:rPr>
              <w:t xml:space="preserve">Description</w:t>
            </w:r>
          </w:p>
        </w:tc>
      </w:tr>
      <w:tr>
        <w:tc>
          <w:tcPr/>
          <w:p>
            <w:pPr>
              <w:pStyle w:val="Compact"/>
              <w:jc w:val="left"/>
            </w:pPr>
            <w:r>
              <w:t xml:space="preserve">UPN construction</w:t>
            </w:r>
          </w:p>
        </w:tc>
        <w:tc>
          <w:tcPr/>
          <w:p>
            <w:pPr>
              <w:pStyle w:val="Compact"/>
              <w:jc w:val="left"/>
            </w:pPr>
            <w:r>
              <w:t xml:space="preserve">IIF(IsPresent([userPrincipalName]),IIF(InStr([userPrincipalName],"</w:t>
            </w:r>
            <w:r>
              <w:t xml:space="preserve">@contoso.local</w:t>
            </w:r>
            <w:r>
              <w:t xml:space="preserve">")&gt;0,Replace([userPrincipalName],"</w:t>
            </w:r>
            <w:r>
              <w:t xml:space="preserve">@contoso.local</w:t>
            </w:r>
            <w:r>
              <w:t xml:space="preserve">","</w:t>
            </w:r>
            <w:r>
              <w:t xml:space="preserve">@contoso.gov</w:t>
            </w:r>
            <w:r>
              <w:t xml:space="preserve">"),[userPrincipalName]),Error("UPN required"))</w:t>
            </w:r>
          </w:p>
        </w:tc>
        <w:tc>
          <w:tcPr/>
          <w:p>
            <w:pPr>
              <w:pStyle w:val="Compact"/>
              <w:jc w:val="left"/>
            </w:pPr>
            <w:r>
              <w:t xml:space="preserve">userPrincipalName</w:t>
            </w:r>
          </w:p>
        </w:tc>
        <w:tc>
          <w:tcPr/>
          <w:p>
            <w:pPr>
              <w:pStyle w:val="Compact"/>
              <w:jc w:val="left"/>
            </w:pPr>
            <w:r>
              <w:t xml:space="preserve">Replace non-routable UPN suffix with verified domain</w:t>
            </w:r>
          </w:p>
        </w:tc>
      </w:tr>
      <w:tr>
        <w:tc>
          <w:tcPr/>
          <w:p>
            <w:pPr>
              <w:pStyle w:val="Compact"/>
              <w:jc w:val="left"/>
            </w:pPr>
            <w:r>
              <w:t xml:space="preserve">Display name normalization</w:t>
            </w:r>
          </w:p>
        </w:tc>
        <w:tc>
          <w:tcPr/>
          <w:p>
            <w:pPr>
              <w:pStyle w:val="Compact"/>
              <w:jc w:val="left"/>
            </w:pPr>
            <w:r>
              <w:t xml:space="preserve">IIF(IsPresent([sn]),Join(", ",[sn],[givenName]),[displayName])</w:t>
            </w:r>
          </w:p>
        </w:tc>
        <w:tc>
          <w:tcPr/>
          <w:p>
            <w:pPr>
              <w:pStyle w:val="Compact"/>
              <w:jc w:val="left"/>
            </w:pPr>
            <w:r>
              <w:t xml:space="preserve">displayName</w:t>
            </w:r>
          </w:p>
        </w:tc>
        <w:tc>
          <w:tcPr/>
          <w:p>
            <w:pPr>
              <w:pStyle w:val="Compact"/>
              <w:jc w:val="left"/>
            </w:pPr>
            <w:r>
              <w:t xml:space="preserve">Enforce "Last, First" format</w:t>
            </w:r>
          </w:p>
        </w:tc>
      </w:tr>
      <w:tr>
        <w:tc>
          <w:tcPr/>
          <w:p>
            <w:pPr>
              <w:pStyle w:val="Compact"/>
              <w:jc w:val="left"/>
            </w:pPr>
            <w:r>
              <w:t xml:space="preserve">Account type classification</w:t>
            </w:r>
          </w:p>
        </w:tc>
        <w:tc>
          <w:tcPr/>
          <w:p>
            <w:pPr>
              <w:pStyle w:val="Compact"/>
              <w:jc w:val="left"/>
            </w:pPr>
            <w:r>
              <w:t xml:space="preserve">IIF(CBool(InStr(LCase([distinguishedName]),"ou=service accounts")),"Service","Standard")</w:t>
            </w:r>
          </w:p>
        </w:tc>
        <w:tc>
          <w:tcPr/>
          <w:p>
            <w:pPr>
              <w:pStyle w:val="Compact"/>
              <w:jc w:val="left"/>
            </w:pPr>
            <w:r>
              <w:t xml:space="preserve">extensionAttribute10</w:t>
            </w:r>
          </w:p>
        </w:tc>
        <w:tc>
          <w:tcPr/>
          <w:p>
            <w:pPr>
              <w:pStyle w:val="Compact"/>
              <w:jc w:val="left"/>
            </w:pPr>
            <w:r>
              <w:t xml:space="preserve">Auto-classify based on OU placement</w:t>
            </w:r>
          </w:p>
        </w:tc>
      </w:tr>
    </w:tbl>
    <w:p>
      <w:pPr>
        <w:pStyle w:val="BodyText"/>
      </w:pPr>
      <w:r>
        <w:t xml:space="preserve">4.4 Staging Mode and Disaster Recovery</w:t>
      </w:r>
    </w:p>
    <w:p>
      <w:pPr>
        <w:pStyle w:val="BodyText"/>
      </w:pPr>
      <w:r>
        <w:t xml:space="preserve">Staging mode allows a second Entra Connect Sync server to import and synchronize data without exporting changes to Entra ID. This provides:</w:t>
      </w:r>
    </w:p>
    <w:p>
      <w:pPr>
        <w:numPr>
          <w:ilvl w:val="0"/>
          <w:numId w:val="1217"/>
        </w:numPr>
      </w:pPr>
      <w:r>
        <w:rPr>
          <w:b/>
          <w:bCs/>
        </w:rPr>
        <w:t xml:space="preserve">Disaster recovery:</w:t>
      </w:r>
      <w:r>
        <w:t xml:space="preserve"> </w:t>
      </w:r>
      <w:r>
        <w:t xml:space="preserve">If the primary server fails, the staging server can be promoted by disabling staging mode</w:t>
      </w:r>
    </w:p>
    <w:p>
      <w:pPr>
        <w:numPr>
          <w:ilvl w:val="0"/>
          <w:numId w:val="1217"/>
        </w:numPr>
      </w:pPr>
      <w:r>
        <w:rPr>
          <w:b/>
          <w:bCs/>
        </w:rPr>
        <w:t xml:space="preserve">Upgrade validation:</w:t>
      </w:r>
      <w:r>
        <w:t xml:space="preserve"> </w:t>
      </w:r>
      <w:r>
        <w:t xml:space="preserve">Test new sync rules or version upgrades on the staging server before cutting over</w:t>
      </w:r>
    </w:p>
    <w:p>
      <w:pPr>
        <w:numPr>
          <w:ilvl w:val="0"/>
          <w:numId w:val="1217"/>
        </w:numPr>
      </w:pPr>
      <w:r>
        <w:rPr>
          <w:b/>
          <w:bCs/>
        </w:rPr>
        <w:t xml:space="preserve">Configuration verification:</w:t>
      </w:r>
      <w:r>
        <w:t xml:space="preserve"> </w:t>
      </w:r>
      <w:r>
        <w:t xml:space="preserve">Compare export pending counts between active and staging to detect configuration drift</w:t>
      </w:r>
    </w:p>
    <w:tbl>
      <w:tblPr>
        <w:tblStyle w:val="Table"/>
        <w:tblW w:type="pct" w:w="5023"/>
        <w:tblLayout w:type="fixed"/>
        <w:tblLook w:firstRow="0" w:lastRow="0" w:firstColumn="0" w:lastColumn="0" w:noHBand="0" w:noVBand="0" w:val="0000"/>
      </w:tblPr>
      <w:tblGrid>
        <w:gridCol w:w="7956"/>
      </w:tblGrid>
      <w:tr>
        <w:tc>
          <w:tcPr/>
          <w:p>
            <w:pPr>
              <w:pStyle w:val="FirstParagraph"/>
            </w:pPr>
            <w:r>
              <w:rPr>
                <w:b/>
                <w:bCs/>
              </w:rPr>
              <w:t xml:space="preserve">WARNING</w:t>
            </w:r>
          </w:p>
          <w:p>
            <w:pPr>
              <w:pStyle w:val="BodyText"/>
            </w:pPr>
            <w:r>
              <w:t xml:space="preserve">Never run two Entra Connect Sync servers in active (non-staging) mode simultaneously against the same Entra ID tenant. This causes duplicate object creation and attribute conflicts that are difficult to remediate.</w:t>
            </w:r>
          </w:p>
        </w:tc>
      </w:tr>
    </w:tbl>
    <w:p>
      <w:pPr>
        <w:pStyle w:val="BodyText"/>
      </w:pPr>
      <w:r>
        <w:t xml:space="preserve">4.5 Authentication Method — Decision Matrix</w:t>
      </w:r>
    </w:p>
    <w:p>
      <w:pPr>
        <w:pStyle w:val="BodyText"/>
      </w:pPr>
      <w:r>
        <w:t xml:space="preserve">The authentication method determines how user credentials are validated during sign-in. Three options exist, each with distinct security, complexity, and GCC-Moderate compatibility characteristics:</w:t>
      </w:r>
    </w:p>
    <w:tbl>
      <w:tblPr>
        <w:tblStyle w:val="Table"/>
        <w:tblW w:type="pct" w:w="4965"/>
        <w:tblLayout w:type="fixed"/>
        <w:tblLook w:firstRow="1" w:lastRow="0" w:firstColumn="0" w:lastColumn="0" w:noHBand="0" w:noVBand="0" w:val="0020"/>
      </w:tblPr>
      <w:tblGrid>
        <w:gridCol w:w="1207"/>
        <w:gridCol w:w="2218"/>
        <w:gridCol w:w="2190"/>
        <w:gridCol w:w="2246"/>
      </w:tblGrid>
      <w:tr>
        <w:trPr>
          <w:tblHeader w:val="on"/>
        </w:trPr>
        <w:tc>
          <w:tcPr/>
          <w:p>
            <w:pPr>
              <w:pStyle w:val="Compact"/>
              <w:jc w:val="left"/>
            </w:pPr>
            <w:r>
              <w:rPr>
                <w:b/>
                <w:bCs/>
              </w:rPr>
              <w:t xml:space="preserve">Criterion</w:t>
            </w:r>
          </w:p>
        </w:tc>
        <w:tc>
          <w:tcPr/>
          <w:p>
            <w:pPr>
              <w:pStyle w:val="Compact"/>
              <w:jc w:val="left"/>
            </w:pPr>
            <w:r>
              <w:rPr>
                <w:b/>
                <w:bCs/>
              </w:rPr>
              <w:t xml:space="preserve">Password Hash Sync (PHS)</w:t>
            </w:r>
          </w:p>
        </w:tc>
        <w:tc>
          <w:tcPr/>
          <w:p>
            <w:pPr>
              <w:pStyle w:val="Compact"/>
              <w:jc w:val="left"/>
            </w:pPr>
            <w:r>
              <w:rPr>
                <w:b/>
                <w:bCs/>
              </w:rPr>
              <w:t xml:space="preserve">Pass-Through Auth (PTA)</w:t>
            </w:r>
          </w:p>
        </w:tc>
        <w:tc>
          <w:tcPr/>
          <w:p>
            <w:pPr>
              <w:pStyle w:val="Compact"/>
              <w:jc w:val="left"/>
            </w:pPr>
            <w:r>
              <w:rPr>
                <w:b/>
                <w:bCs/>
              </w:rPr>
              <w:t xml:space="preserve">Federation (AD FS)</w:t>
            </w:r>
          </w:p>
        </w:tc>
      </w:tr>
      <w:tr>
        <w:tc>
          <w:tcPr/>
          <w:p>
            <w:pPr>
              <w:pStyle w:val="Compact"/>
              <w:jc w:val="left"/>
            </w:pPr>
            <w:r>
              <w:rPr>
                <w:b/>
                <w:bCs/>
              </w:rPr>
              <w:t xml:space="preserve">How it works</w:t>
            </w:r>
          </w:p>
        </w:tc>
        <w:tc>
          <w:tcPr/>
          <w:p>
            <w:pPr>
              <w:pStyle w:val="Compact"/>
              <w:jc w:val="left"/>
            </w:pPr>
            <w:r>
              <w:t xml:space="preserve">Hash of password hash synced to Entra ID; authentication occurs in the cloud</w:t>
            </w:r>
          </w:p>
        </w:tc>
        <w:tc>
          <w:tcPr/>
          <w:p>
            <w:pPr>
              <w:pStyle w:val="Compact"/>
              <w:jc w:val="left"/>
            </w:pPr>
            <w:r>
              <w:t xml:space="preserve">Authentication request forwarded to on-premises agent; validated against AD</w:t>
            </w:r>
          </w:p>
        </w:tc>
        <w:tc>
          <w:tcPr/>
          <w:p>
            <w:pPr>
              <w:pStyle w:val="Compact"/>
              <w:jc w:val="left"/>
            </w:pPr>
            <w:r>
              <w:t xml:space="preserve">Authentication redirected to on-premises AD FS farm; SAML/WS-Fed token issued</w:t>
            </w:r>
          </w:p>
        </w:tc>
      </w:tr>
      <w:tr>
        <w:tc>
          <w:tcPr/>
          <w:p>
            <w:pPr>
              <w:pStyle w:val="Compact"/>
              <w:jc w:val="left"/>
            </w:pPr>
            <w:r>
              <w:rPr>
                <w:b/>
                <w:bCs/>
              </w:rPr>
              <w:t xml:space="preserve">On-premises dependency</w:t>
            </w:r>
          </w:p>
        </w:tc>
        <w:tc>
          <w:tcPr/>
          <w:p>
            <w:pPr>
              <w:pStyle w:val="Compact"/>
              <w:jc w:val="left"/>
            </w:pPr>
            <w:r>
              <w:t xml:space="preserve">None (after sync)</w:t>
            </w:r>
          </w:p>
        </w:tc>
        <w:tc>
          <w:tcPr/>
          <w:p>
            <w:pPr>
              <w:pStyle w:val="Compact"/>
              <w:jc w:val="left"/>
            </w:pPr>
            <w:r>
              <w:t xml:space="preserve">Yes — PTA agents must be reachable</w:t>
            </w:r>
          </w:p>
        </w:tc>
        <w:tc>
          <w:tcPr/>
          <w:p>
            <w:pPr>
              <w:pStyle w:val="Compact"/>
              <w:jc w:val="left"/>
            </w:pPr>
            <w:r>
              <w:t xml:space="preserve">Yes — AD FS farm must be reachable</w:t>
            </w:r>
          </w:p>
        </w:tc>
      </w:tr>
      <w:tr>
        <w:tc>
          <w:tcPr/>
          <w:p>
            <w:pPr>
              <w:pStyle w:val="Compact"/>
              <w:jc w:val="left"/>
            </w:pPr>
            <w:r>
              <w:rPr>
                <w:b/>
                <w:bCs/>
              </w:rPr>
              <w:t xml:space="preserve">Security posture</w:t>
            </w:r>
          </w:p>
        </w:tc>
        <w:tc>
          <w:tcPr/>
          <w:p>
            <w:pPr>
              <w:pStyle w:val="Compact"/>
              <w:jc w:val="left"/>
            </w:pPr>
            <w:r>
              <w:t xml:space="preserve">Strong — enables leaked credential detection, smart lockout</w:t>
            </w:r>
          </w:p>
        </w:tc>
        <w:tc>
          <w:tcPr/>
          <w:p>
            <w:pPr>
              <w:pStyle w:val="Compact"/>
              <w:jc w:val="left"/>
            </w:pPr>
            <w:r>
              <w:t xml:space="preserve">Moderate — password validation on-prem, limited cloud protections</w:t>
            </w:r>
          </w:p>
        </w:tc>
        <w:tc>
          <w:tcPr/>
          <w:p>
            <w:pPr>
              <w:pStyle w:val="Compact"/>
              <w:jc w:val="left"/>
            </w:pPr>
            <w:r>
              <w:t xml:space="preserve">Variable — depends on AD FS hardening, certificate management</w:t>
            </w:r>
          </w:p>
        </w:tc>
      </w:tr>
      <w:tr>
        <w:tc>
          <w:tcPr/>
          <w:p>
            <w:pPr>
              <w:pStyle w:val="Compact"/>
              <w:jc w:val="left"/>
            </w:pPr>
            <w:r>
              <w:rPr>
                <w:b/>
                <w:bCs/>
              </w:rPr>
              <w:t xml:space="preserve">Complexity</w:t>
            </w:r>
          </w:p>
        </w:tc>
        <w:tc>
          <w:tcPr/>
          <w:p>
            <w:pPr>
              <w:pStyle w:val="Compact"/>
              <w:jc w:val="left"/>
            </w:pPr>
            <w:r>
              <w:t xml:space="preserve">Low</w:t>
            </w:r>
          </w:p>
        </w:tc>
        <w:tc>
          <w:tcPr/>
          <w:p>
            <w:pPr>
              <w:pStyle w:val="Compact"/>
              <w:jc w:val="left"/>
            </w:pPr>
            <w:r>
              <w:t xml:space="preserve">Moderate</w:t>
            </w:r>
          </w:p>
        </w:tc>
        <w:tc>
          <w:tcPr/>
          <w:p>
            <w:pPr>
              <w:pStyle w:val="Compact"/>
              <w:jc w:val="left"/>
            </w:pPr>
            <w:r>
              <w:t xml:space="preserve">High</w:t>
            </w:r>
          </w:p>
        </w:tc>
      </w:tr>
      <w:tr>
        <w:tc>
          <w:tcPr/>
          <w:p>
            <w:pPr>
              <w:pStyle w:val="Compact"/>
              <w:jc w:val="left"/>
            </w:pPr>
            <w:r>
              <w:rPr>
                <w:b/>
                <w:bCs/>
              </w:rPr>
              <w:t xml:space="preserve">Resilience</w:t>
            </w:r>
          </w:p>
        </w:tc>
        <w:tc>
          <w:tcPr/>
          <w:p>
            <w:pPr>
              <w:pStyle w:val="Compact"/>
              <w:jc w:val="left"/>
            </w:pPr>
            <w:r>
              <w:t xml:space="preserve">High — cloud-only auth survives on-prem outage</w:t>
            </w:r>
          </w:p>
        </w:tc>
        <w:tc>
          <w:tcPr/>
          <w:p>
            <w:pPr>
              <w:pStyle w:val="Compact"/>
              <w:jc w:val="left"/>
            </w:pPr>
            <w:r>
              <w:t xml:space="preserve">Low — on-prem outage blocks authentication</w:t>
            </w:r>
          </w:p>
        </w:tc>
        <w:tc>
          <w:tcPr/>
          <w:p>
            <w:pPr>
              <w:pStyle w:val="Compact"/>
              <w:jc w:val="left"/>
            </w:pPr>
            <w:r>
              <w:t xml:space="preserve">Low — AD FS outage blocks authentication</w:t>
            </w:r>
          </w:p>
        </w:tc>
      </w:tr>
      <w:tr>
        <w:tc>
          <w:tcPr/>
          <w:p>
            <w:pPr>
              <w:pStyle w:val="Compact"/>
              <w:jc w:val="left"/>
            </w:pPr>
            <w:r>
              <w:rPr>
                <w:b/>
                <w:bCs/>
              </w:rPr>
              <w:t xml:space="preserve">GCC-Moderate compatibility</w:t>
            </w:r>
          </w:p>
        </w:tc>
        <w:tc>
          <w:tcPr/>
          <w:p>
            <w:pPr>
              <w:pStyle w:val="Compact"/>
              <w:jc w:val="left"/>
            </w:pPr>
            <w:r>
              <w:t xml:space="preserve">Full</w:t>
            </w:r>
          </w:p>
        </w:tc>
        <w:tc>
          <w:tcPr/>
          <w:p>
            <w:pPr>
              <w:pStyle w:val="Compact"/>
              <w:jc w:val="left"/>
            </w:pPr>
            <w:r>
              <w:t xml:space="preserve">Full</w:t>
            </w:r>
          </w:p>
        </w:tc>
        <w:tc>
          <w:tcPr/>
          <w:p>
            <w:pPr>
              <w:pStyle w:val="Compact"/>
              <w:jc w:val="left"/>
            </w:pPr>
            <w:r>
              <w:t xml:space="preserve">Full (but discouraged for new deployments)</w:t>
            </w:r>
          </w:p>
        </w:tc>
      </w:tr>
      <w:tr>
        <w:tc>
          <w:tcPr/>
          <w:p>
            <w:pPr>
              <w:pStyle w:val="Compact"/>
              <w:jc w:val="left"/>
            </w:pPr>
            <w:r>
              <w:rPr>
                <w:b/>
                <w:bCs/>
              </w:rPr>
              <w:t xml:space="preserve">Supports leaked credential detection</w:t>
            </w:r>
          </w:p>
        </w:tc>
        <w:tc>
          <w:tcPr/>
          <w:p>
            <w:pPr>
              <w:pStyle w:val="Compact"/>
              <w:jc w:val="left"/>
            </w:pPr>
            <w:r>
              <w:t xml:space="preserve">Yes (P2)</w:t>
            </w:r>
          </w:p>
        </w:tc>
        <w:tc>
          <w:tcPr/>
          <w:p>
            <w:pPr>
              <w:pStyle w:val="Compact"/>
              <w:jc w:val="left"/>
            </w:pPr>
            <w:r>
              <w:t xml:space="preserve">No</w:t>
            </w:r>
          </w:p>
        </w:tc>
        <w:tc>
          <w:tcPr/>
          <w:p>
            <w:pPr>
              <w:pStyle w:val="Compact"/>
              <w:jc w:val="left"/>
            </w:pPr>
            <w:r>
              <w:t xml:space="preserve">No</w:t>
            </w:r>
          </w:p>
        </w:tc>
      </w:tr>
      <w:tr>
        <w:tc>
          <w:tcPr/>
          <w:p>
            <w:pPr>
              <w:pStyle w:val="Compact"/>
              <w:jc w:val="left"/>
            </w:pPr>
            <w:r>
              <w:rPr>
                <w:b/>
                <w:bCs/>
              </w:rPr>
              <w:t xml:space="preserve">Supports Seamless SSO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Native (federation)</w:t>
            </w:r>
          </w:p>
        </w:tc>
      </w:tr>
      <w:tr>
        <w:tc>
          <w:tcPr/>
          <w:p>
            <w:pPr>
              <w:pStyle w:val="Compact"/>
              <w:jc w:val="left"/>
            </w:pPr>
            <w:r>
              <w:t xml:space="preserve">**The Federal Modernization Program recomme</w:t>
            </w:r>
          </w:p>
        </w:tc>
        <w:tc>
          <w:tcPr/>
          <w:p>
            <w:pPr>
              <w:pStyle w:val="Compact"/>
              <w:jc w:val="left"/>
            </w:pPr>
            <w:r>
              <w:t xml:space="preserve">ndation**</w:t>
            </w:r>
            <w:r>
              <w:t xml:space="preserve"> </w:t>
            </w:r>
            <w:r>
              <w:rPr>
                <w:b/>
                <w:bCs/>
              </w:rPr>
              <w:t xml:space="preserve">PREFERRED</w:t>
            </w:r>
          </w:p>
        </w:tc>
        <w:tc>
          <w:tcPr/>
          <w:p>
            <w:pPr>
              <w:pStyle w:val="Compact"/>
              <w:jc w:val="left"/>
            </w:pPr>
            <w:r>
              <w:t xml:space="preserve">Acceptable (transitional)</w:t>
            </w:r>
          </w:p>
        </w:tc>
        <w:tc>
          <w:tcPr/>
          <w:p>
            <w:pPr>
              <w:pStyle w:val="Compact"/>
              <w:jc w:val="left"/>
            </w:pPr>
            <w:r>
              <w:t xml:space="preserve">Legacy — decommission target</w:t>
            </w:r>
          </w:p>
        </w:tc>
      </w:tr>
    </w:tbl>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RECOMMENDATION</w:t>
            </w:r>
          </w:p>
          <w:p>
            <w:pPr>
              <w:pStyle w:val="BodyText"/>
            </w:pPr>
            <w:r>
              <w:t xml:space="preserve">PHS is the FMP-recommended authentication method for GCC-Moderate environments. Even when PTA or Federation is used as the primary method, PHS should be enabled as a backup to ensure authentication continuity and to enable Identity Protection risk detections. |</w:t>
            </w:r>
          </w:p>
        </w:tc>
      </w:tr>
    </w:tbl>
    <w:p>
      <w:pPr>
        <w:pStyle w:val="BodyText"/>
      </w:pPr>
      <w:r>
        <w:t xml:space="preserve">4.6 Soft Match vs. Hard Match</w:t>
      </w:r>
    </w:p>
    <w:p>
      <w:pPr>
        <w:pStyle w:val="BodyText"/>
      </w:pPr>
      <w:r>
        <w:t xml:space="preserve">When Entra Connect encounters an existing cloud object that may correspond to an AD object, it must determine whether to link them:</w:t>
      </w:r>
    </w:p>
    <w:p>
      <w:pPr>
        <w:numPr>
          <w:ilvl w:val="0"/>
          <w:numId w:val="1218"/>
        </w:numPr>
      </w:pPr>
      <w:r>
        <w:rPr>
          <w:b/>
          <w:bCs/>
        </w:rPr>
        <w:t xml:space="preserve">Hard match:</w:t>
      </w:r>
      <w:r>
        <w:t xml:space="preserve"> </w:t>
      </w:r>
      <w:r>
        <w:t xml:space="preserve">Uses the sourceAnchor (typically ms-DS-ConsistencyGuid or objectGUID) to definitively link AD and Entra objects. Preferred method — deterministic and reliable.</w:t>
      </w:r>
    </w:p>
    <w:p>
      <w:pPr>
        <w:numPr>
          <w:ilvl w:val="0"/>
          <w:numId w:val="1218"/>
        </w:numPr>
      </w:pPr>
      <w:r>
        <w:rPr>
          <w:b/>
          <w:bCs/>
        </w:rPr>
        <w:t xml:space="preserve">Soft match:</w:t>
      </w:r>
      <w:r>
        <w:t xml:space="preserve"> </w:t>
      </w:r>
      <w:r>
        <w:t xml:space="preserve">Uses userPrincipalName or proxyAddresses (SMTP) to match objects when no sourceAnchor link exists. Used during initial sync when cloud-only objects already exist. Risk of false matches if attribute hygiene is poor.</w:t>
      </w:r>
    </w:p>
    <w:p>
      <w:pPr>
        <w:pStyle w:val="FirstParagraph"/>
      </w:pPr>
      <w:r>
        <w:t xml:space="preserve">4.7 UPN Suffix Mismatches and Alternate Login ID</w:t>
      </w:r>
    </w:p>
    <w:p>
      <w:pPr>
        <w:pStyle w:val="BodyText"/>
      </w:pPr>
      <w:r>
        <w:t xml:space="preserve">Many AD environments use non-routable UPN suffixes (e.g., contoso.local, corp.contoso.com). These cannot be used as Entra ID sign-in identifiers. Remediation options:</w:t>
      </w:r>
    </w:p>
    <w:p>
      <w:pPr>
        <w:numPr>
          <w:ilvl w:val="0"/>
          <w:numId w:val="1219"/>
        </w:numPr>
      </w:pPr>
      <w:r>
        <w:rPr>
          <w:b/>
          <w:bCs/>
        </w:rPr>
        <w:t xml:space="preserve">Add routable UPN suffix to AD forest</w:t>
      </w:r>
      <w:r>
        <w:t xml:space="preserve"> </w:t>
      </w:r>
      <w:r>
        <w:t xml:space="preserve">and update user UPNs — preferred approach, ensures UPN consistency across all systems</w:t>
      </w:r>
    </w:p>
    <w:p>
      <w:pPr>
        <w:numPr>
          <w:ilvl w:val="0"/>
          <w:numId w:val="1219"/>
        </w:numPr>
      </w:pPr>
      <w:r>
        <w:rPr>
          <w:b/>
          <w:bCs/>
        </w:rPr>
        <w:t xml:space="preserve">Alternate Login ID:</w:t>
      </w:r>
      <w:r>
        <w:t xml:space="preserve"> </w:t>
      </w:r>
      <w:r>
        <w:t xml:space="preserve">Configure Entra Connect to use the mail attribute instead of userPrincipalName for sign-in. Adds complexity and has limitations with certain Microsoft 365 workloads</w:t>
      </w:r>
    </w:p>
    <w:p>
      <w:pPr>
        <w:numPr>
          <w:ilvl w:val="0"/>
          <w:numId w:val="1219"/>
        </w:numPr>
      </w:pPr>
      <w:r>
        <w:rPr>
          <w:b/>
          <w:bCs/>
        </w:rPr>
        <w:t xml:space="preserve">Attribute transformation:</w:t>
      </w:r>
      <w:r>
        <w:t xml:space="preserve"> </w:t>
      </w:r>
      <w:r>
        <w:t xml:space="preserve">Use sync rules to transform the UPN during sync (see Section 4.3). The AD UPN remains unchanged; the Entra UPN is constructed from other attributes</w:t>
      </w:r>
    </w:p>
    <w:p>
      <w:pPr>
        <w:pStyle w:val="FirstParagraph"/>
      </w:pPr>
      <w:r>
        <w:t xml:space="preserve">Cross-reference the</w:t>
      </w:r>
      <w:r>
        <w:t xml:space="preserve"> </w:t>
      </w:r>
      <w:r>
        <w:rPr>
          <w:b/>
          <w:bCs/>
        </w:rPr>
        <w:t xml:space="preserve">DNS Modernization Guide</w:t>
      </w:r>
      <w:r>
        <w:t xml:space="preserve"> </w:t>
      </w:r>
      <w:r>
        <w:t xml:space="preserve">for namespace alignment procedures.</w:t>
      </w:r>
    </w:p>
    <w:tbl>
      <w:tblPr>
        <w:tblStyle w:val="Table"/>
        <w:tblW w:type="pct" w:w="4965"/>
        <w:tblLayout w:type="fixed"/>
        <w:tblLook w:firstRow="0" w:lastRow="0" w:firstColumn="0" w:lastColumn="0" w:noHBand="0" w:noVBand="0" w:val="0000"/>
      </w:tblPr>
      <w:tblGrid>
        <w:gridCol w:w="7865"/>
      </w:tblGrid>
      <w:tr>
        <w:tc>
          <w:tcPr/>
          <w:p>
            <w:pPr>
              <w:pStyle w:val="Compact"/>
              <w:jc w:val="left"/>
            </w:pPr>
            <w:r>
              <w:rPr>
                <w:i/>
                <w:iCs/>
              </w:rPr>
              <w:t xml:space="preserve">[Placeholder — Diagram 1: Identity Sync Architecture — 800×500px — Shows Entra Connect Sync topology with OU filtering, attribute flow, staging mode, PHS/PTA decision point, and Entra ID tenant boundary. Includes multi-forest variant with separate Entra Connect instances.]</w:t>
            </w:r>
          </w:p>
        </w:tc>
      </w:tr>
    </w:tbl>
    <w:p>
      <w:pPr>
        <w:pStyle w:val="BodyText"/>
      </w:pPr>
      <w:r>
        <w:t xml:space="preserve">5. Group Migration Strategy</w:t>
      </w:r>
    </w:p>
    <w:p>
      <w:pPr>
        <w:pStyle w:val="BodyText"/>
      </w:pPr>
      <w:r>
        <w:t xml:space="preserve">5.1 AGDLP/AGUDLP Pattern Mapping</w:t>
      </w:r>
    </w:p>
    <w:p>
      <w:pPr>
        <w:pStyle w:val="BodyText"/>
      </w:pPr>
      <w:r>
        <w:t xml:space="preserve">The AD canonical group nesting model (Account → Global → [Universal] → Domain Local → Permission) does not map directly to Entra ID, which has a simpler group model without scope-based nesting restrictions. The following table maps each tier of the AGDLP pattern to its Entra ID equivalent:</w:t>
      </w:r>
    </w:p>
    <w:tbl>
      <w:tblPr>
        <w:tblStyle w:val="Table"/>
        <w:tblW w:type="pct" w:w="4956"/>
        <w:tblLayout w:type="fixed"/>
        <w:tblLook w:firstRow="1" w:lastRow="0" w:firstColumn="0" w:lastColumn="0" w:noHBand="0" w:noVBand="0" w:val="0020"/>
      </w:tblPr>
      <w:tblGrid>
        <w:gridCol w:w="911"/>
        <w:gridCol w:w="2032"/>
        <w:gridCol w:w="2453"/>
        <w:gridCol w:w="2453"/>
      </w:tblGrid>
      <w:tr>
        <w:trPr>
          <w:tblHeader w:val="on"/>
        </w:trPr>
        <w:tc>
          <w:tcPr/>
          <w:p>
            <w:pPr>
              <w:pStyle w:val="Compact"/>
              <w:jc w:val="left"/>
            </w:pPr>
            <w:r>
              <w:rPr>
                <w:b/>
                <w:bCs/>
              </w:rPr>
              <w:t xml:space="preserve">AGDLP Tier</w:t>
            </w:r>
          </w:p>
        </w:tc>
        <w:tc>
          <w:tcPr/>
          <w:p>
            <w:pPr>
              <w:pStyle w:val="Compact"/>
              <w:jc w:val="left"/>
            </w:pPr>
            <w:r>
              <w:rPr>
                <w:b/>
                <w:bCs/>
              </w:rPr>
              <w:t xml:space="preserve">AD Implementation</w:t>
            </w:r>
          </w:p>
        </w:tc>
        <w:tc>
          <w:tcPr/>
          <w:p>
            <w:pPr>
              <w:pStyle w:val="Compact"/>
              <w:jc w:val="left"/>
            </w:pPr>
            <w:r>
              <w:rPr>
                <w:b/>
                <w:bCs/>
              </w:rPr>
              <w:t xml:space="preserve">Entra ID Equivalent</w:t>
            </w:r>
          </w:p>
        </w:tc>
        <w:tc>
          <w:tcPr/>
          <w:p>
            <w:pPr>
              <w:pStyle w:val="Compact"/>
              <w:jc w:val="left"/>
            </w:pPr>
            <w:r>
              <w:rPr>
                <w:b/>
                <w:bCs/>
              </w:rPr>
              <w:t xml:space="preserve">Migration Approach</w:t>
            </w:r>
          </w:p>
        </w:tc>
      </w:tr>
      <w:tr>
        <w:tc>
          <w:tcPr/>
          <w:p>
            <w:pPr>
              <w:pStyle w:val="Compact"/>
              <w:jc w:val="left"/>
            </w:pPr>
            <w:r>
              <w:rPr>
                <w:b/>
                <w:bCs/>
              </w:rPr>
              <w:t xml:space="preserve">A</w:t>
            </w:r>
            <w:r>
              <w:t xml:space="preserve"> </w:t>
            </w:r>
            <w:r>
              <w:t xml:space="preserve">(Account)</w:t>
            </w:r>
          </w:p>
        </w:tc>
        <w:tc>
          <w:tcPr/>
          <w:p>
            <w:pPr>
              <w:pStyle w:val="Compact"/>
              <w:jc w:val="left"/>
            </w:pPr>
            <w:r>
              <w:t xml:space="preserve">User objects</w:t>
            </w:r>
          </w:p>
        </w:tc>
        <w:tc>
          <w:tcPr/>
          <w:p>
            <w:pPr>
              <w:pStyle w:val="Compact"/>
              <w:jc w:val="left"/>
            </w:pPr>
            <w:r>
              <w:t xml:space="preserve">User objects</w:t>
            </w:r>
          </w:p>
        </w:tc>
        <w:tc>
          <w:tcPr/>
          <w:p>
            <w:pPr>
              <w:pStyle w:val="Compact"/>
              <w:jc w:val="left"/>
            </w:pPr>
            <w:r>
              <w:t xml:space="preserve">Direct sync</w:t>
            </w:r>
          </w:p>
        </w:tc>
      </w:tr>
      <w:tr>
        <w:tc>
          <w:tcPr/>
          <w:p>
            <w:pPr>
              <w:pStyle w:val="Compact"/>
              <w:jc w:val="left"/>
            </w:pPr>
            <w:r>
              <w:rPr>
                <w:b/>
                <w:bCs/>
              </w:rPr>
              <w:t xml:space="preserve">G</w:t>
            </w:r>
            <w:r>
              <w:t xml:space="preserve"> </w:t>
            </w:r>
            <w:r>
              <w:t xml:space="preserve">(Global Group)</w:t>
            </w:r>
          </w:p>
        </w:tc>
        <w:tc>
          <w:tcPr/>
          <w:p>
            <w:pPr>
              <w:pStyle w:val="Compact"/>
              <w:jc w:val="left"/>
            </w:pPr>
            <w:r>
              <w:t xml:space="preserve">Global security group containing users from same domain</w:t>
            </w:r>
          </w:p>
        </w:tc>
        <w:tc>
          <w:tcPr/>
          <w:p>
            <w:pPr>
              <w:pStyle w:val="Compact"/>
              <w:jc w:val="left"/>
            </w:pPr>
            <w:r>
              <w:t xml:space="preserve">Dynamic security group (attribute-based) or assigned security group</w:t>
            </w:r>
          </w:p>
        </w:tc>
        <w:tc>
          <w:tcPr/>
          <w:p>
            <w:pPr>
              <w:pStyle w:val="Compact"/>
              <w:jc w:val="left"/>
            </w:pPr>
            <w:r>
              <w:t xml:space="preserve">Evaluate for dynamic conversion; sync if static membership required</w:t>
            </w:r>
          </w:p>
        </w:tc>
      </w:tr>
      <w:tr>
        <w:tc>
          <w:tcPr/>
          <w:p>
            <w:pPr>
              <w:pStyle w:val="Compact"/>
              <w:jc w:val="left"/>
            </w:pPr>
            <w:r>
              <w:rPr>
                <w:b/>
                <w:bCs/>
              </w:rPr>
              <w:t xml:space="preserve">U</w:t>
            </w:r>
            <w:r>
              <w:t xml:space="preserve"> </w:t>
            </w:r>
            <w:r>
              <w:t xml:space="preserve">(Universal Group)</w:t>
            </w:r>
          </w:p>
        </w:tc>
        <w:tc>
          <w:tcPr/>
          <w:p>
            <w:pPr>
              <w:pStyle w:val="Compact"/>
              <w:jc w:val="left"/>
            </w:pPr>
            <w:r>
              <w:t xml:space="preserve">Universal group spanning domains</w:t>
            </w:r>
          </w:p>
        </w:tc>
        <w:tc>
          <w:tcPr/>
          <w:p>
            <w:pPr>
              <w:pStyle w:val="Compact"/>
              <w:jc w:val="left"/>
            </w:pPr>
            <w:r>
              <w:t xml:space="preserve">Security group (no scope distinction in Entra)</w:t>
            </w:r>
          </w:p>
        </w:tc>
        <w:tc>
          <w:tcPr/>
          <w:p>
            <w:pPr>
              <w:pStyle w:val="Compact"/>
              <w:jc w:val="left"/>
            </w:pPr>
            <w:r>
              <w:t xml:space="preserve">Sync; evaluate for consolidation with G-tier groups</w:t>
            </w:r>
          </w:p>
        </w:tc>
      </w:tr>
      <w:tr>
        <w:tc>
          <w:tcPr/>
          <w:p>
            <w:pPr>
              <w:pStyle w:val="Compact"/>
              <w:jc w:val="left"/>
            </w:pPr>
            <w:r>
              <w:rPr>
                <w:b/>
                <w:bCs/>
              </w:rPr>
              <w:t xml:space="preserve">DL</w:t>
            </w:r>
            <w:r>
              <w:t xml:space="preserve"> </w:t>
            </w:r>
            <w:r>
              <w:t xml:space="preserve">(Domain Local)</w:t>
            </w:r>
          </w:p>
        </w:tc>
        <w:tc>
          <w:tcPr/>
          <w:p>
            <w:pPr>
              <w:pStyle w:val="Compact"/>
              <w:jc w:val="left"/>
            </w:pPr>
            <w:r>
              <w:t xml:space="preserve">Domain Local group assigned to resource ACL</w:t>
            </w:r>
          </w:p>
        </w:tc>
        <w:tc>
          <w:tcPr/>
          <w:p>
            <w:pPr>
              <w:pStyle w:val="Compact"/>
              <w:jc w:val="left"/>
            </w:pPr>
            <w:r>
              <w:t xml:space="preserve">Security group assigned to Entra app role or resource</w:t>
            </w:r>
          </w:p>
        </w:tc>
        <w:tc>
          <w:tcPr/>
          <w:p>
            <w:pPr>
              <w:pStyle w:val="Compact"/>
              <w:jc w:val="left"/>
            </w:pPr>
            <w:r>
              <w:t xml:space="preserve">Sync; may consolidate with resource assignment</w:t>
            </w:r>
          </w:p>
        </w:tc>
      </w:tr>
      <w:tr>
        <w:tc>
          <w:tcPr/>
          <w:p>
            <w:pPr>
              <w:pStyle w:val="Compact"/>
              <w:jc w:val="left"/>
            </w:pPr>
            <w:r>
              <w:rPr>
                <w:b/>
                <w:bCs/>
              </w:rPr>
              <w:t xml:space="preserve">P</w:t>
            </w:r>
            <w:r>
              <w:t xml:space="preserve"> </w:t>
            </w:r>
            <w:r>
              <w:t xml:space="preserve">(Permission)</w:t>
            </w:r>
          </w:p>
        </w:tc>
        <w:tc>
          <w:tcPr/>
          <w:p>
            <w:pPr>
              <w:pStyle w:val="Compact"/>
              <w:jc w:val="left"/>
            </w:pPr>
            <w:r>
              <w:t xml:space="preserve">NTFS/share/resource ACL entry</w:t>
            </w:r>
          </w:p>
        </w:tc>
        <w:tc>
          <w:tcPr/>
          <w:p>
            <w:pPr>
              <w:pStyle w:val="Compact"/>
              <w:jc w:val="left"/>
            </w:pPr>
            <w:r>
              <w:t xml:space="preserve">App role assignment, SharePoint permission level, or Entra role</w:t>
            </w:r>
          </w:p>
        </w:tc>
        <w:tc>
          <w:tcPr/>
          <w:p>
            <w:pPr>
              <w:pStyle w:val="Compact"/>
              <w:jc w:val="left"/>
            </w:pPr>
            <w:r>
              <w:t xml:space="preserve">Map to Entra-native permission model</w:t>
            </w:r>
          </w:p>
        </w:tc>
      </w:tr>
    </w:tbl>
    <w:p>
      <w:pPr>
        <w:pStyle w:val="BodyText"/>
      </w:pPr>
      <w:r>
        <w:t xml:space="preserve">5.2 Security Group Migration — Decision Framework</w:t>
      </w:r>
    </w:p>
    <w:p>
      <w:pPr>
        <w:pStyle w:val="BodyText"/>
      </w:pPr>
      <w:r>
        <w:t xml:space="preserve">Each AD security group requires a migration decision:</w:t>
      </w:r>
      <w:r>
        <w:t xml:space="preserve"> </w:t>
      </w:r>
      <w:r>
        <w:rPr>
          <w:b/>
          <w:bCs/>
        </w:rPr>
        <w:t xml:space="preserve">synchronize</w:t>
      </w:r>
      <w:r>
        <w:t xml:space="preserve"> </w:t>
      </w:r>
      <w:r>
        <w:t xml:space="preserve">(maintain hybrid state),</w:t>
      </w:r>
      <w:r>
        <w:t xml:space="preserve"> </w:t>
      </w:r>
      <w:r>
        <w:rPr>
          <w:b/>
          <w:bCs/>
        </w:rPr>
        <w:t xml:space="preserve">convert to cloud-only</w:t>
      </w:r>
      <w:r>
        <w:t xml:space="preserve">, or</w:t>
      </w:r>
      <w:r>
        <w:t xml:space="preserve"> </w:t>
      </w:r>
      <w:r>
        <w:rPr>
          <w:b/>
          <w:bCs/>
        </w:rPr>
        <w:t xml:space="preserve">decommission</w:t>
      </w:r>
      <w:r>
        <w:t xml:space="preserve">. The decision depends on the group's purpose and dependency profile:</w:t>
      </w:r>
    </w:p>
    <w:tbl>
      <w:tblPr>
        <w:tblStyle w:val="Table"/>
        <w:tblW w:type="pct" w:w="4924"/>
        <w:tblLayout w:type="fixed"/>
        <w:tblLook w:firstRow="1" w:lastRow="0" w:firstColumn="0" w:lastColumn="0" w:noHBand="0" w:noVBand="0" w:val="0020"/>
      </w:tblPr>
      <w:tblGrid>
        <w:gridCol w:w="2962"/>
        <w:gridCol w:w="1753"/>
        <w:gridCol w:w="3083"/>
      </w:tblGrid>
      <w:tr>
        <w:trPr>
          <w:tblHeader w:val="on"/>
        </w:trPr>
        <w:tc>
          <w:tcPr/>
          <w:p>
            <w:pPr>
              <w:pStyle w:val="Compact"/>
              <w:jc w:val="left"/>
            </w:pPr>
            <w:r>
              <w:rPr>
                <w:b/>
                <w:bCs/>
              </w:rPr>
              <w:t xml:space="preserve">Group Characteristic</w:t>
            </w:r>
          </w:p>
        </w:tc>
        <w:tc>
          <w:tcPr/>
          <w:p>
            <w:pPr>
              <w:pStyle w:val="Compact"/>
              <w:jc w:val="left"/>
            </w:pPr>
            <w:r>
              <w:rPr>
                <w:b/>
                <w:bCs/>
              </w:rPr>
              <w:t xml:space="preserve">Decision</w:t>
            </w:r>
          </w:p>
        </w:tc>
        <w:tc>
          <w:tcPr/>
          <w:p>
            <w:pPr>
              <w:pStyle w:val="Compact"/>
              <w:jc w:val="left"/>
            </w:pPr>
            <w:r>
              <w:rPr>
                <w:b/>
                <w:bCs/>
              </w:rPr>
              <w:t xml:space="preserve">Rationale</w:t>
            </w:r>
          </w:p>
        </w:tc>
      </w:tr>
      <w:tr>
        <w:tc>
          <w:tcPr/>
          <w:p>
            <w:pPr>
              <w:pStyle w:val="Compact"/>
              <w:jc w:val="left"/>
            </w:pPr>
            <w:r>
              <w:t xml:space="preserve">Used for on-premises resource ACLs only</w:t>
            </w:r>
          </w:p>
        </w:tc>
        <w:tc>
          <w:tcPr/>
          <w:p>
            <w:pPr>
              <w:pStyle w:val="Compact"/>
              <w:jc w:val="left"/>
            </w:pPr>
            <w:r>
              <w:t xml:space="preserve">Retain in AD (do not sync)</w:t>
            </w:r>
          </w:p>
        </w:tc>
        <w:tc>
          <w:tcPr/>
          <w:p>
            <w:pPr>
              <w:pStyle w:val="Compact"/>
              <w:jc w:val="left"/>
            </w:pPr>
            <w:r>
              <w:t xml:space="preserve">Cloud representation adds no value</w:t>
            </w:r>
          </w:p>
        </w:tc>
      </w:tr>
      <w:tr>
        <w:tc>
          <w:tcPr/>
          <w:p>
            <w:pPr>
              <w:pStyle w:val="Compact"/>
              <w:jc w:val="left"/>
            </w:pPr>
            <w:r>
              <w:t xml:space="preserve">Used for both on-prem and cloud resources</w:t>
            </w:r>
          </w:p>
        </w:tc>
        <w:tc>
          <w:tcPr/>
          <w:p>
            <w:pPr>
              <w:pStyle w:val="Compact"/>
              <w:jc w:val="left"/>
            </w:pPr>
            <w:r>
              <w:t xml:space="preserve">Synchronize (hybrid)</w:t>
            </w:r>
          </w:p>
        </w:tc>
        <w:tc>
          <w:tcPr/>
          <w:p>
            <w:pPr>
              <w:pStyle w:val="Compact"/>
              <w:jc w:val="left"/>
            </w:pPr>
            <w:r>
              <w:t xml:space="preserve">Source of authority remains AD during transition</w:t>
            </w:r>
          </w:p>
        </w:tc>
      </w:tr>
      <w:tr>
        <w:tc>
          <w:tcPr/>
          <w:p>
            <w:pPr>
              <w:pStyle w:val="Compact"/>
              <w:jc w:val="left"/>
            </w:pPr>
            <w:r>
              <w:t xml:space="preserve">Used for cloud resources only</w:t>
            </w:r>
          </w:p>
        </w:tc>
        <w:tc>
          <w:tcPr/>
          <w:p>
            <w:pPr>
              <w:pStyle w:val="Compact"/>
              <w:jc w:val="left"/>
            </w:pPr>
            <w:r>
              <w:t xml:space="preserve">Convert to cloud-only</w:t>
            </w:r>
          </w:p>
        </w:tc>
        <w:tc>
          <w:tcPr/>
          <w:p>
            <w:pPr>
              <w:pStyle w:val="Compact"/>
              <w:jc w:val="left"/>
            </w:pPr>
            <w:r>
              <w:t xml:space="preserve">Eliminate AD dependency</w:t>
            </w:r>
          </w:p>
        </w:tc>
      </w:tr>
      <w:tr>
        <w:tc>
          <w:tcPr/>
          <w:p>
            <w:pPr>
              <w:pStyle w:val="Compact"/>
              <w:jc w:val="left"/>
            </w:pPr>
            <w:r>
              <w:t xml:space="preserve">Membership is attribute-deterministic</w:t>
            </w:r>
          </w:p>
        </w:tc>
        <w:tc>
          <w:tcPr/>
          <w:p>
            <w:pPr>
              <w:pStyle w:val="Compact"/>
              <w:jc w:val="left"/>
            </w:pPr>
            <w:r>
              <w:t xml:space="preserve">Convert to dynamic group</w:t>
            </w:r>
          </w:p>
        </w:tc>
        <w:tc>
          <w:tcPr/>
          <w:p>
            <w:pPr>
              <w:pStyle w:val="Compact"/>
              <w:jc w:val="left"/>
            </w:pPr>
            <w:r>
              <w:t xml:space="preserve">Eliminate manual membership management</w:t>
            </w:r>
          </w:p>
        </w:tc>
      </w:tr>
      <w:tr>
        <w:tc>
          <w:tcPr/>
          <w:p>
            <w:pPr>
              <w:pStyle w:val="Compact"/>
              <w:jc w:val="left"/>
            </w:pPr>
            <w:r>
              <w:t xml:space="preserve">Unused (no members or no resource assignments)</w:t>
            </w:r>
          </w:p>
        </w:tc>
        <w:tc>
          <w:tcPr/>
          <w:p>
            <w:pPr>
              <w:pStyle w:val="Compact"/>
              <w:jc w:val="left"/>
            </w:pPr>
            <w:r>
              <w:t xml:space="preserve">Decommission</w:t>
            </w:r>
          </w:p>
        </w:tc>
        <w:tc>
          <w:tcPr/>
          <w:p>
            <w:pPr>
              <w:pStyle w:val="Compact"/>
              <w:jc w:val="left"/>
            </w:pPr>
            <w:r>
              <w:t xml:space="preserve">Reduce identity surface area</w:t>
            </w:r>
          </w:p>
        </w:tc>
      </w:tr>
    </w:tbl>
    <w:p>
      <w:pPr>
        <w:pStyle w:val="BodyText"/>
      </w:pPr>
      <w:r>
        <w:t xml:space="preserve">5.3 Dynamic Group Conversion</w:t>
      </w:r>
    </w:p>
    <w:p>
      <w:pPr>
        <w:pStyle w:val="BodyText"/>
      </w:pPr>
      <w:r>
        <w:t xml:space="preserve">Static AD groups whose membership is determined by organizational attributes (department, location, role) are candidates for conversion to Entra ID dynamic groups. The conversion process:</w:t>
      </w:r>
    </w:p>
    <w:p>
      <w:pPr>
        <w:numPr>
          <w:ilvl w:val="0"/>
          <w:numId w:val="1220"/>
        </w:numPr>
      </w:pPr>
      <w:r>
        <w:rPr>
          <w:b/>
          <w:bCs/>
        </w:rPr>
        <w:t xml:space="preserve">Analyze current membership:</w:t>
      </w:r>
      <w:r>
        <w:t xml:space="preserve"> </w:t>
      </w:r>
      <w:r>
        <w:t xml:space="preserve">Export group members and identify the common attributes that determine membership</w:t>
      </w:r>
    </w:p>
    <w:p>
      <w:pPr>
        <w:numPr>
          <w:ilvl w:val="0"/>
          <w:numId w:val="1220"/>
        </w:numPr>
      </w:pPr>
      <w:r>
        <w:rPr>
          <w:b/>
          <w:bCs/>
        </w:rPr>
        <w:t xml:space="preserve">Draft dynamic rule:</w:t>
      </w:r>
      <w:r>
        <w:t xml:space="preserve"> </w:t>
      </w:r>
      <w:r>
        <w:t xml:space="preserve">Construct a membership rule using the identified common attributes (Section 3.4)</w:t>
      </w:r>
    </w:p>
    <w:p>
      <w:pPr>
        <w:numPr>
          <w:ilvl w:val="0"/>
          <w:numId w:val="1220"/>
        </w:numPr>
      </w:pPr>
      <w:r>
        <w:rPr>
          <w:b/>
          <w:bCs/>
        </w:rPr>
        <w:t xml:space="preserve">Validate coverage:</w:t>
      </w:r>
      <w:r>
        <w:t xml:space="preserve"> </w:t>
      </w:r>
      <w:r>
        <w:t xml:space="preserve">Compare dynamic rule output against current static membership to identify gaps</w:t>
      </w:r>
    </w:p>
    <w:p>
      <w:pPr>
        <w:numPr>
          <w:ilvl w:val="0"/>
          <w:numId w:val="1220"/>
        </w:numPr>
      </w:pPr>
      <w:r>
        <w:rPr>
          <w:b/>
          <w:bCs/>
        </w:rPr>
        <w:t xml:space="preserve">Address exceptions:</w:t>
      </w:r>
      <w:r>
        <w:t xml:space="preserve"> </w:t>
      </w:r>
      <w:r>
        <w:t xml:space="preserve">Users who do not match the rule pattern require attribute remediation or explicit inclusion via a separate assigned group</w:t>
      </w:r>
    </w:p>
    <w:p>
      <w:pPr>
        <w:numPr>
          <w:ilvl w:val="0"/>
          <w:numId w:val="1220"/>
        </w:numPr>
      </w:pPr>
      <w:r>
        <w:rPr>
          <w:b/>
          <w:bCs/>
        </w:rPr>
        <w:t xml:space="preserve">Create dynamic group:</w:t>
      </w:r>
      <w:r>
        <w:t xml:space="preserve"> </w:t>
      </w:r>
      <w:r>
        <w:t xml:space="preserve">Create the Entra ID dynamic group and validate membership propagation</w:t>
      </w:r>
    </w:p>
    <w:p>
      <w:pPr>
        <w:numPr>
          <w:ilvl w:val="0"/>
          <w:numId w:val="1220"/>
        </w:numPr>
      </w:pPr>
      <w:r>
        <w:rPr>
          <w:b/>
          <w:bCs/>
        </w:rPr>
        <w:t xml:space="preserve">Migrate assignments:</w:t>
      </w:r>
      <w:r>
        <w:t xml:space="preserve"> </w:t>
      </w:r>
      <w:r>
        <w:t xml:space="preserve">Transfer resource assignments from the synced static group to the new dynamic group</w:t>
      </w:r>
    </w:p>
    <w:p>
      <w:pPr>
        <w:numPr>
          <w:ilvl w:val="0"/>
          <w:numId w:val="1220"/>
        </w:numPr>
      </w:pPr>
      <w:r>
        <w:rPr>
          <w:b/>
          <w:bCs/>
        </w:rPr>
        <w:t xml:space="preserve">Decommission static group:</w:t>
      </w:r>
      <w:r>
        <w:t xml:space="preserve"> </w:t>
      </w:r>
      <w:r>
        <w:t xml:space="preserve">Remove the AD group from sync scope and archive</w:t>
      </w:r>
    </w:p>
    <w:p>
      <w:pPr>
        <w:pStyle w:val="FirstParagraph"/>
      </w:pPr>
      <w:r>
        <w:t xml:space="preserve">5.4 Nested Group Flattening</w:t>
      </w:r>
    </w:p>
    <w:p>
      <w:pPr>
        <w:pStyle w:val="BodyText"/>
      </w:pPr>
      <w:r>
        <w:t xml:space="preserve">Entra ID supports one level of group nesting for assigned groups, but dynamic groups</w:t>
      </w:r>
      <w:r>
        <w:t xml:space="preserve"> </w:t>
      </w:r>
      <w:r>
        <w:rPr>
          <w:b/>
          <w:bCs/>
        </w:rPr>
        <w:t xml:space="preserve">cannot</w:t>
      </w:r>
      <w:r>
        <w:t xml:space="preserve"> </w:t>
      </w:r>
      <w:r>
        <w:t xml:space="preserve">be nested and</w:t>
      </w:r>
      <w:r>
        <w:t xml:space="preserve"> </w:t>
      </w:r>
      <w:r>
        <w:rPr>
          <w:b/>
          <w:bCs/>
        </w:rPr>
        <w:t xml:space="preserve">cannot</w:t>
      </w:r>
      <w:r>
        <w:t xml:space="preserve"> </w:t>
      </w:r>
      <w:r>
        <w:t xml:space="preserve">contain other groups as members. Deep nesting patterns common in AGDLP must be flattened:</w:t>
      </w:r>
    </w:p>
    <w:p>
      <w:pPr>
        <w:numPr>
          <w:ilvl w:val="0"/>
          <w:numId w:val="1221"/>
        </w:numPr>
      </w:pPr>
      <w:r>
        <w:rPr>
          <w:b/>
          <w:bCs/>
        </w:rPr>
        <w:t xml:space="preserve">Identify nesting chains:</w:t>
      </w:r>
      <w:r>
        <w:t xml:space="preserve"> </w:t>
      </w:r>
      <w:r>
        <w:t xml:space="preserve">Use PowerShell to recursively enumerate group membership and identify chains deeper than one level</w:t>
      </w:r>
    </w:p>
    <w:p>
      <w:pPr>
        <w:numPr>
          <w:ilvl w:val="0"/>
          <w:numId w:val="1221"/>
        </w:numPr>
      </w:pPr>
      <w:r>
        <w:rPr>
          <w:b/>
          <w:bCs/>
        </w:rPr>
        <w:t xml:space="preserve">Flatten to direct membership:</w:t>
      </w:r>
      <w:r>
        <w:t xml:space="preserve"> </w:t>
      </w:r>
      <w:r>
        <w:t xml:space="preserve">Replace nested group references with direct user membership or dynamic rules that achieve the same effective membership</w:t>
      </w:r>
    </w:p>
    <w:p>
      <w:pPr>
        <w:numPr>
          <w:ilvl w:val="0"/>
          <w:numId w:val="1221"/>
        </w:numPr>
      </w:pPr>
      <w:r>
        <w:rPr>
          <w:b/>
          <w:bCs/>
        </w:rPr>
        <w:t xml:space="preserve">Document the flattening map:</w:t>
      </w:r>
      <w:r>
        <w:t xml:space="preserve"> </w:t>
      </w:r>
      <w:r>
        <w:t xml:space="preserve">Maintain a mapping of original nesting structure to flattened structure for audit trail</w:t>
      </w:r>
    </w:p>
    <w:p>
      <w:pPr>
        <w:pStyle w:val="FirstParagraph"/>
      </w:pPr>
      <w:r>
        <w:t xml:space="preserve">5.5 Microsoft 365 Groups</w:t>
      </w:r>
    </w:p>
    <w:p>
      <w:pPr>
        <w:pStyle w:val="BodyText"/>
      </w:pPr>
      <w:r>
        <w:t xml:space="preserve">Microsoft 365 Groups provide collaboration capabilities (shared mailbox, calendar, files, Planner, Teams) that do not exist in AD. Conversion decisions:</w:t>
      </w:r>
    </w:p>
    <w:p>
      <w:pPr>
        <w:numPr>
          <w:ilvl w:val="0"/>
          <w:numId w:val="1222"/>
        </w:numPr>
      </w:pPr>
      <w:r>
        <w:rPr>
          <w:b/>
          <w:bCs/>
        </w:rPr>
        <w:t xml:space="preserve">Convert to M365 Group when:</w:t>
      </w:r>
      <w:r>
        <w:t xml:space="preserve"> </w:t>
      </w:r>
      <w:r>
        <w:t xml:space="preserve">The group requires collaboration features (Teams channel, shared mailbox), the group represents a project team or working group, or self-service management is desired</w:t>
      </w:r>
    </w:p>
    <w:p>
      <w:pPr>
        <w:numPr>
          <w:ilvl w:val="0"/>
          <w:numId w:val="1222"/>
        </w:numPr>
      </w:pPr>
      <w:r>
        <w:rPr>
          <w:b/>
          <w:bCs/>
        </w:rPr>
        <w:t xml:space="preserve">Do not convert when:</w:t>
      </w:r>
      <w:r>
        <w:t xml:space="preserve"> </w:t>
      </w:r>
      <w:r>
        <w:t xml:space="preserve">The group is purely for authorization (resource ACLs), the group requires dynamic membership with security scope, or the group contains nested groups</w:t>
      </w:r>
    </w:p>
    <w:p>
      <w:pPr>
        <w:numPr>
          <w:ilvl w:val="0"/>
          <w:numId w:val="1222"/>
        </w:numPr>
      </w:pPr>
      <w:r>
        <w:rPr>
          <w:b/>
          <w:bCs/>
        </w:rPr>
        <w:t xml:space="preserve">Governance policies:</w:t>
      </w:r>
      <w:r>
        <w:t xml:space="preserve"> </w:t>
      </w:r>
      <w:r>
        <w:t xml:space="preserve">Apply naming conventions (prefix: GRP-, PRJ-, DEPT-), expiration policies (annual review), and classification labels</w:t>
      </w:r>
    </w:p>
    <w:p>
      <w:pPr>
        <w:pStyle w:val="FirstParagraph"/>
      </w:pPr>
      <w:r>
        <w:t xml:space="preserve">5.6 Self-Service Group Management</w:t>
      </w:r>
    </w:p>
    <w:p>
      <w:pPr>
        <w:pStyle w:val="BodyText"/>
      </w:pPr>
      <w:r>
        <w:t xml:space="preserve">Entra ID supports self-service group management where group owners can manage membership without IT involvement. Governance controls include:</w:t>
      </w:r>
    </w:p>
    <w:p>
      <w:pPr>
        <w:numPr>
          <w:ilvl w:val="0"/>
          <w:numId w:val="1223"/>
        </w:numPr>
      </w:pPr>
      <w:r>
        <w:rPr>
          <w:b/>
          <w:bCs/>
        </w:rPr>
        <w:t xml:space="preserve">Access reviews:</w:t>
      </w:r>
      <w:r>
        <w:t xml:space="preserve"> </w:t>
      </w:r>
      <w:r>
        <w:t xml:space="preserve">Quarterly attestation of group membership by group owners (P2 feature)</w:t>
      </w:r>
    </w:p>
    <w:p>
      <w:pPr>
        <w:numPr>
          <w:ilvl w:val="0"/>
          <w:numId w:val="1223"/>
        </w:numPr>
      </w:pPr>
      <w:r>
        <w:rPr>
          <w:b/>
          <w:bCs/>
        </w:rPr>
        <w:t xml:space="preserve">Expiration policies:</w:t>
      </w:r>
      <w:r>
        <w:t xml:space="preserve"> </w:t>
      </w:r>
      <w:r>
        <w:t xml:space="preserve">M365 Groups can be configured to expire after 90, 180, or 365 days if not renewed by the owner</w:t>
      </w:r>
    </w:p>
    <w:p>
      <w:pPr>
        <w:numPr>
          <w:ilvl w:val="0"/>
          <w:numId w:val="1223"/>
        </w:numPr>
      </w:pPr>
      <w:r>
        <w:rPr>
          <w:b/>
          <w:bCs/>
        </w:rPr>
        <w:t xml:space="preserve">Naming policies:</w:t>
      </w:r>
      <w:r>
        <w:t xml:space="preserve"> </w:t>
      </w:r>
      <w:r>
        <w:t xml:space="preserve">Enforce naming conventions through group naming policies in Entra ID</w:t>
      </w:r>
    </w:p>
    <w:p>
      <w:pPr>
        <w:pStyle w:val="FirstParagraph"/>
      </w:pPr>
      <w:r>
        <w:t xml:space="preserve">5.7 PowerShell — Group Export and Migration</w:t>
      </w:r>
    </w:p>
    <w:p>
      <w:pPr>
        <w:pStyle w:val="BodyText"/>
      </w:pPr>
      <w:r>
        <w:t xml:space="preserve"># ============================================================ # the Federal Modernization Program Group Migration Script # Export AD groups and create corresponding Entra ID groups # Requires: ActiveDirectory module, Microsoft.Graph PowerShell SDK # ============================================================ #Requires -Modules ActiveDirectory, Microsoft.Graph.Groups # --- Phase 1: Export AD Groups --- $exportPath = "C:\FMP\Exports\ADGroups_$(Get-Date -Format 'yyyyMMdd').json" $adGroups = Get-ADGroup -Filter * -Properties ` Name, Description, GroupScope, GroupCategory, ` ManagedBy, Members, MemberOf, Mail, ` extensionAttribute1, extensionAttribute2, ` DistinguishedName, WhenCreated, WhenChanged | Select-Object @{N='Name';E={$_.Name}}, @{N='Description';E={$_.Description}}, @{N='Scope';E={$_.GroupScope.ToString}}, @{N='Category';E={$_.GroupCategory.ToString}}, @{N='ManagedBy';E={$_.ManagedBy}}, @{N='MemberCount';E={($_.Members | Measure-Object).Count}}, @{N='NestedGroupCount';E={ ($_.Members | Where-Object { (Get-ADObject $_ -Properties objectClass).objectClass -eq 'group' } | Measure-Object).Count }}, @{N='Mail';E={$_.Mail}}, @{N='OU';E={($_.DistinguishedName -split ',',2)[1]}}, @{N='Created';E={$_.WhenCreated}}, @{N='Modified';E={$_.WhenChanged}}, @{N='MigrationTarget';E={ if ($_.GroupCategory -eq 'Distribution') { 'DistributionGroup' } elseif ($_.Members.Count -eq 0) { 'Decommission' } else { 'SecurityGroup' } }} $adGroups | ConvertTo-Json -Depth 5 | Out-File -FilePath $exportPath -Encoding UTF8 Write-Host "Exported $($adGroups.Count) groups to $exportPath" -ForegroundColor Green # --- Phase 2: Create Entra ID Security Groups --- Connect-MgGraph -Scopes "Group.ReadWrite.All" foreach ($group in ($adGroups | Where-Object { $_.MigrationTarget -eq 'SecurityGroup' })) { $params = @{ DisplayName = $group.Name Description = $group.Description MailEnabled = $false MailNickname = ($group.Name -replace '[^a-zA-Z0-9]','').ToLower SecurityEnabled = $true GroupTypes = @ } try { $newGroup = New-MgGroup -BodyParameter $params Write-Host "Created group: $($newGroup.DisplayName) [$($newGroup.Id)]" -ForegroundColor Green } catch { Write-Warning "Failed to create group $($group.Name): $_" } } Disconnect-MgGraph</w:t>
      </w:r>
    </w:p>
    <w:p>
      <w:pPr>
        <w:pStyle w:val="BodyText"/>
      </w:pPr>
      <w:r>
        <w:t xml:space="preserve">6. Service Account Modernization</w:t>
      </w:r>
    </w:p>
    <w:p>
      <w:pPr>
        <w:pStyle w:val="BodyText"/>
      </w:pPr>
      <w:r>
        <w:t xml:space="preserve">6.1 Migration Path Matrix</w:t>
      </w:r>
    </w:p>
    <w:p>
      <w:pPr>
        <w:pStyle w:val="BodyText"/>
      </w:pPr>
      <w:r>
        <w:t xml:space="preserve">Each AD service account type maps to a specific Entra ID identity construct. The migration path depends on the workload the service account supports and whether that workload is cloud-hosted, on-premises, or hybrid.</w:t>
      </w:r>
    </w:p>
    <w:tbl>
      <w:tblPr>
        <w:tblStyle w:val="Table"/>
        <w:tblW w:type="pct" w:w="4947"/>
        <w:tblLayout w:type="fixed"/>
        <w:tblLook w:firstRow="1" w:lastRow="0" w:firstColumn="0" w:lastColumn="0" w:noHBand="0" w:noVBand="0" w:val="0020"/>
      </w:tblPr>
      <w:tblGrid>
        <w:gridCol w:w="1263"/>
        <w:gridCol w:w="1011"/>
        <w:gridCol w:w="2274"/>
        <w:gridCol w:w="1811"/>
        <w:gridCol w:w="1474"/>
      </w:tblGrid>
      <w:tr>
        <w:trPr>
          <w:tblHeader w:val="on"/>
        </w:trPr>
        <w:tc>
          <w:tcPr/>
          <w:p>
            <w:pPr>
              <w:pStyle w:val="Compact"/>
              <w:jc w:val="left"/>
            </w:pPr>
            <w:r>
              <w:rPr>
                <w:b/>
                <w:bCs/>
              </w:rPr>
              <w:t xml:space="preserve">AD Service Account Type</w:t>
            </w:r>
          </w:p>
        </w:tc>
        <w:tc>
          <w:tcPr/>
          <w:p>
            <w:pPr>
              <w:pStyle w:val="Compact"/>
              <w:jc w:val="left"/>
            </w:pPr>
            <w:r>
              <w:rPr>
                <w:b/>
                <w:bCs/>
              </w:rPr>
              <w:t xml:space="preserve">Workload Location</w:t>
            </w:r>
          </w:p>
        </w:tc>
        <w:tc>
          <w:tcPr/>
          <w:p>
            <w:pPr>
              <w:pStyle w:val="Compact"/>
              <w:jc w:val="left"/>
            </w:pPr>
            <w:r>
              <w:rPr>
                <w:b/>
                <w:bCs/>
              </w:rPr>
              <w:t xml:space="preserve">Entra ID Target</w:t>
            </w:r>
          </w:p>
        </w:tc>
        <w:tc>
          <w:tcPr/>
          <w:p>
            <w:pPr>
              <w:pStyle w:val="Compact"/>
              <w:jc w:val="left"/>
            </w:pPr>
            <w:r>
              <w:rPr>
                <w:b/>
                <w:bCs/>
              </w:rPr>
              <w:t xml:space="preserve">Authentication Method</w:t>
            </w:r>
          </w:p>
        </w:tc>
        <w:tc>
          <w:tcPr/>
          <w:p>
            <w:pPr>
              <w:pStyle w:val="Compact"/>
              <w:jc w:val="left"/>
            </w:pPr>
            <w:r>
              <w:rPr>
                <w:b/>
                <w:bCs/>
              </w:rPr>
              <w:t xml:space="preserve">Credential Management</w:t>
            </w:r>
          </w:p>
        </w:tc>
      </w:tr>
      <w:tr>
        <w:tc>
          <w:tcPr/>
          <w:p>
            <w:pPr>
              <w:pStyle w:val="Compact"/>
              <w:jc w:val="left"/>
            </w:pPr>
            <w:r>
              <w:t xml:space="preserve">Traditional (interactive)</w:t>
            </w:r>
          </w:p>
        </w:tc>
        <w:tc>
          <w:tcPr/>
          <w:p>
            <w:pPr>
              <w:pStyle w:val="Compact"/>
              <w:jc w:val="left"/>
            </w:pPr>
            <w:r>
              <w:t xml:space="preserve">Cloud (M365)</w:t>
            </w:r>
          </w:p>
        </w:tc>
        <w:tc>
          <w:tcPr/>
          <w:p>
            <w:pPr>
              <w:pStyle w:val="Compact"/>
              <w:jc w:val="left"/>
            </w:pPr>
            <w:r>
              <w:t xml:space="preserve">App Registration + Service Principal</w:t>
            </w:r>
          </w:p>
        </w:tc>
        <w:tc>
          <w:tcPr/>
          <w:p>
            <w:pPr>
              <w:pStyle w:val="Compact"/>
              <w:jc w:val="left"/>
            </w:pPr>
            <w:r>
              <w:t xml:space="preserve">Certificate-based auth</w:t>
            </w:r>
          </w:p>
        </w:tc>
        <w:tc>
          <w:tcPr/>
          <w:p>
            <w:pPr>
              <w:pStyle w:val="Compact"/>
              <w:jc w:val="left"/>
            </w:pPr>
            <w:r>
              <w:t xml:space="preserve">Certificate rotation (annual)</w:t>
            </w:r>
          </w:p>
        </w:tc>
      </w:tr>
      <w:tr>
        <w:tc>
          <w:tcPr/>
          <w:p>
            <w:pPr>
              <w:pStyle w:val="Compact"/>
              <w:jc w:val="left"/>
            </w:pPr>
            <w:r>
              <w:t xml:space="preserve">Traditional (interactive)</w:t>
            </w:r>
          </w:p>
        </w:tc>
        <w:tc>
          <w:tcPr/>
          <w:p>
            <w:pPr>
              <w:pStyle w:val="Compact"/>
              <w:jc w:val="left"/>
            </w:pPr>
            <w:r>
              <w:t xml:space="preserve">Azure IaaS</w:t>
            </w:r>
          </w:p>
        </w:tc>
        <w:tc>
          <w:tcPr/>
          <w:p>
            <w:pPr>
              <w:pStyle w:val="Compact"/>
              <w:jc w:val="left"/>
            </w:pPr>
            <w:r>
              <w:t xml:space="preserve">Managed Identity (System-assigned)</w:t>
            </w:r>
          </w:p>
        </w:tc>
        <w:tc>
          <w:tcPr/>
          <w:p>
            <w:pPr>
              <w:pStyle w:val="Compact"/>
              <w:jc w:val="left"/>
            </w:pPr>
            <w:r>
              <w:t xml:space="preserve">Managed (no credentials)</w:t>
            </w:r>
          </w:p>
        </w:tc>
        <w:tc>
          <w:tcPr/>
          <w:p>
            <w:pPr>
              <w:pStyle w:val="Compact"/>
              <w:jc w:val="left"/>
            </w:pPr>
            <w:r>
              <w:t xml:space="preserve">Fully automated</w:t>
            </w:r>
          </w:p>
        </w:tc>
      </w:tr>
      <w:tr>
        <w:tc>
          <w:tcPr/>
          <w:p>
            <w:pPr>
              <w:pStyle w:val="Compact"/>
              <w:jc w:val="left"/>
            </w:pPr>
            <w:r>
              <w:t xml:space="preserve">Traditional (interactive)</w:t>
            </w:r>
          </w:p>
        </w:tc>
        <w:tc>
          <w:tcPr/>
          <w:p>
            <w:pPr>
              <w:pStyle w:val="Compact"/>
              <w:jc w:val="left"/>
            </w:pPr>
            <w:r>
              <w:t xml:space="preserve">On-premises</w:t>
            </w:r>
          </w:p>
        </w:tc>
        <w:tc>
          <w:tcPr/>
          <w:p>
            <w:pPr>
              <w:pStyle w:val="Compact"/>
              <w:jc w:val="left"/>
            </w:pPr>
            <w:r>
              <w:t xml:space="preserve">gMSA (retain) or Workload Identity Federation</w:t>
            </w:r>
          </w:p>
        </w:tc>
        <w:tc>
          <w:tcPr/>
          <w:p>
            <w:pPr>
              <w:pStyle w:val="Compact"/>
              <w:jc w:val="left"/>
            </w:pPr>
            <w:r>
              <w:t xml:space="preserve">Kerberos (gMSA) or OIDC federation</w:t>
            </w:r>
          </w:p>
        </w:tc>
        <w:tc>
          <w:tcPr/>
          <w:p>
            <w:pPr>
              <w:pStyle w:val="Compact"/>
              <w:jc w:val="left"/>
            </w:pPr>
            <w:r>
              <w:t xml:space="preserve">Auto-managed (gMSA) or federated</w:t>
            </w:r>
          </w:p>
        </w:tc>
      </w:tr>
      <w:tr>
        <w:tc>
          <w:tcPr/>
          <w:p>
            <w:pPr>
              <w:pStyle w:val="Compact"/>
              <w:jc w:val="left"/>
            </w:pPr>
            <w:r>
              <w:t xml:space="preserve">MSA</w:t>
            </w:r>
          </w:p>
        </w:tc>
        <w:tc>
          <w:tcPr/>
          <w:p>
            <w:pPr>
              <w:pStyle w:val="Compact"/>
              <w:jc w:val="left"/>
            </w:pPr>
            <w:r>
              <w:t xml:space="preserve">On-premises</w:t>
            </w:r>
          </w:p>
        </w:tc>
        <w:tc>
          <w:tcPr/>
          <w:p>
            <w:pPr>
              <w:pStyle w:val="Compact"/>
              <w:jc w:val="left"/>
            </w:pPr>
            <w:r>
              <w:t xml:space="preserve">gMSA (upgrade first)</w:t>
            </w:r>
          </w:p>
        </w:tc>
        <w:tc>
          <w:tcPr/>
          <w:p>
            <w:pPr>
              <w:pStyle w:val="Compact"/>
              <w:jc w:val="left"/>
            </w:pPr>
            <w:r>
              <w:t xml:space="preserve">Kerberos</w:t>
            </w:r>
          </w:p>
        </w:tc>
        <w:tc>
          <w:tcPr/>
          <w:p>
            <w:pPr>
              <w:pStyle w:val="Compact"/>
              <w:jc w:val="left"/>
            </w:pPr>
            <w:r>
              <w:t xml:space="preserve">Auto-managed</w:t>
            </w:r>
          </w:p>
        </w:tc>
      </w:tr>
      <w:tr>
        <w:tc>
          <w:tcPr/>
          <w:p>
            <w:pPr>
              <w:pStyle w:val="Compact"/>
              <w:jc w:val="left"/>
            </w:pPr>
            <w:r>
              <w:t xml:space="preserve">gMSA</w:t>
            </w:r>
          </w:p>
        </w:tc>
        <w:tc>
          <w:tcPr/>
          <w:p>
            <w:pPr>
              <w:pStyle w:val="Compact"/>
              <w:jc w:val="left"/>
            </w:pPr>
            <w:r>
              <w:t xml:space="preserve">Cloud</w:t>
            </w:r>
          </w:p>
        </w:tc>
        <w:tc>
          <w:tcPr/>
          <w:p>
            <w:pPr>
              <w:pStyle w:val="Compact"/>
              <w:jc w:val="left"/>
            </w:pPr>
            <w:r>
              <w:t xml:space="preserve">Workload Identity with federated credentials</w:t>
            </w:r>
          </w:p>
        </w:tc>
        <w:tc>
          <w:tcPr/>
          <w:p>
            <w:pPr>
              <w:pStyle w:val="Compact"/>
              <w:jc w:val="left"/>
            </w:pPr>
            <w:r>
              <w:t xml:space="preserve">OIDC federation</w:t>
            </w:r>
          </w:p>
        </w:tc>
        <w:tc>
          <w:tcPr/>
          <w:p>
            <w:pPr>
              <w:pStyle w:val="Compact"/>
              <w:jc w:val="left"/>
            </w:pPr>
            <w:r>
              <w:t xml:space="preserve">No stored secrets</w:t>
            </w:r>
          </w:p>
        </w:tc>
      </w:tr>
      <w:tr>
        <w:tc>
          <w:tcPr/>
          <w:p>
            <w:pPr>
              <w:pStyle w:val="Compact"/>
              <w:jc w:val="left"/>
            </w:pPr>
            <w:r>
              <w:t xml:space="preserve">gMSA</w:t>
            </w:r>
          </w:p>
        </w:tc>
        <w:tc>
          <w:tcPr/>
          <w:p>
            <w:pPr>
              <w:pStyle w:val="Compact"/>
              <w:jc w:val="left"/>
            </w:pPr>
            <w:r>
              <w:t xml:space="preserve">Hybrid</w:t>
            </w:r>
          </w:p>
        </w:tc>
        <w:tc>
          <w:tcPr/>
          <w:p>
            <w:pPr>
              <w:pStyle w:val="Compact"/>
              <w:jc w:val="left"/>
            </w:pPr>
            <w:r>
              <w:t xml:space="preserve">Retain gMSA + App Registration for cloud calls</w:t>
            </w:r>
          </w:p>
        </w:tc>
        <w:tc>
          <w:tcPr/>
          <w:p>
            <w:pPr>
              <w:pStyle w:val="Compact"/>
              <w:jc w:val="left"/>
            </w:pPr>
            <w:r>
              <w:t xml:space="preserve">Kerberos (on-prem) + certificate (cloud)</w:t>
            </w:r>
          </w:p>
        </w:tc>
        <w:tc>
          <w:tcPr/>
          <w:p>
            <w:pPr>
              <w:pStyle w:val="Compact"/>
              <w:jc w:val="left"/>
            </w:pPr>
            <w:r>
              <w:t xml:space="preserve">Split management</w:t>
            </w:r>
          </w:p>
        </w:tc>
      </w:tr>
      <w:tr>
        <w:tc>
          <w:tcPr/>
          <w:p>
            <w:pPr>
              <w:pStyle w:val="Compact"/>
              <w:jc w:val="left"/>
            </w:pPr>
            <w:r>
              <w:t xml:space="preserve">Application pool identity</w:t>
            </w:r>
          </w:p>
        </w:tc>
        <w:tc>
          <w:tcPr/>
          <w:p>
            <w:pPr>
              <w:pStyle w:val="Compact"/>
              <w:jc w:val="left"/>
            </w:pPr>
            <w:r>
              <w:t xml:space="preserve">On-premises IIS</w:t>
            </w:r>
          </w:p>
        </w:tc>
        <w:tc>
          <w:tcPr/>
          <w:p>
            <w:pPr>
              <w:pStyle w:val="Compact"/>
              <w:jc w:val="left"/>
            </w:pPr>
            <w:r>
              <w:t xml:space="preserve">gMSA (immediate) → Managed Identity (when migrated)</w:t>
            </w:r>
          </w:p>
        </w:tc>
        <w:tc>
          <w:tcPr/>
          <w:p>
            <w:pPr>
              <w:pStyle w:val="Compact"/>
              <w:jc w:val="left"/>
            </w:pPr>
            <w:r>
              <w:t xml:space="preserve">Kerberos → Managed</w:t>
            </w:r>
          </w:p>
        </w:tc>
        <w:tc>
          <w:tcPr/>
          <w:p>
            <w:pPr>
              <w:pStyle w:val="Compact"/>
              <w:jc w:val="left"/>
            </w:pPr>
            <w:r>
              <w:t xml:space="preserve">Progressive modernization</w:t>
            </w:r>
          </w:p>
        </w:tc>
      </w:tr>
      <w:tr>
        <w:tc>
          <w:tcPr/>
          <w:p>
            <w:pPr>
              <w:pStyle w:val="Compact"/>
              <w:jc w:val="left"/>
            </w:pPr>
            <w:r>
              <w:t xml:space="preserve">Scheduled task identity</w:t>
            </w:r>
          </w:p>
        </w:tc>
        <w:tc>
          <w:tcPr/>
          <w:p>
            <w:pPr>
              <w:pStyle w:val="Compact"/>
              <w:jc w:val="left"/>
            </w:pPr>
            <w:r>
              <w:t xml:space="preserve">On-premises</w:t>
            </w:r>
          </w:p>
        </w:tc>
        <w:tc>
          <w:tcPr/>
          <w:p>
            <w:pPr>
              <w:pStyle w:val="Compact"/>
              <w:jc w:val="left"/>
            </w:pPr>
            <w:r>
              <w:t xml:space="preserve">gMSA (immediate) → Azure Automation (when migrated)</w:t>
            </w:r>
          </w:p>
        </w:tc>
        <w:tc>
          <w:tcPr/>
          <w:p>
            <w:pPr>
              <w:pStyle w:val="Compact"/>
              <w:jc w:val="left"/>
            </w:pPr>
            <w:r>
              <w:t xml:space="preserve">Kerberos → Managed Identity</w:t>
            </w:r>
          </w:p>
        </w:tc>
        <w:tc>
          <w:tcPr/>
          <w:p>
            <w:pPr>
              <w:pStyle w:val="Compact"/>
              <w:jc w:val="left"/>
            </w:pPr>
            <w:r>
              <w:t xml:space="preserve">Progressive modernization</w:t>
            </w:r>
          </w:p>
        </w:tc>
      </w:tr>
    </w:tbl>
    <w:p>
      <w:pPr>
        <w:pStyle w:val="BodyText"/>
      </w:pPr>
      <w:r>
        <w:t xml:space="preserve">6.2 Workload Identity Federation</w:t>
      </w:r>
    </w:p>
    <w:p>
      <w:pPr>
        <w:pStyle w:val="BodyText"/>
      </w:pPr>
      <w:r>
        <w:t xml:space="preserve">Workload Identity Federation eliminates stored secrets by establishing a trust relationship between an external identity provider (e.g., GitHub Actions, Kubernetes, on-premises OIDC provider) and an Entra ID App Registration. The workload presents a token from its identity provider, which Entra ID validates and exchanges for an access token — no client secrets or certificates required.</w:t>
      </w:r>
    </w:p>
    <w:p>
      <w:pPr>
        <w:pStyle w:val="BodyText"/>
      </w:pPr>
      <w:r>
        <w:rPr>
          <w:b/>
          <w:bCs/>
        </w:rPr>
        <w:t xml:space="preserve">Federation configuration elements:</w:t>
      </w:r>
    </w:p>
    <w:p>
      <w:pPr>
        <w:numPr>
          <w:ilvl w:val="0"/>
          <w:numId w:val="1224"/>
        </w:numPr>
      </w:pPr>
      <w:r>
        <w:rPr>
          <w:b/>
          <w:bCs/>
        </w:rPr>
        <w:t xml:space="preserve">Issuer:</w:t>
      </w:r>
      <w:r>
        <w:t xml:space="preserve"> </w:t>
      </w:r>
      <w:r>
        <w:t xml:space="preserve">The OIDC issuer URL of the external identity provider</w:t>
      </w:r>
    </w:p>
    <w:p>
      <w:pPr>
        <w:numPr>
          <w:ilvl w:val="0"/>
          <w:numId w:val="1224"/>
        </w:numPr>
      </w:pPr>
      <w:r>
        <w:rPr>
          <w:b/>
          <w:bCs/>
        </w:rPr>
        <w:t xml:space="preserve">Subject identifier:</w:t>
      </w:r>
      <w:r>
        <w:t xml:space="preserve"> </w:t>
      </w:r>
      <w:r>
        <w:t xml:space="preserve">The claim in the external token that uniquely identifies the workload (e.g., repo:org/repo:ref:refs/heads/main for GitHub Actions)</w:t>
      </w:r>
    </w:p>
    <w:p>
      <w:pPr>
        <w:numPr>
          <w:ilvl w:val="0"/>
          <w:numId w:val="1224"/>
        </w:numPr>
      </w:pPr>
      <w:r>
        <w:rPr>
          <w:b/>
          <w:bCs/>
        </w:rPr>
        <w:t xml:space="preserve">Audience:</w:t>
      </w:r>
      <w:r>
        <w:t xml:space="preserve"> </w:t>
      </w:r>
      <w:r>
        <w:t xml:space="preserve">The intended audience claim (typically api://AzureADTokenExchange)</w:t>
      </w:r>
    </w:p>
    <w:p>
      <w:pPr>
        <w:pStyle w:val="FirstParagraph"/>
      </w:pPr>
      <w:r>
        <w:t xml:space="preserve">6.3 Conditional Access for Workload Identities</w:t>
      </w:r>
    </w:p>
    <w:p>
      <w:pPr>
        <w:pStyle w:val="BodyText"/>
      </w:pPr>
      <w:r>
        <w:t xml:space="preserve">Entra ID supports Conditional Access policies targeting service principals (Workload Identities Premium license required). This enables:</w:t>
      </w:r>
    </w:p>
    <w:p>
      <w:pPr>
        <w:numPr>
          <w:ilvl w:val="0"/>
          <w:numId w:val="1225"/>
        </w:numPr>
      </w:pPr>
      <w:r>
        <w:rPr>
          <w:b/>
          <w:bCs/>
        </w:rPr>
        <w:t xml:space="preserve">Location-based restrictions:</w:t>
      </w:r>
      <w:r>
        <w:t xml:space="preserve"> </w:t>
      </w:r>
      <w:r>
        <w:t xml:space="preserve">Restrict service principal authentication to known IP ranges</w:t>
      </w:r>
    </w:p>
    <w:p>
      <w:pPr>
        <w:numPr>
          <w:ilvl w:val="0"/>
          <w:numId w:val="1225"/>
        </w:numPr>
      </w:pPr>
      <w:r>
        <w:rPr>
          <w:b/>
          <w:bCs/>
        </w:rPr>
        <w:t xml:space="preserve">Risk-based blocking:</w:t>
      </w:r>
      <w:r>
        <w:t xml:space="preserve"> </w:t>
      </w:r>
      <w:r>
        <w:t xml:space="preserve">Block service principal sign-ins flagged as anomalous</w:t>
      </w:r>
    </w:p>
    <w:p>
      <w:pPr>
        <w:numPr>
          <w:ilvl w:val="0"/>
          <w:numId w:val="1225"/>
        </w:numPr>
      </w:pPr>
      <w:r>
        <w:rPr>
          <w:b/>
          <w:bCs/>
        </w:rPr>
        <w:t xml:space="preserve">Compliance enforcement:</w:t>
      </w:r>
      <w:r>
        <w:t xml:space="preserve"> </w:t>
      </w:r>
      <w:r>
        <w:t xml:space="preserve">Require compliant network locations for automated workloads</w:t>
      </w:r>
    </w:p>
    <w:p>
      <w:pPr>
        <w:pStyle w:val="FirstParagraph"/>
      </w:pPr>
      <w:r>
        <w:t xml:space="preserve">6.4 Service Principal Governance</w:t>
      </w:r>
    </w:p>
    <w:p>
      <w:pPr>
        <w:pStyle w:val="BodyText"/>
      </w:pPr>
      <w:r>
        <w:t xml:space="preserve">Every App Registration and Service Principal requires governance controls:</w:t>
      </w:r>
    </w:p>
    <w:p>
      <w:pPr>
        <w:numPr>
          <w:ilvl w:val="0"/>
          <w:numId w:val="1226"/>
        </w:numPr>
      </w:pPr>
      <w:r>
        <w:rPr>
          <w:b/>
          <w:bCs/>
        </w:rPr>
        <w:t xml:space="preserve">Ownership:</w:t>
      </w:r>
      <w:r>
        <w:t xml:space="preserve"> </w:t>
      </w:r>
      <w:r>
        <w:t xml:space="preserve">Every app registration must have at least two human owners (not service accounts)</w:t>
      </w:r>
    </w:p>
    <w:p>
      <w:pPr>
        <w:numPr>
          <w:ilvl w:val="0"/>
          <w:numId w:val="1226"/>
        </w:numPr>
      </w:pPr>
      <w:r>
        <w:rPr>
          <w:b/>
          <w:bCs/>
        </w:rPr>
        <w:t xml:space="preserve">Credential rotation:</w:t>
      </w:r>
      <w:r>
        <w:t xml:space="preserve"> </w:t>
      </w:r>
      <w:r>
        <w:t xml:space="preserve">Certificates expire annually; automated rotation via Key Vault or Gitea-managed CI/CD</w:t>
      </w:r>
    </w:p>
    <w:p>
      <w:pPr>
        <w:numPr>
          <w:ilvl w:val="0"/>
          <w:numId w:val="1226"/>
        </w:numPr>
      </w:pPr>
      <w:r>
        <w:rPr>
          <w:b/>
          <w:bCs/>
        </w:rPr>
        <w:t xml:space="preserve">Access reviews:</w:t>
      </w:r>
      <w:r>
        <w:t xml:space="preserve"> </w:t>
      </w:r>
      <w:r>
        <w:t xml:space="preserve">Quarterly review of application permissions (delegated and application-level) by app owners</w:t>
      </w:r>
    </w:p>
    <w:p>
      <w:pPr>
        <w:numPr>
          <w:ilvl w:val="0"/>
          <w:numId w:val="1226"/>
        </w:numPr>
      </w:pPr>
      <w:r>
        <w:rPr>
          <w:b/>
          <w:bCs/>
        </w:rPr>
        <w:t xml:space="preserve">Least privilege:</w:t>
      </w:r>
      <w:r>
        <w:t xml:space="preserve"> </w:t>
      </w:r>
      <w:r>
        <w:t xml:space="preserve">Use application-specific roles and scopes; avoid broad permissions like Directory.ReadWrite.All</w:t>
      </w:r>
    </w:p>
    <w:p>
      <w:pPr>
        <w:pStyle w:val="FirstParagraph"/>
      </w:pPr>
      <w:r>
        <w:t xml:space="preserve">6.5 Service Account Discovery Script</w:t>
      </w:r>
    </w:p>
    <w:p>
      <w:pPr>
        <w:pStyle w:val="BodyText"/>
      </w:pPr>
      <w:r>
        <w:t xml:space="preserve"># ============================================================ # the Federal Modernization Program Service Account Discovery and Classification # Discovers all service accounts in AD, classifies by type, # and outputs migration recommendations # ============================================================ #Requires -Modules ActiveDirectory function Get-FMPServiceAccountInventory { [CmdletBinding] param( [Parameter] [string]$SearchBase = (Get-ADDomain).DistinguishedName, [Parameter] [string]$ExportPath = "C:\FMP\Exports\ServiceAccounts_$(Get-Date -Format 'yyyyMMdd').json" ) $results = [System.Collections.ArrayList]::new # --- Traditional Service Accounts (user objects with service indicators) --- $svcUsers = Get-ADUser -Filter { (ServicePrincipalName -like "*") -or (SamAccountName -like "svc-*") -or (SamAccountName -like "svc_*") -or (SamAccountName -like "sa-*") -or (Description -like "*service*account*") } -SearchBase $SearchBase -Properties ` SamAccountName, UserPrincipalName, DisplayName, Description, ServicePrincipalName, Enabled, PasswordNeverExpires, PasswordLastSet, LastLogonDate, WhenCreated, MemberOf, DistinguishedName foreach ($svc in $svcUsers) { $spnCount = ($svc.ServicePrincipalName | Measure-Object).Count $daysSincePasswordChange = if ($svc.PasswordLastSet) { (New-TimeSpan -Start $svc.PasswordLastSet -End (Get-Date)).Days } else { -1 } $recommendation = switch ($true) { ($spnCount -gt 0 -and $svc.Enabled) { "Evaluate for gMSA conversion, then Workload Identity Federation" } ($svc.PasswordNeverExpires -and $svc.Enabled) { "HIGH RISK: Convert to App Registration with certificate auth" } (-not $svc.Enabled) { "Disabled — verify and decommission" } ($svc.LastLogonDate -lt (Get-Date).AddDays(-90)) { "Stale — verify usage and decommission if unused" } default { "Evaluate workload dependency; target Managed Identity or App Registration" } } [void]$results.Add([PSCustomObject]@{ Type = "TraditionalServiceAccount" SamAccountName = $svc.SamAccountName DisplayName = $svc.DisplayName Description = $svc.Description Enabled = $svc.Enabled PasswordNeverExpires = $svc.PasswordNeverExpires DaysSincePasswordChange = $daysSincePasswordChange SPNCount = $spnCount SPNs = ($svc.ServicePrincipalName -join '; ') LastLogon = $svc.LastLogonDate GroupMembershipCount = ($svc.MemberOf | Measure-Object).Count OU = ($svc.DistinguishedName -split ',',2)[1] RiskLevel = if ($svc.PasswordNeverExpires -and $svc.Enabled) { "HIGH" } elseif ($daysSincePasswordChange -gt 365) { "HIGH" } elseif ($svc.Enabled) { "MEDIUM" } else { "LOW" } Recommendation = $recommendation }) } # --- Managed Service Accounts (MSA) --- $msaAccounts = Get-ADServiceAccount -Filter * -Properties ` SamAccountName, Enabled, DistinguishedName, msDS-ManagedPasswordInterval, WhenCreated foreach ($msa in $msaAccounts) { $isgMSA = ($msa.ObjectClass -eq 'msDS-GroupManagedServiceAccount') [void]$results.Add([PSCustomObject]@{ Type = if ($isgMSA) { "gMSA" } else { "MSA" } SamAccountName = $msa.SamAccountName DisplayName = $msa.SamAccountName Description = "" Enabled = $msa.Enabled PasswordNeverExpires = $false DaysSincePasswordChange = 0 SPNCount = 0 SPNs = "" LastLogon = $null GroupMembershipCount = 0 OU = ($msa.DistinguishedName -split ',',2)[1] RiskLevel = "LOW" Recommendation = if ($isgMSA) { "Retain for on-prem workloads; target Workload Identity Federation for cloud migration" } else { "Upgrade to gMSA first, then evaluate for cloud migration" } }) } # --- Export Results --- $results | ConvertTo-Json -Depth 5 | Out-File -FilePath $ExportPath -Encoding UTF8 # --- Summary --- Write-Host "`n=== the Federal Modernization Program Service Account Discovery Summary ===" -ForegroundColor Cyan Write-Host "Traditional Service Accounts: $(($results | Where-Object Type -eq 'TraditionalServiceAccount').Count)" Write-Host "Managed Service Accounts (MSA): $(($results | Where-Object Type -eq 'MSA').Count)" Write-Host "Group Managed Service Accounts (gMSA): $(($results | Where-Object Type -eq 'gMSA').Count)" Write-Host "HIGH Risk: $(($results | Where-Object RiskLevel -eq 'HIGH').Count)" -ForegroundColor Red Write-Host "MEDIUM Risk: $(($results | Where-Object RiskLevel -eq 'MEDIUM').Count)" -ForegroundColor Yellow Write-Host "LOW Risk: $(($results | Where-Object RiskLevel -eq 'LOW').Count)" -ForegroundColor Green Write-Host "Export: $ExportPath" -ForegroundColor Cyan return $results }</w:t>
      </w:r>
    </w:p>
    <w:p>
      <w:pPr>
        <w:pStyle w:val="BodyText"/>
      </w:pPr>
      <w:r>
        <w:t xml:space="preserve">7. Privileged Access Management</w:t>
      </w:r>
    </w:p>
    <w:p>
      <w:pPr>
        <w:pStyle w:val="BodyText"/>
      </w:pPr>
      <w:r>
        <w:t xml:space="preserve">7.1 AD Privileged Group to Entra PIM Role Mapping</w:t>
      </w:r>
    </w:p>
    <w:p>
      <w:pPr>
        <w:pStyle w:val="BodyText"/>
      </w:pPr>
      <w:r>
        <w:t xml:space="preserve">Every AD privileged group must map to an Entra ID role governed by Privileged Identity Management (PIM). The core principle:</w:t>
      </w:r>
      <w:r>
        <w:t xml:space="preserve"> </w:t>
      </w:r>
      <w:r>
        <w:rPr>
          <w:b/>
          <w:bCs/>
        </w:rPr>
        <w:t xml:space="preserve">no permanent active assignments for privileged roles</w:t>
      </w:r>
      <w:r>
        <w:t xml:space="preserve">. All privileged access must be PIM-eligible with just-in-time activation.</w:t>
      </w:r>
    </w:p>
    <w:tbl>
      <w:tblPr>
        <w:tblStyle w:val="Table"/>
        <w:tblW w:type="pct" w:w="4963"/>
        <w:tblLayout w:type="fixed"/>
        <w:tblLook w:firstRow="1" w:lastRow="0" w:firstColumn="0" w:lastColumn="0" w:noHBand="0" w:noVBand="0" w:val="0020"/>
      </w:tblPr>
      <w:tblGrid>
        <w:gridCol w:w="889"/>
        <w:gridCol w:w="1542"/>
        <w:gridCol w:w="860"/>
        <w:gridCol w:w="4568"/>
      </w:tblGrid>
      <w:tr>
        <w:trPr>
          <w:tblHeader w:val="on"/>
        </w:trPr>
        <w:tc>
          <w:tcPr/>
          <w:p>
            <w:pPr>
              <w:pStyle w:val="Compact"/>
              <w:jc w:val="left"/>
            </w:pPr>
            <w:r>
              <w:rPr>
                <w:b/>
                <w:bCs/>
              </w:rPr>
              <w:t xml:space="preserve">AD Privileged Group</w:t>
            </w:r>
          </w:p>
        </w:tc>
        <w:tc>
          <w:tcPr/>
          <w:p>
            <w:pPr>
              <w:pStyle w:val="Compact"/>
              <w:jc w:val="left"/>
            </w:pPr>
            <w:r>
              <w:rPr>
                <w:b/>
                <w:bCs/>
              </w:rPr>
              <w:t xml:space="preserve">Entra ID Role</w:t>
            </w:r>
          </w:p>
        </w:tc>
        <w:tc>
          <w:tcPr/>
          <w:p>
            <w:pPr>
              <w:pStyle w:val="Compact"/>
              <w:jc w:val="left"/>
            </w:pPr>
            <w:r>
              <w:rPr>
                <w:b/>
                <w:bCs/>
              </w:rPr>
              <w:t xml:space="preserve">PIM Assignment Type</w:t>
            </w:r>
          </w:p>
        </w:tc>
        <w:tc>
          <w:tcPr/>
          <w:p>
            <w:pPr>
              <w:pStyle w:val="Compact"/>
              <w:jc w:val="left"/>
            </w:pPr>
            <w:r>
              <w:rPr>
                <w:b/>
                <w:bCs/>
              </w:rPr>
              <w:t xml:space="preserve">Governance Notes</w:t>
            </w:r>
          </w:p>
        </w:tc>
      </w:tr>
      <w:tr>
        <w:tc>
          <w:tcPr/>
          <w:p>
            <w:pPr>
              <w:pStyle w:val="Compact"/>
              <w:jc w:val="left"/>
            </w:pPr>
            <w:r>
              <w:t xml:space="preserve">Domain Admins</w:t>
            </w:r>
          </w:p>
        </w:tc>
        <w:tc>
          <w:tcPr/>
          <w:p>
            <w:pPr>
              <w:pStyle w:val="Compact"/>
              <w:jc w:val="left"/>
            </w:pPr>
            <w:r>
              <w:t xml:space="preserve">Global Administrator</w:t>
            </w:r>
          </w:p>
        </w:tc>
        <w:tc>
          <w:tcPr/>
          <w:p>
            <w:pPr>
              <w:pStyle w:val="Compact"/>
              <w:jc w:val="left"/>
            </w:pPr>
            <w:r>
              <w:t xml:space="preserve">Eligible (never permanent)</w:t>
            </w:r>
          </w:p>
        </w:tc>
        <w:tc>
          <w:tcPr/>
          <w:p>
            <w:pPr>
              <w:pStyle w:val="Compact"/>
              <w:jc w:val="left"/>
            </w:pPr>
            <w:r>
              <w:t xml:space="preserve">Maximum 2 permanent break-glass accounts; all others eligible-only with approval</w:t>
            </w:r>
          </w:p>
        </w:tc>
      </w:tr>
      <w:tr>
        <w:tc>
          <w:tcPr/>
          <w:p>
            <w:pPr>
              <w:pStyle w:val="Compact"/>
              <w:jc w:val="left"/>
            </w:pPr>
            <w:r>
              <w:t xml:space="preserve">Enterprise Admins</w:t>
            </w:r>
          </w:p>
        </w:tc>
        <w:tc>
          <w:tcPr/>
          <w:p>
            <w:pPr>
              <w:pStyle w:val="Compact"/>
              <w:jc w:val="left"/>
            </w:pPr>
            <w:r>
              <w:t xml:space="preserve">Privileged Role Administrator</w:t>
            </w:r>
          </w:p>
        </w:tc>
        <w:tc>
          <w:tcPr/>
          <w:p>
            <w:pPr>
              <w:pStyle w:val="Compact"/>
              <w:jc w:val="left"/>
            </w:pPr>
            <w:r>
              <w:t xml:space="preserve">Eligible</w:t>
            </w:r>
          </w:p>
        </w:tc>
        <w:tc>
          <w:tcPr/>
          <w:p>
            <w:pPr>
              <w:pStyle w:val="Compact"/>
              <w:jc w:val="left"/>
            </w:pPr>
            <w:r>
              <w:t xml:space="preserve">Can manage PIM assignments; requires separate approval chain</w:t>
            </w:r>
          </w:p>
        </w:tc>
      </w:tr>
      <w:tr>
        <w:tc>
          <w:tcPr/>
          <w:p>
            <w:pPr>
              <w:pStyle w:val="Compact"/>
              <w:jc w:val="left"/>
            </w:pPr>
            <w:r>
              <w:t xml:space="preserve">Schema Admins</w:t>
            </w:r>
          </w:p>
        </w:tc>
        <w:tc>
          <w:tcPr/>
          <w:p>
            <w:pPr>
              <w:pStyle w:val="Compact"/>
              <w:jc w:val="left"/>
            </w:pPr>
            <w:r>
              <w:t xml:space="preserve">No direct equivalent</w:t>
            </w:r>
          </w:p>
        </w:tc>
        <w:tc>
          <w:tcPr/>
          <w:p>
            <w:pPr>
              <w:pStyle w:val="Compact"/>
              <w:jc w:val="left"/>
            </w:pPr>
            <w:r>
              <w:t xml:space="preserve">N/A</w:t>
            </w:r>
          </w:p>
        </w:tc>
        <w:tc>
          <w:tcPr/>
          <w:p>
            <w:pPr>
              <w:pStyle w:val="Compact"/>
              <w:jc w:val="left"/>
            </w:pPr>
            <w:r>
              <w:t xml:space="preserve">Schema changes in Entra ID are managed by Microsoft; directory extensions via Graph API require Application Developer or Application Administrator role</w:t>
            </w:r>
          </w:p>
        </w:tc>
      </w:tr>
      <w:tr>
        <w:tc>
          <w:tcPr/>
          <w:p>
            <w:pPr>
              <w:pStyle w:val="Compact"/>
              <w:jc w:val="left"/>
            </w:pPr>
            <w:r>
              <w:t xml:space="preserve">Account Operators</w:t>
            </w:r>
          </w:p>
        </w:tc>
        <w:tc>
          <w:tcPr/>
          <w:p>
            <w:pPr>
              <w:pStyle w:val="Compact"/>
              <w:jc w:val="left"/>
            </w:pPr>
            <w:r>
              <w:t xml:space="preserve">User Administrator (scoped via AU)</w:t>
            </w:r>
          </w:p>
        </w:tc>
        <w:tc>
          <w:tcPr/>
          <w:p>
            <w:pPr>
              <w:pStyle w:val="Compact"/>
              <w:jc w:val="left"/>
            </w:pPr>
            <w:r>
              <w:t xml:space="preserve">Eligible</w:t>
            </w:r>
          </w:p>
        </w:tc>
        <w:tc>
          <w:tcPr/>
          <w:p>
            <w:pPr>
              <w:pStyle w:val="Compact"/>
              <w:jc w:val="left"/>
            </w:pPr>
            <w:r>
              <w:t xml:space="preserve">Scope with Administrative Units to limit blast radius</w:t>
            </w:r>
          </w:p>
        </w:tc>
      </w:tr>
      <w:tr>
        <w:tc>
          <w:tcPr/>
          <w:p>
            <w:pPr>
              <w:pStyle w:val="Compact"/>
              <w:jc w:val="left"/>
            </w:pPr>
            <w:r>
              <w:t xml:space="preserve">Server Operators</w:t>
            </w:r>
          </w:p>
        </w:tc>
        <w:tc>
          <w:tcPr/>
          <w:p>
            <w:pPr>
              <w:pStyle w:val="Compact"/>
              <w:jc w:val="left"/>
            </w:pPr>
            <w:r>
              <w:t xml:space="preserve">Custom RBAC role or Intune role</w:t>
            </w:r>
          </w:p>
        </w:tc>
        <w:tc>
          <w:tcPr/>
          <w:p>
            <w:pPr>
              <w:pStyle w:val="Compact"/>
              <w:jc w:val="left"/>
            </w:pPr>
            <w:r>
              <w:t xml:space="preserve">Eligible</w:t>
            </w:r>
          </w:p>
        </w:tc>
        <w:tc>
          <w:tcPr/>
          <w:p>
            <w:pPr>
              <w:pStyle w:val="Compact"/>
              <w:jc w:val="left"/>
            </w:pPr>
            <w:r>
              <w:t xml:space="preserve">Map server management functions to Intune device management or Azure RBAC</w:t>
            </w:r>
          </w:p>
        </w:tc>
      </w:tr>
      <w:tr>
        <w:tc>
          <w:tcPr/>
          <w:p>
            <w:pPr>
              <w:pStyle w:val="Compact"/>
              <w:jc w:val="left"/>
            </w:pPr>
            <w:r>
              <w:t xml:space="preserve">Backup Operators</w:t>
            </w:r>
          </w:p>
        </w:tc>
        <w:tc>
          <w:tcPr/>
          <w:p>
            <w:pPr>
              <w:pStyle w:val="Compact"/>
              <w:jc w:val="left"/>
            </w:pPr>
            <w:r>
              <w:t xml:space="preserve">Custom RBAC role</w:t>
            </w:r>
          </w:p>
        </w:tc>
        <w:tc>
          <w:tcPr/>
          <w:p>
            <w:pPr>
              <w:pStyle w:val="Compact"/>
              <w:jc w:val="left"/>
            </w:pPr>
            <w:r>
              <w:t xml:space="preserve">Eligible</w:t>
            </w:r>
          </w:p>
        </w:tc>
        <w:tc>
          <w:tcPr/>
          <w:p>
            <w:pPr>
              <w:pStyle w:val="Compact"/>
              <w:jc w:val="left"/>
            </w:pPr>
            <w:r>
              <w:t xml:space="preserve">Map to specific backup service roles (e.g., Exchange Administrator for mailbox recovery)</w:t>
            </w:r>
          </w:p>
        </w:tc>
      </w:tr>
      <w:tr>
        <w:tc>
          <w:tcPr/>
          <w:p>
            <w:pPr>
              <w:pStyle w:val="Compact"/>
              <w:jc w:val="left"/>
            </w:pPr>
            <w:r>
              <w:t xml:space="preserve">DNS Admins</w:t>
            </w:r>
          </w:p>
        </w:tc>
        <w:tc>
          <w:tcPr/>
          <w:p>
            <w:pPr>
              <w:pStyle w:val="Compact"/>
              <w:jc w:val="left"/>
            </w:pPr>
            <w:r>
              <w:t xml:space="preserve">No direct equivalent (DNS is managed per-service)</w:t>
            </w:r>
          </w:p>
        </w:tc>
        <w:tc>
          <w:tcPr/>
          <w:p>
            <w:pPr>
              <w:pStyle w:val="Compact"/>
              <w:jc w:val="left"/>
            </w:pPr>
            <w:r>
              <w:t xml:space="preserve">N/A</w:t>
            </w:r>
          </w:p>
        </w:tc>
        <w:tc>
          <w:tcPr/>
          <w:p>
            <w:pPr>
              <w:pStyle w:val="Compact"/>
              <w:jc w:val="left"/>
            </w:pPr>
            <w:r>
              <w:t xml:space="preserve">DNS management moves to Microsoft 365 admin center or Azure DNS (if in scope)</w:t>
            </w:r>
          </w:p>
        </w:tc>
      </w:tr>
      <w:tr>
        <w:tc>
          <w:tcPr/>
          <w:p>
            <w:pPr>
              <w:pStyle w:val="Compact"/>
              <w:jc w:val="left"/>
            </w:pPr>
            <w:r>
              <w:t xml:space="preserve">Group Policy Creator Owners</w:t>
            </w:r>
          </w:p>
        </w:tc>
        <w:tc>
          <w:tcPr/>
          <w:p>
            <w:pPr>
              <w:pStyle w:val="Compact"/>
              <w:jc w:val="left"/>
            </w:pPr>
            <w:r>
              <w:t xml:space="preserve">Intune Policy and Profile Manager (custom)</w:t>
            </w:r>
          </w:p>
        </w:tc>
        <w:tc>
          <w:tcPr/>
          <w:p>
            <w:pPr>
              <w:pStyle w:val="Compact"/>
              <w:jc w:val="left"/>
            </w:pPr>
            <w:r>
              <w:t xml:space="preserve">Eligible</w:t>
            </w:r>
          </w:p>
        </w:tc>
        <w:tc>
          <w:tcPr/>
          <w:p>
            <w:pPr>
              <w:pStyle w:val="Compact"/>
              <w:jc w:val="left"/>
            </w:pPr>
            <w:r>
              <w:t xml:space="preserve">GPO functions replaced by Intune configuration profiles and Conditional Access</w:t>
            </w:r>
          </w:p>
        </w:tc>
      </w:tr>
    </w:tbl>
    <w:p>
      <w:pPr>
        <w:pStyle w:val="BodyText"/>
      </w:pPr>
      <w:r>
        <w:t xml:space="preserve">7.2 PIM Configuration Standards</w:t>
      </w:r>
    </w:p>
    <w:p>
      <w:pPr>
        <w:pStyle w:val="BodyText"/>
      </w:pPr>
      <w:r>
        <w:t xml:space="preserve">The following PIM configuration standards apply to all FMP-governed Entra ID tenants:</w:t>
      </w:r>
    </w:p>
    <w:p>
      <w:pPr>
        <w:numPr>
          <w:ilvl w:val="0"/>
          <w:numId w:val="1227"/>
        </w:numPr>
      </w:pPr>
      <w:r>
        <w:rPr>
          <w:b/>
          <w:bCs/>
        </w:rPr>
        <w:t xml:space="preserve">Eligibility duration:</w:t>
      </w:r>
      <w:r>
        <w:t xml:space="preserve"> </w:t>
      </w:r>
      <w:r>
        <w:t xml:space="preserve">Maximum 12 months; annual renewal required with access review</w:t>
      </w:r>
    </w:p>
    <w:p>
      <w:pPr>
        <w:numPr>
          <w:ilvl w:val="0"/>
          <w:numId w:val="1227"/>
        </w:numPr>
      </w:pPr>
      <w:r>
        <w:rPr>
          <w:b/>
          <w:bCs/>
        </w:rPr>
        <w:t xml:space="preserve">Activation duration:</w:t>
      </w:r>
      <w:r>
        <w:t xml:space="preserve"> </w:t>
      </w:r>
      <w:r>
        <w:t xml:space="preserve">Role-specific maximum (see table below); default 8 hours</w:t>
      </w:r>
    </w:p>
    <w:p>
      <w:pPr>
        <w:numPr>
          <w:ilvl w:val="0"/>
          <w:numId w:val="1227"/>
        </w:numPr>
      </w:pPr>
      <w:r>
        <w:rPr>
          <w:b/>
          <w:bCs/>
        </w:rPr>
        <w:t xml:space="preserve">Activation requirements:</w:t>
      </w:r>
      <w:r>
        <w:t xml:space="preserve"> </w:t>
      </w:r>
      <w:r>
        <w:t xml:space="preserve">MFA required for all activations; justification required; ticket number required for Global Administrator, Privileged Role Administrator, and Exchange Administrator</w:t>
      </w:r>
    </w:p>
    <w:p>
      <w:pPr>
        <w:numPr>
          <w:ilvl w:val="0"/>
          <w:numId w:val="1227"/>
        </w:numPr>
      </w:pPr>
      <w:r>
        <w:rPr>
          <w:b/>
          <w:bCs/>
        </w:rPr>
        <w:t xml:space="preserve">Approval workflow:</w:t>
      </w:r>
      <w:r>
        <w:t xml:space="preserve"> </w:t>
      </w:r>
      <w:r>
        <w:t xml:space="preserve">Required for Global Administrator, Privileged Role Administrator, and Security Administrator; approvers must be from a separate administrative unit</w:t>
      </w:r>
    </w:p>
    <w:p>
      <w:pPr>
        <w:numPr>
          <w:ilvl w:val="0"/>
          <w:numId w:val="1227"/>
        </w:numPr>
      </w:pPr>
      <w:r>
        <w:rPr>
          <w:b/>
          <w:bCs/>
        </w:rPr>
        <w:t xml:space="preserve">Notification:</w:t>
      </w:r>
      <w:r>
        <w:t xml:space="preserve"> </w:t>
      </w:r>
      <w:r>
        <w:t xml:space="preserve">Activation email to role assignee, all Global Administrators, and the security operations mailbox</w:t>
      </w:r>
    </w:p>
    <w:p>
      <w:pPr>
        <w:pStyle w:val="FirstParagraph"/>
      </w:pPr>
      <w:r>
        <w:t xml:space="preserve">7.3 PIM Role Assignment Table</w:t>
      </w:r>
    </w:p>
    <w:tbl>
      <w:tblPr>
        <w:tblStyle w:val="Table"/>
        <w:tblW w:type="pct" w:w="4945"/>
        <w:tblLayout w:type="fixed"/>
        <w:tblLook w:firstRow="1" w:lastRow="0" w:firstColumn="0" w:lastColumn="0" w:noHBand="0" w:noVBand="0" w:val="0020"/>
      </w:tblPr>
      <w:tblGrid>
        <w:gridCol w:w="1514"/>
        <w:gridCol w:w="952"/>
        <w:gridCol w:w="1298"/>
        <w:gridCol w:w="1038"/>
        <w:gridCol w:w="822"/>
        <w:gridCol w:w="1255"/>
        <w:gridCol w:w="952"/>
      </w:tblGrid>
      <w:tr>
        <w:trPr>
          <w:tblHeader w:val="on"/>
        </w:trPr>
        <w:tc>
          <w:tcPr/>
          <w:p>
            <w:pPr>
              <w:pStyle w:val="Compact"/>
              <w:jc w:val="left"/>
            </w:pPr>
            <w:r>
              <w:rPr>
                <w:b/>
                <w:bCs/>
              </w:rPr>
              <w:t xml:space="preserve">Role Name</w:t>
            </w:r>
          </w:p>
        </w:tc>
        <w:tc>
          <w:tcPr/>
          <w:p>
            <w:pPr>
              <w:pStyle w:val="Compact"/>
              <w:jc w:val="left"/>
            </w:pPr>
            <w:r>
              <w:rPr>
                <w:b/>
                <w:bCs/>
              </w:rPr>
              <w:t xml:space="preserve">Assignment Type</w:t>
            </w:r>
          </w:p>
        </w:tc>
        <w:tc>
          <w:tcPr/>
          <w:p>
            <w:pPr>
              <w:pStyle w:val="Compact"/>
              <w:jc w:val="left"/>
            </w:pPr>
            <w:r>
              <w:rPr>
                <w:b/>
                <w:bCs/>
              </w:rPr>
              <w:t xml:space="preserve">Max Activation Duration</w:t>
            </w:r>
          </w:p>
        </w:tc>
        <w:tc>
          <w:tcPr/>
          <w:p>
            <w:pPr>
              <w:pStyle w:val="Compact"/>
              <w:jc w:val="left"/>
            </w:pPr>
            <w:r>
              <w:rPr>
                <w:b/>
                <w:bCs/>
              </w:rPr>
              <w:t xml:space="preserve">Approval Required</w:t>
            </w:r>
          </w:p>
        </w:tc>
        <w:tc>
          <w:tcPr/>
          <w:p>
            <w:pPr>
              <w:pStyle w:val="Compact"/>
              <w:jc w:val="left"/>
            </w:pPr>
            <w:r>
              <w:rPr>
                <w:b/>
                <w:bCs/>
              </w:rPr>
              <w:t xml:space="preserve">MFA Required</w:t>
            </w:r>
          </w:p>
        </w:tc>
        <w:tc>
          <w:tcPr/>
          <w:p>
            <w:pPr>
              <w:pStyle w:val="Compact"/>
              <w:jc w:val="left"/>
            </w:pPr>
            <w:r>
              <w:rPr>
                <w:b/>
                <w:bCs/>
              </w:rPr>
              <w:t xml:space="preserve">Justification Required</w:t>
            </w:r>
          </w:p>
        </w:tc>
        <w:tc>
          <w:tcPr/>
          <w:p>
            <w:pPr>
              <w:pStyle w:val="Compact"/>
              <w:jc w:val="left"/>
            </w:pPr>
            <w:r>
              <w:rPr>
                <w:b/>
                <w:bCs/>
              </w:rPr>
              <w:t xml:space="preserve">Ticket Required</w:t>
            </w:r>
          </w:p>
        </w:tc>
      </w:tr>
      <w:tr>
        <w:tc>
          <w:tcPr/>
          <w:p>
            <w:pPr>
              <w:pStyle w:val="Compact"/>
              <w:jc w:val="left"/>
            </w:pPr>
            <w:r>
              <w:t xml:space="preserve">Global Administrator</w:t>
            </w:r>
          </w:p>
        </w:tc>
        <w:tc>
          <w:tcPr/>
          <w:p>
            <w:pPr>
              <w:pStyle w:val="Compact"/>
              <w:jc w:val="left"/>
            </w:pPr>
            <w:r>
              <w:t xml:space="preserve">Eligible</w:t>
            </w:r>
          </w:p>
        </w:tc>
        <w:tc>
          <w:tcPr/>
          <w:p>
            <w:pPr>
              <w:pStyle w:val="Compact"/>
              <w:jc w:val="left"/>
            </w:pPr>
            <w:r>
              <w:t xml:space="preserve">4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Privileged Role Administrator</w:t>
            </w:r>
          </w:p>
        </w:tc>
        <w:tc>
          <w:tcPr/>
          <w:p>
            <w:pPr>
              <w:pStyle w:val="Compact"/>
              <w:jc w:val="left"/>
            </w:pPr>
            <w:r>
              <w:t xml:space="preserve">Eligible</w:t>
            </w:r>
          </w:p>
        </w:tc>
        <w:tc>
          <w:tcPr/>
          <w:p>
            <w:pPr>
              <w:pStyle w:val="Compact"/>
              <w:jc w:val="left"/>
            </w:pPr>
            <w:r>
              <w:t xml:space="preserve">4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Security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Exchange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SharePoint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User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Groups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Conditional Access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Intune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Authentication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Application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Compliance Administrator</w:t>
            </w:r>
          </w:p>
        </w:tc>
        <w:tc>
          <w:tcPr/>
          <w:p>
            <w:pPr>
              <w:pStyle w:val="Compact"/>
              <w:jc w:val="left"/>
            </w:pPr>
            <w:r>
              <w:t xml:space="preserve">Eligible</w:t>
            </w:r>
          </w:p>
        </w:tc>
        <w:tc>
          <w:tcPr/>
          <w:p>
            <w:pPr>
              <w:pStyle w:val="Compact"/>
              <w:jc w:val="left"/>
            </w:pPr>
            <w:r>
              <w:t xml:space="preserve">8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Security Reader</w:t>
            </w:r>
          </w:p>
        </w:tc>
        <w:tc>
          <w:tcPr/>
          <w:p>
            <w:pPr>
              <w:pStyle w:val="Compact"/>
              <w:jc w:val="left"/>
            </w:pPr>
            <w:r>
              <w:t xml:space="preserve">Eligible</w:t>
            </w:r>
          </w:p>
        </w:tc>
        <w:tc>
          <w:tcPr/>
          <w:p>
            <w:pPr>
              <w:pStyle w:val="Compact"/>
              <w:jc w:val="left"/>
            </w:pPr>
            <w:r>
              <w:t xml:space="preserve">12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c>
          <w:tcPr/>
          <w:p>
            <w:pPr>
              <w:pStyle w:val="Compact"/>
              <w:jc w:val="left"/>
            </w:pPr>
            <w:r>
              <w:t xml:space="preserve">No</w:t>
            </w:r>
          </w:p>
        </w:tc>
      </w:tr>
      <w:tr>
        <w:tc>
          <w:tcPr/>
          <w:p>
            <w:pPr>
              <w:pStyle w:val="Compact"/>
              <w:jc w:val="left"/>
            </w:pPr>
            <w:r>
              <w:t xml:space="preserve">Global Reader</w:t>
            </w:r>
          </w:p>
        </w:tc>
        <w:tc>
          <w:tcPr/>
          <w:p>
            <w:pPr>
              <w:pStyle w:val="Compact"/>
              <w:jc w:val="left"/>
            </w:pPr>
            <w:r>
              <w:t xml:space="preserve">Eligible</w:t>
            </w:r>
          </w:p>
        </w:tc>
        <w:tc>
          <w:tcPr/>
          <w:p>
            <w:pPr>
              <w:pStyle w:val="Compact"/>
              <w:jc w:val="left"/>
            </w:pPr>
            <w:r>
              <w:t xml:space="preserve">12 hours</w:t>
            </w:r>
          </w:p>
        </w:tc>
        <w:tc>
          <w:tcPr/>
          <w:p>
            <w:pPr>
              <w:pStyle w:val="Compact"/>
              <w:jc w:val="left"/>
            </w:pPr>
            <w:r>
              <w:t xml:space="preserve">No</w:t>
            </w:r>
          </w:p>
        </w:tc>
        <w:tc>
          <w:tcPr/>
          <w:p>
            <w:pPr>
              <w:pStyle w:val="Compact"/>
              <w:jc w:val="left"/>
            </w:pPr>
            <w:r>
              <w:t xml:space="preserve">Yes</w:t>
            </w:r>
          </w:p>
        </w:tc>
        <w:tc>
          <w:tcPr/>
          <w:p>
            <w:pPr>
              <w:pStyle w:val="Compact"/>
              <w:jc w:val="left"/>
            </w:pPr>
            <w:r>
              <w:t xml:space="preserve">No</w:t>
            </w:r>
          </w:p>
        </w:tc>
        <w:tc>
          <w:tcPr/>
          <w:p>
            <w:pPr>
              <w:pStyle w:val="Compact"/>
              <w:jc w:val="left"/>
            </w:pPr>
            <w:r>
              <w:t xml:space="preserve">No</w:t>
            </w:r>
          </w:p>
        </w:tc>
      </w:tr>
    </w:tbl>
    <w:p>
      <w:pPr>
        <w:pStyle w:val="BodyText"/>
      </w:pPr>
      <w:r>
        <w:t xml:space="preserve">7.4 Privileged Access Groups</w:t>
      </w:r>
    </w:p>
    <w:p>
      <w:pPr>
        <w:pStyle w:val="BodyText"/>
      </w:pPr>
      <w:r>
        <w:t xml:space="preserve">Privileged Access Groups (PAGs) extend PIM to group membership. Instead of permanently adding a user to a sensitive group, the user activates just-in-time group membership through PIM. This is the Entra ID equivalent of just-in-time privileged access for resource-level permissions.</w:t>
      </w:r>
    </w:p>
    <w:p>
      <w:pPr>
        <w:numPr>
          <w:ilvl w:val="0"/>
          <w:numId w:val="1228"/>
        </w:numPr>
      </w:pPr>
      <w:r>
        <w:rPr>
          <w:b/>
          <w:bCs/>
        </w:rPr>
        <w:t xml:space="preserve">Use case:</w:t>
      </w:r>
      <w:r>
        <w:t xml:space="preserve"> </w:t>
      </w:r>
      <w:r>
        <w:t xml:space="preserve">Groups that grant access to sensitive applications, data, or administrative functions</w:t>
      </w:r>
    </w:p>
    <w:p>
      <w:pPr>
        <w:numPr>
          <w:ilvl w:val="0"/>
          <w:numId w:val="1228"/>
        </w:numPr>
      </w:pPr>
      <w:r>
        <w:rPr>
          <w:b/>
          <w:bCs/>
        </w:rPr>
        <w:t xml:space="preserve">Configuration:</w:t>
      </w:r>
      <w:r>
        <w:t xml:space="preserve"> </w:t>
      </w:r>
      <w:r>
        <w:t xml:space="preserve">Enable "Microsoft Entra roles can be assigned to the group" during group creation, then configure PIM settings for the group</w:t>
      </w:r>
    </w:p>
    <w:p>
      <w:pPr>
        <w:numPr>
          <w:ilvl w:val="0"/>
          <w:numId w:val="1228"/>
        </w:numPr>
      </w:pPr>
      <w:r>
        <w:rPr>
          <w:b/>
          <w:bCs/>
        </w:rPr>
        <w:t xml:space="preserve">Governance:</w:t>
      </w:r>
      <w:r>
        <w:t xml:space="preserve"> </w:t>
      </w:r>
      <w:r>
        <w:t xml:space="preserve">Same activation requirements as PIM roles — MFA, justification, approval (if configured)</w:t>
      </w:r>
    </w:p>
    <w:p>
      <w:pPr>
        <w:pStyle w:val="FirstParagraph"/>
      </w:pPr>
      <w:r>
        <w:t xml:space="preserve">7.5 Emergency Access (Break-Glass) Accounts</w:t>
      </w:r>
    </w:p>
    <w:p>
      <w:pPr>
        <w:pStyle w:val="BodyText"/>
      </w:pPr>
      <w:r>
        <w:t xml:space="preserve">Break-glass accounts provide emergency access when normal authentication or PIM activation fails. The Federal Modernization Program standards for break-glass accounts:</w:t>
      </w:r>
    </w:p>
    <w:p>
      <w:pPr>
        <w:numPr>
          <w:ilvl w:val="0"/>
          <w:numId w:val="1229"/>
        </w:numPr>
      </w:pPr>
      <w:r>
        <w:rPr>
          <w:b/>
          <w:bCs/>
        </w:rPr>
        <w:t xml:space="preserve">Quantity:</w:t>
      </w:r>
      <w:r>
        <w:t xml:space="preserve"> </w:t>
      </w:r>
      <w:r>
        <w:t xml:space="preserve">Exactly two break-glass accounts per tenant</w:t>
      </w:r>
    </w:p>
    <w:p>
      <w:pPr>
        <w:numPr>
          <w:ilvl w:val="0"/>
          <w:numId w:val="1229"/>
        </w:numPr>
      </w:pPr>
      <w:r>
        <w:rPr>
          <w:b/>
          <w:bCs/>
        </w:rPr>
        <w:t xml:space="preserve">Naming:</w:t>
      </w:r>
      <w:r>
        <w:t xml:space="preserve"> </w:t>
      </w:r>
      <w:r>
        <w:t xml:space="preserve">Do not use naming patterns that identify them as emergency accounts (avoid emergency, breakglass, bg-)</w:t>
      </w:r>
    </w:p>
    <w:p>
      <w:pPr>
        <w:numPr>
          <w:ilvl w:val="0"/>
          <w:numId w:val="1229"/>
        </w:numPr>
      </w:pPr>
      <w:r>
        <w:rPr>
          <w:b/>
          <w:bCs/>
        </w:rPr>
        <w:t xml:space="preserve">Authentication:</w:t>
      </w:r>
      <w:r>
        <w:t xml:space="preserve"> </w:t>
      </w:r>
      <w:r>
        <w:t xml:space="preserve">One account uses a long (16+ character) password stored in a physical safe; the second uses a FIDO2 security key stored separately</w:t>
      </w:r>
    </w:p>
    <w:p>
      <w:pPr>
        <w:numPr>
          <w:ilvl w:val="0"/>
          <w:numId w:val="1229"/>
        </w:numPr>
      </w:pPr>
      <w:r>
        <w:rPr>
          <w:b/>
          <w:bCs/>
        </w:rPr>
        <w:t xml:space="preserve">Assignment:</w:t>
      </w:r>
      <w:r>
        <w:t xml:space="preserve"> </w:t>
      </w:r>
      <w:r>
        <w:t xml:space="preserve">Permanent Active assignment to Global Administrator (the only permanent GA assignment)</w:t>
      </w:r>
    </w:p>
    <w:p>
      <w:pPr>
        <w:numPr>
          <w:ilvl w:val="0"/>
          <w:numId w:val="1229"/>
        </w:numPr>
      </w:pPr>
      <w:r>
        <w:rPr>
          <w:b/>
          <w:bCs/>
        </w:rPr>
        <w:t xml:space="preserve">Conditional Access:</w:t>
      </w:r>
      <w:r>
        <w:t xml:space="preserve"> </w:t>
      </w:r>
      <w:r>
        <w:t xml:space="preserve">Explicitly excluded from all Conditional Access policies via a dedicated exclusion group</w:t>
      </w:r>
    </w:p>
    <w:p>
      <w:pPr>
        <w:numPr>
          <w:ilvl w:val="0"/>
          <w:numId w:val="1229"/>
        </w:numPr>
      </w:pPr>
      <w:r>
        <w:rPr>
          <w:b/>
          <w:bCs/>
        </w:rPr>
        <w:t xml:space="preserve">Monitoring:</w:t>
      </w:r>
      <w:r>
        <w:t xml:space="preserve"> </w:t>
      </w:r>
      <w:r>
        <w:t xml:space="preserve">Alert on any sign-in activity from break-glass accounts — any activation is an incident</w:t>
      </w:r>
    </w:p>
    <w:p>
      <w:pPr>
        <w:numPr>
          <w:ilvl w:val="0"/>
          <w:numId w:val="1229"/>
        </w:numPr>
      </w:pPr>
      <w:r>
        <w:rPr>
          <w:b/>
          <w:bCs/>
        </w:rPr>
        <w:t xml:space="preserve">Validation:</w:t>
      </w:r>
      <w:r>
        <w:t xml:space="preserve"> </w:t>
      </w:r>
      <w:r>
        <w:t xml:space="preserve">Quarterly sign-in test to verify credentials remain valid; documented in change management</w:t>
      </w:r>
    </w:p>
    <w:p>
      <w:pPr>
        <w:pStyle w:val="FirstParagraph"/>
      </w:pPr>
      <w:r>
        <w:t xml:space="preserve">7.6 Protected Actions in Entra ID</w:t>
      </w:r>
    </w:p>
    <w:p>
      <w:pPr>
        <w:pStyle w:val="BodyText"/>
      </w:pPr>
      <w:r>
        <w:t xml:space="preserve">Protected Actions is the Entra ID equivalent of AdminSDHolder. It requires users to satisfy a specific Conditional Access authentication context before performing sensitive operations such as:</w:t>
      </w:r>
    </w:p>
    <w:p>
      <w:pPr>
        <w:numPr>
          <w:ilvl w:val="0"/>
          <w:numId w:val="1230"/>
        </w:numPr>
      </w:pPr>
      <w:r>
        <w:t xml:space="preserve">Modifying Conditional Access policies</w:t>
      </w:r>
    </w:p>
    <w:p>
      <w:pPr>
        <w:numPr>
          <w:ilvl w:val="0"/>
          <w:numId w:val="1230"/>
        </w:numPr>
      </w:pPr>
      <w:r>
        <w:t xml:space="preserve">Modifying cross-tenant access settings</w:t>
      </w:r>
    </w:p>
    <w:p>
      <w:pPr>
        <w:numPr>
          <w:ilvl w:val="0"/>
          <w:numId w:val="1230"/>
        </w:numPr>
      </w:pPr>
      <w:r>
        <w:t xml:space="preserve">Modifying authentication methods policies</w:t>
      </w:r>
    </w:p>
    <w:p>
      <w:pPr>
        <w:numPr>
          <w:ilvl w:val="0"/>
          <w:numId w:val="1230"/>
        </w:numPr>
      </w:pPr>
      <w:r>
        <w:t xml:space="preserve">Deleting a tenant</w:t>
      </w:r>
    </w:p>
    <w:p>
      <w:pPr>
        <w:pStyle w:val="FirstParagraph"/>
      </w:pPr>
      <w:r>
        <w:t xml:space="preserve">The authentication context typically requires phishing-resistant MFA (FIDO2 or Windows Hello for Business), ensuring that even a compromised privileged session cannot perform destructive operations without re-authentication with a hardware-bound credential.</w:t>
      </w:r>
    </w:p>
    <w:tbl>
      <w:tblPr>
        <w:tblStyle w:val="Table"/>
        <w:tblW w:type="pct" w:w="4966"/>
        <w:tblLayout w:type="fixed"/>
        <w:tblLook w:firstRow="0" w:lastRow="0" w:firstColumn="0" w:lastColumn="0" w:noHBand="0" w:noVBand="0" w:val="0000"/>
      </w:tblPr>
      <w:tblGrid>
        <w:gridCol w:w="7866"/>
      </w:tblGrid>
      <w:tr>
        <w:tc>
          <w:tcPr/>
          <w:p>
            <w:pPr>
              <w:pStyle w:val="Compact"/>
              <w:jc w:val="left"/>
            </w:pPr>
            <w:r>
              <w:rPr>
                <w:i/>
                <w:iCs/>
              </w:rPr>
              <w:t xml:space="preserve">[Placeholder — Diagram 2: PIM Activation Workflow — 800×400px — Shows the flow from Eligible Assignment → Activation Request (with MFA, justification, ticket) → Approval (if required) → Active Assignment (time-bound) → Expiration → Eligible state. Includes break-glass bypass path.]</w:t>
            </w:r>
          </w:p>
        </w:tc>
      </w:tr>
    </w:tbl>
    <w:p>
      <w:pPr>
        <w:pStyle w:val="BodyText"/>
      </w:pPr>
      <w:r>
        <w:t xml:space="preserve">8. Conditional Access Policy Framework</w:t>
      </w:r>
    </w:p>
    <w:p>
      <w:pPr>
        <w:pStyle w:val="BodyText"/>
      </w:pPr>
      <w:r>
        <w:t xml:space="preserve">8.1 Design Philosophy</w:t>
      </w:r>
    </w:p>
    <w:p>
      <w:pPr>
        <w:pStyle w:val="BodyText"/>
      </w:pPr>
      <w:r>
        <w:t xml:space="preserve">Conditional Access (CA) policies in Entra ID replace the GPO-based logon restrictions, network access controls, and authentication policies that were previously enforced through Active Directory. The Federal Modernization Program CA framework is organized around</w:t>
      </w:r>
      <w:r>
        <w:t xml:space="preserve"> </w:t>
      </w:r>
      <w:r>
        <w:rPr>
          <w:b/>
          <w:bCs/>
        </w:rPr>
        <w:t xml:space="preserve">personas</w:t>
      </w:r>
      <w:r>
        <w:t xml:space="preserve"> </w:t>
      </w:r>
      <w:r>
        <w:t xml:space="preserve">— each persona represents a user population with distinct access requirements and risk profiles.</w:t>
      </w:r>
    </w:p>
    <w:p>
      <w:pPr>
        <w:pStyle w:val="BodyText"/>
      </w:pPr>
      <w:r>
        <w:t xml:space="preserve">8.2 Persona Definitions</w:t>
      </w:r>
    </w:p>
    <w:tbl>
      <w:tblPr>
        <w:tblStyle w:val="Table"/>
        <w:tblW w:type="pct" w:w="4947"/>
        <w:tblLayout w:type="fixed"/>
        <w:tblLook w:firstRow="1" w:lastRow="0" w:firstColumn="0" w:lastColumn="0" w:noHBand="0" w:noVBand="0" w:val="0020"/>
      </w:tblPr>
      <w:tblGrid>
        <w:gridCol w:w="963"/>
        <w:gridCol w:w="2765"/>
        <w:gridCol w:w="2891"/>
        <w:gridCol w:w="1215"/>
      </w:tblGrid>
      <w:tr>
        <w:trPr>
          <w:tblHeader w:val="on"/>
        </w:trPr>
        <w:tc>
          <w:tcPr/>
          <w:p>
            <w:pPr>
              <w:pStyle w:val="Compact"/>
              <w:jc w:val="left"/>
            </w:pPr>
            <w:r>
              <w:rPr>
                <w:b/>
                <w:bCs/>
              </w:rPr>
              <w:t xml:space="preserve">Persona</w:t>
            </w:r>
          </w:p>
        </w:tc>
        <w:tc>
          <w:tcPr/>
          <w:p>
            <w:pPr>
              <w:pStyle w:val="Compact"/>
              <w:jc w:val="left"/>
            </w:pPr>
            <w:r>
              <w:rPr>
                <w:b/>
                <w:bCs/>
              </w:rPr>
              <w:t xml:space="preserve">Description</w:t>
            </w:r>
          </w:p>
        </w:tc>
        <w:tc>
          <w:tcPr/>
          <w:p>
            <w:pPr>
              <w:pStyle w:val="Compact"/>
              <w:jc w:val="left"/>
            </w:pPr>
            <w:r>
              <w:rPr>
                <w:b/>
                <w:bCs/>
              </w:rPr>
              <w:t xml:space="preserve">Identification Method</w:t>
            </w:r>
          </w:p>
        </w:tc>
        <w:tc>
          <w:tcPr/>
          <w:p>
            <w:pPr>
              <w:pStyle w:val="Compact"/>
              <w:jc w:val="left"/>
            </w:pPr>
            <w:r>
              <w:rPr>
                <w:b/>
                <w:bCs/>
              </w:rPr>
              <w:t xml:space="preserve">Risk Profile</w:t>
            </w:r>
          </w:p>
        </w:tc>
      </w:tr>
      <w:tr>
        <w:tc>
          <w:tcPr/>
          <w:p>
            <w:pPr>
              <w:pStyle w:val="Compact"/>
              <w:jc w:val="left"/>
            </w:pPr>
            <w:r>
              <w:rPr>
                <w:b/>
                <w:bCs/>
              </w:rPr>
              <w:t xml:space="preserve">Internals</w:t>
            </w:r>
          </w:p>
        </w:tc>
        <w:tc>
          <w:tcPr/>
          <w:p>
            <w:pPr>
              <w:pStyle w:val="Compact"/>
              <w:jc w:val="left"/>
            </w:pPr>
            <w:r>
              <w:t xml:space="preserve">Full-time employees and contractors with standard access</w:t>
            </w:r>
          </w:p>
        </w:tc>
        <w:tc>
          <w:tcPr/>
          <w:p>
            <w:pPr>
              <w:pStyle w:val="Compact"/>
              <w:jc w:val="left"/>
            </w:pPr>
            <w:r>
              <w:t xml:space="preserve">extensionAttribute6 ∈ {Employee, Contractor}</w:t>
            </w:r>
          </w:p>
        </w:tc>
        <w:tc>
          <w:tcPr/>
          <w:p>
            <w:pPr>
              <w:pStyle w:val="Compact"/>
              <w:jc w:val="left"/>
            </w:pPr>
            <w:r>
              <w:t xml:space="preserve">Standard</w:t>
            </w:r>
          </w:p>
        </w:tc>
      </w:tr>
      <w:tr>
        <w:tc>
          <w:tcPr/>
          <w:p>
            <w:pPr>
              <w:pStyle w:val="Compact"/>
              <w:jc w:val="left"/>
            </w:pPr>
            <w:r>
              <w:rPr>
                <w:b/>
                <w:bCs/>
              </w:rPr>
              <w:t xml:space="preserve">Admins</w:t>
            </w:r>
          </w:p>
        </w:tc>
        <w:tc>
          <w:tcPr/>
          <w:p>
            <w:pPr>
              <w:pStyle w:val="Compact"/>
              <w:jc w:val="left"/>
            </w:pPr>
            <w:r>
              <w:t xml:space="preserve">Users with privileged role assignments (PIM-eligible or active)</w:t>
            </w:r>
          </w:p>
        </w:tc>
        <w:tc>
          <w:tcPr/>
          <w:p>
            <w:pPr>
              <w:pStyle w:val="Compact"/>
              <w:jc w:val="left"/>
            </w:pPr>
            <w:r>
              <w:t xml:space="preserve">extensionAttribute10 = "Privileged" or Directory role membership</w:t>
            </w:r>
          </w:p>
        </w:tc>
        <w:tc>
          <w:tcPr/>
          <w:p>
            <w:pPr>
              <w:pStyle w:val="Compact"/>
              <w:jc w:val="left"/>
            </w:pPr>
            <w:r>
              <w:t xml:space="preserve">High</w:t>
            </w:r>
          </w:p>
        </w:tc>
      </w:tr>
      <w:tr>
        <w:tc>
          <w:tcPr/>
          <w:p>
            <w:pPr>
              <w:pStyle w:val="Compact"/>
              <w:jc w:val="left"/>
            </w:pPr>
            <w:r>
              <w:rPr>
                <w:b/>
                <w:bCs/>
              </w:rPr>
              <w:t xml:space="preserve">Externals</w:t>
            </w:r>
          </w:p>
        </w:tc>
        <w:tc>
          <w:tcPr/>
          <w:p>
            <w:pPr>
              <w:pStyle w:val="Compact"/>
              <w:jc w:val="left"/>
            </w:pPr>
            <w:r>
              <w:t xml:space="preserve">B2B guest users from trusted partner organizations</w:t>
            </w:r>
          </w:p>
        </w:tc>
        <w:tc>
          <w:tcPr/>
          <w:p>
            <w:pPr>
              <w:pStyle w:val="Compact"/>
              <w:jc w:val="left"/>
            </w:pPr>
            <w:r>
              <w:t xml:space="preserve">User type = Guest, B2B collaboration</w:t>
            </w:r>
          </w:p>
        </w:tc>
        <w:tc>
          <w:tcPr/>
          <w:p>
            <w:pPr>
              <w:pStyle w:val="Compact"/>
              <w:jc w:val="left"/>
            </w:pPr>
            <w:r>
              <w:t xml:space="preserve">Elevated</w:t>
            </w:r>
          </w:p>
        </w:tc>
      </w:tr>
      <w:tr>
        <w:tc>
          <w:tcPr/>
          <w:p>
            <w:pPr>
              <w:pStyle w:val="Compact"/>
              <w:jc w:val="left"/>
            </w:pPr>
            <w:r>
              <w:rPr>
                <w:b/>
                <w:bCs/>
              </w:rPr>
              <w:t xml:space="preserve">Guests</w:t>
            </w:r>
          </w:p>
        </w:tc>
        <w:tc>
          <w:tcPr/>
          <w:p>
            <w:pPr>
              <w:pStyle w:val="Compact"/>
              <w:jc w:val="left"/>
            </w:pPr>
            <w:r>
              <w:t xml:space="preserve">Ad-hoc external users (non-partner, social identity)</w:t>
            </w:r>
          </w:p>
        </w:tc>
        <w:tc>
          <w:tcPr/>
          <w:p>
            <w:pPr>
              <w:pStyle w:val="Compact"/>
              <w:jc w:val="left"/>
            </w:pPr>
            <w:r>
              <w:t xml:space="preserve">User type = Guest, non-trusted org</w:t>
            </w:r>
          </w:p>
        </w:tc>
        <w:tc>
          <w:tcPr/>
          <w:p>
            <w:pPr>
              <w:pStyle w:val="Compact"/>
              <w:jc w:val="left"/>
            </w:pPr>
            <w:r>
              <w:t xml:space="preserve">High</w:t>
            </w:r>
          </w:p>
        </w:tc>
      </w:tr>
      <w:tr>
        <w:tc>
          <w:tcPr/>
          <w:p>
            <w:pPr>
              <w:pStyle w:val="Compact"/>
              <w:jc w:val="left"/>
            </w:pPr>
            <w:r>
              <w:rPr>
                <w:b/>
                <w:bCs/>
              </w:rPr>
              <w:t xml:space="preserve">Service Accounts</w:t>
            </w:r>
          </w:p>
        </w:tc>
        <w:tc>
          <w:tcPr/>
          <w:p>
            <w:pPr>
              <w:pStyle w:val="Compact"/>
              <w:jc w:val="left"/>
            </w:pPr>
            <w:r>
              <w:t xml:space="preserve">Workload identities (service principals, managed identities)</w:t>
            </w:r>
          </w:p>
        </w:tc>
        <w:tc>
          <w:tcPr/>
          <w:p>
            <w:pPr>
              <w:pStyle w:val="Compact"/>
              <w:jc w:val="left"/>
            </w:pPr>
            <w:r>
              <w:t xml:space="preserve">Workload identity filter</w:t>
            </w:r>
          </w:p>
        </w:tc>
        <w:tc>
          <w:tcPr/>
          <w:p>
            <w:pPr>
              <w:pStyle w:val="Compact"/>
              <w:jc w:val="left"/>
            </w:pPr>
            <w:r>
              <w:t xml:space="preserve">Variable</w:t>
            </w:r>
          </w:p>
        </w:tc>
      </w:tr>
      <w:tr>
        <w:tc>
          <w:tcPr/>
          <w:p>
            <w:pPr>
              <w:pStyle w:val="Compact"/>
              <w:jc w:val="left"/>
            </w:pPr>
            <w:r>
              <w:rPr>
                <w:b/>
                <w:bCs/>
              </w:rPr>
              <w:t xml:space="preserve">Break-Glass</w:t>
            </w:r>
          </w:p>
        </w:tc>
        <w:tc>
          <w:tcPr/>
          <w:p>
            <w:pPr>
              <w:pStyle w:val="Compact"/>
              <w:jc w:val="left"/>
            </w:pPr>
            <w:r>
              <w:t xml:space="preserve">Emergency access accounts</w:t>
            </w:r>
          </w:p>
        </w:tc>
        <w:tc>
          <w:tcPr/>
          <w:p>
            <w:pPr>
              <w:pStyle w:val="Compact"/>
              <w:jc w:val="left"/>
            </w:pPr>
            <w:r>
              <w:t xml:space="preserve">Dedicated exclusion group</w:t>
            </w:r>
          </w:p>
        </w:tc>
        <w:tc>
          <w:tcPr/>
          <w:p>
            <w:pPr>
              <w:pStyle w:val="Compact"/>
              <w:jc w:val="left"/>
            </w:pPr>
            <w:r>
              <w:t xml:space="preserve">N/A (excluded from all CA)</w:t>
            </w:r>
          </w:p>
        </w:tc>
      </w:tr>
    </w:tbl>
    <w:p>
      <w:pPr>
        <w:pStyle w:val="BodyText"/>
      </w:pPr>
      <w:r>
        <w:t xml:space="preserve">8.3 Named Locations</w:t>
      </w:r>
    </w:p>
    <w:p>
      <w:pPr>
        <w:numPr>
          <w:ilvl w:val="0"/>
          <w:numId w:val="1231"/>
        </w:numPr>
      </w:pPr>
      <w:r>
        <w:rPr>
          <w:b/>
          <w:bCs/>
        </w:rPr>
        <w:t xml:space="preserve">Trusted Corporate Networks:</w:t>
      </w:r>
      <w:r>
        <w:t xml:space="preserve"> </w:t>
      </w:r>
      <w:r>
        <w:t xml:space="preserve">IP ranges for all office locations, VPN egress points, and trusted proxy addresses</w:t>
      </w:r>
    </w:p>
    <w:p>
      <w:pPr>
        <w:numPr>
          <w:ilvl w:val="0"/>
          <w:numId w:val="1231"/>
        </w:numPr>
      </w:pPr>
      <w:r>
        <w:rPr>
          <w:b/>
          <w:bCs/>
        </w:rPr>
        <w:t xml:space="preserve">Trusted Countries:</w:t>
      </w:r>
      <w:r>
        <w:t xml:space="preserve"> </w:t>
      </w:r>
      <w:r>
        <w:t xml:space="preserve">United States (required for GCC-Moderate); add additional countries only with documented justification</w:t>
      </w:r>
    </w:p>
    <w:p>
      <w:pPr>
        <w:numPr>
          <w:ilvl w:val="0"/>
          <w:numId w:val="1231"/>
        </w:numPr>
      </w:pPr>
      <w:r>
        <w:rPr>
          <w:b/>
          <w:bCs/>
        </w:rPr>
        <w:t xml:space="preserve">Compliance Boundary:</w:t>
      </w:r>
      <w:r>
        <w:t xml:space="preserve"> </w:t>
      </w:r>
      <w:r>
        <w:t xml:space="preserve">GCC-Moderate services are US-only; block authentication from non-US locations for all personas except approved travel exceptions</w:t>
      </w:r>
    </w:p>
    <w:p>
      <w:pPr>
        <w:pStyle w:val="FirstParagraph"/>
      </w:pPr>
      <w:r>
        <w:t xml:space="preserve">8.4 Authentication Strength Policies</w:t>
      </w:r>
    </w:p>
    <w:tbl>
      <w:tblPr>
        <w:tblStyle w:val="Table"/>
        <w:tblW w:type="pct" w:w="4931"/>
        <w:tblLayout w:type="fixed"/>
        <w:tblLook w:firstRow="1" w:lastRow="0" w:firstColumn="0" w:lastColumn="0" w:noHBand="0" w:noVBand="0" w:val="0020"/>
      </w:tblPr>
      <w:tblGrid>
        <w:gridCol w:w="1638"/>
        <w:gridCol w:w="3987"/>
        <w:gridCol w:w="2184"/>
      </w:tblGrid>
      <w:tr>
        <w:trPr>
          <w:tblHeader w:val="on"/>
        </w:trPr>
        <w:tc>
          <w:tcPr/>
          <w:p>
            <w:pPr>
              <w:pStyle w:val="Compact"/>
              <w:jc w:val="left"/>
            </w:pPr>
            <w:r>
              <w:rPr>
                <w:b/>
                <w:bCs/>
              </w:rPr>
              <w:t xml:space="preserve">Authentication Strength</w:t>
            </w:r>
          </w:p>
        </w:tc>
        <w:tc>
          <w:tcPr/>
          <w:p>
            <w:pPr>
              <w:pStyle w:val="Compact"/>
              <w:jc w:val="left"/>
            </w:pPr>
            <w:r>
              <w:rPr>
                <w:b/>
                <w:bCs/>
              </w:rPr>
              <w:t xml:space="preserve">Allowed Methods</w:t>
            </w:r>
          </w:p>
        </w:tc>
        <w:tc>
          <w:tcPr/>
          <w:p>
            <w:pPr>
              <w:pStyle w:val="Compact"/>
              <w:jc w:val="left"/>
            </w:pPr>
            <w:r>
              <w:rPr>
                <w:b/>
                <w:bCs/>
              </w:rPr>
              <w:t xml:space="preserve">Target Persona</w:t>
            </w:r>
          </w:p>
        </w:tc>
      </w:tr>
      <w:tr>
        <w:tc>
          <w:tcPr/>
          <w:p>
            <w:pPr>
              <w:pStyle w:val="Compact"/>
              <w:jc w:val="left"/>
            </w:pPr>
            <w:r>
              <w:t xml:space="preserve">Phishing-resistant MFA</w:t>
            </w:r>
          </w:p>
        </w:tc>
        <w:tc>
          <w:tcPr/>
          <w:p>
            <w:pPr>
              <w:pStyle w:val="Compact"/>
              <w:jc w:val="left"/>
            </w:pPr>
            <w:r>
              <w:t xml:space="preserve">FIDO2 security key, Windows Hello for Business, Certificate-based auth</w:t>
            </w:r>
          </w:p>
        </w:tc>
        <w:tc>
          <w:tcPr/>
          <w:p>
            <w:pPr>
              <w:pStyle w:val="Compact"/>
              <w:jc w:val="left"/>
            </w:pPr>
            <w:r>
              <w:t xml:space="preserve">Admins, high-risk sign-ins</w:t>
            </w:r>
          </w:p>
        </w:tc>
      </w:tr>
      <w:tr>
        <w:tc>
          <w:tcPr/>
          <w:p>
            <w:pPr>
              <w:pStyle w:val="Compact"/>
              <w:jc w:val="left"/>
            </w:pPr>
            <w:r>
              <w:t xml:space="preserve">Multifactor authentication</w:t>
            </w:r>
          </w:p>
        </w:tc>
        <w:tc>
          <w:tcPr/>
          <w:p>
            <w:pPr>
              <w:pStyle w:val="Compact"/>
              <w:jc w:val="left"/>
            </w:pPr>
            <w:r>
              <w:t xml:space="preserve">Microsoft Authenticator (push + number matching), FIDO2, WHfB, CBA</w:t>
            </w:r>
          </w:p>
        </w:tc>
        <w:tc>
          <w:tcPr/>
          <w:p>
            <w:pPr>
              <w:pStyle w:val="Compact"/>
              <w:jc w:val="left"/>
            </w:pPr>
            <w:r>
              <w:t xml:space="preserve">Internals, Externals</w:t>
            </w:r>
          </w:p>
        </w:tc>
      </w:tr>
      <w:tr>
        <w:tc>
          <w:tcPr/>
          <w:p>
            <w:pPr>
              <w:pStyle w:val="Compact"/>
              <w:jc w:val="left"/>
            </w:pPr>
            <w:r>
              <w:t xml:space="preserve">Passwordless MFA</w:t>
            </w:r>
          </w:p>
        </w:tc>
        <w:tc>
          <w:tcPr/>
          <w:p>
            <w:pPr>
              <w:pStyle w:val="Compact"/>
              <w:jc w:val="left"/>
            </w:pPr>
            <w:r>
              <w:t xml:space="preserve">FIDO2, WHfB, Microsoft Authenticator (passwordless)</w:t>
            </w:r>
          </w:p>
        </w:tc>
        <w:tc>
          <w:tcPr/>
          <w:p>
            <w:pPr>
              <w:pStyle w:val="Compact"/>
              <w:jc w:val="left"/>
            </w:pPr>
            <w:r>
              <w:t xml:space="preserve">Target state for all users (Phase 3+)</w:t>
            </w:r>
          </w:p>
        </w:tc>
      </w:tr>
    </w:tbl>
    <w:p>
      <w:pPr>
        <w:pStyle w:val="BodyText"/>
      </w:pPr>
      <w:r>
        <w:t xml:space="preserve">8.5 Conditional Access Policy Table</w:t>
      </w:r>
    </w:p>
    <w:tbl>
      <w:tblPr>
        <w:tblStyle w:val="Table"/>
        <w:tblW w:type="pct" w:w="4965"/>
        <w:tblLayout w:type="fixed"/>
        <w:tblLook w:firstRow="1" w:lastRow="0" w:firstColumn="0" w:lastColumn="0" w:noHBand="0" w:noVBand="0" w:val="0020"/>
      </w:tblPr>
      <w:tblGrid>
        <w:gridCol w:w="1417"/>
        <w:gridCol w:w="1361"/>
        <w:gridCol w:w="1528"/>
        <w:gridCol w:w="1611"/>
        <w:gridCol w:w="1528"/>
        <w:gridCol w:w="416"/>
      </w:tblGrid>
      <w:tr>
        <w:trPr>
          <w:tblHeader w:val="on"/>
        </w:trPr>
        <w:tc>
          <w:tcPr/>
          <w:p>
            <w:pPr>
              <w:pStyle w:val="Compact"/>
              <w:jc w:val="left"/>
            </w:pPr>
            <w:r>
              <w:rPr>
                <w:b/>
                <w:bCs/>
              </w:rPr>
              <w:t xml:space="preserve">Policy Name</w:t>
            </w:r>
          </w:p>
        </w:tc>
        <w:tc>
          <w:tcPr/>
          <w:p>
            <w:pPr>
              <w:pStyle w:val="Compact"/>
              <w:jc w:val="left"/>
            </w:pPr>
            <w:r>
              <w:rPr>
                <w:b/>
                <w:bCs/>
              </w:rPr>
              <w:t xml:space="preserve">Target Persona</w:t>
            </w:r>
          </w:p>
        </w:tc>
        <w:tc>
          <w:tcPr/>
          <w:p>
            <w:pPr>
              <w:pStyle w:val="Compact"/>
              <w:jc w:val="left"/>
            </w:pPr>
            <w:r>
              <w:rPr>
                <w:b/>
                <w:bCs/>
              </w:rPr>
              <w:t xml:space="preserve">Conditions</w:t>
            </w:r>
          </w:p>
        </w:tc>
        <w:tc>
          <w:tcPr/>
          <w:p>
            <w:pPr>
              <w:pStyle w:val="Compact"/>
              <w:jc w:val="left"/>
            </w:pPr>
            <w:r>
              <w:rPr>
                <w:b/>
                <w:bCs/>
              </w:rPr>
              <w:t xml:space="preserve">Grant Controls</w:t>
            </w:r>
          </w:p>
        </w:tc>
        <w:tc>
          <w:tcPr/>
          <w:p>
            <w:pPr>
              <w:pStyle w:val="Compact"/>
              <w:jc w:val="left"/>
            </w:pPr>
            <w:r>
              <w:rPr>
                <w:b/>
                <w:bCs/>
              </w:rPr>
              <w:t xml:space="preserve">Session Controls</w:t>
            </w:r>
          </w:p>
        </w:tc>
        <w:tc>
          <w:tcPr/>
          <w:p>
            <w:pPr>
              <w:pStyle w:val="Compact"/>
              <w:jc w:val="left"/>
            </w:pPr>
            <w:r>
              <w:rPr>
                <w:b/>
                <w:bCs/>
              </w:rPr>
              <w:t xml:space="preserve">Priority</w:t>
            </w:r>
          </w:p>
        </w:tc>
      </w:tr>
      <w:tr>
        <w:tc>
          <w:tcPr/>
          <w:p>
            <w:pPr>
              <w:pStyle w:val="Compact"/>
              <w:jc w:val="left"/>
            </w:pPr>
            <w:r>
              <w:t xml:space="preserve">CA001-AllUsers-BlockLegacyAuth</w:t>
            </w:r>
          </w:p>
        </w:tc>
        <w:tc>
          <w:tcPr/>
          <w:p>
            <w:pPr>
              <w:pStyle w:val="Compact"/>
              <w:jc w:val="left"/>
            </w:pPr>
            <w:r>
              <w:t xml:space="preserve">All Users</w:t>
            </w:r>
          </w:p>
        </w:tc>
        <w:tc>
          <w:tcPr/>
          <w:p>
            <w:pPr>
              <w:pStyle w:val="Compact"/>
              <w:jc w:val="left"/>
            </w:pPr>
            <w:r>
              <w:t xml:space="preserve">Client apps: Exchange ActiveSync, Other clients</w:t>
            </w:r>
          </w:p>
        </w:tc>
        <w:tc>
          <w:tcPr/>
          <w:p>
            <w:pPr>
              <w:pStyle w:val="Compact"/>
              <w:jc w:val="left"/>
            </w:pPr>
            <w:r>
              <w:t xml:space="preserve">Block</w:t>
            </w:r>
          </w:p>
        </w:tc>
        <w:tc>
          <w:tcPr/>
          <w:p>
            <w:pPr>
              <w:pStyle w:val="Compact"/>
              <w:jc w:val="left"/>
            </w:pPr>
            <w:r>
              <w:t xml:space="preserve">—</w:t>
            </w:r>
          </w:p>
        </w:tc>
        <w:tc>
          <w:tcPr/>
          <w:p>
            <w:pPr>
              <w:pStyle w:val="Compact"/>
              <w:jc w:val="left"/>
            </w:pPr>
            <w:r>
              <w:t xml:space="preserve">1</w:t>
            </w:r>
          </w:p>
        </w:tc>
      </w:tr>
      <w:tr>
        <w:tc>
          <w:tcPr/>
          <w:p>
            <w:pPr>
              <w:pStyle w:val="Compact"/>
              <w:jc w:val="left"/>
            </w:pPr>
            <w:r>
              <w:t xml:space="preserve">CA002-BreakGlass-Exclude</w:t>
            </w:r>
          </w:p>
        </w:tc>
        <w:tc>
          <w:tcPr/>
          <w:p>
            <w:pPr>
              <w:pStyle w:val="Compact"/>
              <w:jc w:val="left"/>
            </w:pPr>
            <w:r>
              <w:t xml:space="preserve">Break-Glass (excluded from all other policies)</w:t>
            </w:r>
          </w:p>
        </w:tc>
        <w:tc>
          <w:tcPr/>
          <w:p>
            <w:pPr>
              <w:pStyle w:val="Compact"/>
              <w:jc w:val="left"/>
            </w:pPr>
            <w:r>
              <w:t xml:space="preserve">All conditions</w:t>
            </w:r>
          </w:p>
        </w:tc>
        <w:tc>
          <w:tcPr/>
          <w:p>
            <w:pPr>
              <w:pStyle w:val="Compact"/>
              <w:jc w:val="left"/>
            </w:pPr>
            <w:r>
              <w:t xml:space="preserve">Grant (no controls)</w:t>
            </w:r>
          </w:p>
        </w:tc>
        <w:tc>
          <w:tcPr/>
          <w:p>
            <w:pPr>
              <w:pStyle w:val="Compact"/>
              <w:jc w:val="left"/>
            </w:pPr>
            <w:r>
              <w:t xml:space="preserve">—</w:t>
            </w:r>
          </w:p>
        </w:tc>
        <w:tc>
          <w:tcPr/>
          <w:p>
            <w:pPr>
              <w:pStyle w:val="Compact"/>
              <w:jc w:val="left"/>
            </w:pPr>
            <w:r>
              <w:t xml:space="preserve">0</w:t>
            </w:r>
          </w:p>
        </w:tc>
      </w:tr>
      <w:tr>
        <w:tc>
          <w:tcPr/>
          <w:p>
            <w:pPr>
              <w:pStyle w:val="Compact"/>
              <w:jc w:val="left"/>
            </w:pPr>
            <w:r>
              <w:t xml:space="preserve">CA003-Admins-RequirePhishResistantMFA</w:t>
            </w:r>
          </w:p>
        </w:tc>
        <w:tc>
          <w:tcPr/>
          <w:p>
            <w:pPr>
              <w:pStyle w:val="Compact"/>
              <w:jc w:val="left"/>
            </w:pPr>
            <w:r>
              <w:t xml:space="preserve">Admins</w:t>
            </w:r>
          </w:p>
        </w:tc>
        <w:tc>
          <w:tcPr/>
          <w:p>
            <w:pPr>
              <w:pStyle w:val="Compact"/>
              <w:jc w:val="left"/>
            </w:pPr>
            <w:r>
              <w:t xml:space="preserve">All cloud apps, any location</w:t>
            </w:r>
          </w:p>
        </w:tc>
        <w:tc>
          <w:tcPr/>
          <w:p>
            <w:pPr>
              <w:pStyle w:val="Compact"/>
              <w:jc w:val="left"/>
            </w:pPr>
            <w:r>
              <w:t xml:space="preserve">Require authentication strength: Phishing-resistant MFA</w:t>
            </w:r>
          </w:p>
        </w:tc>
        <w:tc>
          <w:tcPr/>
          <w:p>
            <w:pPr>
              <w:pStyle w:val="Compact"/>
              <w:jc w:val="left"/>
            </w:pPr>
            <w:r>
              <w:t xml:space="preserve">Sign-in frequency: 4 hours</w:t>
            </w:r>
          </w:p>
        </w:tc>
        <w:tc>
          <w:tcPr/>
          <w:p>
            <w:pPr>
              <w:pStyle w:val="Compact"/>
              <w:jc w:val="left"/>
            </w:pPr>
            <w:r>
              <w:t xml:space="preserve">2</w:t>
            </w:r>
          </w:p>
        </w:tc>
      </w:tr>
      <w:tr>
        <w:tc>
          <w:tcPr/>
          <w:p>
            <w:pPr>
              <w:pStyle w:val="Compact"/>
              <w:jc w:val="left"/>
            </w:pPr>
            <w:r>
              <w:t xml:space="preserve">CA004-Admins-RequireCompliantDevice</w:t>
            </w:r>
          </w:p>
        </w:tc>
        <w:tc>
          <w:tcPr/>
          <w:p>
            <w:pPr>
              <w:pStyle w:val="Compact"/>
              <w:jc w:val="left"/>
            </w:pPr>
            <w:r>
              <w:t xml:space="preserve">Admins</w:t>
            </w:r>
          </w:p>
        </w:tc>
        <w:tc>
          <w:tcPr/>
          <w:p>
            <w:pPr>
              <w:pStyle w:val="Compact"/>
              <w:jc w:val="left"/>
            </w:pPr>
            <w:r>
              <w:t xml:space="preserve">All cloud apps</w:t>
            </w:r>
          </w:p>
        </w:tc>
        <w:tc>
          <w:tcPr/>
          <w:p>
            <w:pPr>
              <w:pStyle w:val="Compact"/>
              <w:jc w:val="left"/>
            </w:pPr>
            <w:r>
              <w:t xml:space="preserve">Require compliant device</w:t>
            </w:r>
          </w:p>
        </w:tc>
        <w:tc>
          <w:tcPr/>
          <w:p>
            <w:pPr>
              <w:pStyle w:val="Compact"/>
              <w:jc w:val="left"/>
            </w:pPr>
            <w:r>
              <w:t xml:space="preserve">Persistent browser: disabled</w:t>
            </w:r>
          </w:p>
        </w:tc>
        <w:tc>
          <w:tcPr/>
          <w:p>
            <w:pPr>
              <w:pStyle w:val="Compact"/>
              <w:jc w:val="left"/>
            </w:pPr>
            <w:r>
              <w:t xml:space="preserve">3</w:t>
            </w:r>
          </w:p>
        </w:tc>
      </w:tr>
      <w:tr>
        <w:tc>
          <w:tcPr/>
          <w:p>
            <w:pPr>
              <w:pStyle w:val="Compact"/>
              <w:jc w:val="left"/>
            </w:pPr>
            <w:r>
              <w:t xml:space="preserve">CA005-Admins-BlockNonTrustedLocations</w:t>
            </w:r>
          </w:p>
        </w:tc>
        <w:tc>
          <w:tcPr/>
          <w:p>
            <w:pPr>
              <w:pStyle w:val="Compact"/>
              <w:jc w:val="left"/>
            </w:pPr>
            <w:r>
              <w:t xml:space="preserve">Admins</w:t>
            </w:r>
          </w:p>
        </w:tc>
        <w:tc>
          <w:tcPr/>
          <w:p>
            <w:pPr>
              <w:pStyle w:val="Compact"/>
              <w:jc w:val="left"/>
            </w:pPr>
            <w:r>
              <w:t xml:space="preserve">All cloud apps, location: NOT Trusted Networks</w:t>
            </w:r>
          </w:p>
        </w:tc>
        <w:tc>
          <w:tcPr/>
          <w:p>
            <w:pPr>
              <w:pStyle w:val="Compact"/>
              <w:jc w:val="left"/>
            </w:pPr>
            <w:r>
              <w:t xml:space="preserve">Block</w:t>
            </w:r>
          </w:p>
        </w:tc>
        <w:tc>
          <w:tcPr/>
          <w:p>
            <w:pPr>
              <w:pStyle w:val="Compact"/>
              <w:jc w:val="left"/>
            </w:pPr>
            <w:r>
              <w:t xml:space="preserve">—</w:t>
            </w:r>
          </w:p>
        </w:tc>
        <w:tc>
          <w:tcPr/>
          <w:p>
            <w:pPr>
              <w:pStyle w:val="Compact"/>
              <w:jc w:val="left"/>
            </w:pPr>
            <w:r>
              <w:t xml:space="preserve">4</w:t>
            </w:r>
          </w:p>
        </w:tc>
      </w:tr>
      <w:tr>
        <w:tc>
          <w:tcPr/>
          <w:p>
            <w:pPr>
              <w:pStyle w:val="Compact"/>
              <w:jc w:val="left"/>
            </w:pPr>
            <w:r>
              <w:t xml:space="preserve">CA006-Internals-RequireMFA</w:t>
            </w:r>
          </w:p>
        </w:tc>
        <w:tc>
          <w:tcPr/>
          <w:p>
            <w:pPr>
              <w:pStyle w:val="Compact"/>
              <w:jc w:val="left"/>
            </w:pPr>
            <w:r>
              <w:t xml:space="preserve">Internals</w:t>
            </w:r>
          </w:p>
        </w:tc>
        <w:tc>
          <w:tcPr/>
          <w:p>
            <w:pPr>
              <w:pStyle w:val="Compact"/>
              <w:jc w:val="left"/>
            </w:pPr>
            <w:r>
              <w:t xml:space="preserve">All cloud apps</w:t>
            </w:r>
          </w:p>
        </w:tc>
        <w:tc>
          <w:tcPr/>
          <w:p>
            <w:pPr>
              <w:pStyle w:val="Compact"/>
              <w:jc w:val="left"/>
            </w:pPr>
            <w:r>
              <w:t xml:space="preserve">Require authentication strength: MFA</w:t>
            </w:r>
          </w:p>
        </w:tc>
        <w:tc>
          <w:tcPr/>
          <w:p>
            <w:pPr>
              <w:pStyle w:val="Compact"/>
              <w:jc w:val="left"/>
            </w:pPr>
            <w:r>
              <w:t xml:space="preserve">Sign-in frequency: 12 hours</w:t>
            </w:r>
          </w:p>
        </w:tc>
        <w:tc>
          <w:tcPr/>
          <w:p>
            <w:pPr>
              <w:pStyle w:val="Compact"/>
              <w:jc w:val="left"/>
            </w:pPr>
            <w:r>
              <w:t xml:space="preserve">5</w:t>
            </w:r>
          </w:p>
        </w:tc>
      </w:tr>
      <w:tr>
        <w:tc>
          <w:tcPr/>
          <w:p>
            <w:pPr>
              <w:pStyle w:val="Compact"/>
              <w:jc w:val="left"/>
            </w:pPr>
            <w:r>
              <w:t xml:space="preserve">CA007-Internals-RequireCompliantOrJoinedDevice</w:t>
            </w:r>
          </w:p>
        </w:tc>
        <w:tc>
          <w:tcPr/>
          <w:p>
            <w:pPr>
              <w:pStyle w:val="Compact"/>
              <w:jc w:val="left"/>
            </w:pPr>
            <w:r>
              <w:t xml:space="preserve">Internals</w:t>
            </w:r>
          </w:p>
        </w:tc>
        <w:tc>
          <w:tcPr/>
          <w:p>
            <w:pPr>
              <w:pStyle w:val="Compact"/>
              <w:jc w:val="left"/>
            </w:pPr>
            <w:r>
              <w:t xml:space="preserve">All cloud apps</w:t>
            </w:r>
          </w:p>
        </w:tc>
        <w:tc>
          <w:tcPr/>
          <w:p>
            <w:pPr>
              <w:pStyle w:val="Compact"/>
              <w:jc w:val="left"/>
            </w:pPr>
            <w:r>
              <w:t xml:space="preserve">Require compliant device OR Hybrid Entra-joined device</w:t>
            </w:r>
          </w:p>
        </w:tc>
        <w:tc>
          <w:tcPr/>
          <w:p>
            <w:pPr>
              <w:pStyle w:val="Compact"/>
              <w:jc w:val="left"/>
            </w:pPr>
            <w:r>
              <w:t xml:space="preserve">—</w:t>
            </w:r>
          </w:p>
        </w:tc>
        <w:tc>
          <w:tcPr/>
          <w:p>
            <w:pPr>
              <w:pStyle w:val="Compact"/>
              <w:jc w:val="left"/>
            </w:pPr>
            <w:r>
              <w:t xml:space="preserve">6</w:t>
            </w:r>
          </w:p>
        </w:tc>
      </w:tr>
      <w:tr>
        <w:tc>
          <w:tcPr/>
          <w:p>
            <w:pPr>
              <w:pStyle w:val="Compact"/>
              <w:jc w:val="left"/>
            </w:pPr>
            <w:r>
              <w:t xml:space="preserve">CA008-Internals-BlockNonUSLocations</w:t>
            </w:r>
          </w:p>
        </w:tc>
        <w:tc>
          <w:tcPr/>
          <w:p>
            <w:pPr>
              <w:pStyle w:val="Compact"/>
              <w:jc w:val="left"/>
            </w:pPr>
            <w:r>
              <w:t xml:space="preserve">Internals</w:t>
            </w:r>
          </w:p>
        </w:tc>
        <w:tc>
          <w:tcPr/>
          <w:p>
            <w:pPr>
              <w:pStyle w:val="Compact"/>
              <w:jc w:val="left"/>
            </w:pPr>
            <w:r>
              <w:t xml:space="preserve">All cloud apps, location: NOT Trusted Countries (US)</w:t>
            </w:r>
          </w:p>
        </w:tc>
        <w:tc>
          <w:tcPr/>
          <w:p>
            <w:pPr>
              <w:pStyle w:val="Compact"/>
              <w:jc w:val="left"/>
            </w:pPr>
            <w:r>
              <w:t xml:space="preserve">Block</w:t>
            </w:r>
          </w:p>
        </w:tc>
        <w:tc>
          <w:tcPr/>
          <w:p>
            <w:pPr>
              <w:pStyle w:val="Compact"/>
              <w:jc w:val="left"/>
            </w:pPr>
            <w:r>
              <w:t xml:space="preserve">—</w:t>
            </w:r>
          </w:p>
        </w:tc>
        <w:tc>
          <w:tcPr/>
          <w:p>
            <w:pPr>
              <w:pStyle w:val="Compact"/>
              <w:jc w:val="left"/>
            </w:pPr>
            <w:r>
              <w:t xml:space="preserve">7</w:t>
            </w:r>
          </w:p>
        </w:tc>
      </w:tr>
      <w:tr>
        <w:tc>
          <w:tcPr/>
          <w:p>
            <w:pPr>
              <w:pStyle w:val="Compact"/>
              <w:jc w:val="left"/>
            </w:pPr>
            <w:r>
              <w:t xml:space="preserve">CA009-Externals-RequireMFA</w:t>
            </w:r>
          </w:p>
        </w:tc>
        <w:tc>
          <w:tcPr/>
          <w:p>
            <w:pPr>
              <w:pStyle w:val="Compact"/>
              <w:jc w:val="left"/>
            </w:pPr>
            <w:r>
              <w:t xml:space="preserve">Externals</w:t>
            </w:r>
          </w:p>
        </w:tc>
        <w:tc>
          <w:tcPr/>
          <w:p>
            <w:pPr>
              <w:pStyle w:val="Compact"/>
              <w:jc w:val="left"/>
            </w:pPr>
            <w:r>
              <w:t xml:space="preserve">All cloud apps</w:t>
            </w:r>
          </w:p>
        </w:tc>
        <w:tc>
          <w:tcPr/>
          <w:p>
            <w:pPr>
              <w:pStyle w:val="Compact"/>
              <w:jc w:val="left"/>
            </w:pPr>
            <w:r>
              <w:t xml:space="preserve">Require authentication strength: MFA</w:t>
            </w:r>
          </w:p>
        </w:tc>
        <w:tc>
          <w:tcPr/>
          <w:p>
            <w:pPr>
              <w:pStyle w:val="Compact"/>
              <w:jc w:val="left"/>
            </w:pPr>
            <w:r>
              <w:t xml:space="preserve">Sign-in frequency: 8 hours</w:t>
            </w:r>
          </w:p>
        </w:tc>
        <w:tc>
          <w:tcPr/>
          <w:p>
            <w:pPr>
              <w:pStyle w:val="Compact"/>
              <w:jc w:val="left"/>
            </w:pPr>
            <w:r>
              <w:t xml:space="preserve">8</w:t>
            </w:r>
          </w:p>
        </w:tc>
      </w:tr>
      <w:tr>
        <w:tc>
          <w:tcPr/>
          <w:p>
            <w:pPr>
              <w:pStyle w:val="Compact"/>
              <w:jc w:val="left"/>
            </w:pPr>
            <w:r>
              <w:t xml:space="preserve">CA010-Externals-RequireToU</w:t>
            </w:r>
          </w:p>
        </w:tc>
        <w:tc>
          <w:tcPr/>
          <w:p>
            <w:pPr>
              <w:pStyle w:val="Compact"/>
              <w:jc w:val="left"/>
            </w:pPr>
            <w:r>
              <w:t xml:space="preserve">Externals</w:t>
            </w:r>
          </w:p>
        </w:tc>
        <w:tc>
          <w:tcPr/>
          <w:p>
            <w:pPr>
              <w:pStyle w:val="Compact"/>
              <w:jc w:val="left"/>
            </w:pPr>
            <w:r>
              <w:t xml:space="preserve">All cloud apps</w:t>
            </w:r>
          </w:p>
        </w:tc>
        <w:tc>
          <w:tcPr/>
          <w:p>
            <w:pPr>
              <w:pStyle w:val="Compact"/>
              <w:jc w:val="left"/>
            </w:pPr>
            <w:r>
              <w:t xml:space="preserve">Require Terms of Use acceptance</w:t>
            </w:r>
          </w:p>
        </w:tc>
        <w:tc>
          <w:tcPr/>
          <w:p>
            <w:pPr>
              <w:pStyle w:val="Compact"/>
              <w:jc w:val="left"/>
            </w:pPr>
            <w:r>
              <w:t xml:space="preserve">—</w:t>
            </w:r>
          </w:p>
        </w:tc>
        <w:tc>
          <w:tcPr/>
          <w:p>
            <w:pPr>
              <w:pStyle w:val="Compact"/>
              <w:jc w:val="left"/>
            </w:pPr>
            <w:r>
              <w:t xml:space="preserve">9</w:t>
            </w:r>
          </w:p>
        </w:tc>
      </w:tr>
      <w:tr>
        <w:tc>
          <w:tcPr/>
          <w:p>
            <w:pPr>
              <w:pStyle w:val="Compact"/>
              <w:jc w:val="left"/>
            </w:pPr>
            <w:r>
              <w:t xml:space="preserve">CA011-Guests-LimitedAppAccess</w:t>
            </w:r>
          </w:p>
        </w:tc>
        <w:tc>
          <w:tcPr/>
          <w:p>
            <w:pPr>
              <w:pStyle w:val="Compact"/>
              <w:jc w:val="left"/>
            </w:pPr>
            <w:r>
              <w:t xml:space="preserve">Guests</w:t>
            </w:r>
          </w:p>
        </w:tc>
        <w:tc>
          <w:tcPr/>
          <w:p>
            <w:pPr>
              <w:pStyle w:val="Compact"/>
              <w:jc w:val="left"/>
            </w:pPr>
            <w:r>
              <w:t xml:space="preserve">Specific apps only (SharePoint, Teams)</w:t>
            </w:r>
          </w:p>
        </w:tc>
        <w:tc>
          <w:tcPr/>
          <w:p>
            <w:pPr>
              <w:pStyle w:val="Compact"/>
              <w:jc w:val="left"/>
            </w:pPr>
            <w:r>
              <w:t xml:space="preserve">Require MFA + Terms of Use</w:t>
            </w:r>
          </w:p>
        </w:tc>
        <w:tc>
          <w:tcPr/>
          <w:p>
            <w:pPr>
              <w:pStyle w:val="Compact"/>
              <w:jc w:val="left"/>
            </w:pPr>
            <w:r>
              <w:t xml:space="preserve">App-enforced restrictions, sign-in frequency: 1 hour</w:t>
            </w:r>
          </w:p>
        </w:tc>
        <w:tc>
          <w:tcPr/>
          <w:p>
            <w:pPr>
              <w:pStyle w:val="Compact"/>
              <w:jc w:val="left"/>
            </w:pPr>
            <w:r>
              <w:t xml:space="preserve">10</w:t>
            </w:r>
          </w:p>
        </w:tc>
      </w:tr>
      <w:tr>
        <w:tc>
          <w:tcPr/>
          <w:p>
            <w:pPr>
              <w:pStyle w:val="Compact"/>
              <w:jc w:val="left"/>
            </w:pPr>
            <w:r>
              <w:t xml:space="preserve">CA012-Guests-BlockHighRisk</w:t>
            </w:r>
          </w:p>
        </w:tc>
        <w:tc>
          <w:tcPr/>
          <w:p>
            <w:pPr>
              <w:pStyle w:val="Compact"/>
              <w:jc w:val="left"/>
            </w:pPr>
            <w:r>
              <w:t xml:space="preserve">Guests</w:t>
            </w:r>
          </w:p>
        </w:tc>
        <w:tc>
          <w:tcPr/>
          <w:p>
            <w:pPr>
              <w:pStyle w:val="Compact"/>
              <w:jc w:val="left"/>
            </w:pPr>
            <w:r>
              <w:t xml:space="preserve">User risk: High</w:t>
            </w:r>
          </w:p>
        </w:tc>
        <w:tc>
          <w:tcPr/>
          <w:p>
            <w:pPr>
              <w:pStyle w:val="Compact"/>
              <w:jc w:val="left"/>
            </w:pPr>
            <w:r>
              <w:t xml:space="preserve">Block</w:t>
            </w:r>
          </w:p>
        </w:tc>
        <w:tc>
          <w:tcPr/>
          <w:p>
            <w:pPr>
              <w:pStyle w:val="Compact"/>
              <w:jc w:val="left"/>
            </w:pPr>
            <w:r>
              <w:t xml:space="preserve">—</w:t>
            </w:r>
          </w:p>
        </w:tc>
        <w:tc>
          <w:tcPr/>
          <w:p>
            <w:pPr>
              <w:pStyle w:val="Compact"/>
              <w:jc w:val="left"/>
            </w:pPr>
            <w:r>
              <w:t xml:space="preserve">11</w:t>
            </w:r>
          </w:p>
        </w:tc>
      </w:tr>
      <w:tr>
        <w:tc>
          <w:tcPr/>
          <w:p>
            <w:pPr>
              <w:pStyle w:val="Compact"/>
              <w:jc w:val="left"/>
            </w:pPr>
            <w:r>
              <w:t xml:space="preserve">CA013-AllUsers-HighRisk-RequirePasswordChange</w:t>
            </w:r>
          </w:p>
        </w:tc>
        <w:tc>
          <w:tcPr/>
          <w:p>
            <w:pPr>
              <w:pStyle w:val="Compact"/>
              <w:jc w:val="left"/>
            </w:pPr>
            <w:r>
              <w:t xml:space="preserve">All Users</w:t>
            </w:r>
          </w:p>
        </w:tc>
        <w:tc>
          <w:tcPr/>
          <w:p>
            <w:pPr>
              <w:pStyle w:val="Compact"/>
              <w:jc w:val="left"/>
            </w:pPr>
            <w:r>
              <w:t xml:space="preserve">User risk: High</w:t>
            </w:r>
          </w:p>
        </w:tc>
        <w:tc>
          <w:tcPr/>
          <w:p>
            <w:pPr>
              <w:pStyle w:val="Compact"/>
              <w:jc w:val="left"/>
            </w:pPr>
            <w:r>
              <w:t xml:space="preserve">Require password change + MFA</w:t>
            </w:r>
          </w:p>
        </w:tc>
        <w:tc>
          <w:tcPr/>
          <w:p>
            <w:pPr>
              <w:pStyle w:val="Compact"/>
              <w:jc w:val="left"/>
            </w:pPr>
            <w:r>
              <w:t xml:space="preserve">—</w:t>
            </w:r>
          </w:p>
        </w:tc>
        <w:tc>
          <w:tcPr/>
          <w:p>
            <w:pPr>
              <w:pStyle w:val="Compact"/>
              <w:jc w:val="left"/>
            </w:pPr>
            <w:r>
              <w:t xml:space="preserve">12</w:t>
            </w:r>
          </w:p>
        </w:tc>
      </w:tr>
      <w:tr>
        <w:tc>
          <w:tcPr/>
          <w:p>
            <w:pPr>
              <w:pStyle w:val="Compact"/>
              <w:jc w:val="left"/>
            </w:pPr>
            <w:r>
              <w:t xml:space="preserve">CA014-AllUsers-MediumRisk-RequireMFA</w:t>
            </w:r>
          </w:p>
        </w:tc>
        <w:tc>
          <w:tcPr/>
          <w:p>
            <w:pPr>
              <w:pStyle w:val="Compact"/>
              <w:jc w:val="left"/>
            </w:pPr>
            <w:r>
              <w:t xml:space="preserve">All Users</w:t>
            </w:r>
          </w:p>
        </w:tc>
        <w:tc>
          <w:tcPr/>
          <w:p>
            <w:pPr>
              <w:pStyle w:val="Compact"/>
              <w:jc w:val="left"/>
            </w:pPr>
            <w:r>
              <w:t xml:space="preserve">Sign-in risk: Medium or High</w:t>
            </w:r>
          </w:p>
        </w:tc>
        <w:tc>
          <w:tcPr/>
          <w:p>
            <w:pPr>
              <w:pStyle w:val="Compact"/>
              <w:jc w:val="left"/>
            </w:pPr>
            <w:r>
              <w:t xml:space="preserve">Require authentication strength: MFA</w:t>
            </w:r>
          </w:p>
        </w:tc>
        <w:tc>
          <w:tcPr/>
          <w:p>
            <w:pPr>
              <w:pStyle w:val="Compact"/>
              <w:jc w:val="left"/>
            </w:pPr>
            <w:r>
              <w:t xml:space="preserve">—</w:t>
            </w:r>
          </w:p>
        </w:tc>
        <w:tc>
          <w:tcPr/>
          <w:p>
            <w:pPr>
              <w:pStyle w:val="Compact"/>
              <w:jc w:val="left"/>
            </w:pPr>
            <w:r>
              <w:t xml:space="preserve">13</w:t>
            </w:r>
          </w:p>
        </w:tc>
      </w:tr>
      <w:tr>
        <w:tc>
          <w:tcPr/>
          <w:p>
            <w:pPr>
              <w:pStyle w:val="Compact"/>
              <w:jc w:val="left"/>
            </w:pPr>
            <w:r>
              <w:t xml:space="preserve">CA015-ServiceAccounts-LocationRestriction</w:t>
            </w:r>
          </w:p>
        </w:tc>
        <w:tc>
          <w:tcPr/>
          <w:p>
            <w:pPr>
              <w:pStyle w:val="Compact"/>
              <w:jc w:val="left"/>
            </w:pPr>
            <w:r>
              <w:t xml:space="preserve">Service Accounts</w:t>
            </w:r>
          </w:p>
        </w:tc>
        <w:tc>
          <w:tcPr/>
          <w:p>
            <w:pPr>
              <w:pStyle w:val="Compact"/>
              <w:jc w:val="left"/>
            </w:pPr>
            <w:r>
              <w:t xml:space="preserve">Workload identities, location: NOT Trusted Networks</w:t>
            </w:r>
          </w:p>
        </w:tc>
        <w:tc>
          <w:tcPr/>
          <w:p>
            <w:pPr>
              <w:pStyle w:val="Compact"/>
              <w:jc w:val="left"/>
            </w:pPr>
            <w:r>
              <w:t xml:space="preserve">Block</w:t>
            </w:r>
          </w:p>
        </w:tc>
        <w:tc>
          <w:tcPr/>
          <w:p>
            <w:pPr>
              <w:pStyle w:val="Compact"/>
              <w:jc w:val="left"/>
            </w:pPr>
            <w:r>
              <w:t xml:space="preserve">—</w:t>
            </w:r>
          </w:p>
        </w:tc>
        <w:tc>
          <w:tcPr/>
          <w:p>
            <w:pPr>
              <w:pStyle w:val="Compact"/>
              <w:jc w:val="left"/>
            </w:pPr>
            <w:r>
              <w:t xml:space="preserve">14</w:t>
            </w:r>
          </w:p>
        </w:tc>
      </w:tr>
      <w:tr>
        <w:tc>
          <w:tcPr/>
          <w:p>
            <w:pPr>
              <w:pStyle w:val="Compact"/>
              <w:jc w:val="left"/>
            </w:pPr>
            <w:r>
              <w:t xml:space="preserve">CA016-AllUsers-RequireCompliantDevice-OfficeApps</w:t>
            </w:r>
          </w:p>
        </w:tc>
        <w:tc>
          <w:tcPr/>
          <w:p>
            <w:pPr>
              <w:pStyle w:val="Compact"/>
              <w:jc w:val="left"/>
            </w:pPr>
            <w:r>
              <w:t xml:space="preserve">All Users</w:t>
            </w:r>
          </w:p>
        </w:tc>
        <w:tc>
          <w:tcPr/>
          <w:p>
            <w:pPr>
              <w:pStyle w:val="Compact"/>
              <w:jc w:val="left"/>
            </w:pPr>
            <w:r>
              <w:t xml:space="preserve">Office 365 apps, device platform: Windows, macOS</w:t>
            </w:r>
          </w:p>
        </w:tc>
        <w:tc>
          <w:tcPr/>
          <w:p>
            <w:pPr>
              <w:pStyle w:val="Compact"/>
              <w:jc w:val="left"/>
            </w:pPr>
            <w:r>
              <w:t xml:space="preserve">Require compliant device</w:t>
            </w:r>
          </w:p>
        </w:tc>
        <w:tc>
          <w:tcPr/>
          <w:p>
            <w:pPr>
              <w:pStyle w:val="Compact"/>
              <w:jc w:val="left"/>
            </w:pPr>
            <w:r>
              <w:t xml:space="preserve">—</w:t>
            </w:r>
          </w:p>
        </w:tc>
        <w:tc>
          <w:tcPr/>
          <w:p>
            <w:pPr>
              <w:pStyle w:val="Compact"/>
              <w:jc w:val="left"/>
            </w:pPr>
            <w:r>
              <w:t xml:space="preserve">15</w:t>
            </w:r>
          </w:p>
        </w:tc>
      </w:tr>
      <w:tr>
        <w:tc>
          <w:tcPr/>
          <w:p>
            <w:pPr>
              <w:pStyle w:val="Compact"/>
              <w:jc w:val="left"/>
            </w:pPr>
            <w:r>
              <w:t xml:space="preserve">CA017-Internals-AppProtection-Mobile</w:t>
            </w:r>
          </w:p>
        </w:tc>
        <w:tc>
          <w:tcPr/>
          <w:p>
            <w:pPr>
              <w:pStyle w:val="Compact"/>
              <w:jc w:val="left"/>
            </w:pPr>
            <w:r>
              <w:t xml:space="preserve">Internals</w:t>
            </w:r>
          </w:p>
        </w:tc>
        <w:tc>
          <w:tcPr/>
          <w:p>
            <w:pPr>
              <w:pStyle w:val="Compact"/>
              <w:jc w:val="left"/>
            </w:pPr>
            <w:r>
              <w:t xml:space="preserve">Office 365 apps, device platform: iOS, Android</w:t>
            </w:r>
          </w:p>
        </w:tc>
        <w:tc>
          <w:tcPr/>
          <w:p>
            <w:pPr>
              <w:pStyle w:val="Compact"/>
              <w:jc w:val="left"/>
            </w:pPr>
            <w:r>
              <w:t xml:space="preserve">Require approved client app or app protection policy</w:t>
            </w:r>
          </w:p>
        </w:tc>
        <w:tc>
          <w:tcPr/>
          <w:p>
            <w:pPr>
              <w:pStyle w:val="Compact"/>
              <w:jc w:val="left"/>
            </w:pPr>
            <w:r>
              <w:t xml:space="preserve">—</w:t>
            </w:r>
          </w:p>
        </w:tc>
        <w:tc>
          <w:tcPr/>
          <w:p>
            <w:pPr>
              <w:pStyle w:val="Compact"/>
              <w:jc w:val="left"/>
            </w:pPr>
            <w:r>
              <w:t xml:space="preserve">16</w:t>
            </w:r>
          </w:p>
        </w:tc>
      </w:tr>
    </w:tbl>
    <w:p>
      <w:pPr>
        <w:pStyle w:val="BodyText"/>
      </w:pPr>
      <w:r>
        <w:t xml:space="preserve">8.6 Testing Methodology</w:t>
      </w:r>
    </w:p>
    <w:p>
      <w:pPr>
        <w:pStyle w:val="BodyText"/>
      </w:pPr>
      <w:r>
        <w:t xml:space="preserve">Conditional Access policy deployment follows a three-phase testing methodology to minimize user disruption:</w:t>
      </w:r>
    </w:p>
    <w:p>
      <w:pPr>
        <w:numPr>
          <w:ilvl w:val="0"/>
          <w:numId w:val="1232"/>
        </w:numPr>
      </w:pPr>
      <w:r>
        <w:rPr>
          <w:b/>
          <w:bCs/>
        </w:rPr>
        <w:t xml:space="preserve">Report-Only Mode (2–4 weeks):</w:t>
      </w:r>
      <w:r>
        <w:t xml:space="preserve"> </w:t>
      </w:r>
      <w:r>
        <w:t xml:space="preserve">Deploy all policies in report-only mode. Monitor the CA insights workbook to identify users and sign-ins that would be affected. Remediate false positives (e.g., users without MFA registration, non-compliant devices).</w:t>
      </w:r>
    </w:p>
    <w:p>
      <w:pPr>
        <w:numPr>
          <w:ilvl w:val="0"/>
          <w:numId w:val="1232"/>
        </w:numPr>
      </w:pPr>
      <w:r>
        <w:rPr>
          <w:b/>
          <w:bCs/>
        </w:rPr>
        <w:t xml:space="preserve">Targeted Pilot (2 weeks):</w:t>
      </w:r>
      <w:r>
        <w:t xml:space="preserve"> </w:t>
      </w:r>
      <w:r>
        <w:t xml:space="preserve">Switch policies from report-only to on, targeting a pilot group (e.g., IT department). Monitor helpdesk ticket volume and sign-in failure rates. Adjust policy conditions as needed.</w:t>
      </w:r>
    </w:p>
    <w:p>
      <w:pPr>
        <w:numPr>
          <w:ilvl w:val="0"/>
          <w:numId w:val="1232"/>
        </w:numPr>
      </w:pPr>
      <w:r>
        <w:rPr>
          <w:b/>
          <w:bCs/>
        </w:rPr>
        <w:t xml:space="preserve">Phased Rollout (4–8 weeks):</w:t>
      </w:r>
      <w:r>
        <w:t xml:space="preserve"> </w:t>
      </w:r>
      <w:r>
        <w:t xml:space="preserve">Expand policy targeting in waves: Wave 1 — IT and Security teams; Wave 2 — corporate staff; Wave 3 — field/remote workers; Wave 4 — all users. Each wave runs for 1–2 weeks with monitoring gates.</w:t>
      </w:r>
    </w:p>
    <w:tbl>
      <w:tblPr>
        <w:tblStyle w:val="Table"/>
        <w:tblW w:type="pct" w:w="5017"/>
        <w:tblLayout w:type="fixed"/>
        <w:tblLook w:firstRow="0" w:lastRow="0" w:firstColumn="0" w:lastColumn="0" w:noHBand="0" w:noVBand="0" w:val="0000"/>
      </w:tblPr>
      <w:tblGrid>
        <w:gridCol w:w="7947"/>
      </w:tblGrid>
      <w:tr>
        <w:tc>
          <w:tcPr/>
          <w:p>
            <w:pPr>
              <w:pStyle w:val="FirstParagraph"/>
            </w:pPr>
            <w:r>
              <w:rPr>
                <w:b/>
                <w:bCs/>
              </w:rPr>
              <w:t xml:space="preserve">CRITICAL</w:t>
            </w:r>
          </w:p>
          <w:p>
            <w:pPr>
              <w:pStyle w:val="BodyText"/>
            </w:pPr>
            <w:r>
              <w:t xml:space="preserve">Never deploy Conditional Access policies directly to "All Users" without a report-only evaluation period. A misconfigured CA policy can lock out the entire organization, including administrators. Always verify that break-glass accounts are excluded from all policies before enforcement.</w:t>
            </w:r>
          </w:p>
        </w:tc>
      </w:tr>
    </w:tbl>
    <w:p>
      <w:pPr>
        <w:pStyle w:val="BodyText"/>
      </w:pPr>
      <w:r>
        <w:t xml:space="preserve">9. Identity Governance and Lifecycle</w:t>
      </w:r>
    </w:p>
    <w:p>
      <w:pPr>
        <w:pStyle w:val="BodyText"/>
      </w:pPr>
      <w:r>
        <w:t xml:space="preserve">9.1 Access Reviews</w:t>
      </w:r>
    </w:p>
    <w:p>
      <w:pPr>
        <w:pStyle w:val="BodyText"/>
      </w:pPr>
      <w:r>
        <w:t xml:space="preserve">Access reviews provide periodic attestation that users still require the access they hold. The Federal Modernization Program mandates the following access review schedule:</w:t>
      </w:r>
    </w:p>
    <w:tbl>
      <w:tblPr>
        <w:tblStyle w:val="Table"/>
        <w:tblW w:type="pct" w:w="4939"/>
        <w:tblLayout w:type="fixed"/>
        <w:tblLook w:firstRow="1" w:lastRow="0" w:firstColumn="0" w:lastColumn="0" w:noHBand="0" w:noVBand="0" w:val="0020"/>
      </w:tblPr>
      <w:tblGrid>
        <w:gridCol w:w="1992"/>
        <w:gridCol w:w="777"/>
        <w:gridCol w:w="2526"/>
        <w:gridCol w:w="1360"/>
        <w:gridCol w:w="1166"/>
      </w:tblGrid>
      <w:tr>
        <w:trPr>
          <w:tblHeader w:val="on"/>
        </w:trPr>
        <w:tc>
          <w:tcPr/>
          <w:p>
            <w:pPr>
              <w:pStyle w:val="Compact"/>
              <w:jc w:val="left"/>
            </w:pPr>
            <w:r>
              <w:rPr>
                <w:b/>
                <w:bCs/>
              </w:rPr>
              <w:t xml:space="preserve">Review Target</w:t>
            </w:r>
          </w:p>
        </w:tc>
        <w:tc>
          <w:tcPr/>
          <w:p>
            <w:pPr>
              <w:pStyle w:val="Compact"/>
              <w:jc w:val="left"/>
            </w:pPr>
            <w:r>
              <w:rPr>
                <w:b/>
                <w:bCs/>
              </w:rPr>
              <w:t xml:space="preserve">Frequency</w:t>
            </w:r>
          </w:p>
        </w:tc>
        <w:tc>
          <w:tcPr/>
          <w:p>
            <w:pPr>
              <w:pStyle w:val="Compact"/>
              <w:jc w:val="left"/>
            </w:pPr>
            <w:r>
              <w:rPr>
                <w:b/>
                <w:bCs/>
              </w:rPr>
              <w:t xml:space="preserve">Reviewers</w:t>
            </w:r>
          </w:p>
        </w:tc>
        <w:tc>
          <w:tcPr/>
          <w:p>
            <w:pPr>
              <w:pStyle w:val="Compact"/>
              <w:jc w:val="left"/>
            </w:pPr>
            <w:r>
              <w:rPr>
                <w:b/>
                <w:bCs/>
              </w:rPr>
              <w:t xml:space="preserve">Auto-Apply</w:t>
            </w:r>
          </w:p>
        </w:tc>
        <w:tc>
          <w:tcPr/>
          <w:p>
            <w:pPr>
              <w:pStyle w:val="Compact"/>
              <w:jc w:val="left"/>
            </w:pPr>
            <w:r>
              <w:rPr>
                <w:b/>
                <w:bCs/>
              </w:rPr>
              <w:t xml:space="preserve">If No Response</w:t>
            </w:r>
          </w:p>
        </w:tc>
      </w:tr>
      <w:tr>
        <w:tc>
          <w:tcPr/>
          <w:p>
            <w:pPr>
              <w:pStyle w:val="Compact"/>
              <w:jc w:val="left"/>
            </w:pPr>
            <w:r>
              <w:t xml:space="preserve">PIM-eligible role assignments</w:t>
            </w:r>
          </w:p>
        </w:tc>
        <w:tc>
          <w:tcPr/>
          <w:p>
            <w:pPr>
              <w:pStyle w:val="Compact"/>
              <w:jc w:val="left"/>
            </w:pPr>
            <w:r>
              <w:t xml:space="preserve">Quarterly</w:t>
            </w:r>
          </w:p>
        </w:tc>
        <w:tc>
          <w:tcPr/>
          <w:p>
            <w:pPr>
              <w:pStyle w:val="Compact"/>
              <w:jc w:val="left"/>
            </w:pPr>
            <w:r>
              <w:t xml:space="preserve">Role assignees (self-attestation) + Security team</w:t>
            </w:r>
          </w:p>
        </w:tc>
        <w:tc>
          <w:tcPr/>
          <w:p>
            <w:pPr>
              <w:pStyle w:val="Compact"/>
              <w:jc w:val="left"/>
            </w:pPr>
            <w:r>
              <w:t xml:space="preserve">Yes — remove if denied</w:t>
            </w:r>
          </w:p>
        </w:tc>
        <w:tc>
          <w:tcPr/>
          <w:p>
            <w:pPr>
              <w:pStyle w:val="Compact"/>
              <w:jc w:val="left"/>
            </w:pPr>
            <w:r>
              <w:t xml:space="preserve">Remove access</w:t>
            </w:r>
          </w:p>
        </w:tc>
      </w:tr>
      <w:tr>
        <w:tc>
          <w:tcPr/>
          <w:p>
            <w:pPr>
              <w:pStyle w:val="Compact"/>
              <w:jc w:val="left"/>
            </w:pPr>
            <w:r>
              <w:t xml:space="preserve">Security group memberships (sensitive)</w:t>
            </w:r>
          </w:p>
        </w:tc>
        <w:tc>
          <w:tcPr/>
          <w:p>
            <w:pPr>
              <w:pStyle w:val="Compact"/>
              <w:jc w:val="left"/>
            </w:pPr>
            <w:r>
              <w:t xml:space="preserve">Quarterly</w:t>
            </w:r>
          </w:p>
        </w:tc>
        <w:tc>
          <w:tcPr/>
          <w:p>
            <w:pPr>
              <w:pStyle w:val="Compact"/>
              <w:jc w:val="left"/>
            </w:pPr>
            <w:r>
              <w:t xml:space="preserve">Group owners</w:t>
            </w:r>
          </w:p>
        </w:tc>
        <w:tc>
          <w:tcPr/>
          <w:p>
            <w:pPr>
              <w:pStyle w:val="Compact"/>
              <w:jc w:val="left"/>
            </w:pPr>
            <w:r>
              <w:t xml:space="preserve">Yes — remove if denied</w:t>
            </w:r>
          </w:p>
        </w:tc>
        <w:tc>
          <w:tcPr/>
          <w:p>
            <w:pPr>
              <w:pStyle w:val="Compact"/>
              <w:jc w:val="left"/>
            </w:pPr>
            <w:r>
              <w:t xml:space="preserve">Remove access</w:t>
            </w:r>
          </w:p>
        </w:tc>
      </w:tr>
      <w:tr>
        <w:tc>
          <w:tcPr/>
          <w:p>
            <w:pPr>
              <w:pStyle w:val="Compact"/>
              <w:jc w:val="left"/>
            </w:pPr>
            <w:r>
              <w:t xml:space="preserve">Application assignments (Tier 1 apps)</w:t>
            </w:r>
          </w:p>
        </w:tc>
        <w:tc>
          <w:tcPr/>
          <w:p>
            <w:pPr>
              <w:pStyle w:val="Compact"/>
              <w:jc w:val="left"/>
            </w:pPr>
            <w:r>
              <w:t xml:space="preserve">Semi-annually</w:t>
            </w:r>
          </w:p>
        </w:tc>
        <w:tc>
          <w:tcPr/>
          <w:p>
            <w:pPr>
              <w:pStyle w:val="Compact"/>
              <w:jc w:val="left"/>
            </w:pPr>
            <w:r>
              <w:t xml:space="preserve">Application owners</w:t>
            </w:r>
          </w:p>
        </w:tc>
        <w:tc>
          <w:tcPr/>
          <w:p>
            <w:pPr>
              <w:pStyle w:val="Compact"/>
              <w:jc w:val="left"/>
            </w:pPr>
            <w:r>
              <w:t xml:space="preserve">Yes — remove if denied</w:t>
            </w:r>
          </w:p>
        </w:tc>
        <w:tc>
          <w:tcPr/>
          <w:p>
            <w:pPr>
              <w:pStyle w:val="Compact"/>
              <w:jc w:val="left"/>
            </w:pPr>
            <w:r>
              <w:t xml:space="preserve">No change (escalate)</w:t>
            </w:r>
          </w:p>
        </w:tc>
      </w:tr>
      <w:tr>
        <w:tc>
          <w:tcPr/>
          <w:p>
            <w:pPr>
              <w:pStyle w:val="Compact"/>
              <w:jc w:val="left"/>
            </w:pPr>
            <w:r>
              <w:t xml:space="preserve">Guest user access</w:t>
            </w:r>
          </w:p>
        </w:tc>
        <w:tc>
          <w:tcPr/>
          <w:p>
            <w:pPr>
              <w:pStyle w:val="Compact"/>
              <w:jc w:val="left"/>
            </w:pPr>
            <w:r>
              <w:t xml:space="preserve">Quarterly</w:t>
            </w:r>
          </w:p>
        </w:tc>
        <w:tc>
          <w:tcPr/>
          <w:p>
            <w:pPr>
              <w:pStyle w:val="Compact"/>
              <w:jc w:val="left"/>
            </w:pPr>
            <w:r>
              <w:t xml:space="preserve">Sponsors (inviting users)</w:t>
            </w:r>
          </w:p>
        </w:tc>
        <w:tc>
          <w:tcPr/>
          <w:p>
            <w:pPr>
              <w:pStyle w:val="Compact"/>
              <w:jc w:val="left"/>
            </w:pPr>
            <w:r>
              <w:t xml:space="preserve">Yes — disable if denied</w:t>
            </w:r>
          </w:p>
        </w:tc>
        <w:tc>
          <w:tcPr/>
          <w:p>
            <w:pPr>
              <w:pStyle w:val="Compact"/>
              <w:jc w:val="left"/>
            </w:pPr>
            <w:r>
              <w:t xml:space="preserve">Disable guest account</w:t>
            </w:r>
          </w:p>
        </w:tc>
      </w:tr>
      <w:tr>
        <w:tc>
          <w:tcPr/>
          <w:p>
            <w:pPr>
              <w:pStyle w:val="Compact"/>
              <w:jc w:val="left"/>
            </w:pPr>
            <w:r>
              <w:t xml:space="preserve">M365 Group memberships</w:t>
            </w:r>
          </w:p>
        </w:tc>
        <w:tc>
          <w:tcPr/>
          <w:p>
            <w:pPr>
              <w:pStyle w:val="Compact"/>
              <w:jc w:val="left"/>
            </w:pPr>
            <w:r>
              <w:t xml:space="preserve">Semi-annually</w:t>
            </w:r>
          </w:p>
        </w:tc>
        <w:tc>
          <w:tcPr/>
          <w:p>
            <w:pPr>
              <w:pStyle w:val="Compact"/>
              <w:jc w:val="left"/>
            </w:pPr>
            <w:r>
              <w:t xml:space="preserve">Group owners</w:t>
            </w:r>
          </w:p>
        </w:tc>
        <w:tc>
          <w:tcPr/>
          <w:p>
            <w:pPr>
              <w:pStyle w:val="Compact"/>
              <w:jc w:val="left"/>
            </w:pPr>
            <w:r>
              <w:t xml:space="preserve">No (recommendation only)</w:t>
            </w:r>
          </w:p>
        </w:tc>
        <w:tc>
          <w:tcPr/>
          <w:p>
            <w:pPr>
              <w:pStyle w:val="Compact"/>
              <w:jc w:val="left"/>
            </w:pPr>
            <w:r>
              <w:t xml:space="preserve">No change</w:t>
            </w:r>
          </w:p>
        </w:tc>
      </w:tr>
    </w:tbl>
    <w:p>
      <w:pPr>
        <w:pStyle w:val="BodyText"/>
      </w:pPr>
      <w:r>
        <w:t xml:space="preserve">9.2 Entitlement Management — Access Packages</w:t>
      </w:r>
    </w:p>
    <w:p>
      <w:pPr>
        <w:pStyle w:val="BodyText"/>
      </w:pPr>
      <w:r>
        <w:t xml:space="preserve">Access packages bundle resources (group memberships, app assignments, SharePoint site access) into requestable units. They replace the AD delegation model of "submit a ticket for group membership" with a self-service, governed workflow.</w:t>
      </w:r>
    </w:p>
    <w:p>
      <w:pPr>
        <w:pStyle w:val="BodyText"/>
      </w:pPr>
      <w:r>
        <w:rPr>
          <w:b/>
          <w:bCs/>
        </w:rPr>
        <w:t xml:space="preserve">Access package categories:</w:t>
      </w:r>
    </w:p>
    <w:p>
      <w:pPr>
        <w:numPr>
          <w:ilvl w:val="0"/>
          <w:numId w:val="1233"/>
        </w:numPr>
      </w:pPr>
      <w:r>
        <w:rPr>
          <w:b/>
          <w:bCs/>
        </w:rPr>
        <w:t xml:space="preserve">Onboarding packages:</w:t>
      </w:r>
      <w:r>
        <w:t xml:space="preserve"> </w:t>
      </w:r>
      <w:r>
        <w:t xml:space="preserve">Baseline access for new hires — email, Teams, SharePoint home site, company-wide groups. Auto-assigned via lifecycle workflow on hire date.</w:t>
      </w:r>
    </w:p>
    <w:p>
      <w:pPr>
        <w:numPr>
          <w:ilvl w:val="0"/>
          <w:numId w:val="1233"/>
        </w:numPr>
      </w:pPr>
      <w:r>
        <w:rPr>
          <w:b/>
          <w:bCs/>
        </w:rPr>
        <w:t xml:space="preserve">Department packages:</w:t>
      </w:r>
      <w:r>
        <w:t xml:space="preserve"> </w:t>
      </w:r>
      <w:r>
        <w:t xml:space="preserve">Department-specific resources — SharePoint sites, Teams channels, line-of-business applications. Assigned based on the Department attribute.</w:t>
      </w:r>
    </w:p>
    <w:p>
      <w:pPr>
        <w:numPr>
          <w:ilvl w:val="0"/>
          <w:numId w:val="1233"/>
        </w:numPr>
      </w:pPr>
      <w:r>
        <w:rPr>
          <w:b/>
          <w:bCs/>
        </w:rPr>
        <w:t xml:space="preserve">Project packages:</w:t>
      </w:r>
      <w:r>
        <w:t xml:space="preserve"> </w:t>
      </w:r>
      <w:r>
        <w:t xml:space="preserve">Time-bound access for project participation. Requires approval from project lead. Auto-expires at project end date.</w:t>
      </w:r>
    </w:p>
    <w:p>
      <w:pPr>
        <w:numPr>
          <w:ilvl w:val="0"/>
          <w:numId w:val="1233"/>
        </w:numPr>
      </w:pPr>
      <w:r>
        <w:rPr>
          <w:b/>
          <w:bCs/>
        </w:rPr>
        <w:t xml:space="preserve">Cross-tenant packages:</w:t>
      </w:r>
      <w:r>
        <w:t xml:space="preserve"> </w:t>
      </w:r>
      <w:r>
        <w:t xml:space="preserve">Resources shared with external partner organizations via B2B collaboration. Requires Terms of Use acceptance and sponsor approval.</w:t>
      </w:r>
    </w:p>
    <w:p>
      <w:pPr>
        <w:pStyle w:val="FirstParagraph"/>
      </w:pPr>
      <w:r>
        <w:t xml:space="preserve">9.3 Lifecycle Workflows</w:t>
      </w:r>
    </w:p>
    <w:p>
      <w:pPr>
        <w:pStyle w:val="BodyText"/>
      </w:pPr>
      <w:r>
        <w:t xml:space="preserve">Lifecycle Workflows automate the joiner/mover/leaver process by executing tasks triggered by attribute changes or scheduled events. These workflows require Entra ID Governance licensing. Lifecycle Workflows act on accounts that already exist; HR-driven inbound provisioning creates and updates the account, and time-based workflows key on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attributes that provisioning writes. Triggers on custom attributes are in preview. The canonical design is in HR-Driven Identity, Chapter 6.</w:t>
      </w:r>
    </w:p>
    <w:p>
      <w:pPr>
        <w:pStyle w:val="BodyText"/>
      </w:pPr>
      <w:r>
        <w:t xml:space="preserve">9.3.1 Pre-Hire Workflow</w:t>
      </w:r>
    </w:p>
    <w:p>
      <w:pPr>
        <w:pStyle w:val="BodyText"/>
      </w:pPr>
      <w:r>
        <w:rPr>
          <w:b/>
          <w:bCs/>
        </w:rPr>
        <w:t xml:space="preserve">Trigger:</w:t>
      </w:r>
      <w:r>
        <w:t xml:space="preserve"> </w:t>
      </w:r>
      <w:r>
        <w:rPr>
          <w:rStyle w:val="VerbatimChar"/>
        </w:rPr>
        <w:t xml:space="preserve">employeeHireDate</w:t>
      </w:r>
      <w:r>
        <w:t xml:space="preserve"> </w:t>
      </w:r>
      <w:r>
        <w:t xml:space="preserve">is 7 days in the future (time-based trigger)</w:t>
      </w:r>
    </w:p>
    <w:tbl>
      <w:tblPr>
        <w:tblStyle w:val="Table"/>
        <w:tblW w:type="pct" w:w="4965"/>
        <w:tblLayout w:type="fixed"/>
        <w:tblLook w:firstRow="0" w:lastRow="0" w:firstColumn="0" w:lastColumn="0" w:noHBand="0" w:noVBand="0" w:val="0000"/>
      </w:tblPr>
      <w:tblGrid>
        <w:gridCol w:w="7864"/>
      </w:tblGrid>
      <w:tr>
        <w:tc>
          <w:tcPr/>
          <w:p>
            <w:pPr>
              <w:pStyle w:val="Compact"/>
            </w:pPr>
            <w:r>
              <w:rPr>
                <w:i/>
                <w:iCs/>
              </w:rPr>
              <w:t xml:space="preserve">[Placeholder — Diagram 3: Pre-Hire Workflow — 700×300px — Shows: HR system sets HireDate → Inbound provisioning has created the account (disabled) → Lifecycle Workflow triggers at T-7 days → Assign baseline access package → Notify hiring manager → Account remains disabled until hire date]</w:t>
            </w:r>
          </w:p>
        </w:tc>
      </w:tr>
    </w:tbl>
    <w:p>
      <w:pPr>
        <w:pStyle w:val="BodyText"/>
      </w:pPr>
      <w:r>
        <w:rPr>
          <w:b/>
          <w:bCs/>
        </w:rPr>
        <w:t xml:space="preserve">Tasks:</w:t>
      </w:r>
    </w:p>
    <w:p>
      <w:pPr>
        <w:numPr>
          <w:ilvl w:val="0"/>
          <w:numId w:val="1234"/>
        </w:numPr>
      </w:pPr>
      <w:r>
        <w:t xml:space="preserve">Confirm the account exists in a disabled state (created earlier by HR-driven inbound provisioning, which also sets the HR attributes; Lifecycle Workflows do not create accounts)</w:t>
      </w:r>
    </w:p>
    <w:p>
      <w:pPr>
        <w:numPr>
          <w:ilvl w:val="0"/>
          <w:numId w:val="1234"/>
        </w:numPr>
      </w:pPr>
      <w:r>
        <w:t xml:space="preserve">Assign baseline onboarding access package</w:t>
      </w:r>
    </w:p>
    <w:p>
      <w:pPr>
        <w:numPr>
          <w:ilvl w:val="0"/>
          <w:numId w:val="1234"/>
        </w:numPr>
      </w:pPr>
      <w:r>
        <w:t xml:space="preserve">Generate temporary access pass (TAP) for first-time MFA registration</w:t>
      </w:r>
    </w:p>
    <w:p>
      <w:pPr>
        <w:numPr>
          <w:ilvl w:val="0"/>
          <w:numId w:val="1234"/>
        </w:numPr>
      </w:pPr>
      <w:r>
        <w:t xml:space="preserve">Send notification to hiring manager with onboarding checklist</w:t>
      </w:r>
    </w:p>
    <w:p>
      <w:pPr>
        <w:pStyle w:val="FirstParagraph"/>
      </w:pPr>
      <w:r>
        <w:t xml:space="preserve">9.3.2 Joiner Workflow</w:t>
      </w:r>
    </w:p>
    <w:p>
      <w:pPr>
        <w:pStyle w:val="BodyText"/>
      </w:pPr>
      <w:r>
        <w:rPr>
          <w:b/>
          <w:bCs/>
        </w:rPr>
        <w:t xml:space="preserve">Trigger:</w:t>
      </w:r>
      <w:r>
        <w:t xml:space="preserve"> </w:t>
      </w:r>
      <w:r>
        <w:rPr>
          <w:rStyle w:val="VerbatimChar"/>
        </w:rPr>
        <w:t xml:space="preserve">employeeHireDate</w:t>
      </w:r>
      <w:r>
        <w:t xml:space="preserve"> </w:t>
      </w:r>
      <w:r>
        <w:t xml:space="preserve">equals the current date (time-based trigger)</w:t>
      </w:r>
    </w:p>
    <w:tbl>
      <w:tblPr>
        <w:tblStyle w:val="Table"/>
        <w:tblW w:type="pct" w:w="4962"/>
        <w:tblLayout w:type="fixed"/>
        <w:tblLook w:firstRow="0" w:lastRow="0" w:firstColumn="0" w:lastColumn="0" w:noHBand="0" w:noVBand="0" w:val="0000"/>
      </w:tblPr>
      <w:tblGrid>
        <w:gridCol w:w="7859"/>
      </w:tblGrid>
      <w:tr>
        <w:tc>
          <w:tcPr/>
          <w:p>
            <w:pPr>
              <w:pStyle w:val="Compact"/>
              <w:jc w:val="left"/>
            </w:pPr>
            <w:r>
              <w:rPr>
                <w:i/>
                <w:iCs/>
              </w:rPr>
              <w:t xml:space="preserve">[Placeholder — Diagram 4: Joiner Workflow — 700×300px — Shows: HireDate reached → Enable account → Assign M365 license → Add to department dynamic group → Send welcome email → Trigger MFA registration campaign → Assign department access package]</w:t>
            </w:r>
          </w:p>
        </w:tc>
      </w:tr>
    </w:tbl>
    <w:p>
      <w:pPr>
        <w:pStyle w:val="BodyText"/>
      </w:pPr>
      <w:r>
        <w:rPr>
          <w:b/>
          <w:bCs/>
        </w:rPr>
        <w:t xml:space="preserve">Tasks:</w:t>
      </w:r>
    </w:p>
    <w:p>
      <w:pPr>
        <w:numPr>
          <w:ilvl w:val="0"/>
          <w:numId w:val="1235"/>
        </w:numPr>
      </w:pPr>
      <w:r>
        <w:t xml:space="preserve">Enable user account</w:t>
      </w:r>
    </w:p>
    <w:p>
      <w:pPr>
        <w:numPr>
          <w:ilvl w:val="0"/>
          <w:numId w:val="1235"/>
        </w:numPr>
      </w:pPr>
      <w:r>
        <w:t xml:space="preserve">Assign Microsoft 365 license (based on CostCenter attribute)</w:t>
      </w:r>
    </w:p>
    <w:p>
      <w:pPr>
        <w:numPr>
          <w:ilvl w:val="0"/>
          <w:numId w:val="1235"/>
        </w:numPr>
      </w:pPr>
      <w:r>
        <w:t xml:space="preserve">Dynamic group membership propagates (department, region, role groups)</w:t>
      </w:r>
    </w:p>
    <w:p>
      <w:pPr>
        <w:numPr>
          <w:ilvl w:val="0"/>
          <w:numId w:val="1235"/>
        </w:numPr>
      </w:pPr>
      <w:r>
        <w:t xml:space="preserve">Send welcome email with self-service portal links</w:t>
      </w:r>
    </w:p>
    <w:p>
      <w:pPr>
        <w:numPr>
          <w:ilvl w:val="0"/>
          <w:numId w:val="1235"/>
        </w:numPr>
      </w:pPr>
      <w:r>
        <w:t xml:space="preserve">Trigger MFA registration campaign (Authentication Methods policy)</w:t>
      </w:r>
    </w:p>
    <w:p>
      <w:pPr>
        <w:numPr>
          <w:ilvl w:val="0"/>
          <w:numId w:val="1235"/>
        </w:numPr>
      </w:pPr>
      <w:r>
        <w:t xml:space="preserve">Assign department-specific access package</w:t>
      </w:r>
    </w:p>
    <w:p>
      <w:pPr>
        <w:pStyle w:val="FirstParagraph"/>
      </w:pPr>
      <w:r>
        <w:t xml:space="preserve">9.3.3 Mover Workflow</w:t>
      </w:r>
    </w:p>
    <w:p>
      <w:pPr>
        <w:pStyle w:val="BodyText"/>
      </w:pPr>
      <w:r>
        <w:rPr>
          <w:b/>
          <w:bCs/>
        </w:rPr>
        <w:t xml:space="preserve">Trigger:</w:t>
      </w:r>
      <w:r>
        <w:t xml:space="preserve"> </w:t>
      </w:r>
      <w:r>
        <w:t xml:space="preserve">Change detected in extensionAttribute2 (Department), extensionAttribute3 (Division), or extensionAttribute4 (Role)</w:t>
      </w:r>
    </w:p>
    <w:tbl>
      <w:tblPr>
        <w:tblStyle w:val="Table"/>
        <w:tblW w:type="pct" w:w="4971"/>
        <w:tblLayout w:type="fixed"/>
        <w:tblLook w:firstRow="0" w:lastRow="0" w:firstColumn="0" w:lastColumn="0" w:noHBand="0" w:noVBand="0" w:val="0000"/>
      </w:tblPr>
      <w:tblGrid>
        <w:gridCol w:w="7874"/>
      </w:tblGrid>
      <w:tr>
        <w:tc>
          <w:tcPr/>
          <w:p>
            <w:pPr>
              <w:pStyle w:val="Compact"/>
            </w:pPr>
            <w:r>
              <w:rPr>
                <w:i/>
                <w:iCs/>
              </w:rPr>
              <w:t xml:space="preserve">[Placeholder — Diagram 5: Mover Workflow — 700×350px — Shows: Department attribute change detected → Revoke previous department access package → Assign new department access package → Trigger access review for retained assignments → Update Administrative Unit membership → Notify old and new managers → Log change to Gitea audit trail]</w:t>
            </w:r>
          </w:p>
        </w:tc>
      </w:tr>
    </w:tbl>
    <w:p>
      <w:pPr>
        <w:pStyle w:val="BodyText"/>
      </w:pPr>
      <w:r>
        <w:rPr>
          <w:b/>
          <w:bCs/>
        </w:rPr>
        <w:t xml:space="preserve">Tasks:</w:t>
      </w:r>
    </w:p>
    <w:p>
      <w:pPr>
        <w:numPr>
          <w:ilvl w:val="0"/>
          <w:numId w:val="1236"/>
        </w:numPr>
      </w:pPr>
      <w:r>
        <w:t xml:space="preserve">Revoke previous department access package</w:t>
      </w:r>
    </w:p>
    <w:p>
      <w:pPr>
        <w:numPr>
          <w:ilvl w:val="0"/>
          <w:numId w:val="1236"/>
        </w:numPr>
      </w:pPr>
      <w:r>
        <w:t xml:space="preserve">Assign new department access package</w:t>
      </w:r>
    </w:p>
    <w:p>
      <w:pPr>
        <w:numPr>
          <w:ilvl w:val="0"/>
          <w:numId w:val="1236"/>
        </w:numPr>
      </w:pPr>
      <w:r>
        <w:t xml:space="preserve">Dynamic group membership auto-adjusts based on new attributes</w:t>
      </w:r>
    </w:p>
    <w:p>
      <w:pPr>
        <w:numPr>
          <w:ilvl w:val="0"/>
          <w:numId w:val="1236"/>
        </w:numPr>
      </w:pPr>
      <w:r>
        <w:t xml:space="preserve">Trigger immediate access review for all non-baseline assignments</w:t>
      </w:r>
    </w:p>
    <w:p>
      <w:pPr>
        <w:numPr>
          <w:ilvl w:val="0"/>
          <w:numId w:val="1236"/>
        </w:numPr>
      </w:pPr>
      <w:r>
        <w:t xml:space="preserve">Update Administrative Unit membership if division changed</w:t>
      </w:r>
    </w:p>
    <w:p>
      <w:pPr>
        <w:numPr>
          <w:ilvl w:val="0"/>
          <w:numId w:val="1236"/>
        </w:numPr>
      </w:pPr>
      <w:r>
        <w:t xml:space="preserve">Notify previous manager (leaver from team) and new manager (joiner to team)</w:t>
      </w:r>
    </w:p>
    <w:p>
      <w:pPr>
        <w:numPr>
          <w:ilvl w:val="0"/>
          <w:numId w:val="1236"/>
        </w:numPr>
      </w:pPr>
      <w:r>
        <w:t xml:space="preserve">Commit attribute change record to Gitea audit trail</w:t>
      </w:r>
    </w:p>
    <w:p>
      <w:pPr>
        <w:pStyle w:val="FirstParagraph"/>
      </w:pPr>
      <w:r>
        <w:t xml:space="preserve">9.3.4 Leaver Workflow</w:t>
      </w:r>
    </w:p>
    <w:p>
      <w:pPr>
        <w:pStyle w:val="BodyText"/>
      </w:pPr>
      <w:r>
        <w:rPr>
          <w:b/>
          <w:bCs/>
        </w:rPr>
        <w:t xml:space="preserve">Trigger:</w:t>
      </w:r>
      <w:r>
        <w:t xml:space="preserve"> </w:t>
      </w:r>
      <w:r>
        <w:rPr>
          <w:rStyle w:val="VerbatimChar"/>
        </w:rPr>
        <w:t xml:space="preserve">employeeLeaveDateTime</w:t>
      </w:r>
      <w:r>
        <w:t xml:space="preserve"> </w:t>
      </w:r>
      <w:r>
        <w:t xml:space="preserve">equals the current date (time-based trigger)</w:t>
      </w:r>
    </w:p>
    <w:tbl>
      <w:tblPr>
        <w:tblStyle w:val="Table"/>
        <w:tblW w:type="pct" w:w="4970"/>
        <w:tblLayout w:type="fixed"/>
        <w:tblLook w:firstRow="0" w:lastRow="0" w:firstColumn="0" w:lastColumn="0" w:noHBand="0" w:noVBand="0" w:val="0000"/>
      </w:tblPr>
      <w:tblGrid>
        <w:gridCol w:w="7872"/>
      </w:tblGrid>
      <w:tr>
        <w:tc>
          <w:tcPr/>
          <w:p>
            <w:pPr>
              <w:pStyle w:val="Compact"/>
              <w:jc w:val="left"/>
            </w:pPr>
            <w:r>
              <w:rPr>
                <w:i/>
                <w:iCs/>
              </w:rPr>
              <w:t xml:space="preserve">[Placeholder — Diagram 6: Leaver Workflow — 700×350px — Shows: TermDate reached → Disable account → Revoke all sessions → Remove from all access packages → Remove M365 license → Convert mailbox to shared (retain 90 days) → Move to "Departed" AU → After 30 days: remove group memberships → After 90 days: delete account]</w:t>
            </w:r>
          </w:p>
        </w:tc>
      </w:tr>
    </w:tbl>
    <w:p>
      <w:pPr>
        <w:pStyle w:val="BodyText"/>
      </w:pPr>
      <w:r>
        <w:rPr>
          <w:b/>
          <w:bCs/>
        </w:rPr>
        <w:t xml:space="preserve">Tasks:</w:t>
      </w:r>
    </w:p>
    <w:p>
      <w:pPr>
        <w:numPr>
          <w:ilvl w:val="0"/>
          <w:numId w:val="1237"/>
        </w:numPr>
      </w:pPr>
      <w:r>
        <w:t xml:space="preserve">Disable user account</w:t>
      </w:r>
    </w:p>
    <w:p>
      <w:pPr>
        <w:numPr>
          <w:ilvl w:val="0"/>
          <w:numId w:val="1237"/>
        </w:numPr>
      </w:pPr>
      <w:r>
        <w:t xml:space="preserve">Revoke all active sessions (Revoke-MgUserSignInSession)</w:t>
      </w:r>
    </w:p>
    <w:p>
      <w:pPr>
        <w:numPr>
          <w:ilvl w:val="0"/>
          <w:numId w:val="1237"/>
        </w:numPr>
      </w:pPr>
      <w:r>
        <w:t xml:space="preserve">Remove all access package assignments</w:t>
      </w:r>
    </w:p>
    <w:p>
      <w:pPr>
        <w:numPr>
          <w:ilvl w:val="0"/>
          <w:numId w:val="1237"/>
        </w:numPr>
      </w:pPr>
      <w:r>
        <w:t xml:space="preserve">Remove Microsoft 365 license</w:t>
      </w:r>
    </w:p>
    <w:p>
      <w:pPr>
        <w:numPr>
          <w:ilvl w:val="0"/>
          <w:numId w:val="1237"/>
        </w:numPr>
      </w:pPr>
      <w:r>
        <w:t xml:space="preserve">Convert mailbox to shared mailbox (retain per policy — typically 90 days)</w:t>
      </w:r>
    </w:p>
    <w:p>
      <w:pPr>
        <w:numPr>
          <w:ilvl w:val="0"/>
          <w:numId w:val="1237"/>
        </w:numPr>
      </w:pPr>
      <w:r>
        <w:t xml:space="preserve">Set manager as delegate for shared mailbox</w:t>
      </w:r>
    </w:p>
    <w:p>
      <w:pPr>
        <w:numPr>
          <w:ilvl w:val="0"/>
          <w:numId w:val="1237"/>
        </w:numPr>
      </w:pPr>
      <w:r>
        <w:t xml:space="preserve">Move user to "Departed Users" Administrative Unit</w:t>
      </w:r>
    </w:p>
    <w:p>
      <w:pPr>
        <w:numPr>
          <w:ilvl w:val="0"/>
          <w:numId w:val="1237"/>
        </w:numPr>
      </w:pPr>
      <w:r>
        <w:t xml:space="preserve">Remove all security group memberships (T+30 days)</w:t>
      </w:r>
    </w:p>
    <w:p>
      <w:pPr>
        <w:numPr>
          <w:ilvl w:val="0"/>
          <w:numId w:val="1237"/>
        </w:numPr>
      </w:pPr>
      <w:r>
        <w:t xml:space="preserve">Delete user account (T+90 days)</w:t>
      </w:r>
    </w:p>
    <w:p>
      <w:pPr>
        <w:numPr>
          <w:ilvl w:val="0"/>
          <w:numId w:val="1237"/>
        </w:numPr>
      </w:pPr>
      <w:r>
        <w:t xml:space="preserve">Notify manager, HR, and security operations</w:t>
      </w:r>
    </w:p>
    <w:p>
      <w:pPr>
        <w:pStyle w:val="FirstParagraph"/>
      </w:pPr>
      <w:r>
        <w:t xml:space="preserve">9.4 Terms of Use</w:t>
      </w:r>
    </w:p>
    <w:p>
      <w:pPr>
        <w:pStyle w:val="BodyText"/>
      </w:pPr>
      <w:r>
        <w:t xml:space="preserve">Terms of Use (ToU) provide compliance attestation for sensitive applications. They are enforced through Conditional Access policies and can require acceptance before granting access to specific apps or resources.</w:t>
      </w:r>
    </w:p>
    <w:p>
      <w:pPr>
        <w:numPr>
          <w:ilvl w:val="0"/>
          <w:numId w:val="1238"/>
        </w:numPr>
      </w:pPr>
      <w:r>
        <w:rPr>
          <w:b/>
          <w:bCs/>
        </w:rPr>
        <w:t xml:space="preserve">Employee ToU:</w:t>
      </w:r>
      <w:r>
        <w:t xml:space="preserve"> </w:t>
      </w:r>
      <w:r>
        <w:t xml:space="preserve">Annual re-acceptance covering acceptable use policy, data handling, and security responsibilities</w:t>
      </w:r>
    </w:p>
    <w:p>
      <w:pPr>
        <w:numPr>
          <w:ilvl w:val="0"/>
          <w:numId w:val="1238"/>
        </w:numPr>
      </w:pPr>
      <w:r>
        <w:rPr>
          <w:b/>
          <w:bCs/>
        </w:rPr>
        <w:t xml:space="preserve">Guest/External ToU:</w:t>
      </w:r>
      <w:r>
        <w:t xml:space="preserve"> </w:t>
      </w:r>
      <w:r>
        <w:t xml:space="preserve">Acceptance required on first access and quarterly thereafter, covering data sharing agreements and compliance boundaries</w:t>
      </w:r>
    </w:p>
    <w:p>
      <w:pPr>
        <w:numPr>
          <w:ilvl w:val="0"/>
          <w:numId w:val="1238"/>
        </w:numPr>
      </w:pPr>
      <w:r>
        <w:rPr>
          <w:b/>
          <w:bCs/>
        </w:rPr>
        <w:t xml:space="preserve">Privileged Access ToU:</w:t>
      </w:r>
      <w:r>
        <w:t xml:space="preserve"> </w:t>
      </w:r>
      <w:r>
        <w:t xml:space="preserve">Acceptance required before PIM activation for Global Administrator role, acknowledging additional monitoring and audit requirements</w:t>
      </w:r>
    </w:p>
    <w:p>
      <w:pPr>
        <w:pStyle w:val="FirstParagraph"/>
      </w:pPr>
      <w:r>
        <w:t xml:space="preserve">10. Cross-Tenant and B2B Collaboration</w:t>
      </w:r>
    </w:p>
    <w:p>
      <w:pPr>
        <w:pStyle w:val="BodyText"/>
      </w:pPr>
      <w:r>
        <w:t xml:space="preserve">10.1 Entra ID B2B Collaboration</w:t>
      </w:r>
    </w:p>
    <w:p>
      <w:pPr>
        <w:pStyle w:val="BodyText"/>
      </w:pPr>
      <w:r>
        <w:t xml:space="preserve">B2B collaboration enables external users to access resources in your tenant as guest users. The guest user lifecycle includes:</w:t>
      </w:r>
    </w:p>
    <w:p>
      <w:pPr>
        <w:numPr>
          <w:ilvl w:val="0"/>
          <w:numId w:val="1239"/>
        </w:numPr>
      </w:pPr>
      <w:r>
        <w:rPr>
          <w:b/>
          <w:bCs/>
        </w:rPr>
        <w:t xml:space="preserve">Invitation:</w:t>
      </w:r>
      <w:r>
        <w:t xml:space="preserve"> </w:t>
      </w:r>
      <w:r>
        <w:t xml:space="preserve">Initiated by an authorized internal user (sponsor) or auto-generated via access package request</w:t>
      </w:r>
    </w:p>
    <w:p>
      <w:pPr>
        <w:numPr>
          <w:ilvl w:val="0"/>
          <w:numId w:val="1239"/>
        </w:numPr>
      </w:pPr>
      <w:r>
        <w:rPr>
          <w:b/>
          <w:bCs/>
        </w:rPr>
        <w:t xml:space="preserve">Redemption:</w:t>
      </w:r>
      <w:r>
        <w:t xml:space="preserve"> </w:t>
      </w:r>
      <w:r>
        <w:t xml:space="preserve">Guest user redeems the invitation by authenticating with their home tenant credentials</w:t>
      </w:r>
    </w:p>
    <w:p>
      <w:pPr>
        <w:numPr>
          <w:ilvl w:val="0"/>
          <w:numId w:val="1239"/>
        </w:numPr>
      </w:pPr>
      <w:r>
        <w:rPr>
          <w:b/>
          <w:bCs/>
        </w:rPr>
        <w:t xml:space="preserve">Access:</w:t>
      </w:r>
      <w:r>
        <w:t xml:space="preserve"> </w:t>
      </w:r>
      <w:r>
        <w:t xml:space="preserve">Guest user accesses resources governed by their group memberships, app assignments, and Conditional Access policies</w:t>
      </w:r>
    </w:p>
    <w:p>
      <w:pPr>
        <w:numPr>
          <w:ilvl w:val="0"/>
          <w:numId w:val="1239"/>
        </w:numPr>
      </w:pPr>
      <w:r>
        <w:rPr>
          <w:b/>
          <w:bCs/>
        </w:rPr>
        <w:t xml:space="preserve">Review:</w:t>
      </w:r>
      <w:r>
        <w:t xml:space="preserve"> </w:t>
      </w:r>
      <w:r>
        <w:t xml:space="preserve">Quarterly access review by sponsor; removal if access is no longer justified</w:t>
      </w:r>
    </w:p>
    <w:p>
      <w:pPr>
        <w:numPr>
          <w:ilvl w:val="0"/>
          <w:numId w:val="1239"/>
        </w:numPr>
      </w:pPr>
      <w:r>
        <w:rPr>
          <w:b/>
          <w:bCs/>
        </w:rPr>
        <w:t xml:space="preserve">Offboarding:</w:t>
      </w:r>
      <w:r>
        <w:t xml:space="preserve"> </w:t>
      </w:r>
      <w:r>
        <w:t xml:space="preserve">Guest account disabled or deleted when collaboration ends</w:t>
      </w:r>
    </w:p>
    <w:p>
      <w:pPr>
        <w:pStyle w:val="FirstParagraph"/>
      </w:pPr>
      <w:r>
        <w:rPr>
          <w:b/>
          <w:bCs/>
        </w:rPr>
        <w:t xml:space="preserve">Invitation policies:</w:t>
      </w:r>
    </w:p>
    <w:p>
      <w:pPr>
        <w:numPr>
          <w:ilvl w:val="0"/>
          <w:numId w:val="1240"/>
        </w:numPr>
      </w:pPr>
      <w:r>
        <w:t xml:space="preserve">Only users with the Guest Inviter role or higher can invite guests</w:t>
      </w:r>
    </w:p>
    <w:p>
      <w:pPr>
        <w:numPr>
          <w:ilvl w:val="0"/>
          <w:numId w:val="1240"/>
        </w:numPr>
      </w:pPr>
      <w:r>
        <w:t xml:space="preserve">Guest invitations are restricted to specific domains (allowlist) in GCC-Moderate environments</w:t>
      </w:r>
    </w:p>
    <w:p>
      <w:pPr>
        <w:numPr>
          <w:ilvl w:val="0"/>
          <w:numId w:val="1240"/>
        </w:numPr>
      </w:pPr>
      <w:r>
        <w:t xml:space="preserve">Self-service sign-up is disabled by default; enabled only for approved external identity providers</w:t>
      </w:r>
    </w:p>
    <w:p>
      <w:pPr>
        <w:pStyle w:val="FirstParagraph"/>
      </w:pPr>
      <w:r>
        <w:t xml:space="preserve">10.2 Cross-Tenant Access Settings</w:t>
      </w:r>
    </w:p>
    <w:p>
      <w:pPr>
        <w:pStyle w:val="BodyText"/>
      </w:pPr>
      <w:r>
        <w:t xml:space="preserve">Cross-tenant access settings (CTAS) govern the trust relationship between your tenant and external tenants:</w:t>
      </w:r>
    </w:p>
    <w:tbl>
      <w:tblPr>
        <w:tblStyle w:val="Table"/>
        <w:tblW w:type="pct" w:w="4941"/>
        <w:tblLayout w:type="fixed"/>
        <w:tblLook w:firstRow="1" w:lastRow="0" w:firstColumn="0" w:lastColumn="0" w:noHBand="0" w:noVBand="0" w:val="0020"/>
      </w:tblPr>
      <w:tblGrid>
        <w:gridCol w:w="1024"/>
        <w:gridCol w:w="3960"/>
        <w:gridCol w:w="2841"/>
      </w:tblGrid>
      <w:tr>
        <w:trPr>
          <w:tblHeader w:val="on"/>
        </w:trPr>
        <w:tc>
          <w:tcPr/>
          <w:p>
            <w:pPr>
              <w:pStyle w:val="Compact"/>
              <w:jc w:val="left"/>
            </w:pPr>
            <w:r>
              <w:rPr>
                <w:b/>
                <w:bCs/>
              </w:rPr>
              <w:t xml:space="preserve">Setting</w:t>
            </w:r>
          </w:p>
        </w:tc>
        <w:tc>
          <w:tcPr/>
          <w:p>
            <w:pPr>
              <w:pStyle w:val="Compact"/>
              <w:jc w:val="left"/>
            </w:pPr>
            <w:r>
              <w:rPr>
                <w:b/>
                <w:bCs/>
              </w:rPr>
              <w:t xml:space="preserve">Inbound (External → Your Tenant)</w:t>
            </w:r>
          </w:p>
        </w:tc>
        <w:tc>
          <w:tcPr/>
          <w:p>
            <w:pPr>
              <w:pStyle w:val="Compact"/>
              <w:jc w:val="left"/>
            </w:pPr>
            <w:r>
              <w:rPr>
                <w:b/>
                <w:bCs/>
              </w:rPr>
              <w:t xml:space="preserve">Outbound (Your Tenant → External)</w:t>
            </w:r>
          </w:p>
        </w:tc>
      </w:tr>
      <w:tr>
        <w:tc>
          <w:tcPr/>
          <w:p>
            <w:pPr>
              <w:pStyle w:val="Compact"/>
              <w:jc w:val="left"/>
            </w:pPr>
            <w:r>
              <w:t xml:space="preserve">B2B Collaboration</w:t>
            </w:r>
          </w:p>
        </w:tc>
        <w:tc>
          <w:tcPr/>
          <w:p>
            <w:pPr>
              <w:pStyle w:val="Compact"/>
              <w:jc w:val="left"/>
            </w:pPr>
            <w:r>
              <w:t xml:space="preserve">Allow specific organizations or all (default: all, the Federal Modernization Program:</w:t>
            </w:r>
          </w:p>
        </w:tc>
        <w:tc>
          <w:tcPr/>
          <w:p>
            <w:pPr>
              <w:pStyle w:val="Compact"/>
              <w:jc w:val="left"/>
            </w:pPr>
            <w:r>
              <w:t xml:space="preserve">restrict to allowlist) Allow users to be guests in specific external tenants</w:t>
            </w:r>
          </w:p>
        </w:tc>
      </w:tr>
      <w:tr>
        <w:tc>
          <w:tcPr/>
          <w:p>
            <w:pPr>
              <w:pStyle w:val="Compact"/>
              <w:jc w:val="left"/>
            </w:pPr>
            <w:r>
              <w:t xml:space="preserve">B2B Direct Connect</w:t>
            </w:r>
          </w:p>
        </w:tc>
        <w:tc>
          <w:tcPr/>
          <w:p>
            <w:pPr>
              <w:pStyle w:val="Compact"/>
              <w:jc w:val="left"/>
            </w:pPr>
            <w:r>
              <w:t xml:space="preserve">Trust specific organizations for Teams Connect shared channels</w:t>
            </w:r>
          </w:p>
        </w:tc>
        <w:tc>
          <w:tcPr/>
          <w:p>
            <w:pPr>
              <w:pStyle w:val="Compact"/>
              <w:jc w:val="left"/>
            </w:pPr>
            <w:r>
              <w:t xml:space="preserve">Allow users to connect directly to external Teams channels</w:t>
            </w:r>
          </w:p>
        </w:tc>
      </w:tr>
      <w:tr>
        <w:tc>
          <w:tcPr/>
          <w:p>
            <w:pPr>
              <w:pStyle w:val="Compact"/>
              <w:jc w:val="left"/>
            </w:pPr>
            <w:r>
              <w:t xml:space="preserve">Trust Settings</w:t>
            </w:r>
          </w:p>
        </w:tc>
        <w:tc>
          <w:tcPr/>
          <w:p>
            <w:pPr>
              <w:pStyle w:val="Compact"/>
              <w:jc w:val="left"/>
            </w:pPr>
            <w:r>
              <w:t xml:space="preserve">Trust MFA from external tenant (avoid re-prompting), trust compliant device claims</w:t>
            </w:r>
          </w:p>
        </w:tc>
        <w:tc>
          <w:tcPr/>
          <w:p>
            <w:pPr>
              <w:pStyle w:val="Compact"/>
              <w:jc w:val="left"/>
            </w:pPr>
            <w:r>
              <w:t xml:space="preserve">N/A</w:t>
            </w:r>
          </w:p>
        </w:tc>
      </w:tr>
      <w:tr>
        <w:tc>
          <w:tcPr/>
          <w:p>
            <w:pPr>
              <w:pStyle w:val="Compact"/>
              <w:jc w:val="left"/>
            </w:pPr>
            <w:r>
              <w:t xml:space="preserve">Token Configuration</w:t>
            </w:r>
          </w:p>
        </w:tc>
        <w:tc>
          <w:tcPr/>
          <w:p>
            <w:pPr>
              <w:pStyle w:val="Compact"/>
              <w:jc w:val="left"/>
            </w:pPr>
            <w:r>
              <w:t xml:space="preserve">Accept or restrict tokens from external identity providers</w:t>
            </w:r>
          </w:p>
        </w:tc>
        <w:tc>
          <w:tcPr/>
          <w:p>
            <w:pPr>
              <w:pStyle w:val="Compact"/>
              <w:jc w:val="left"/>
            </w:pPr>
            <w:r>
              <w:t xml:space="preserve">Control which claims are shared with external tenants</w:t>
            </w:r>
          </w:p>
        </w:tc>
      </w:tr>
    </w:tbl>
    <w:p>
      <w:pPr>
        <w:pStyle w:val="BodyText"/>
      </w:pPr>
      <w:r>
        <w:t xml:space="preserve">10.3 B2B Direct Connect vs. B2B Collaboration</w:t>
      </w:r>
    </w:p>
    <w:tbl>
      <w:tblPr>
        <w:tblStyle w:val="Table"/>
        <w:tblW w:type="pct" w:w="4941"/>
        <w:tblLayout w:type="fixed"/>
        <w:tblLook w:firstRow="1" w:lastRow="0" w:firstColumn="0" w:lastColumn="0" w:noHBand="0" w:noVBand="0" w:val="0020"/>
      </w:tblPr>
      <w:tblGrid>
        <w:gridCol w:w="1405"/>
        <w:gridCol w:w="3421"/>
        <w:gridCol w:w="2999"/>
      </w:tblGrid>
      <w:tr>
        <w:trPr>
          <w:tblHeader w:val="on"/>
        </w:trPr>
        <w:tc>
          <w:tcPr/>
          <w:p>
            <w:pPr>
              <w:pStyle w:val="Compact"/>
              <w:jc w:val="left"/>
            </w:pPr>
            <w:r>
              <w:rPr>
                <w:b/>
                <w:bCs/>
              </w:rPr>
              <w:t xml:space="preserve">Criterion</w:t>
            </w:r>
          </w:p>
        </w:tc>
        <w:tc>
          <w:tcPr/>
          <w:p>
            <w:pPr>
              <w:pStyle w:val="Compact"/>
              <w:jc w:val="left"/>
            </w:pPr>
            <w:r>
              <w:rPr>
                <w:b/>
                <w:bCs/>
              </w:rPr>
              <w:t xml:space="preserve">B2B Collaboration</w:t>
            </w:r>
          </w:p>
        </w:tc>
        <w:tc>
          <w:tcPr/>
          <w:p>
            <w:pPr>
              <w:pStyle w:val="Compact"/>
              <w:jc w:val="left"/>
            </w:pPr>
            <w:r>
              <w:rPr>
                <w:b/>
                <w:bCs/>
              </w:rPr>
              <w:t xml:space="preserve">B2B Direct Connect</w:t>
            </w:r>
          </w:p>
        </w:tc>
      </w:tr>
      <w:tr>
        <w:tc>
          <w:tcPr/>
          <w:p>
            <w:pPr>
              <w:pStyle w:val="Compact"/>
              <w:jc w:val="left"/>
            </w:pPr>
            <w:r>
              <w:t xml:space="preserve">Guest object in your tenant</w:t>
            </w:r>
          </w:p>
        </w:tc>
        <w:tc>
          <w:tcPr/>
          <w:p>
            <w:pPr>
              <w:pStyle w:val="Compact"/>
              <w:jc w:val="left"/>
            </w:pPr>
            <w:r>
              <w:t xml:space="preserve">Yes — guest user object created</w:t>
            </w:r>
          </w:p>
        </w:tc>
        <w:tc>
          <w:tcPr/>
          <w:p>
            <w:pPr>
              <w:pStyle w:val="Compact"/>
              <w:jc w:val="left"/>
            </w:pPr>
            <w:r>
              <w:t xml:space="preserve">No — user accesses resources without a guest object</w:t>
            </w:r>
          </w:p>
        </w:tc>
      </w:tr>
      <w:tr>
        <w:tc>
          <w:tcPr/>
          <w:p>
            <w:pPr>
              <w:pStyle w:val="Compact"/>
              <w:jc w:val="left"/>
            </w:pPr>
            <w:r>
              <w:t xml:space="preserve">Scope</w:t>
            </w:r>
          </w:p>
        </w:tc>
        <w:tc>
          <w:tcPr/>
          <w:p>
            <w:pPr>
              <w:pStyle w:val="Compact"/>
              <w:jc w:val="left"/>
            </w:pPr>
            <w:r>
              <w:t xml:space="preserve">All cloud apps (governed by CA)</w:t>
            </w:r>
          </w:p>
        </w:tc>
        <w:tc>
          <w:tcPr/>
          <w:p>
            <w:pPr>
              <w:pStyle w:val="Compact"/>
              <w:jc w:val="left"/>
            </w:pPr>
            <w:r>
              <w:t xml:space="preserve">Teams shared channels only</w:t>
            </w:r>
          </w:p>
        </w:tc>
      </w:tr>
      <w:tr>
        <w:tc>
          <w:tcPr/>
          <w:p>
            <w:pPr>
              <w:pStyle w:val="Compact"/>
              <w:jc w:val="left"/>
            </w:pPr>
            <w:r>
              <w:t xml:space="preserve">Governance visibility</w:t>
            </w:r>
          </w:p>
        </w:tc>
        <w:tc>
          <w:tcPr/>
          <w:p>
            <w:pPr>
              <w:pStyle w:val="Compact"/>
              <w:jc w:val="left"/>
            </w:pPr>
            <w:r>
              <w:t xml:space="preserve">Full — guest user appears in directory, access reviews, sign-in logs</w:t>
            </w:r>
          </w:p>
        </w:tc>
        <w:tc>
          <w:tcPr/>
          <w:p>
            <w:pPr>
              <w:pStyle w:val="Compact"/>
              <w:jc w:val="left"/>
            </w:pPr>
            <w:r>
              <w:t xml:space="preserve">Limited — no directory object, limited audit trail</w:t>
            </w:r>
          </w:p>
        </w:tc>
      </w:tr>
      <w:tr>
        <w:tc>
          <w:tcPr/>
          <w:p>
            <w:pPr>
              <w:pStyle w:val="Compact"/>
              <w:jc w:val="left"/>
            </w:pPr>
            <w:r>
              <w:t xml:space="preserve">Conditional Access</w:t>
            </w:r>
          </w:p>
        </w:tc>
        <w:tc>
          <w:tcPr/>
          <w:p>
            <w:pPr>
              <w:pStyle w:val="Compact"/>
              <w:jc w:val="left"/>
            </w:pPr>
            <w:r>
              <w:t xml:space="preserve">Full policy application</w:t>
            </w:r>
          </w:p>
        </w:tc>
        <w:tc>
          <w:tcPr/>
          <w:p>
            <w:pPr>
              <w:pStyle w:val="Compact"/>
              <w:jc w:val="left"/>
            </w:pPr>
            <w:r>
              <w:t xml:space="preserve">Limited — relies on home tenant policies</w:t>
            </w:r>
          </w:p>
        </w:tc>
      </w:tr>
      <w:tr>
        <w:tc>
          <w:tcPr/>
          <w:p>
            <w:pPr>
              <w:pStyle w:val="Compact"/>
              <w:jc w:val="left"/>
            </w:pPr>
            <w:r>
              <w:t xml:space="preserve">The Federal Modernization Prog</w:t>
            </w:r>
          </w:p>
        </w:tc>
        <w:tc>
          <w:tcPr/>
          <w:p>
            <w:pPr>
              <w:pStyle w:val="Compact"/>
              <w:jc w:val="left"/>
            </w:pPr>
            <w:r>
              <w:t xml:space="preserve">ram recommendation</w:t>
            </w:r>
            <w:r>
              <w:t xml:space="preserve"> </w:t>
            </w:r>
            <w:r>
              <w:rPr>
                <w:b/>
                <w:bCs/>
              </w:rPr>
              <w:t xml:space="preserve">Preferred</w:t>
            </w:r>
            <w:r>
              <w:t xml:space="preserve"> </w:t>
            </w:r>
            <w:r>
              <w:t xml:space="preserve">for resource sharing, applicat</w:t>
            </w:r>
          </w:p>
        </w:tc>
        <w:tc>
          <w:tcPr/>
          <w:p>
            <w:pPr>
              <w:pStyle w:val="Compact"/>
              <w:jc w:val="left"/>
            </w:pPr>
            <w:r>
              <w:t xml:space="preserve">ion access Acceptable for Teams-only collaboration with trusted partners</w:t>
            </w:r>
          </w:p>
        </w:tc>
      </w:tr>
    </w:tbl>
    <w:p>
      <w:pPr>
        <w:pStyle w:val="BodyText"/>
      </w:pPr>
      <w:r>
        <w:t xml:space="preserve">10.4 External Identity Providers</w:t>
      </w:r>
    </w:p>
    <w:p>
      <w:pPr>
        <w:pStyle w:val="BodyText"/>
      </w:pPr>
      <w:r>
        <w:t xml:space="preserve">Entra ID supports federation with external identity providers for B2B guest authentication:</w:t>
      </w:r>
    </w:p>
    <w:p>
      <w:pPr>
        <w:numPr>
          <w:ilvl w:val="0"/>
          <w:numId w:val="1241"/>
        </w:numPr>
      </w:pPr>
      <w:r>
        <w:rPr>
          <w:b/>
          <w:bCs/>
        </w:rPr>
        <w:t xml:space="preserve">Microsoft account:</w:t>
      </w:r>
      <w:r>
        <w:t xml:space="preserve"> </w:t>
      </w:r>
      <w:r>
        <w:t xml:space="preserve">Default for consumer Microsoft accounts</w:t>
      </w:r>
    </w:p>
    <w:p>
      <w:pPr>
        <w:numPr>
          <w:ilvl w:val="0"/>
          <w:numId w:val="1241"/>
        </w:numPr>
      </w:pPr>
      <w:r>
        <w:rPr>
          <w:b/>
          <w:bCs/>
        </w:rPr>
        <w:t xml:space="preserve">Google federation:</w:t>
      </w:r>
      <w:r>
        <w:t xml:space="preserve"> </w:t>
      </w:r>
      <w:r>
        <w:t xml:space="preserve">Allow Google Workspace users to authenticate with their Google credentials</w:t>
      </w:r>
    </w:p>
    <w:p>
      <w:pPr>
        <w:numPr>
          <w:ilvl w:val="0"/>
          <w:numId w:val="1241"/>
        </w:numPr>
      </w:pPr>
      <w:r>
        <w:rPr>
          <w:b/>
          <w:bCs/>
        </w:rPr>
        <w:t xml:space="preserve">SAML/WS-Fed federation:</w:t>
      </w:r>
      <w:r>
        <w:t xml:space="preserve"> </w:t>
      </w:r>
      <w:r>
        <w:t xml:space="preserve">Direct federation with partner organizations that use non-Microsoft identity providers</w:t>
      </w:r>
    </w:p>
    <w:p>
      <w:pPr>
        <w:numPr>
          <w:ilvl w:val="0"/>
          <w:numId w:val="1241"/>
        </w:numPr>
      </w:pPr>
      <w:r>
        <w:rPr>
          <w:b/>
          <w:bCs/>
        </w:rPr>
        <w:t xml:space="preserve">Email one-time passcode (OTP):</w:t>
      </w:r>
      <w:r>
        <w:t xml:space="preserve"> </w:t>
      </w:r>
      <w:r>
        <w:t xml:space="preserve">Fallback for guests whose home tenant does not support any federation protocol</w:t>
      </w:r>
    </w:p>
    <w:p>
      <w:pPr>
        <w:pStyle w:val="FirstParagraph"/>
      </w:pPr>
      <w:r>
        <w:t xml:space="preserve">10.5 Cross-Reference: AD Trust Mapping</w:t>
      </w:r>
    </w:p>
    <w:p>
      <w:pPr>
        <w:pStyle w:val="BodyText"/>
      </w:pPr>
      <w:r>
        <w:t xml:space="preserve">For organizations migrating from AD forest trusts to Entra ID cross-tenant access, the</w:t>
      </w:r>
      <w:r>
        <w:t xml:space="preserve"> </w:t>
      </w:r>
      <w:r>
        <w:rPr>
          <w:b/>
          <w:bCs/>
        </w:rPr>
        <w:t xml:space="preserve">AD Interaction Guide</w:t>
      </w:r>
      <w:r>
        <w:t xml:space="preserve"> </w:t>
      </w:r>
      <w:r>
        <w:t xml:space="preserve">provides the trust mapping methodology. The key equivalencies are:</w:t>
      </w:r>
    </w:p>
    <w:tbl>
      <w:tblPr>
        <w:tblStyle w:val="Table"/>
        <w:tblW w:type="pct" w:w="4931"/>
        <w:tblLayout w:type="fixed"/>
        <w:tblLook w:firstRow="1" w:lastRow="0" w:firstColumn="0" w:lastColumn="0" w:noHBand="0" w:noVBand="0" w:val="0020"/>
      </w:tblPr>
      <w:tblGrid>
        <w:gridCol w:w="1857"/>
        <w:gridCol w:w="3113"/>
        <w:gridCol w:w="2840"/>
      </w:tblGrid>
      <w:tr>
        <w:trPr>
          <w:tblHeader w:val="on"/>
        </w:trPr>
        <w:tc>
          <w:tcPr/>
          <w:p>
            <w:pPr>
              <w:pStyle w:val="Compact"/>
              <w:jc w:val="left"/>
            </w:pPr>
            <w:r>
              <w:rPr>
                <w:b/>
                <w:bCs/>
              </w:rPr>
              <w:t xml:space="preserve">AD Trust Type</w:t>
            </w:r>
          </w:p>
        </w:tc>
        <w:tc>
          <w:tcPr/>
          <w:p>
            <w:pPr>
              <w:pStyle w:val="Compact"/>
              <w:jc w:val="left"/>
            </w:pPr>
            <w:r>
              <w:rPr>
                <w:b/>
                <w:bCs/>
              </w:rPr>
              <w:t xml:space="preserve">Entra ID Equivalent</w:t>
            </w:r>
          </w:p>
        </w:tc>
        <w:tc>
          <w:tcPr/>
          <w:p>
            <w:pPr>
              <w:pStyle w:val="Compact"/>
              <w:jc w:val="left"/>
            </w:pPr>
            <w:r>
              <w:rPr>
                <w:b/>
                <w:bCs/>
              </w:rPr>
              <w:t xml:space="preserve">Migration Approach</w:t>
            </w:r>
          </w:p>
        </w:tc>
      </w:tr>
      <w:tr>
        <w:tc>
          <w:tcPr/>
          <w:p>
            <w:pPr>
              <w:pStyle w:val="Compact"/>
              <w:jc w:val="left"/>
            </w:pPr>
            <w:r>
              <w:t xml:space="preserve">Two-way forest trust</w:t>
            </w:r>
          </w:p>
        </w:tc>
        <w:tc>
          <w:tcPr/>
          <w:p>
            <w:pPr>
              <w:pStyle w:val="Compact"/>
              <w:jc w:val="left"/>
            </w:pPr>
            <w:r>
              <w:t xml:space="preserve">Cross-tenant access settings (mutual inbound/outbound)</w:t>
            </w:r>
          </w:p>
        </w:tc>
        <w:tc>
          <w:tcPr/>
          <w:p>
            <w:pPr>
              <w:pStyle w:val="Compact"/>
              <w:jc w:val="left"/>
            </w:pPr>
            <w:r>
              <w:t xml:space="preserve">Configure CTAS for both tenants; enable MFA trust</w:t>
            </w:r>
          </w:p>
        </w:tc>
      </w:tr>
      <w:tr>
        <w:tc>
          <w:tcPr/>
          <w:p>
            <w:pPr>
              <w:pStyle w:val="Compact"/>
              <w:jc w:val="left"/>
            </w:pPr>
            <w:r>
              <w:t xml:space="preserve">One-way forest trust (incoming)</w:t>
            </w:r>
          </w:p>
        </w:tc>
        <w:tc>
          <w:tcPr/>
          <w:p>
            <w:pPr>
              <w:pStyle w:val="Compact"/>
              <w:jc w:val="left"/>
            </w:pPr>
            <w:r>
              <w:t xml:space="preserve">Inbound CTAS (allow B2B from partner tenant)</w:t>
            </w:r>
          </w:p>
        </w:tc>
        <w:tc>
          <w:tcPr/>
          <w:p>
            <w:pPr>
              <w:pStyle w:val="Compact"/>
              <w:jc w:val="left"/>
            </w:pPr>
            <w:r>
              <w:t xml:space="preserve">Configure inbound B2B collaboration settings</w:t>
            </w:r>
          </w:p>
        </w:tc>
      </w:tr>
      <w:tr>
        <w:tc>
          <w:tcPr/>
          <w:p>
            <w:pPr>
              <w:pStyle w:val="Compact"/>
              <w:jc w:val="left"/>
            </w:pPr>
            <w:r>
              <w:t xml:space="preserve">External trust (domain-level)</w:t>
            </w:r>
          </w:p>
        </w:tc>
        <w:tc>
          <w:tcPr/>
          <w:p>
            <w:pPr>
              <w:pStyle w:val="Compact"/>
              <w:jc w:val="left"/>
            </w:pPr>
            <w:r>
              <w:t xml:space="preserve">Organization-specific CTAS</w:t>
            </w:r>
          </w:p>
        </w:tc>
        <w:tc>
          <w:tcPr/>
          <w:p>
            <w:pPr>
              <w:pStyle w:val="Compact"/>
              <w:jc w:val="left"/>
            </w:pPr>
            <w:r>
              <w:t xml:space="preserve">Configure per-organization settings in CTAS</w:t>
            </w:r>
          </w:p>
        </w:tc>
      </w:tr>
      <w:tr>
        <w:tc>
          <w:tcPr/>
          <w:p>
            <w:pPr>
              <w:pStyle w:val="Compact"/>
              <w:jc w:val="left"/>
            </w:pPr>
            <w:r>
              <w:t xml:space="preserve">Realm trust (Kerberos)</w:t>
            </w:r>
          </w:p>
        </w:tc>
        <w:tc>
          <w:tcPr/>
          <w:p>
            <w:pPr>
              <w:pStyle w:val="Compact"/>
              <w:jc w:val="left"/>
            </w:pPr>
            <w:r>
              <w:t xml:space="preserve">SAML/WS-Fed federation with external IdP</w:t>
            </w:r>
          </w:p>
        </w:tc>
        <w:tc>
          <w:tcPr/>
          <w:p>
            <w:pPr>
              <w:pStyle w:val="Compact"/>
              <w:jc w:val="left"/>
            </w:pPr>
            <w:r>
              <w:t xml:space="preserve">Establish direct federation</w:t>
            </w:r>
          </w:p>
        </w:tc>
      </w:tr>
    </w:tbl>
    <w:p>
      <w:pPr>
        <w:pStyle w:val="BodyText"/>
      </w:pPr>
      <w:r>
        <w:t xml:space="preserve">11. Authentication Modernization</w:t>
      </w:r>
    </w:p>
    <w:p>
      <w:pPr>
        <w:pStyle w:val="BodyText"/>
      </w:pPr>
      <w:r>
        <w:t xml:space="preserve">11.1 PHS as Foundation</w:t>
      </w:r>
    </w:p>
    <w:p>
      <w:pPr>
        <w:pStyle w:val="BodyText"/>
      </w:pPr>
      <w:r>
        <w:t xml:space="preserve">Regardless of the primary authentication method selected (PTA, Federation), Password Hash Sync (PHS) should be enabled as a foundation. PHS provides:</w:t>
      </w:r>
    </w:p>
    <w:p>
      <w:pPr>
        <w:numPr>
          <w:ilvl w:val="0"/>
          <w:numId w:val="1242"/>
        </w:numPr>
      </w:pPr>
      <w:r>
        <w:rPr>
          <w:b/>
          <w:bCs/>
        </w:rPr>
        <w:t xml:space="preserve">Leaked credential detection:</w:t>
      </w:r>
      <w:r>
        <w:t xml:space="preserve"> </w:t>
      </w:r>
      <w:r>
        <w:t xml:space="preserve">Entra ID Identity Protection compares password hashes against known breached credential databases (P2 feature)</w:t>
      </w:r>
    </w:p>
    <w:p>
      <w:pPr>
        <w:numPr>
          <w:ilvl w:val="0"/>
          <w:numId w:val="1242"/>
        </w:numPr>
      </w:pPr>
      <w:r>
        <w:rPr>
          <w:b/>
          <w:bCs/>
        </w:rPr>
        <w:t xml:space="preserve">Authentication resilience:</w:t>
      </w:r>
      <w:r>
        <w:t xml:space="preserve"> </w:t>
      </w:r>
      <w:r>
        <w:t xml:space="preserve">If PTA agents or AD FS become unavailable, PHS serves as an automatic fallback (with Staged Rollout or manual cutover)</w:t>
      </w:r>
    </w:p>
    <w:p>
      <w:pPr>
        <w:numPr>
          <w:ilvl w:val="0"/>
          <w:numId w:val="1242"/>
        </w:numPr>
      </w:pPr>
      <w:r>
        <w:rPr>
          <w:b/>
          <w:bCs/>
        </w:rPr>
        <w:t xml:space="preserve">Smart lockout:</w:t>
      </w:r>
      <w:r>
        <w:t xml:space="preserve"> </w:t>
      </w:r>
      <w:r>
        <w:t xml:space="preserve">Cloud-based lockout protects against password spray attacks without locking out on-premises AD accounts</w:t>
      </w:r>
    </w:p>
    <w:p>
      <w:pPr>
        <w:pStyle w:val="FirstParagraph"/>
      </w:pPr>
      <w:r>
        <w:t xml:space="preserve">11.2 Passwordless Authentication Roadmap</w:t>
      </w:r>
    </w:p>
    <w:p>
      <w:pPr>
        <w:pStyle w:val="BodyText"/>
      </w:pPr>
      <w:r>
        <w:t xml:space="preserve">The Federal Modernization Program passwordless strategy follows a phased approach, prioritizing the highest-risk accounts first:</w:t>
      </w:r>
    </w:p>
    <w:tbl>
      <w:tblPr>
        <w:tblStyle w:val="Table"/>
        <w:tblW w:type="pct" w:w="4952"/>
        <w:tblLayout w:type="fixed"/>
        <w:tblLook w:firstRow="1" w:lastRow="0" w:firstColumn="0" w:lastColumn="0" w:noHBand="0" w:noVBand="0" w:val="0020"/>
      </w:tblPr>
      <w:tblGrid>
        <w:gridCol w:w="533"/>
        <w:gridCol w:w="1713"/>
        <w:gridCol w:w="1561"/>
        <w:gridCol w:w="3465"/>
        <w:gridCol w:w="571"/>
      </w:tblGrid>
      <w:tr>
        <w:trPr>
          <w:tblHeader w:val="on"/>
        </w:trPr>
        <w:tc>
          <w:tcPr/>
          <w:p>
            <w:pPr>
              <w:pStyle w:val="Compact"/>
              <w:jc w:val="left"/>
            </w:pPr>
            <w:r>
              <w:rPr>
                <w:b/>
                <w:bCs/>
              </w:rPr>
              <w:t xml:space="preserve">Phase</w:t>
            </w:r>
          </w:p>
        </w:tc>
        <w:tc>
          <w:tcPr/>
          <w:p>
            <w:pPr>
              <w:pStyle w:val="Compact"/>
              <w:jc w:val="left"/>
            </w:pPr>
            <w:r>
              <w:rPr>
                <w:b/>
                <w:bCs/>
              </w:rPr>
              <w:t xml:space="preserve">Target Population</w:t>
            </w:r>
          </w:p>
        </w:tc>
        <w:tc>
          <w:tcPr/>
          <w:p>
            <w:pPr>
              <w:pStyle w:val="Compact"/>
              <w:jc w:val="left"/>
            </w:pPr>
            <w:r>
              <w:rPr>
                <w:b/>
                <w:bCs/>
              </w:rPr>
              <w:t xml:space="preserve">Authentication Method</w:t>
            </w:r>
          </w:p>
        </w:tc>
        <w:tc>
          <w:tcPr/>
          <w:p>
            <w:pPr>
              <w:pStyle w:val="Compact"/>
              <w:jc w:val="left"/>
            </w:pPr>
            <w:r>
              <w:rPr>
                <w:b/>
                <w:bCs/>
              </w:rPr>
              <w:t xml:space="preserve">Prerequisites</w:t>
            </w:r>
          </w:p>
        </w:tc>
        <w:tc>
          <w:tcPr/>
          <w:p>
            <w:pPr>
              <w:pStyle w:val="Compact"/>
              <w:jc w:val="left"/>
            </w:pPr>
            <w:r>
              <w:rPr>
                <w:b/>
                <w:bCs/>
              </w:rPr>
              <w:t xml:space="preserve">Duration</w:t>
            </w:r>
          </w:p>
        </w:tc>
      </w:tr>
      <w:tr>
        <w:tc>
          <w:tcPr/>
          <w:p>
            <w:pPr>
              <w:pStyle w:val="Compact"/>
              <w:jc w:val="left"/>
            </w:pPr>
            <w:r>
              <w:rPr>
                <w:b/>
                <w:bCs/>
              </w:rPr>
              <w:t xml:space="preserve">Phase 1</w:t>
            </w:r>
          </w:p>
        </w:tc>
        <w:tc>
          <w:tcPr/>
          <w:p>
            <w:pPr>
              <w:pStyle w:val="Compact"/>
              <w:jc w:val="left"/>
            </w:pPr>
            <w:r>
              <w:t xml:space="preserve">Privileged accounts (PIM-eligible users)</w:t>
            </w:r>
          </w:p>
        </w:tc>
        <w:tc>
          <w:tcPr/>
          <w:p>
            <w:pPr>
              <w:pStyle w:val="Compact"/>
              <w:jc w:val="left"/>
            </w:pPr>
            <w:r>
              <w:t xml:space="preserve">FIDO2 security keys</w:t>
            </w:r>
          </w:p>
        </w:tc>
        <w:tc>
          <w:tcPr/>
          <w:p>
            <w:pPr>
              <w:pStyle w:val="Compact"/>
              <w:jc w:val="left"/>
            </w:pPr>
            <w:r>
              <w:t xml:space="preserve">FIDO2 keys procured; Authentication Methods policy configured; users enrolled</w:t>
            </w:r>
          </w:p>
        </w:tc>
        <w:tc>
          <w:tcPr/>
          <w:p>
            <w:pPr>
              <w:pStyle w:val="Compact"/>
              <w:jc w:val="left"/>
            </w:pPr>
            <w:r>
              <w:t xml:space="preserve">4–6 weeks</w:t>
            </w:r>
          </w:p>
        </w:tc>
      </w:tr>
      <w:tr>
        <w:tc>
          <w:tcPr/>
          <w:p>
            <w:pPr>
              <w:pStyle w:val="Compact"/>
              <w:jc w:val="left"/>
            </w:pPr>
            <w:r>
              <w:rPr>
                <w:b/>
                <w:bCs/>
              </w:rPr>
              <w:t xml:space="preserve">Phase 2</w:t>
            </w:r>
          </w:p>
        </w:tc>
        <w:tc>
          <w:tcPr/>
          <w:p>
            <w:pPr>
              <w:pStyle w:val="Compact"/>
              <w:jc w:val="left"/>
            </w:pPr>
            <w:r>
              <w:t xml:space="preserve">Managed devices (Intune-enrolled, Windows)</w:t>
            </w:r>
          </w:p>
        </w:tc>
        <w:tc>
          <w:tcPr/>
          <w:p>
            <w:pPr>
              <w:pStyle w:val="Compact"/>
              <w:jc w:val="left"/>
            </w:pPr>
            <w:r>
              <w:t xml:space="preserve">Windows Hello for Business</w:t>
            </w:r>
          </w:p>
        </w:tc>
        <w:tc>
          <w:tcPr/>
          <w:p>
            <w:pPr>
              <w:pStyle w:val="Compact"/>
              <w:jc w:val="left"/>
            </w:pPr>
            <w:r>
              <w:t xml:space="preserve">Intune enrollment; WHfB policy deployed; TPM 2.0 on endpoints</w:t>
            </w:r>
          </w:p>
        </w:tc>
        <w:tc>
          <w:tcPr/>
          <w:p>
            <w:pPr>
              <w:pStyle w:val="Compact"/>
              <w:jc w:val="left"/>
            </w:pPr>
            <w:r>
              <w:t xml:space="preserve">8–12 weeks</w:t>
            </w:r>
          </w:p>
        </w:tc>
      </w:tr>
      <w:tr>
        <w:tc>
          <w:tcPr/>
          <w:p>
            <w:pPr>
              <w:pStyle w:val="Compact"/>
              <w:jc w:val="left"/>
            </w:pPr>
            <w:r>
              <w:rPr>
                <w:b/>
                <w:bCs/>
              </w:rPr>
              <w:t xml:space="preserve">Phase 3</w:t>
            </w:r>
          </w:p>
        </w:tc>
        <w:tc>
          <w:tcPr/>
          <w:p>
            <w:pPr>
              <w:pStyle w:val="Compact"/>
              <w:jc w:val="left"/>
            </w:pPr>
            <w:r>
              <w:t xml:space="preserve">All users (including mobile)</w:t>
            </w:r>
          </w:p>
        </w:tc>
        <w:tc>
          <w:tcPr/>
          <w:p>
            <w:pPr>
              <w:pStyle w:val="Compact"/>
              <w:jc w:val="left"/>
            </w:pPr>
            <w:r>
              <w:t xml:space="preserve">Microsoft Authenticator passkeys</w:t>
            </w:r>
          </w:p>
        </w:tc>
        <w:tc>
          <w:tcPr/>
          <w:p>
            <w:pPr>
              <w:pStyle w:val="Compact"/>
              <w:jc w:val="left"/>
            </w:pPr>
            <w:r>
              <w:t xml:space="preserve">Authenticator app deployed; passkey registration campaign; user communication</w:t>
            </w:r>
          </w:p>
        </w:tc>
        <w:tc>
          <w:tcPr/>
          <w:p>
            <w:pPr>
              <w:pStyle w:val="Compact"/>
              <w:jc w:val="left"/>
            </w:pPr>
            <w:r>
              <w:t xml:space="preserve">8–12 weeks</w:t>
            </w:r>
          </w:p>
        </w:tc>
      </w:tr>
      <w:tr>
        <w:tc>
          <w:tcPr/>
          <w:p>
            <w:pPr>
              <w:pStyle w:val="Compact"/>
              <w:jc w:val="left"/>
            </w:pPr>
            <w:r>
              <w:rPr>
                <w:b/>
                <w:bCs/>
              </w:rPr>
              <w:t xml:space="preserve">Phase 4</w:t>
            </w:r>
          </w:p>
        </w:tc>
        <w:tc>
          <w:tcPr/>
          <w:p>
            <w:pPr>
              <w:pStyle w:val="Compact"/>
              <w:jc w:val="left"/>
            </w:pPr>
            <w:r>
              <w:t xml:space="preserve">High-security users, smart card migration</w:t>
            </w:r>
          </w:p>
        </w:tc>
        <w:tc>
          <w:tcPr/>
          <w:p>
            <w:pPr>
              <w:pStyle w:val="Compact"/>
              <w:jc w:val="left"/>
            </w:pPr>
            <w:r>
              <w:t xml:space="preserve">Certificate-based authentication (CBA)</w:t>
            </w:r>
          </w:p>
        </w:tc>
        <w:tc>
          <w:tcPr/>
          <w:p>
            <w:pPr>
              <w:pStyle w:val="Compact"/>
              <w:jc w:val="left"/>
            </w:pPr>
            <w:r>
              <w:t xml:space="preserve">Cloud PKI or hybrid PKI (cross-reference PKI Modernization Guide); CBA policy configured</w:t>
            </w:r>
          </w:p>
        </w:tc>
        <w:tc>
          <w:tcPr/>
          <w:p>
            <w:pPr>
              <w:pStyle w:val="Compact"/>
              <w:jc w:val="left"/>
            </w:pPr>
            <w:r>
              <w:t xml:space="preserve">12–16 weeks</w:t>
            </w:r>
          </w:p>
        </w:tc>
      </w:tr>
    </w:tbl>
    <w:p>
      <w:pPr>
        <w:pStyle w:val="BodyText"/>
      </w:pPr>
      <w:r>
        <w:t xml:space="preserve">11.3 Authentication Methods Policy</w:t>
      </w:r>
    </w:p>
    <w:p>
      <w:pPr>
        <w:pStyle w:val="BodyText"/>
      </w:pPr>
      <w:r>
        <w:t xml:space="preserve">The Authentication Methods policy in Entra ID controls which authentication methods are available to which users. The Federal Modernization Program configuration:</w:t>
      </w:r>
    </w:p>
    <w:p>
      <w:pPr>
        <w:numPr>
          <w:ilvl w:val="0"/>
          <w:numId w:val="1243"/>
        </w:numPr>
      </w:pPr>
      <w:r>
        <w:rPr>
          <w:b/>
          <w:bCs/>
        </w:rPr>
        <w:t xml:space="preserve">FIDO2 Security Keys:</w:t>
      </w:r>
      <w:r>
        <w:t xml:space="preserve"> </w:t>
      </w:r>
      <w:r>
        <w:t xml:space="preserve">Enabled for Admins group (Phase 1), then All Users (Phase 3)</w:t>
      </w:r>
    </w:p>
    <w:p>
      <w:pPr>
        <w:numPr>
          <w:ilvl w:val="0"/>
          <w:numId w:val="1243"/>
        </w:numPr>
      </w:pPr>
      <w:r>
        <w:rPr>
          <w:b/>
          <w:bCs/>
        </w:rPr>
        <w:t xml:space="preserve">Microsoft Authenticator:</w:t>
      </w:r>
      <w:r>
        <w:t xml:space="preserve"> </w:t>
      </w:r>
      <w:r>
        <w:t xml:space="preserve">Enabled for All Users; number matching required; additional context (application name, location) enabled</w:t>
      </w:r>
    </w:p>
    <w:p>
      <w:pPr>
        <w:numPr>
          <w:ilvl w:val="0"/>
          <w:numId w:val="1243"/>
        </w:numPr>
      </w:pPr>
      <w:r>
        <w:rPr>
          <w:b/>
          <w:bCs/>
        </w:rPr>
        <w:t xml:space="preserve">Windows Hello for Business:</w:t>
      </w:r>
      <w:r>
        <w:t xml:space="preserve"> </w:t>
      </w:r>
      <w:r>
        <w:t xml:space="preserve">Enabled for All Users with managed devices</w:t>
      </w:r>
    </w:p>
    <w:p>
      <w:pPr>
        <w:numPr>
          <w:ilvl w:val="0"/>
          <w:numId w:val="1243"/>
        </w:numPr>
      </w:pPr>
      <w:r>
        <w:rPr>
          <w:b/>
          <w:bCs/>
        </w:rPr>
        <w:t xml:space="preserve">Temporary Access Pass (TAP):</w:t>
      </w:r>
      <w:r>
        <w:t xml:space="preserve"> </w:t>
      </w:r>
      <w:r>
        <w:t xml:space="preserve">Enabled for helpdesk/User Administrators; one-time use; 1-hour lifetime; used for new employee onboarding and FIDO2 key replacement</w:t>
      </w:r>
    </w:p>
    <w:p>
      <w:pPr>
        <w:numPr>
          <w:ilvl w:val="0"/>
          <w:numId w:val="1243"/>
        </w:numPr>
      </w:pPr>
      <w:r>
        <w:rPr>
          <w:b/>
          <w:bCs/>
        </w:rPr>
        <w:t xml:space="preserve">SMS/Voice:</w:t>
      </w:r>
      <w:r>
        <w:t xml:space="preserve"> </w:t>
      </w:r>
      <w:r>
        <w:t xml:space="preserve">Disabled (phishable methods)</w:t>
      </w:r>
    </w:p>
    <w:p>
      <w:pPr>
        <w:numPr>
          <w:ilvl w:val="0"/>
          <w:numId w:val="1243"/>
        </w:numPr>
      </w:pPr>
      <w:r>
        <w:rPr>
          <w:b/>
          <w:bCs/>
        </w:rPr>
        <w:t xml:space="preserve">Email OTP:</w:t>
      </w:r>
      <w:r>
        <w:t xml:space="preserve"> </w:t>
      </w:r>
      <w:r>
        <w:t xml:space="preserve">Enabled for guest users only</w:t>
      </w:r>
    </w:p>
    <w:p>
      <w:pPr>
        <w:numPr>
          <w:ilvl w:val="0"/>
          <w:numId w:val="1243"/>
        </w:numPr>
      </w:pPr>
      <w:r>
        <w:rPr>
          <w:b/>
          <w:bCs/>
        </w:rPr>
        <w:t xml:space="preserve">Registration campaigns:</w:t>
      </w:r>
      <w:r>
        <w:t xml:space="preserve"> </w:t>
      </w:r>
      <w:r>
        <w:t xml:space="preserve">Enabled to prompt users to register for Microsoft Authenticator during sign-in; snooze limit: 3 times</w:t>
      </w:r>
    </w:p>
    <w:p>
      <w:pPr>
        <w:pStyle w:val="FirstParagraph"/>
      </w:pPr>
      <w:r>
        <w:t xml:space="preserve">11.4 Legacy Authentication Blocking</w:t>
      </w:r>
    </w:p>
    <w:p>
      <w:pPr>
        <w:pStyle w:val="BodyText"/>
      </w:pPr>
      <w:r>
        <w:t xml:space="preserve">Legacy authentication protocols (SMTP AUTH, POP3, IMAP4, Exchange ActiveSync with basic auth, legacy Exchange Web Services) do not support MFA and are a primary vector for credential stuffing attacks. The remediation process:</w:t>
      </w:r>
    </w:p>
    <w:p>
      <w:pPr>
        <w:numPr>
          <w:ilvl w:val="0"/>
          <w:numId w:val="1244"/>
        </w:numPr>
      </w:pPr>
      <w:r>
        <w:rPr>
          <w:b/>
          <w:bCs/>
        </w:rPr>
        <w:t xml:space="preserve">Discover:</w:t>
      </w:r>
      <w:r>
        <w:t xml:space="preserve"> </w:t>
      </w:r>
      <w:r>
        <w:t xml:space="preserve">Identify all legacy auth usage using sign-in logs and the KQL query below</w:t>
      </w:r>
    </w:p>
    <w:p>
      <w:pPr>
        <w:numPr>
          <w:ilvl w:val="0"/>
          <w:numId w:val="1244"/>
        </w:numPr>
      </w:pPr>
      <w:r>
        <w:rPr>
          <w:b/>
          <w:bCs/>
        </w:rPr>
        <w:t xml:space="preserve">Remediate:</w:t>
      </w:r>
      <w:r>
        <w:t xml:space="preserve"> </w:t>
      </w:r>
      <w:r>
        <w:t xml:space="preserve">Migrate applications and devices from basic auth to modern auth (OAuth 2.0)</w:t>
      </w:r>
    </w:p>
    <w:p>
      <w:pPr>
        <w:numPr>
          <w:ilvl w:val="0"/>
          <w:numId w:val="1244"/>
        </w:numPr>
      </w:pPr>
      <w:r>
        <w:rPr>
          <w:b/>
          <w:bCs/>
        </w:rPr>
        <w:t xml:space="preserve">Block:</w:t>
      </w:r>
      <w:r>
        <w:t xml:space="preserve"> </w:t>
      </w:r>
      <w:r>
        <w:t xml:space="preserve">Deploy CA001-AllUsers-BlockLegacyAuth (Section 8.5) after remediation</w:t>
      </w:r>
    </w:p>
    <w:p>
      <w:pPr>
        <w:numPr>
          <w:ilvl w:val="0"/>
          <w:numId w:val="1244"/>
        </w:numPr>
      </w:pPr>
      <w:r>
        <w:rPr>
          <w:b/>
          <w:bCs/>
        </w:rPr>
        <w:t xml:space="preserve">Monitor:</w:t>
      </w:r>
      <w:r>
        <w:t xml:space="preserve"> </w:t>
      </w:r>
      <w:r>
        <w:t xml:space="preserve">Verify zero legacy auth sign-ins for 30 days post-enforcement</w:t>
      </w:r>
    </w:p>
    <w:p>
      <w:pPr>
        <w:pStyle w:val="FirstParagraph"/>
      </w:pPr>
      <w:r>
        <w:t xml:space="preserve">11.5 Legacy Auth Discovery — KQL and PowerShell</w:t>
      </w:r>
    </w:p>
    <w:p>
      <w:pPr>
        <w:pStyle w:val="BodyText"/>
      </w:pPr>
      <w:r>
        <w:t xml:space="preserve"># ============================================================ # KQL Query — Legacy Authentication Sign-In Discovery # Run in Log Analytics workspace connected to Entra sign-in logs # ============================================================ SigninLogs | where TimeGenerated &gt; ago(30d) | where ClientAppUsed in ( "Exchange ActiveSync", "Authenticated SMTP", "POP3", "IMAP4", "AutoDiscover", "Exchange Online PowerShell", "Exchange Web Services", "MAPI Over HTTP", "Offline Address Book", "Other clients", "Outlook Anywhere (RPC over HTTP)", "Reporting Web Services" ) | where ResultType == 0 // Successful sign-ins only | summarize SignInCount = count, LastSignIn = max(TimeGenerated), DistinctUsers = dcount(UserPrincipalName) by ClientAppUsed, AppDisplayName, UserPrincipalName | order by SignInCount desc</w:t>
      </w:r>
    </w:p>
    <w:p>
      <w:pPr>
        <w:pStyle w:val="BodyText"/>
      </w:pPr>
      <w:r>
        <w:t xml:space="preserve"># ============================================================ # PowerShell — Legacy Auth Discovery via Microsoft Graph # Requires: Microsoft.Graph.Reports scope # ============================================================ #Requires -Modules Microsoft.Graph.Reports Connect-MgGraph -Scopes "AuditLog.Read.All" $legacyClients = @( "Exchange ActiveSync", "Authenticated SMTP", "POP3", "IMAP4", "Other clients" ) $startDate = (Get-Date).AddDays(-30).ToString("yyyy-MM-ddTHH:mm:ssZ") $filter = "createdDateTime ge $startDate and status/errorCode eq 0" $signIns = Get-MgAuditLogSignIn -Filter $filter -Top 5000 -All | Where-Object { $_.ClientAppUsed -in $legacyClients } $signIns | Group-Object -Property UserPrincipalName, ClientAppUsed | Select-Object @{N='User';E={($_.Name -split ', ')[0]}}, @{N='ClientApp';E={($_.Name -split ', ')[1]}}, @{N='Count';E={$_.Count}}, @{N='LastSignIn';E={($_.Group | Sort-Object CreatedDateTime -Descending | Select-Object -First 1).CreatedDateTime}} | Sort-Object Count -Descending | Format-Table -AutoSize Disconnect-MgGraph</w:t>
      </w:r>
    </w:p>
    <w:p>
      <w:pPr>
        <w:pStyle w:val="BodyText"/>
      </w:pPr>
      <w:r>
        <w:t xml:space="preserve">12. Monitoring, Audit, and Compliance</w:t>
      </w:r>
    </w:p>
    <w:p>
      <w:pPr>
        <w:pStyle w:val="BodyText"/>
      </w:pPr>
      <w:r>
        <w:t xml:space="preserve">12.1 Entra ID Log Architecture</w:t>
      </w:r>
    </w:p>
    <w:p>
      <w:pPr>
        <w:pStyle w:val="BodyText"/>
      </w:pPr>
      <w:r>
        <w:t xml:space="preserve">Entra ID generates four primary log categories:</w:t>
      </w:r>
    </w:p>
    <w:tbl>
      <w:tblPr>
        <w:tblStyle w:val="Table"/>
        <w:tblW w:type="pct" w:w="4950"/>
        <w:tblLayout w:type="fixed"/>
        <w:tblLook w:firstRow="1" w:lastRow="0" w:firstColumn="0" w:lastColumn="0" w:noHBand="0" w:noVBand="0" w:val="0020"/>
      </w:tblPr>
      <w:tblGrid>
        <w:gridCol w:w="1512"/>
        <w:gridCol w:w="3900"/>
        <w:gridCol w:w="994"/>
        <w:gridCol w:w="1432"/>
      </w:tblGrid>
      <w:tr>
        <w:trPr>
          <w:tblHeader w:val="on"/>
        </w:trPr>
        <w:tc>
          <w:tcPr/>
          <w:p>
            <w:pPr>
              <w:pStyle w:val="Compact"/>
              <w:jc w:val="left"/>
            </w:pPr>
            <w:r>
              <w:rPr>
                <w:b/>
                <w:bCs/>
              </w:rPr>
              <w:t xml:space="preserve">Log Type</w:t>
            </w:r>
          </w:p>
        </w:tc>
        <w:tc>
          <w:tcPr/>
          <w:p>
            <w:pPr>
              <w:pStyle w:val="Compact"/>
              <w:jc w:val="left"/>
            </w:pPr>
            <w:r>
              <w:rPr>
                <w:b/>
                <w:bCs/>
              </w:rPr>
              <w:t xml:space="preserve">Content</w:t>
            </w:r>
          </w:p>
        </w:tc>
        <w:tc>
          <w:tcPr/>
          <w:p>
            <w:pPr>
              <w:pStyle w:val="Compact"/>
              <w:jc w:val="left"/>
            </w:pPr>
            <w:r>
              <w:rPr>
                <w:b/>
                <w:bCs/>
              </w:rPr>
              <w:t xml:space="preserve">Retention (Native)</w:t>
            </w:r>
          </w:p>
        </w:tc>
        <w:tc>
          <w:tcPr/>
          <w:p>
            <w:pPr>
              <w:pStyle w:val="Compact"/>
              <w:jc w:val="left"/>
            </w:pPr>
            <w:r>
              <w:rPr>
                <w:b/>
                <w:bCs/>
              </w:rPr>
              <w:t xml:space="preserve">Retention (Log Analytics)</w:t>
            </w:r>
          </w:p>
        </w:tc>
      </w:tr>
      <w:tr>
        <w:tc>
          <w:tcPr/>
          <w:p>
            <w:pPr>
              <w:pStyle w:val="Compact"/>
              <w:jc w:val="left"/>
            </w:pPr>
            <w:r>
              <w:t xml:space="preserve">Sign-in logs</w:t>
            </w:r>
          </w:p>
        </w:tc>
        <w:tc>
          <w:tcPr/>
          <w:p>
            <w:pPr>
              <w:pStyle w:val="Compact"/>
              <w:jc w:val="left"/>
            </w:pPr>
            <w:r>
              <w:t xml:space="preserve">Interactive and non-interactive sign-ins, service principal sign-ins, managed identity sign-ins</w:t>
            </w:r>
          </w:p>
        </w:tc>
        <w:tc>
          <w:tcPr/>
          <w:p>
            <w:pPr>
              <w:pStyle w:val="Compact"/>
              <w:jc w:val="left"/>
            </w:pPr>
            <w:r>
              <w:t xml:space="preserve">30 days (P1/P2)</w:t>
            </w:r>
          </w:p>
        </w:tc>
        <w:tc>
          <w:tcPr/>
          <w:p>
            <w:pPr>
              <w:pStyle w:val="Compact"/>
              <w:jc w:val="left"/>
            </w:pPr>
            <w:r>
              <w:t xml:space="preserve">Configurable (recommend 365 days)</w:t>
            </w:r>
          </w:p>
        </w:tc>
      </w:tr>
      <w:tr>
        <w:tc>
          <w:tcPr/>
          <w:p>
            <w:pPr>
              <w:pStyle w:val="Compact"/>
              <w:jc w:val="left"/>
            </w:pPr>
            <w:r>
              <w:t xml:space="preserve">Audit logs</w:t>
            </w:r>
          </w:p>
        </w:tc>
        <w:tc>
          <w:tcPr/>
          <w:p>
            <w:pPr>
              <w:pStyle w:val="Compact"/>
              <w:jc w:val="left"/>
            </w:pPr>
            <w:r>
              <w:t xml:space="preserve">Directory changes: user/group/role modifications, policy changes, app registrations</w:t>
            </w:r>
          </w:p>
        </w:tc>
        <w:tc>
          <w:tcPr/>
          <w:p>
            <w:pPr>
              <w:pStyle w:val="Compact"/>
              <w:jc w:val="left"/>
            </w:pPr>
            <w:r>
              <w:t xml:space="preserve">30 days</w:t>
            </w:r>
          </w:p>
        </w:tc>
        <w:tc>
          <w:tcPr/>
          <w:p>
            <w:pPr>
              <w:pStyle w:val="Compact"/>
              <w:jc w:val="left"/>
            </w:pPr>
            <w:r>
              <w:t xml:space="preserve">Configurable (recommend 365 days)</w:t>
            </w:r>
          </w:p>
        </w:tc>
      </w:tr>
      <w:tr>
        <w:tc>
          <w:tcPr/>
          <w:p>
            <w:pPr>
              <w:pStyle w:val="Compact"/>
              <w:jc w:val="left"/>
            </w:pPr>
            <w:r>
              <w:t xml:space="preserve">Provisioning logs</w:t>
            </w:r>
          </w:p>
        </w:tc>
        <w:tc>
          <w:tcPr/>
          <w:p>
            <w:pPr>
              <w:pStyle w:val="Compact"/>
              <w:jc w:val="left"/>
            </w:pPr>
            <w:r>
              <w:t xml:space="preserve">User provisioning to SaaS applications, Entra Connect sync events</w:t>
            </w:r>
          </w:p>
        </w:tc>
        <w:tc>
          <w:tcPr/>
          <w:p>
            <w:pPr>
              <w:pStyle w:val="Compact"/>
              <w:jc w:val="left"/>
            </w:pPr>
            <w:r>
              <w:t xml:space="preserve">30 days</w:t>
            </w:r>
          </w:p>
        </w:tc>
        <w:tc>
          <w:tcPr/>
          <w:p>
            <w:pPr>
              <w:pStyle w:val="Compact"/>
              <w:jc w:val="left"/>
            </w:pPr>
            <w:r>
              <w:t xml:space="preserve">Configurable (recommend 180 days)</w:t>
            </w:r>
          </w:p>
        </w:tc>
      </w:tr>
      <w:tr>
        <w:tc>
          <w:tcPr/>
          <w:p>
            <w:pPr>
              <w:pStyle w:val="Compact"/>
              <w:jc w:val="left"/>
            </w:pPr>
            <w:r>
              <w:t xml:space="preserve">Identity Protection risk detections</w:t>
            </w:r>
          </w:p>
        </w:tc>
        <w:tc>
          <w:tcPr/>
          <w:p>
            <w:pPr>
              <w:pStyle w:val="Compact"/>
              <w:jc w:val="left"/>
            </w:pPr>
            <w:r>
              <w:t xml:space="preserve">Risky sign-ins, risky users, risk event details</w:t>
            </w:r>
          </w:p>
        </w:tc>
        <w:tc>
          <w:tcPr/>
          <w:p>
            <w:pPr>
              <w:pStyle w:val="Compact"/>
              <w:jc w:val="left"/>
            </w:pPr>
            <w:r>
              <w:t xml:space="preserve">90 days</w:t>
            </w:r>
          </w:p>
        </w:tc>
        <w:tc>
          <w:tcPr/>
          <w:p>
            <w:pPr>
              <w:pStyle w:val="Compact"/>
              <w:jc w:val="left"/>
            </w:pPr>
            <w:r>
              <w:t xml:space="preserve">Configurable (recommend 365 days)</w:t>
            </w:r>
          </w:p>
        </w:tc>
      </w:tr>
    </w:tbl>
    <w:p>
      <w:pPr>
        <w:pStyle w:val="BodyText"/>
      </w:pPr>
      <w:r>
        <w:t xml:space="preserve">12.2 Log Analytics Integration</w:t>
      </w:r>
    </w:p>
    <w:p>
      <w:pPr>
        <w:pStyle w:val="BodyText"/>
      </w:pPr>
      <w:r>
        <w:t xml:space="preserve">All Entra ID logs must be routed to a Log Analytics workspace for long-term retention, cross-correlation, and advanced detection. Configuration steps:</w:t>
      </w:r>
    </w:p>
    <w:p>
      <w:pPr>
        <w:numPr>
          <w:ilvl w:val="0"/>
          <w:numId w:val="1245"/>
        </w:numPr>
      </w:pPr>
      <w:r>
        <w:t xml:space="preserve">Create a Log Analytics workspace in the GCC-Moderate boundary (Azure resource — exception to SaaS-only boundary, documented here)</w:t>
      </w:r>
    </w:p>
    <w:p>
      <w:pPr>
        <w:numPr>
          <w:ilvl w:val="0"/>
          <w:numId w:val="1245"/>
        </w:numPr>
      </w:pPr>
      <w:r>
        <w:t xml:space="preserve">Configure Entra ID Diagnostic Settings to stream all log categories to the workspace</w:t>
      </w:r>
    </w:p>
    <w:p>
      <w:pPr>
        <w:numPr>
          <w:ilvl w:val="0"/>
          <w:numId w:val="1245"/>
        </w:numPr>
      </w:pPr>
      <w:r>
        <w:t xml:space="preserve">Set workspace retention to 365 days (or per compliance requirement)</w:t>
      </w:r>
    </w:p>
    <w:p>
      <w:pPr>
        <w:numPr>
          <w:ilvl w:val="0"/>
          <w:numId w:val="1245"/>
        </w:numPr>
      </w:pPr>
      <w:r>
        <w:t xml:space="preserve">Create scheduled query rules for the detection scenarios in Section 12.3</w:t>
      </w:r>
    </w:p>
    <w:p>
      <w:pPr>
        <w:pStyle w:val="FirstParagraph"/>
      </w:pPr>
      <w:r>
        <w:t xml:space="preserve">12.3 Key Detection Rules</w:t>
      </w:r>
    </w:p>
    <w:tbl>
      <w:tblPr>
        <w:tblStyle w:val="Table"/>
        <w:tblW w:type="pct" w:w="4975"/>
        <w:tblLayout w:type="fixed"/>
        <w:tblLook w:firstRow="1" w:lastRow="0" w:firstColumn="0" w:lastColumn="0" w:noHBand="0" w:noVBand="0" w:val="0020"/>
      </w:tblPr>
      <w:tblGrid>
        <w:gridCol w:w="835"/>
        <w:gridCol w:w="1552"/>
        <w:gridCol w:w="3999"/>
        <w:gridCol w:w="417"/>
        <w:gridCol w:w="1074"/>
      </w:tblGrid>
      <w:tr>
        <w:trPr>
          <w:tblHeader w:val="on"/>
        </w:trPr>
        <w:tc>
          <w:tcPr/>
          <w:p>
            <w:pPr>
              <w:pStyle w:val="Compact"/>
              <w:jc w:val="left"/>
            </w:pPr>
            <w:r>
              <w:rPr>
                <w:b/>
                <w:bCs/>
              </w:rPr>
              <w:t xml:space="preserve">Detection</w:t>
            </w:r>
          </w:p>
        </w:tc>
        <w:tc>
          <w:tcPr/>
          <w:p>
            <w:pPr>
              <w:pStyle w:val="Compact"/>
              <w:jc w:val="left"/>
            </w:pPr>
            <w:r>
              <w:rPr>
                <w:b/>
                <w:bCs/>
              </w:rPr>
              <w:t xml:space="preserve">Description</w:t>
            </w:r>
          </w:p>
        </w:tc>
        <w:tc>
          <w:tcPr/>
          <w:p>
            <w:pPr>
              <w:pStyle w:val="Compact"/>
              <w:jc w:val="left"/>
            </w:pPr>
            <w:r>
              <w:rPr>
                <w:b/>
                <w:bCs/>
              </w:rPr>
              <w:t xml:space="preserve">KQL Query Pattern</w:t>
            </w:r>
          </w:p>
        </w:tc>
        <w:tc>
          <w:tcPr/>
          <w:p>
            <w:pPr>
              <w:pStyle w:val="Compact"/>
              <w:jc w:val="left"/>
            </w:pPr>
            <w:r>
              <w:rPr>
                <w:b/>
                <w:bCs/>
              </w:rPr>
              <w:t xml:space="preserve">Alert Severity</w:t>
            </w:r>
          </w:p>
        </w:tc>
        <w:tc>
          <w:tcPr/>
          <w:p>
            <w:pPr>
              <w:pStyle w:val="Compact"/>
              <w:jc w:val="left"/>
            </w:pPr>
            <w:r>
              <w:rPr>
                <w:b/>
                <w:bCs/>
              </w:rPr>
              <w:t xml:space="preserve">Response Action</w:t>
            </w:r>
          </w:p>
        </w:tc>
      </w:tr>
      <w:tr>
        <w:tc>
          <w:tcPr/>
          <w:p>
            <w:pPr>
              <w:pStyle w:val="Compact"/>
              <w:jc w:val="left"/>
            </w:pPr>
            <w:r>
              <w:t xml:space="preserve">Stale account detection</w:t>
            </w:r>
          </w:p>
        </w:tc>
        <w:tc>
          <w:tcPr/>
          <w:p>
            <w:pPr>
              <w:pStyle w:val="Compact"/>
              <w:jc w:val="left"/>
            </w:pPr>
            <w:r>
              <w:t xml:space="preserve">Accounts with no interactive sign-in for &gt;90 days</w:t>
            </w:r>
          </w:p>
        </w:tc>
        <w:tc>
          <w:tcPr/>
          <w:p>
            <w:pPr>
              <w:pStyle w:val="Compact"/>
              <w:jc w:val="left"/>
            </w:pPr>
            <w:r>
              <w:t xml:space="preserve">SigninLogs | summarize LastSignIn=max(TimeGenerated) by UserPrincipalName | where LastSignIn &lt; ago(90d)</w:t>
            </w:r>
          </w:p>
        </w:tc>
        <w:tc>
          <w:tcPr/>
          <w:p>
            <w:pPr>
              <w:pStyle w:val="Compact"/>
              <w:jc w:val="left"/>
            </w:pPr>
            <w:r>
              <w:t xml:space="preserve">Medium</w:t>
            </w:r>
          </w:p>
        </w:tc>
        <w:tc>
          <w:tcPr/>
          <w:p>
            <w:pPr>
              <w:pStyle w:val="Compact"/>
              <w:jc w:val="left"/>
            </w:pPr>
            <w:r>
              <w:t xml:space="preserve">Flag for access review; disable if confirmed unused</w:t>
            </w:r>
          </w:p>
        </w:tc>
      </w:tr>
      <w:tr>
        <w:tc>
          <w:tcPr/>
          <w:p>
            <w:pPr>
              <w:pStyle w:val="Compact"/>
              <w:jc w:val="left"/>
            </w:pPr>
            <w:r>
              <w:t xml:space="preserve">PIM activation outside business hours</w:t>
            </w:r>
          </w:p>
        </w:tc>
        <w:tc>
          <w:tcPr/>
          <w:p>
            <w:pPr>
              <w:pStyle w:val="Compact"/>
              <w:jc w:val="left"/>
            </w:pPr>
            <w:r>
              <w:t xml:space="preserve">Privileged role activated between 22:00–06:00 local time or on weekends</w:t>
            </w:r>
          </w:p>
        </w:tc>
        <w:tc>
          <w:tcPr/>
          <w:p>
            <w:pPr>
              <w:pStyle w:val="Compact"/>
              <w:jc w:val="left"/>
            </w:pPr>
            <w:r>
              <w:t xml:space="preserve">AuditLogs | where OperationName == "Add member to role" | extend HourOfDay=hourofday(TimeGenerated) | where HourOfDay &lt; 6 or HourOfDay &gt; 22</w:t>
            </w:r>
          </w:p>
        </w:tc>
        <w:tc>
          <w:tcPr/>
          <w:p>
            <w:pPr>
              <w:pStyle w:val="Compact"/>
              <w:jc w:val="left"/>
            </w:pPr>
            <w:r>
              <w:t xml:space="preserve">High</w:t>
            </w:r>
          </w:p>
        </w:tc>
        <w:tc>
          <w:tcPr/>
          <w:p>
            <w:pPr>
              <w:pStyle w:val="Compact"/>
              <w:jc w:val="left"/>
            </w:pPr>
            <w:r>
              <w:t xml:space="preserve">Investigate; require justification review</w:t>
            </w:r>
          </w:p>
        </w:tc>
      </w:tr>
      <w:tr>
        <w:tc>
          <w:tcPr/>
          <w:p>
            <w:pPr>
              <w:pStyle w:val="Compact"/>
              <w:jc w:val="left"/>
            </w:pPr>
            <w:r>
              <w:t xml:space="preserve">CA policy bypass attempts</w:t>
            </w:r>
          </w:p>
        </w:tc>
        <w:tc>
          <w:tcPr/>
          <w:p>
            <w:pPr>
              <w:pStyle w:val="Compact"/>
              <w:jc w:val="left"/>
            </w:pPr>
            <w:r>
              <w:t xml:space="preserve">Sign-ins that match CA policy conditions but receive "Not Applied" status</w:t>
            </w:r>
          </w:p>
        </w:tc>
        <w:tc>
          <w:tcPr/>
          <w:p>
            <w:pPr>
              <w:pStyle w:val="Compact"/>
              <w:jc w:val="left"/>
            </w:pPr>
            <w:r>
              <w:t xml:space="preserve">SigninLogs | mv-expand ConditionalAccessPolicies | where ConditionalAccessPolicies.result == "notApplied"</w:t>
            </w:r>
          </w:p>
        </w:tc>
        <w:tc>
          <w:tcPr/>
          <w:p>
            <w:pPr>
              <w:pStyle w:val="Compact"/>
              <w:jc w:val="left"/>
            </w:pPr>
            <w:r>
              <w:t xml:space="preserve">Medium</w:t>
            </w:r>
          </w:p>
        </w:tc>
        <w:tc>
          <w:tcPr/>
          <w:p>
            <w:pPr>
              <w:pStyle w:val="Compact"/>
              <w:jc w:val="left"/>
            </w:pPr>
            <w:r>
              <w:t xml:space="preserve">Review policy conditions for gaps</w:t>
            </w:r>
          </w:p>
        </w:tc>
      </w:tr>
      <w:tr>
        <w:tc>
          <w:tcPr/>
          <w:p>
            <w:pPr>
              <w:pStyle w:val="Compact"/>
              <w:jc w:val="left"/>
            </w:pPr>
            <w:r>
              <w:t xml:space="preserve">Service principal credential expiration</w:t>
            </w:r>
          </w:p>
        </w:tc>
        <w:tc>
          <w:tcPr/>
          <w:p>
            <w:pPr>
              <w:pStyle w:val="Compact"/>
              <w:jc w:val="left"/>
            </w:pPr>
            <w:r>
              <w:t xml:space="preserve">App registrations with credentials expiring within 30 days</w:t>
            </w:r>
          </w:p>
        </w:tc>
        <w:tc>
          <w:tcPr/>
          <w:p>
            <w:pPr>
              <w:pStyle w:val="Compact"/>
              <w:jc w:val="left"/>
            </w:pPr>
            <w:r>
              <w:t xml:space="preserve">Graph API: GET /applications?$filter=passwordCredentials/any(p:p/endDateTime le {date})</w:t>
            </w:r>
          </w:p>
        </w:tc>
        <w:tc>
          <w:tcPr/>
          <w:p>
            <w:pPr>
              <w:pStyle w:val="Compact"/>
              <w:jc w:val="left"/>
            </w:pPr>
            <w:r>
              <w:t xml:space="preserve">High</w:t>
            </w:r>
          </w:p>
        </w:tc>
        <w:tc>
          <w:tcPr/>
          <w:p>
            <w:pPr>
              <w:pStyle w:val="Compact"/>
              <w:jc w:val="left"/>
            </w:pPr>
            <w:r>
              <w:t xml:space="preserve">Notify app owners; rotate credentials</w:t>
            </w:r>
          </w:p>
        </w:tc>
      </w:tr>
      <w:tr>
        <w:tc>
          <w:tcPr/>
          <w:p>
            <w:pPr>
              <w:pStyle w:val="Compact"/>
              <w:jc w:val="left"/>
            </w:pPr>
            <w:r>
              <w:t xml:space="preserve">Break-glass account sign-in</w:t>
            </w:r>
          </w:p>
        </w:tc>
        <w:tc>
          <w:tcPr/>
          <w:p>
            <w:pPr>
              <w:pStyle w:val="Compact"/>
              <w:jc w:val="left"/>
            </w:pPr>
            <w:r>
              <w:t xml:space="preserve">Any sign-in from emergency access accounts</w:t>
            </w:r>
          </w:p>
        </w:tc>
        <w:tc>
          <w:tcPr/>
          <w:p>
            <w:pPr>
              <w:pStyle w:val="Compact"/>
              <w:jc w:val="left"/>
            </w:pPr>
            <w:r>
              <w:t xml:space="preserve">SigninLogs | where UserPrincipalName in ("bg1@tenant.onmicrosoft.com","bg2@tenant.onmicrosoft.com")</w:t>
            </w:r>
          </w:p>
        </w:tc>
        <w:tc>
          <w:tcPr/>
          <w:p>
            <w:pPr>
              <w:pStyle w:val="Compact"/>
              <w:jc w:val="left"/>
            </w:pPr>
            <w:r>
              <w:t xml:space="preserve">Critical</w:t>
            </w:r>
          </w:p>
        </w:tc>
        <w:tc>
          <w:tcPr/>
          <w:p>
            <w:pPr>
              <w:pStyle w:val="Compact"/>
              <w:jc w:val="left"/>
            </w:pPr>
            <w:r>
              <w:t xml:space="preserve">Immediate incident response; investigate reason</w:t>
            </w:r>
          </w:p>
        </w:tc>
      </w:tr>
      <w:tr>
        <w:tc>
          <w:tcPr/>
          <w:p>
            <w:pPr>
              <w:pStyle w:val="Compact"/>
              <w:jc w:val="left"/>
            </w:pPr>
            <w:r>
              <w:t xml:space="preserve">Mass group membership change</w:t>
            </w:r>
          </w:p>
        </w:tc>
        <w:tc>
          <w:tcPr/>
          <w:p>
            <w:pPr>
              <w:pStyle w:val="Compact"/>
              <w:jc w:val="left"/>
            </w:pPr>
            <w:r>
              <w:t xml:space="preserve">&gt;50 members added or removed from a single group within 1 hour</w:t>
            </w:r>
          </w:p>
        </w:tc>
        <w:tc>
          <w:tcPr/>
          <w:p>
            <w:pPr>
              <w:pStyle w:val="Compact"/>
              <w:jc w:val="left"/>
            </w:pPr>
            <w:r>
              <w:t xml:space="preserve">AuditLogs | where OperationName in ("Add member to group","Remove member from group") | summarize Count=count by TargetResources[0].displayName, bin(TimeGenerated, 1h) | where Count &gt; 50 Hi</w:t>
            </w:r>
          </w:p>
        </w:tc>
        <w:tc>
          <w:tcPr/>
          <w:p>
            <w:pPr>
              <w:pStyle w:val="Compact"/>
              <w:jc w:val="left"/>
            </w:pPr>
            <w:r>
              <w:t xml:space="preserve">gh Ve</w:t>
            </w:r>
          </w:p>
        </w:tc>
        <w:tc>
          <w:tcPr/>
          <w:p>
            <w:pPr>
              <w:pStyle w:val="Compact"/>
              <w:jc w:val="left"/>
            </w:pPr>
            <w:r>
              <w:t xml:space="preserve">rify authorized change; investigate if unexpected</w:t>
            </w:r>
          </w:p>
        </w:tc>
      </w:tr>
    </w:tbl>
    <w:p>
      <w:pPr>
        <w:pStyle w:val="BodyText"/>
      </w:pPr>
      <w:r>
        <w:t xml:space="preserve">12.4 Workbooks and Dashboards</w:t>
      </w:r>
    </w:p>
    <w:p>
      <w:pPr>
        <w:pStyle w:val="BodyText"/>
      </w:pPr>
      <w:r>
        <w:t xml:space="preserve">Deploy the following Entra ID workbooks (available as built-in templates in the Entra admin center):</w:t>
      </w:r>
    </w:p>
    <w:p>
      <w:pPr>
        <w:numPr>
          <w:ilvl w:val="0"/>
          <w:numId w:val="1246"/>
        </w:numPr>
      </w:pPr>
      <w:r>
        <w:rPr>
          <w:b/>
          <w:bCs/>
        </w:rPr>
        <w:t xml:space="preserve">Sign-in analysis:</w:t>
      </w:r>
      <w:r>
        <w:t xml:space="preserve"> </w:t>
      </w:r>
      <w:r>
        <w:t xml:space="preserve">Authentication method usage, failure analysis, geographic distribution</w:t>
      </w:r>
    </w:p>
    <w:p>
      <w:pPr>
        <w:numPr>
          <w:ilvl w:val="0"/>
          <w:numId w:val="1246"/>
        </w:numPr>
      </w:pPr>
      <w:r>
        <w:rPr>
          <w:b/>
          <w:bCs/>
        </w:rPr>
        <w:t xml:space="preserve">MFA registration and usage:</w:t>
      </w:r>
      <w:r>
        <w:t xml:space="preserve"> </w:t>
      </w:r>
      <w:r>
        <w:t xml:space="preserve">Registration completion rates, method distribution, authentication strength coverage</w:t>
      </w:r>
    </w:p>
    <w:p>
      <w:pPr>
        <w:numPr>
          <w:ilvl w:val="0"/>
          <w:numId w:val="1246"/>
        </w:numPr>
      </w:pPr>
      <w:r>
        <w:rPr>
          <w:b/>
          <w:bCs/>
        </w:rPr>
        <w:t xml:space="preserve">Conditional Access insights:</w:t>
      </w:r>
      <w:r>
        <w:t xml:space="preserve"> </w:t>
      </w:r>
      <w:r>
        <w:t xml:space="preserve">Policy hit rates, report-only impact analysis, failure reasons by policy</w:t>
      </w:r>
    </w:p>
    <w:p>
      <w:pPr>
        <w:numPr>
          <w:ilvl w:val="0"/>
          <w:numId w:val="1246"/>
        </w:numPr>
      </w:pPr>
      <w:r>
        <w:rPr>
          <w:b/>
          <w:bCs/>
        </w:rPr>
        <w:t xml:space="preserve">Sensitive operations:</w:t>
      </w:r>
      <w:r>
        <w:t xml:space="preserve"> </w:t>
      </w:r>
      <w:r>
        <w:t xml:space="preserve">Privileged role activations, directory role changes, CA policy modifications</w:t>
      </w:r>
    </w:p>
    <w:p>
      <w:pPr>
        <w:numPr>
          <w:ilvl w:val="0"/>
          <w:numId w:val="1246"/>
        </w:numPr>
      </w:pPr>
      <w:r>
        <w:rPr>
          <w:b/>
          <w:bCs/>
        </w:rPr>
        <w:t xml:space="preserve">Application credential monitoring:</w:t>
      </w:r>
      <w:r>
        <w:t xml:space="preserve"> </w:t>
      </w:r>
      <w:r>
        <w:t xml:space="preserve">Credential expiration timeline, unused app registrations, over-privileged service principals</w:t>
      </w:r>
    </w:p>
    <w:p>
      <w:pPr>
        <w:pStyle w:val="FirstParagraph"/>
      </w:pPr>
      <w:r>
        <w:t xml:space="preserve">12.5 Compliance Manager Integration</w:t>
      </w:r>
    </w:p>
    <w:p>
      <w:pPr>
        <w:pStyle w:val="BodyText"/>
      </w:pPr>
      <w:r>
        <w:t xml:space="preserve">For GCC-Moderate environments, Compliance Manager provides pre-built assessment templates for NIST 800-53, FedRAMP Moderate, and CMMC Level 2. Identity-related controls that map to this guide include:</w:t>
      </w:r>
    </w:p>
    <w:p>
      <w:pPr>
        <w:numPr>
          <w:ilvl w:val="0"/>
          <w:numId w:val="1247"/>
        </w:numPr>
      </w:pPr>
      <w:r>
        <w:rPr>
          <w:b/>
          <w:bCs/>
        </w:rPr>
        <w:t xml:space="preserve">AC-2 (Account Management):</w:t>
      </w:r>
      <w:r>
        <w:t xml:space="preserve"> </w:t>
      </w:r>
      <w:r>
        <w:t xml:space="preserve">Lifecycle workflows (Section 9.3), access reviews (Section 9.1)</w:t>
      </w:r>
    </w:p>
    <w:p>
      <w:pPr>
        <w:numPr>
          <w:ilvl w:val="0"/>
          <w:numId w:val="1247"/>
        </w:numPr>
      </w:pPr>
      <w:r>
        <w:rPr>
          <w:b/>
          <w:bCs/>
        </w:rPr>
        <w:t xml:space="preserve">AC-6 (Least Privilege):</w:t>
      </w:r>
      <w:r>
        <w:t xml:space="preserve"> </w:t>
      </w:r>
      <w:r>
        <w:t xml:space="preserve">PIM (Section 7), dynamic group-based access (Section 5.3)</w:t>
      </w:r>
    </w:p>
    <w:p>
      <w:pPr>
        <w:numPr>
          <w:ilvl w:val="0"/>
          <w:numId w:val="1247"/>
        </w:numPr>
      </w:pPr>
      <w:r>
        <w:rPr>
          <w:b/>
          <w:bCs/>
        </w:rPr>
        <w:t xml:space="preserve">IA-2 (Identification and Authentication):</w:t>
      </w:r>
      <w:r>
        <w:t xml:space="preserve"> </w:t>
      </w:r>
      <w:r>
        <w:t xml:space="preserve">MFA (Section 8), passwordless (Section 11.2)</w:t>
      </w:r>
    </w:p>
    <w:p>
      <w:pPr>
        <w:numPr>
          <w:ilvl w:val="0"/>
          <w:numId w:val="1247"/>
        </w:numPr>
      </w:pPr>
      <w:r>
        <w:rPr>
          <w:b/>
          <w:bCs/>
        </w:rPr>
        <w:t xml:space="preserve">IA-5 (Authenticator Management):</w:t>
      </w:r>
      <w:r>
        <w:t xml:space="preserve"> </w:t>
      </w:r>
      <w:r>
        <w:t xml:space="preserve">Authentication methods policy (Section 11.3), credential rotation (Section 6.4)</w:t>
      </w:r>
    </w:p>
    <w:p>
      <w:pPr>
        <w:numPr>
          <w:ilvl w:val="0"/>
          <w:numId w:val="1247"/>
        </w:numPr>
      </w:pPr>
      <w:r>
        <w:rPr>
          <w:b/>
          <w:bCs/>
        </w:rPr>
        <w:t xml:space="preserve">AU-2 (Audit Events):</w:t>
      </w:r>
      <w:r>
        <w:t xml:space="preserve"> </w:t>
      </w:r>
      <w:r>
        <w:t xml:space="preserve">Log Analytics integration (Section 12.2), detection rules (Section 12.3)</w:t>
      </w:r>
    </w:p>
    <w:p>
      <w:pPr>
        <w:pStyle w:val="FirstParagraph"/>
      </w:pPr>
      <w:r>
        <w:t xml:space="preserve">Under</w:t>
      </w:r>
      <w:r>
        <w:t xml:space="preserve"> </w:t>
      </w:r>
      <w:r>
        <w:rPr>
          <w:b/>
          <w:bCs/>
        </w:rPr>
        <w:t xml:space="preserve">FedRAMP 20x</w:t>
      </w:r>
      <w:r>
        <w:t xml:space="preserve">, those control anchors resolve forward to CR26 Key Security Indicators, which are what a 20x package actually evidences. Compliance Manager’s templates are Rev5-shaped and do not emit indicator evidence, so treat them as a readiness check rather than as the deliverable: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Controls above</w:t>
            </w:r>
          </w:p>
        </w:tc>
        <w:tc>
          <w:tcPr/>
          <w:p>
            <w:pPr>
              <w:pStyle w:val="Compact"/>
            </w:pPr>
            <w:r>
              <w:t xml:space="preserve">CR26 indicator</w:t>
            </w:r>
          </w:p>
        </w:tc>
        <w:tc>
          <w:tcPr/>
          <w:p>
            <w:pPr>
              <w:pStyle w:val="Compact"/>
            </w:pPr>
            <w:r>
              <w:t xml:space="preserve">Sections in this guide</w:t>
            </w:r>
          </w:p>
        </w:tc>
      </w:tr>
      <w:tr>
        <w:tc>
          <w:tcPr/>
          <w:p>
            <w:pPr>
              <w:pStyle w:val="Compact"/>
            </w:pPr>
            <w:r>
              <w:t xml:space="preserve">AC-2</w:t>
            </w:r>
          </w:p>
        </w:tc>
        <w:tc>
          <w:tcPr/>
          <w:p>
            <w:pPr>
              <w:pStyle w:val="Compact"/>
            </w:pPr>
            <w:r>
              <w:rPr>
                <w:rStyle w:val="VerbatimChar"/>
              </w:rPr>
              <w:t xml:space="preserve">KSI-IAM-AAM</w:t>
            </w:r>
            <w:r>
              <w:t xml:space="preserve"> </w:t>
            </w:r>
            <w:r>
              <w:t xml:space="preserve">— Automating Account Management</w:t>
            </w:r>
          </w:p>
        </w:tc>
        <w:tc>
          <w:tcPr/>
          <w:p>
            <w:pPr>
              <w:pStyle w:val="Compact"/>
            </w:pPr>
            <w:r>
              <w:t xml:space="preserve">9.1, 9.3</w:t>
            </w:r>
          </w:p>
        </w:tc>
      </w:tr>
      <w:tr>
        <w:tc>
          <w:tcPr/>
          <w:p>
            <w:pPr>
              <w:pStyle w:val="Compact"/>
            </w:pPr>
            <w:r>
              <w:t xml:space="preserve">AC-6</w:t>
            </w:r>
          </w:p>
        </w:tc>
        <w:tc>
          <w:tcPr/>
          <w:p>
            <w:pPr>
              <w:pStyle w:val="Compact"/>
            </w:pPr>
            <w:r>
              <w:rPr>
                <w:rStyle w:val="VerbatimChar"/>
              </w:rPr>
              <w:t xml:space="preserve">KSI-IAM-ELP</w:t>
            </w:r>
            <w:r>
              <w:t xml:space="preserve"> </w:t>
            </w:r>
            <w:r>
              <w:t xml:space="preserve">— Ensuring Least Privilege;</w:t>
            </w:r>
            <w:r>
              <w:t xml:space="preserve"> </w:t>
            </w:r>
            <w:r>
              <w:rPr>
                <w:rStyle w:val="VerbatimChar"/>
              </w:rPr>
              <w:t xml:space="preserve">KSI-IAM-JIT</w:t>
            </w:r>
            <w:r>
              <w:t xml:space="preserve"> </w:t>
            </w:r>
            <w:r>
              <w:t xml:space="preserve">— Authorizing Just-in-Time</w:t>
            </w:r>
          </w:p>
        </w:tc>
        <w:tc>
          <w:tcPr/>
          <w:p>
            <w:pPr>
              <w:pStyle w:val="Compact"/>
            </w:pPr>
            <w:r>
              <w:t xml:space="preserve">5.3, 7</w:t>
            </w:r>
          </w:p>
        </w:tc>
      </w:tr>
      <w:tr>
        <w:tc>
          <w:tcPr/>
          <w:p>
            <w:pPr>
              <w:pStyle w:val="Compact"/>
            </w:pPr>
            <w:r>
              <w:t xml:space="preserve">IA-2, IA-5</w:t>
            </w:r>
          </w:p>
        </w:tc>
        <w:tc>
          <w:tcPr/>
          <w:p>
            <w:pPr>
              <w:pStyle w:val="Compact"/>
            </w:pPr>
            <w:r>
              <w:rPr>
                <w:rStyle w:val="VerbatimChar"/>
              </w:rPr>
              <w:t xml:space="preserve">KSI-IAM-APM</w:t>
            </w:r>
            <w:r>
              <w:t xml:space="preserve"> </w:t>
            </w:r>
            <w:r>
              <w:t xml:space="preserve">— Adopting Passwordless Methods</w:t>
            </w:r>
          </w:p>
        </w:tc>
        <w:tc>
          <w:tcPr/>
          <w:p>
            <w:pPr>
              <w:pStyle w:val="Compact"/>
            </w:pPr>
            <w:r>
              <w:t xml:space="preserve">8, 11.2, 11.3, 6.4</w:t>
            </w:r>
          </w:p>
        </w:tc>
      </w:tr>
      <w:tr>
        <w:tc>
          <w:tcPr/>
          <w:p>
            <w:pPr>
              <w:pStyle w:val="Compact"/>
            </w:pPr>
            <w:r>
              <w:t xml:space="preserve">AU-2</w:t>
            </w:r>
          </w:p>
        </w:tc>
        <w:tc>
          <w:tcPr/>
          <w:p>
            <w:pPr>
              <w:pStyle w:val="Compact"/>
            </w:pPr>
            <w:r>
              <w:rPr>
                <w:rStyle w:val="VerbatimChar"/>
              </w:rPr>
              <w:t xml:space="preserve">KSI-MLA-LET</w:t>
            </w:r>
            <w:r>
              <w:t xml:space="preserve"> </w:t>
            </w:r>
            <w:r>
              <w:t xml:space="preserve">— Logging Event Types;</w:t>
            </w:r>
            <w:r>
              <w:t xml:space="preserve"> </w:t>
            </w:r>
            <w:r>
              <w:rPr>
                <w:rStyle w:val="VerbatimChar"/>
              </w:rPr>
              <w:t xml:space="preserve">KSI-MLA-RVL</w:t>
            </w:r>
            <w:r>
              <w:t xml:space="preserve"> </w:t>
            </w:r>
            <w:r>
              <w:t xml:space="preserve">— Reviewing Logs</w:t>
            </w:r>
          </w:p>
        </w:tc>
        <w:tc>
          <w:tcPr/>
          <w:p>
            <w:pPr>
              <w:pStyle w:val="Compact"/>
            </w:pPr>
            <w:r>
              <w:t xml:space="preserve">12.2, 12.3</w:t>
            </w:r>
          </w:p>
        </w:tc>
      </w:tr>
    </w:tbl>
    <w:p>
      <w:pPr>
        <w:pStyle w:val="BodyText"/>
      </w:pPr>
      <w:r>
        <w:t xml:space="preserve">13. Migration Execution Playbook</w:t>
      </w:r>
    </w:p>
    <w:p>
      <w:pPr>
        <w:pStyle w:val="BodyText"/>
      </w:pPr>
      <w:r>
        <w:t xml:space="preserve">The migration follows a ten-phase execution model. Each phase includes prerequisites, execution steps, validation criteria, rollback procedures, and a duration estimate. Phases are sequential — each phase's validation criteria must be met before proceeding to the next phase.</w:t>
      </w:r>
    </w:p>
    <w:p>
      <w:pPr>
        <w:pStyle w:val="BodyText"/>
      </w:pPr>
      <w:r>
        <w:t xml:space="preserve">13.1 Phase 0 — Assessment</w:t>
      </w:r>
    </w:p>
    <w:tbl>
      <w:tblPr>
        <w:tblStyle w:val="Table"/>
        <w:tblW w:type="pct" w:w="4977"/>
        <w:tblLayout w:type="fixed"/>
        <w:tblLook w:firstRow="1" w:lastRow="0" w:firstColumn="0" w:lastColumn="0" w:noHBand="0" w:noVBand="0" w:val="0020"/>
      </w:tblPr>
      <w:tblGrid>
        <w:gridCol w:w="471"/>
        <w:gridCol w:w="7412"/>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Domain Admin access, Gitea repository provisioned, the Federal Modernization Program PowerShell modules installed</w:t>
            </w:r>
          </w:p>
        </w:tc>
      </w:tr>
      <w:tr>
        <w:tc>
          <w:tcPr/>
          <w:p>
            <w:pPr>
              <w:pStyle w:val="Compact"/>
              <w:jc w:val="left"/>
            </w:pPr>
            <w:r>
              <w:rPr>
                <w:b/>
                <w:bCs/>
              </w:rPr>
              <w:t xml:space="preserve">Steps</w:t>
            </w:r>
          </w:p>
        </w:tc>
        <w:tc>
          <w:tcPr/>
          <w:p>
            <w:pPr>
              <w:pStyle w:val="Compact"/>
              <w:jc w:val="left"/>
            </w:pPr>
            <w:r>
              <w:t xml:space="preserve">1. Run Invoke-FMPADAssessment (AD Interaction Guide) to inventory all AD objects. 2. Run Get-FMPIdentityBaseline to export user, group, and service account inventories. 3. Identify UPN suffix mismatches and non-routable suffixes. 4. Map AD OU structure to proposed Entra Administrative Units. 5. Document all AD trust relationships for cross-tenant planning. 6. Commit assessment output (JSON) to Gitea.</w:t>
            </w:r>
          </w:p>
        </w:tc>
      </w:tr>
      <w:tr>
        <w:tc>
          <w:tcPr/>
          <w:p>
            <w:pPr>
              <w:pStyle w:val="Compact"/>
              <w:jc w:val="left"/>
            </w:pPr>
            <w:r>
              <w:rPr>
                <w:b/>
                <w:bCs/>
              </w:rPr>
              <w:t xml:space="preserve">Validation Criteria</w:t>
            </w:r>
          </w:p>
        </w:tc>
        <w:tc>
          <w:tcPr/>
          <w:p>
            <w:pPr>
              <w:pStyle w:val="Compact"/>
              <w:jc w:val="left"/>
            </w:pPr>
            <w:r>
              <w:t xml:space="preserve">Complete inventory in Gitea; UPN remediation plan documented; group migration decisions recorded for all groups; service account risk classification complete.</w:t>
            </w:r>
          </w:p>
        </w:tc>
      </w:tr>
      <w:tr>
        <w:tc>
          <w:tcPr/>
          <w:p>
            <w:pPr>
              <w:pStyle w:val="Compact"/>
              <w:jc w:val="left"/>
            </w:pPr>
            <w:r>
              <w:rPr>
                <w:b/>
                <w:bCs/>
              </w:rPr>
              <w:t xml:space="preserve">Rollback Procedure</w:t>
            </w:r>
          </w:p>
        </w:tc>
        <w:tc>
          <w:tcPr/>
          <w:p>
            <w:pPr>
              <w:pStyle w:val="Compact"/>
              <w:jc w:val="left"/>
            </w:pPr>
            <w:r>
              <w:t xml:space="preserve">N/A — assessment is read-only.</w:t>
            </w:r>
          </w:p>
        </w:tc>
      </w:tr>
      <w:tr>
        <w:tc>
          <w:tcPr/>
          <w:p>
            <w:pPr>
              <w:pStyle w:val="Compact"/>
              <w:jc w:val="left"/>
            </w:pPr>
            <w:r>
              <w:rPr>
                <w:b/>
                <w:bCs/>
              </w:rPr>
              <w:t xml:space="preserve">Duration Estimate</w:t>
            </w:r>
          </w:p>
        </w:tc>
        <w:tc>
          <w:tcPr/>
          <w:p>
            <w:pPr>
              <w:pStyle w:val="Compact"/>
              <w:jc w:val="left"/>
            </w:pPr>
            <w:r>
              <w:t xml:space="preserve">2–4 weeks</w:t>
            </w:r>
          </w:p>
        </w:tc>
      </w:tr>
    </w:tbl>
    <w:p>
      <w:pPr>
        <w:pStyle w:val="BodyText"/>
      </w:pPr>
      <w:r>
        <w:t xml:space="preserve">13.2 Phase 1 — Entra Connect Deployment and Initial Sync</w:t>
      </w:r>
    </w:p>
    <w:tbl>
      <w:tblPr>
        <w:tblStyle w:val="Table"/>
        <w:tblW w:type="pct" w:w="4979"/>
        <w:tblLayout w:type="fixed"/>
        <w:tblLook w:firstRow="1" w:lastRow="0" w:firstColumn="0" w:lastColumn="0" w:noHBand="0" w:noVBand="0" w:val="0020"/>
      </w:tblPr>
      <w:tblGrid>
        <w:gridCol w:w="432"/>
        <w:gridCol w:w="7454"/>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0 complete; Entra Connect server built per Platform Server Build Guide; OU filtering plan finalized; UPN suffix remediation complete.</w:t>
            </w:r>
          </w:p>
        </w:tc>
      </w:tr>
      <w:tr>
        <w:tc>
          <w:tcPr/>
          <w:p>
            <w:pPr>
              <w:pStyle w:val="Compact"/>
              <w:jc w:val="left"/>
            </w:pPr>
            <w:r>
              <w:rPr>
                <w:b/>
                <w:bCs/>
              </w:rPr>
              <w:t xml:space="preserve">Steps</w:t>
            </w:r>
          </w:p>
        </w:tc>
        <w:tc>
          <w:tcPr/>
          <w:p>
            <w:pPr>
              <w:pStyle w:val="Compact"/>
              <w:jc w:val="left"/>
            </w:pPr>
            <w:r>
              <w:t xml:space="preserve">1. Install Entra Connect Sync on primary server. 2. Configure OU-based filtering per assessment plan. 3. Configure attribute flow rules (Section 4.3). 4. Enable PHS (even if PTA/Federation is primary). 5. Run initial sync in staging mode — verify object count and attribute mapping. 6. Promote to active sync after validation. 7. Install staging mode server for DR. 8. Commit sync configuration export to Gitea.</w:t>
            </w:r>
          </w:p>
        </w:tc>
      </w:tr>
      <w:tr>
        <w:tc>
          <w:tcPr/>
          <w:p>
            <w:pPr>
              <w:pStyle w:val="Compact"/>
              <w:jc w:val="left"/>
            </w:pPr>
            <w:r>
              <w:rPr>
                <w:b/>
                <w:bCs/>
              </w:rPr>
              <w:t xml:space="preserve">Validation Criteria</w:t>
            </w:r>
          </w:p>
        </w:tc>
        <w:tc>
          <w:tcPr/>
          <w:p>
            <w:pPr>
              <w:pStyle w:val="Compact"/>
              <w:jc w:val="left"/>
            </w:pPr>
            <w:r>
              <w:t xml:space="preserve">Object count in Entra matches expected count (±1%); no sync errors in portal; attribute spot-check (10 users, 5 groups) confirms correct mapping; staging server verified.</w:t>
            </w:r>
          </w:p>
        </w:tc>
      </w:tr>
      <w:tr>
        <w:tc>
          <w:tcPr/>
          <w:p>
            <w:pPr>
              <w:pStyle w:val="Compact"/>
              <w:jc w:val="left"/>
            </w:pPr>
            <w:r>
              <w:rPr>
                <w:b/>
                <w:bCs/>
              </w:rPr>
              <w:t xml:space="preserve">Rollback Procedure</w:t>
            </w:r>
          </w:p>
        </w:tc>
        <w:tc>
          <w:tcPr/>
          <w:p>
            <w:pPr>
              <w:pStyle w:val="Compact"/>
              <w:jc w:val="left"/>
            </w:pPr>
            <w:r>
              <w:t xml:space="preserve">Disable Entra Connect sync schedule; delete synced objects from Entra ID (soft delete → hard delete); reinstall from clean state.</w:t>
            </w:r>
          </w:p>
        </w:tc>
      </w:tr>
      <w:tr>
        <w:tc>
          <w:tcPr/>
          <w:p>
            <w:pPr>
              <w:pStyle w:val="Compact"/>
              <w:jc w:val="left"/>
            </w:pPr>
            <w:r>
              <w:rPr>
                <w:b/>
                <w:bCs/>
              </w:rPr>
              <w:t xml:space="preserve">Duration Estimate</w:t>
            </w:r>
          </w:p>
        </w:tc>
        <w:tc>
          <w:tcPr/>
          <w:p>
            <w:pPr>
              <w:pStyle w:val="Compact"/>
              <w:jc w:val="left"/>
            </w:pPr>
            <w:r>
              <w:t xml:space="preserve">2–3 weeks</w:t>
            </w:r>
          </w:p>
        </w:tc>
      </w:tr>
    </w:tbl>
    <w:p>
      <w:pPr>
        <w:pStyle w:val="BodyText"/>
      </w:pPr>
      <w:r>
        <w:t xml:space="preserve">13.3 Phase 2 — PHS/PTA Enablement and CA Report-Only</w:t>
      </w:r>
    </w:p>
    <w:tbl>
      <w:tblPr>
        <w:tblStyle w:val="Table"/>
        <w:tblW w:type="pct" w:w="4976"/>
        <w:tblLayout w:type="fixed"/>
        <w:tblLook w:firstRow="1" w:lastRow="0" w:firstColumn="0" w:lastColumn="0" w:noHBand="0" w:noVBand="0" w:val="0020"/>
      </w:tblPr>
      <w:tblGrid>
        <w:gridCol w:w="484"/>
        <w:gridCol w:w="7398"/>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break-glass accounts created; CA policies drafted.</w:t>
            </w:r>
          </w:p>
        </w:tc>
      </w:tr>
      <w:tr>
        <w:tc>
          <w:tcPr/>
          <w:p>
            <w:pPr>
              <w:pStyle w:val="Compact"/>
              <w:jc w:val="left"/>
            </w:pPr>
            <w:r>
              <w:rPr>
                <w:b/>
                <w:bCs/>
              </w:rPr>
              <w:t xml:space="preserve">Steps</w:t>
            </w:r>
          </w:p>
        </w:tc>
        <w:tc>
          <w:tcPr/>
          <w:p>
            <w:pPr>
              <w:pStyle w:val="Compact"/>
              <w:jc w:val="left"/>
            </w:pPr>
            <w:r>
              <w:t xml:space="preserve">1. Enable PHS (if not already active). 2. Deploy PTA agents (if PTA selected — minimum 3 agents for HA). 3. Configure Seamless SSO (if PHS/PTA selected). 4. Deploy all CA policies in report-only mode. 5. Create break-glass exclusion group and verify exclusion in all CA policies. 6. Monitor CA insights workbook for 2–4 weeks. 7. Identify and remediate users/devices blocked by CA policies.</w:t>
            </w:r>
          </w:p>
        </w:tc>
      </w:tr>
      <w:tr>
        <w:tc>
          <w:tcPr/>
          <w:p>
            <w:pPr>
              <w:pStyle w:val="Compact"/>
              <w:jc w:val="left"/>
            </w:pPr>
            <w:r>
              <w:rPr>
                <w:b/>
                <w:bCs/>
              </w:rPr>
              <w:t xml:space="preserve">Validation Criteria</w:t>
            </w:r>
          </w:p>
        </w:tc>
        <w:tc>
          <w:tcPr/>
          <w:p>
            <w:pPr>
              <w:pStyle w:val="Compact"/>
              <w:jc w:val="left"/>
            </w:pPr>
            <w:r>
              <w:t xml:space="preserve">PHS sync verified (test password change propagation); PTA agent health confirmed; all CA policies show expected impact in report-only; break-glass sign-in tested and logged.</w:t>
            </w:r>
          </w:p>
        </w:tc>
      </w:tr>
      <w:tr>
        <w:tc>
          <w:tcPr/>
          <w:p>
            <w:pPr>
              <w:pStyle w:val="Compact"/>
              <w:jc w:val="left"/>
            </w:pPr>
            <w:r>
              <w:rPr>
                <w:b/>
                <w:bCs/>
              </w:rPr>
              <w:t xml:space="preserve">Rollback Procedure</w:t>
            </w:r>
          </w:p>
        </w:tc>
        <w:tc>
          <w:tcPr/>
          <w:p>
            <w:pPr>
              <w:pStyle w:val="Compact"/>
              <w:jc w:val="left"/>
            </w:pPr>
            <w:r>
              <w:t xml:space="preserve">Disable PTA agents; revert to password-only authentication; delete CA policies.</w:t>
            </w:r>
          </w:p>
        </w:tc>
      </w:tr>
      <w:tr>
        <w:tc>
          <w:tcPr/>
          <w:p>
            <w:pPr>
              <w:pStyle w:val="Compact"/>
              <w:jc w:val="left"/>
            </w:pPr>
            <w:r>
              <w:rPr>
                <w:b/>
                <w:bCs/>
              </w:rPr>
              <w:t xml:space="preserve">Duration Estimate</w:t>
            </w:r>
          </w:p>
        </w:tc>
        <w:tc>
          <w:tcPr/>
          <w:p>
            <w:pPr>
              <w:pStyle w:val="Compact"/>
              <w:jc w:val="left"/>
            </w:pPr>
            <w:r>
              <w:t xml:space="preserve">3–4 weeks</w:t>
            </w:r>
          </w:p>
        </w:tc>
      </w:tr>
    </w:tbl>
    <w:p>
      <w:pPr>
        <w:pStyle w:val="BodyText"/>
      </w:pPr>
      <w:r>
        <w:t xml:space="preserve">13.4 Phase 3 — Group Migration and Dynamic Group Conversion</w:t>
      </w:r>
    </w:p>
    <w:tbl>
      <w:tblPr>
        <w:tblStyle w:val="Table"/>
        <w:tblW w:type="pct" w:w="4981"/>
        <w:tblLayout w:type="fixed"/>
        <w:tblLook w:firstRow="1" w:lastRow="0" w:firstColumn="0" w:lastColumn="0" w:noHBand="0" w:noVBand="0" w:val="0020"/>
      </w:tblPr>
      <w:tblGrid>
        <w:gridCol w:w="400"/>
        <w:gridCol w:w="7488"/>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group migration decisions finalized (Section 5.2); extension attributes populated.</w:t>
            </w:r>
          </w:p>
        </w:tc>
      </w:tr>
      <w:tr>
        <w:tc>
          <w:tcPr/>
          <w:p>
            <w:pPr>
              <w:pStyle w:val="Compact"/>
              <w:jc w:val="left"/>
            </w:pPr>
            <w:r>
              <w:rPr>
                <w:b/>
                <w:bCs/>
              </w:rPr>
              <w:t xml:space="preserve">Steps</w:t>
            </w:r>
          </w:p>
        </w:tc>
        <w:tc>
          <w:tcPr/>
          <w:p>
            <w:pPr>
              <w:pStyle w:val="Compact"/>
              <w:jc w:val="left"/>
            </w:pPr>
            <w:r>
              <w:t xml:space="preserve">1. Create dynamic groups (Section 3.4). 2. Validate dynamic group membership against expected populations. 3. Create cloud-only security groups for groups identified as cloud-only targets. 4. Migrate resource assignments from synced groups to cloud-only groups (phased). 5. Implement M365 Group governance policies (naming, expiration, classification). 6. Configure self-service group management policies. 7. Decommission AD groups that have been fully migrated.</w:t>
            </w:r>
          </w:p>
        </w:tc>
      </w:tr>
      <w:tr>
        <w:tc>
          <w:tcPr/>
          <w:p>
            <w:pPr>
              <w:pStyle w:val="Compact"/>
              <w:jc w:val="left"/>
            </w:pPr>
            <w:r>
              <w:rPr>
                <w:b/>
                <w:bCs/>
              </w:rPr>
              <w:t xml:space="preserve">Validation Criteria</w:t>
            </w:r>
          </w:p>
        </w:tc>
        <w:tc>
          <w:tcPr/>
          <w:p>
            <w:pPr>
              <w:pStyle w:val="Compact"/>
              <w:jc w:val="left"/>
            </w:pPr>
            <w:r>
              <w:t xml:space="preserve">Dynamic groups contain expected members (±2%); resource access unchanged after group migration; no access-related helpdesk tickets attributable to group changes.</w:t>
            </w:r>
          </w:p>
        </w:tc>
      </w:tr>
      <w:tr>
        <w:tc>
          <w:tcPr/>
          <w:p>
            <w:pPr>
              <w:pStyle w:val="Compact"/>
              <w:jc w:val="left"/>
            </w:pPr>
            <w:r>
              <w:rPr>
                <w:b/>
                <w:bCs/>
              </w:rPr>
              <w:t xml:space="preserve">Rollback Procedure</w:t>
            </w:r>
          </w:p>
        </w:tc>
        <w:tc>
          <w:tcPr/>
          <w:p>
            <w:pPr>
              <w:pStyle w:val="Compact"/>
              <w:jc w:val="left"/>
            </w:pPr>
            <w:r>
              <w:t xml:space="preserve">Reassign resource access to original synced groups; delete cloud-only groups; restore AD groups from backup.</w:t>
            </w:r>
          </w:p>
        </w:tc>
      </w:tr>
      <w:tr>
        <w:tc>
          <w:tcPr/>
          <w:p>
            <w:pPr>
              <w:pStyle w:val="Compact"/>
              <w:jc w:val="left"/>
            </w:pPr>
            <w:r>
              <w:rPr>
                <w:b/>
                <w:bCs/>
              </w:rPr>
              <w:t xml:space="preserve">Duration Estimate</w:t>
            </w:r>
          </w:p>
        </w:tc>
        <w:tc>
          <w:tcPr/>
          <w:p>
            <w:pPr>
              <w:pStyle w:val="Compact"/>
              <w:jc w:val="left"/>
            </w:pPr>
            <w:r>
              <w:t xml:space="preserve">4–6 weeks</w:t>
            </w:r>
          </w:p>
        </w:tc>
      </w:tr>
    </w:tbl>
    <w:p>
      <w:pPr>
        <w:pStyle w:val="BodyText"/>
      </w:pPr>
      <w:r>
        <w:t xml:space="preserve">13.5 Phase 4 — Service Account Modernization</w:t>
      </w:r>
    </w:p>
    <w:tbl>
      <w:tblPr>
        <w:tblStyle w:val="Table"/>
        <w:tblW w:type="pct" w:w="4982"/>
        <w:tblLayout w:type="fixed"/>
        <w:tblLook w:firstRow="1" w:lastRow="0" w:firstColumn="0" w:lastColumn="0" w:noHBand="0" w:noVBand="0" w:val="0020"/>
      </w:tblPr>
      <w:tblGrid>
        <w:gridCol w:w="380"/>
        <w:gridCol w:w="7510"/>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service account inventory and classification complete (Section 6.5); app owners identified.</w:t>
            </w:r>
          </w:p>
        </w:tc>
      </w:tr>
      <w:tr>
        <w:tc>
          <w:tcPr/>
          <w:p>
            <w:pPr>
              <w:pStyle w:val="Compact"/>
              <w:jc w:val="left"/>
            </w:pPr>
            <w:r>
              <w:rPr>
                <w:b/>
                <w:bCs/>
              </w:rPr>
              <w:t xml:space="preserve">Steps</w:t>
            </w:r>
          </w:p>
        </w:tc>
        <w:tc>
          <w:tcPr/>
          <w:p>
            <w:pPr>
              <w:pStyle w:val="Compact"/>
              <w:jc w:val="left"/>
            </w:pPr>
            <w:r>
              <w:t xml:space="preserve">1. Convert HIGH-risk service accounts first (password-never-expires, over-privileged). 2. Create App Registrations with certificate-based auth for cloud workloads. 3. Configure Managed Identities for Azure-hosted workloads (if in scope). 4. Establish Workload Identity Federation for CI/CD pipelines. 5. Deploy Conditional Access for Workload Identities (Section 6.3). 6. Configure credential rotation schedules and ownership. 7. Disable legacy service accounts after validation period (30 days parallel run).</w:t>
            </w:r>
          </w:p>
        </w:tc>
      </w:tr>
      <w:tr>
        <w:tc>
          <w:tcPr/>
          <w:p>
            <w:pPr>
              <w:pStyle w:val="Compact"/>
              <w:jc w:val="left"/>
            </w:pPr>
            <w:r>
              <w:rPr>
                <w:b/>
                <w:bCs/>
              </w:rPr>
              <w:t xml:space="preserve">Validation Criteria</w:t>
            </w:r>
          </w:p>
        </w:tc>
        <w:tc>
          <w:tcPr/>
          <w:p>
            <w:pPr>
              <w:pStyle w:val="Compact"/>
              <w:jc w:val="left"/>
            </w:pPr>
            <w:r>
              <w:t xml:space="preserve">All HIGH-risk service accounts converted or decommissioned; certificate auth verified for all new App Registrations; no service disruptions during parallel run; workload identity CA policies enforced.</w:t>
            </w:r>
          </w:p>
        </w:tc>
      </w:tr>
      <w:tr>
        <w:tc>
          <w:tcPr/>
          <w:p>
            <w:pPr>
              <w:pStyle w:val="Compact"/>
              <w:jc w:val="left"/>
            </w:pPr>
            <w:r>
              <w:rPr>
                <w:b/>
                <w:bCs/>
              </w:rPr>
              <w:t xml:space="preserve">Rollback Procedure</w:t>
            </w:r>
          </w:p>
        </w:tc>
        <w:tc>
          <w:tcPr/>
          <w:p>
            <w:pPr>
              <w:pStyle w:val="Compact"/>
              <w:jc w:val="left"/>
            </w:pPr>
            <w:r>
              <w:t xml:space="preserve">Re-enable legacy service accounts; revert application configurations to use legacy credentials.</w:t>
            </w:r>
          </w:p>
        </w:tc>
      </w:tr>
      <w:tr>
        <w:tc>
          <w:tcPr/>
          <w:p>
            <w:pPr>
              <w:pStyle w:val="Compact"/>
              <w:jc w:val="left"/>
            </w:pPr>
            <w:r>
              <w:rPr>
                <w:b/>
                <w:bCs/>
              </w:rPr>
              <w:t xml:space="preserve">Duration Estimate</w:t>
            </w:r>
          </w:p>
        </w:tc>
        <w:tc>
          <w:tcPr/>
          <w:p>
            <w:pPr>
              <w:pStyle w:val="Compact"/>
              <w:jc w:val="left"/>
            </w:pPr>
            <w:r>
              <w:t xml:space="preserve">6–8 weeks</w:t>
            </w:r>
          </w:p>
        </w:tc>
      </w:tr>
    </w:tbl>
    <w:p>
      <w:pPr>
        <w:pStyle w:val="BodyText"/>
      </w:pPr>
      <w:r>
        <w:t xml:space="preserve">13.6 Phase 5 — PIM Rollout</w:t>
      </w:r>
    </w:p>
    <w:tbl>
      <w:tblPr>
        <w:tblStyle w:val="Table"/>
        <w:tblW w:type="pct" w:w="4978"/>
        <w:tblLayout w:type="fixed"/>
        <w:tblLook w:firstRow="1" w:lastRow="0" w:firstColumn="0" w:lastColumn="0" w:noHBand="0" w:noVBand="0" w:val="0020"/>
      </w:tblPr>
      <w:tblGrid>
        <w:gridCol w:w="442"/>
        <w:gridCol w:w="7443"/>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4 complete; PIM role mapping finalized (Section 7.1); MFA registered for all admin accounts.</w:t>
            </w:r>
          </w:p>
        </w:tc>
      </w:tr>
      <w:tr>
        <w:tc>
          <w:tcPr/>
          <w:p>
            <w:pPr>
              <w:pStyle w:val="Compact"/>
              <w:jc w:val="left"/>
            </w:pPr>
            <w:r>
              <w:rPr>
                <w:b/>
                <w:bCs/>
              </w:rPr>
              <w:t xml:space="preserve">Steps</w:t>
            </w:r>
          </w:p>
        </w:tc>
        <w:tc>
          <w:tcPr/>
          <w:p>
            <w:pPr>
              <w:pStyle w:val="Compact"/>
              <w:jc w:val="left"/>
            </w:pPr>
            <w:r>
              <w:t xml:space="preserve">1. Configure PIM settings per role (Section 7.2 and 7.3). 2. Convert all permanent active role assignments to PIM-eligible (except break-glass). 3. Configure Privileged Access Groups for resource-level JIT. 4. Set up access reviews for all PIM-eligible assignments (quarterly). 5. Deploy Protected Actions for sensitive operations. 6. Train administrators on PIM activation workflow. 7. Monitor PIM activation logs for first 2 weeks.</w:t>
            </w:r>
          </w:p>
        </w:tc>
      </w:tr>
      <w:tr>
        <w:tc>
          <w:tcPr/>
          <w:p>
            <w:pPr>
              <w:pStyle w:val="Compact"/>
              <w:jc w:val="left"/>
            </w:pPr>
            <w:r>
              <w:rPr>
                <w:b/>
                <w:bCs/>
              </w:rPr>
              <w:t xml:space="preserve">Validation Criteria</w:t>
            </w:r>
          </w:p>
        </w:tc>
        <w:tc>
          <w:tcPr/>
          <w:p>
            <w:pPr>
              <w:pStyle w:val="Compact"/>
              <w:jc w:val="left"/>
            </w:pPr>
            <w:r>
              <w:t xml:space="preserve">Zero permanent active assignments except break-glass; all admins can successfully activate PIM roles; access reviews created and first review cycle initiated; Protected Actions enforced for target operations.</w:t>
            </w:r>
          </w:p>
        </w:tc>
      </w:tr>
      <w:tr>
        <w:tc>
          <w:tcPr/>
          <w:p>
            <w:pPr>
              <w:pStyle w:val="Compact"/>
              <w:jc w:val="left"/>
            </w:pPr>
            <w:r>
              <w:rPr>
                <w:b/>
                <w:bCs/>
              </w:rPr>
              <w:t xml:space="preserve">Rollback Procedure</w:t>
            </w:r>
          </w:p>
        </w:tc>
        <w:tc>
          <w:tcPr/>
          <w:p>
            <w:pPr>
              <w:pStyle w:val="Compact"/>
              <w:jc w:val="left"/>
            </w:pPr>
            <w:r>
              <w:t xml:space="preserve">Convert PIM-eligible assignments back to permanent active (use break-glass account if PIM activation fails).</w:t>
            </w:r>
          </w:p>
        </w:tc>
      </w:tr>
      <w:tr>
        <w:tc>
          <w:tcPr/>
          <w:p>
            <w:pPr>
              <w:pStyle w:val="Compact"/>
              <w:jc w:val="left"/>
            </w:pPr>
            <w:r>
              <w:rPr>
                <w:b/>
                <w:bCs/>
              </w:rPr>
              <w:t xml:space="preserve">Duration Estimate</w:t>
            </w:r>
          </w:p>
        </w:tc>
        <w:tc>
          <w:tcPr/>
          <w:p>
            <w:pPr>
              <w:pStyle w:val="Compact"/>
              <w:jc w:val="left"/>
            </w:pPr>
            <w:r>
              <w:t xml:space="preserve">2–3 weeks</w:t>
            </w:r>
          </w:p>
        </w:tc>
      </w:tr>
    </w:tbl>
    <w:p>
      <w:pPr>
        <w:pStyle w:val="BodyText"/>
      </w:pPr>
      <w:r>
        <w:t xml:space="preserve">13.7 Phase 6 — Conditional Access Enforcement</w:t>
      </w:r>
    </w:p>
    <w:tbl>
      <w:tblPr>
        <w:tblStyle w:val="Table"/>
        <w:tblW w:type="pct" w:w="4978"/>
        <w:tblLayout w:type="fixed"/>
        <w:tblLook w:firstRow="1" w:lastRow="0" w:firstColumn="0" w:lastColumn="0" w:noHBand="0" w:noVBand="0" w:val="0020"/>
      </w:tblPr>
      <w:tblGrid>
        <w:gridCol w:w="455"/>
        <w:gridCol w:w="7429"/>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5 complete; CA report-only analysis complete (Phase 2); MFA registration &gt;95% for all targeted users.</w:t>
            </w:r>
          </w:p>
        </w:tc>
      </w:tr>
      <w:tr>
        <w:tc>
          <w:tcPr/>
          <w:p>
            <w:pPr>
              <w:pStyle w:val="Compact"/>
              <w:jc w:val="left"/>
            </w:pPr>
            <w:r>
              <w:rPr>
                <w:b/>
                <w:bCs/>
              </w:rPr>
              <w:t xml:space="preserve">Steps</w:t>
            </w:r>
          </w:p>
        </w:tc>
        <w:tc>
          <w:tcPr/>
          <w:p>
            <w:pPr>
              <w:pStyle w:val="Compact"/>
              <w:jc w:val="left"/>
            </w:pPr>
            <w:r>
              <w:t xml:space="preserve">1. Switch CA policies from report-only to on — Wave 1 (IT/Security teams). 2. Monitor for 1 week; address helpdesk tickets. 3. Wave 2 (corporate staff) — monitor 1 week. 4. Wave 3 (field/remote workers) — monitor 1 week. 5. Wave 4 (all remaining users) — monitor 2 weeks. 6. Enable risk-based policies (CA013, CA014) after baseline stabilizes. 7. Final validation: all policies enforcing, zero unintended blocks.</w:t>
            </w:r>
          </w:p>
        </w:tc>
      </w:tr>
      <w:tr>
        <w:tc>
          <w:tcPr/>
          <w:p>
            <w:pPr>
              <w:pStyle w:val="Compact"/>
              <w:jc w:val="left"/>
            </w:pPr>
            <w:r>
              <w:rPr>
                <w:b/>
                <w:bCs/>
              </w:rPr>
              <w:t xml:space="preserve">Validation Criteria</w:t>
            </w:r>
          </w:p>
        </w:tc>
        <w:tc>
          <w:tcPr/>
          <w:p>
            <w:pPr>
              <w:pStyle w:val="Compact"/>
              <w:jc w:val="left"/>
            </w:pPr>
            <w:r>
              <w:t xml:space="preserve">All CA policies in "On" state; helpdesk ticket rate returned to baseline within 1 week of each wave; zero reports of legitimate access blocked for &gt;1 hour.</w:t>
            </w:r>
          </w:p>
        </w:tc>
      </w:tr>
      <w:tr>
        <w:tc>
          <w:tcPr/>
          <w:p>
            <w:pPr>
              <w:pStyle w:val="Compact"/>
              <w:jc w:val="left"/>
            </w:pPr>
            <w:r>
              <w:rPr>
                <w:b/>
                <w:bCs/>
              </w:rPr>
              <w:t xml:space="preserve">Rollback Procedure</w:t>
            </w:r>
          </w:p>
        </w:tc>
        <w:tc>
          <w:tcPr/>
          <w:p>
            <w:pPr>
              <w:pStyle w:val="Compact"/>
              <w:jc w:val="left"/>
            </w:pPr>
            <w:r>
              <w:t xml:space="preserve">Switch affected CA policies back to report-only; investigate and remediate; re-enable.</w:t>
            </w:r>
          </w:p>
        </w:tc>
      </w:tr>
      <w:tr>
        <w:tc>
          <w:tcPr/>
          <w:p>
            <w:pPr>
              <w:pStyle w:val="Compact"/>
              <w:jc w:val="left"/>
            </w:pPr>
            <w:r>
              <w:rPr>
                <w:b/>
                <w:bCs/>
              </w:rPr>
              <w:t xml:space="preserve">Duration Estimate</w:t>
            </w:r>
          </w:p>
        </w:tc>
        <w:tc>
          <w:tcPr/>
          <w:p>
            <w:pPr>
              <w:pStyle w:val="Compact"/>
              <w:jc w:val="left"/>
            </w:pPr>
            <w:r>
              <w:t xml:space="preserve">4–6 weeks</w:t>
            </w:r>
          </w:p>
        </w:tc>
      </w:tr>
    </w:tbl>
    <w:p>
      <w:pPr>
        <w:pStyle w:val="BodyText"/>
      </w:pPr>
      <w:r>
        <w:t xml:space="preserve">13.8 Phase 7 — Passwordless Authentication Deployment</w:t>
      </w:r>
    </w:p>
    <w:tbl>
      <w:tblPr>
        <w:tblStyle w:val="Table"/>
        <w:tblW w:type="pct" w:w="4980"/>
        <w:tblLayout w:type="fixed"/>
        <w:tblLook w:firstRow="1" w:lastRow="0" w:firstColumn="0" w:lastColumn="0" w:noHBand="0" w:noVBand="0" w:val="0020"/>
      </w:tblPr>
      <w:tblGrid>
        <w:gridCol w:w="411"/>
        <w:gridCol w:w="747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6 complete; FIDO2 keys procured; WHfB policy configured in Intune; Authenticator app deployed.</w:t>
            </w:r>
          </w:p>
        </w:tc>
      </w:tr>
      <w:tr>
        <w:tc>
          <w:tcPr/>
          <w:p>
            <w:pPr>
              <w:pStyle w:val="Compact"/>
              <w:jc w:val="left"/>
            </w:pPr>
            <w:r>
              <w:rPr>
                <w:b/>
                <w:bCs/>
              </w:rPr>
              <w:t xml:space="preserve">Steps</w:t>
            </w:r>
          </w:p>
        </w:tc>
        <w:tc>
          <w:tcPr/>
          <w:p>
            <w:pPr>
              <w:pStyle w:val="Compact"/>
              <w:jc w:val="left"/>
            </w:pPr>
            <w:r>
              <w:t xml:space="preserve">1. Deploy FIDO2 keys to privileged accounts (Phase 1 of passwordless roadmap, Section 11.2). 2. Enable WHfB for Intune-managed Windows devices (Phase 2). 3. Launch Authenticator passkey registration campaign (Phase 3). 4. Monitor registration progress via Authentication Methods workbook. 5. Begin CBA rollout for smart card users (Phase 4, cross-reference PKI Modernization Guide). 6. Update CA authentication strength requirements as registration thresholds are met.</w:t>
            </w:r>
          </w:p>
        </w:tc>
      </w:tr>
      <w:tr>
        <w:tc>
          <w:tcPr/>
          <w:p>
            <w:pPr>
              <w:pStyle w:val="Compact"/>
              <w:jc w:val="left"/>
            </w:pPr>
            <w:r>
              <w:rPr>
                <w:b/>
                <w:bCs/>
              </w:rPr>
              <w:t xml:space="preserve">Validation Criteria</w:t>
            </w:r>
          </w:p>
        </w:tc>
        <w:tc>
          <w:tcPr/>
          <w:p>
            <w:pPr>
              <w:pStyle w:val="Compact"/>
              <w:jc w:val="left"/>
            </w:pPr>
            <w:r>
              <w:t xml:space="preserve">100% of privileged accounts registered for FIDO2; &gt;80% of managed device users enrolled in WHfB; &gt;70% of all users registered for passwordless method; CBA pilot validated.</w:t>
            </w:r>
          </w:p>
        </w:tc>
      </w:tr>
      <w:tr>
        <w:tc>
          <w:tcPr/>
          <w:p>
            <w:pPr>
              <w:pStyle w:val="Compact"/>
              <w:jc w:val="left"/>
            </w:pPr>
            <w:r>
              <w:rPr>
                <w:b/>
                <w:bCs/>
              </w:rPr>
              <w:t xml:space="preserve">Rollback Procedure</w:t>
            </w:r>
          </w:p>
        </w:tc>
        <w:tc>
          <w:tcPr/>
          <w:p>
            <w:pPr>
              <w:pStyle w:val="Compact"/>
              <w:jc w:val="left"/>
            </w:pPr>
            <w:r>
              <w:t xml:space="preserve">Revert CA authentication strength to standard MFA; retain password-based auth as fallback.</w:t>
            </w:r>
          </w:p>
        </w:tc>
      </w:tr>
      <w:tr>
        <w:tc>
          <w:tcPr/>
          <w:p>
            <w:pPr>
              <w:pStyle w:val="Compact"/>
              <w:jc w:val="left"/>
            </w:pPr>
            <w:r>
              <w:rPr>
                <w:b/>
                <w:bCs/>
              </w:rPr>
              <w:t xml:space="preserve">Duration Estimate</w:t>
            </w:r>
          </w:p>
        </w:tc>
        <w:tc>
          <w:tcPr/>
          <w:p>
            <w:pPr>
              <w:pStyle w:val="Compact"/>
              <w:jc w:val="left"/>
            </w:pPr>
            <w:r>
              <w:t xml:space="preserve">8–16 weeks</w:t>
            </w:r>
          </w:p>
        </w:tc>
      </w:tr>
    </w:tbl>
    <w:p>
      <w:pPr>
        <w:pStyle w:val="BodyText"/>
      </w:pPr>
      <w:r>
        <w:t xml:space="preserve">13.9 Phase 8 — Legacy Authentication Cutoff</w:t>
      </w:r>
    </w:p>
    <w:tbl>
      <w:tblPr>
        <w:tblStyle w:val="Table"/>
        <w:tblW w:type="pct" w:w="4974"/>
        <w:tblLayout w:type="fixed"/>
        <w:tblLook w:firstRow="1" w:lastRow="0" w:firstColumn="0" w:lastColumn="0" w:noHBand="0" w:noVBand="0" w:val="0020"/>
      </w:tblPr>
      <w:tblGrid>
        <w:gridCol w:w="532"/>
        <w:gridCol w:w="734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7 complete (or parallel); legacy auth discovery complete (Section 11.5); all legacy auth dependencies remediated.</w:t>
            </w:r>
          </w:p>
        </w:tc>
      </w:tr>
      <w:tr>
        <w:tc>
          <w:tcPr/>
          <w:p>
            <w:pPr>
              <w:pStyle w:val="Compact"/>
              <w:jc w:val="left"/>
            </w:pPr>
            <w:r>
              <w:rPr>
                <w:b/>
                <w:bCs/>
              </w:rPr>
              <w:t xml:space="preserve">Steps</w:t>
            </w:r>
          </w:p>
        </w:tc>
        <w:tc>
          <w:tcPr/>
          <w:p>
            <w:pPr>
              <w:pStyle w:val="Compact"/>
              <w:jc w:val="left"/>
            </w:pPr>
            <w:r>
              <w:t xml:space="preserve">1. Verify zero successful legacy auth sign-ins for 30 consecutive days. 2. Enforce CA001-AllUsers-BlockLegacyAuth (if not already enforced). 3. Disable basic authentication at the Exchange Online organization level. 4. Disable SMTP AUTH for all mailboxes (except approved exceptions with documented justification). 5. Monitor for 30 days post-enforcement.</w:t>
            </w:r>
          </w:p>
        </w:tc>
      </w:tr>
      <w:tr>
        <w:tc>
          <w:tcPr/>
          <w:p>
            <w:pPr>
              <w:pStyle w:val="Compact"/>
              <w:jc w:val="left"/>
            </w:pPr>
            <w:r>
              <w:rPr>
                <w:b/>
                <w:bCs/>
              </w:rPr>
              <w:t xml:space="preserve">Validation Criteria</w:t>
            </w:r>
          </w:p>
        </w:tc>
        <w:tc>
          <w:tcPr/>
          <w:p>
            <w:pPr>
              <w:pStyle w:val="Compact"/>
              <w:jc w:val="left"/>
            </w:pPr>
            <w:r>
              <w:t xml:space="preserve">Zero legacy auth sign-ins for 30 days post-enforcement; no service disruptions reported; all exceptions documented and approved.</w:t>
            </w:r>
          </w:p>
        </w:tc>
      </w:tr>
      <w:tr>
        <w:tc>
          <w:tcPr/>
          <w:p>
            <w:pPr>
              <w:pStyle w:val="Compact"/>
              <w:jc w:val="left"/>
            </w:pPr>
            <w:r>
              <w:rPr>
                <w:b/>
                <w:bCs/>
              </w:rPr>
              <w:t xml:space="preserve">Rollback Procedure</w:t>
            </w:r>
          </w:p>
        </w:tc>
        <w:tc>
          <w:tcPr/>
          <w:p>
            <w:pPr>
              <w:pStyle w:val="Compact"/>
              <w:jc w:val="left"/>
            </w:pPr>
            <w:r>
              <w:t xml:space="preserve">Re-enable basic authentication for specific protocols if critical dependency discovered; file exception and remediation plan.</w:t>
            </w:r>
          </w:p>
        </w:tc>
      </w:tr>
      <w:tr>
        <w:tc>
          <w:tcPr/>
          <w:p>
            <w:pPr>
              <w:pStyle w:val="Compact"/>
              <w:jc w:val="left"/>
            </w:pPr>
            <w:r>
              <w:rPr>
                <w:b/>
                <w:bCs/>
              </w:rPr>
              <w:t xml:space="preserve">Duration Estimate</w:t>
            </w:r>
          </w:p>
        </w:tc>
        <w:tc>
          <w:tcPr/>
          <w:p>
            <w:pPr>
              <w:pStyle w:val="Compact"/>
              <w:jc w:val="left"/>
            </w:pPr>
            <w:r>
              <w:t xml:space="preserve">2–4 weeks</w:t>
            </w:r>
          </w:p>
        </w:tc>
      </w:tr>
    </w:tbl>
    <w:p>
      <w:pPr>
        <w:pStyle w:val="BodyText"/>
      </w:pPr>
      <w:r>
        <w:t xml:space="preserve">13.10 Phase 9 — Federation Decommission (If Applicable)</w:t>
      </w:r>
    </w:p>
    <w:tbl>
      <w:tblPr>
        <w:tblStyle w:val="Table"/>
        <w:tblW w:type="pct" w:w="4980"/>
        <w:tblLayout w:type="fixed"/>
        <w:tblLook w:firstRow="1" w:lastRow="0" w:firstColumn="0" w:lastColumn="0" w:noHBand="0" w:noVBand="0" w:val="0020"/>
      </w:tblPr>
      <w:tblGrid>
        <w:gridCol w:w="411"/>
        <w:gridCol w:w="7476"/>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8 complete; PHS verified as functional; all federated domains identified; staged rollout tested.</w:t>
            </w:r>
          </w:p>
        </w:tc>
      </w:tr>
      <w:tr>
        <w:tc>
          <w:tcPr/>
          <w:p>
            <w:pPr>
              <w:pStyle w:val="Compact"/>
              <w:jc w:val="left"/>
            </w:pPr>
            <w:r>
              <w:rPr>
                <w:b/>
                <w:bCs/>
              </w:rPr>
              <w:t xml:space="preserve">Steps</w:t>
            </w:r>
          </w:p>
        </w:tc>
        <w:tc>
          <w:tcPr/>
          <w:p>
            <w:pPr>
              <w:pStyle w:val="Compact"/>
              <w:jc w:val="left"/>
            </w:pPr>
            <w:r>
              <w:t xml:space="preserve">1. Use Staged Rollout to move users from federated auth to PHS/PTA in waves. 2. Wave 1: IT team (1 week monitoring). 3. Wave 2: pilot group (2 weeks). 4. Wave 3: all remaining users. 5. Convert domains from federated to managed (Convert-MsolDomainToStandard or Graph equivalent). 6. Decommission AD FS infrastructure (servers, WAP, certificates). 7. Remove AD FS-related DNS records (cross-reference DNS Modernization Guide). 8. Update documentation and Gitea records.</w:t>
            </w:r>
          </w:p>
        </w:tc>
      </w:tr>
      <w:tr>
        <w:tc>
          <w:tcPr/>
          <w:p>
            <w:pPr>
              <w:pStyle w:val="Compact"/>
              <w:jc w:val="left"/>
            </w:pPr>
            <w:r>
              <w:rPr>
                <w:b/>
                <w:bCs/>
              </w:rPr>
              <w:t xml:space="preserve">Validation Criteria</w:t>
            </w:r>
          </w:p>
        </w:tc>
        <w:tc>
          <w:tcPr/>
          <w:p>
            <w:pPr>
              <w:pStyle w:val="Compact"/>
              <w:jc w:val="left"/>
            </w:pPr>
            <w:r>
              <w:t xml:space="preserve">All domains converted to managed; all users authenticating via PHS or PTA; AD FS infrastructure decommissioned; no authentication failures related to cutover.</w:t>
            </w:r>
          </w:p>
        </w:tc>
      </w:tr>
      <w:tr>
        <w:tc>
          <w:tcPr/>
          <w:p>
            <w:pPr>
              <w:pStyle w:val="Compact"/>
              <w:jc w:val="left"/>
            </w:pPr>
            <w:r>
              <w:rPr>
                <w:b/>
                <w:bCs/>
              </w:rPr>
              <w:t xml:space="preserve">Rollback Procedure</w:t>
            </w:r>
          </w:p>
        </w:tc>
        <w:tc>
          <w:tcPr/>
          <w:p>
            <w:pPr>
              <w:pStyle w:val="Compact"/>
              <w:jc w:val="left"/>
            </w:pPr>
            <w:r>
              <w:t xml:space="preserve">Re-federate domain (requires AD FS infrastructure — maintain DR capability for 90 days post-decommission).</w:t>
            </w:r>
          </w:p>
        </w:tc>
      </w:tr>
      <w:tr>
        <w:tc>
          <w:tcPr/>
          <w:p>
            <w:pPr>
              <w:pStyle w:val="Compact"/>
              <w:jc w:val="left"/>
            </w:pPr>
            <w:r>
              <w:rPr>
                <w:b/>
                <w:bCs/>
              </w:rPr>
              <w:t xml:space="preserve">Duration Estimate</w:t>
            </w:r>
          </w:p>
        </w:tc>
        <w:tc>
          <w:tcPr/>
          <w:p>
            <w:pPr>
              <w:pStyle w:val="Compact"/>
              <w:jc w:val="left"/>
            </w:pPr>
            <w:r>
              <w:t xml:space="preserve">4–8 weeks</w:t>
            </w:r>
          </w:p>
        </w:tc>
      </w:tr>
    </w:tbl>
    <w:p>
      <w:pPr>
        <w:pStyle w:val="BodyText"/>
      </w:pPr>
      <w:r>
        <w:t xml:space="preserve">13.11 Phase 10 — Steady-State Governance</w:t>
      </w:r>
    </w:p>
    <w:tbl>
      <w:tblPr>
        <w:tblStyle w:val="Table"/>
        <w:tblW w:type="pct" w:w="4974"/>
        <w:tblLayout w:type="fixed"/>
        <w:tblLook w:firstRow="1" w:lastRow="0" w:firstColumn="0" w:lastColumn="0" w:noHBand="0" w:noVBand="0" w:val="0020"/>
      </w:tblPr>
      <w:tblGrid>
        <w:gridCol w:w="537"/>
        <w:gridCol w:w="7340"/>
      </w:tblGrid>
      <w:tr>
        <w:trPr>
          <w:tblHeader w:val="on"/>
        </w:trPr>
        <w:tc>
          <w:tcPr/>
          <w:p>
            <w:pPr>
              <w:pStyle w:val="Compact"/>
              <w:jc w:val="left"/>
            </w:pPr>
            <w:r>
              <w:rPr>
                <w:b/>
                <w:bCs/>
              </w:rPr>
              <w:t xml:space="preserve">Element</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All previous phases complete.</w:t>
            </w:r>
          </w:p>
        </w:tc>
      </w:tr>
      <w:tr>
        <w:tc>
          <w:tcPr/>
          <w:p>
            <w:pPr>
              <w:pStyle w:val="Compact"/>
              <w:jc w:val="left"/>
            </w:pPr>
            <w:r>
              <w:rPr>
                <w:b/>
                <w:bCs/>
              </w:rPr>
              <w:t xml:space="preserve">Steps</w:t>
            </w:r>
          </w:p>
        </w:tc>
        <w:tc>
          <w:tcPr/>
          <w:p>
            <w:pPr>
              <w:pStyle w:val="Compact"/>
              <w:jc w:val="left"/>
            </w:pPr>
            <w:r>
              <w:t xml:space="preserve">1. Activate lifecycle workflows for joiner/mover/leaver (Section 9.3). 2. Configure entitlement management access packages (Section 9.2). 3. Enable all scheduled access reviews (Section 9.1). 4. Deploy identity drift detection via Gitea (Section 14). 5. Establish weekly identity governance review meeting. 6. Document steady-state operations runbook.</w:t>
            </w:r>
          </w:p>
        </w:tc>
      </w:tr>
      <w:tr>
        <w:tc>
          <w:tcPr/>
          <w:p>
            <w:pPr>
              <w:pStyle w:val="Compact"/>
              <w:jc w:val="left"/>
            </w:pPr>
            <w:r>
              <w:rPr>
                <w:b/>
                <w:bCs/>
              </w:rPr>
              <w:t xml:space="preserve">Validation Criteria</w:t>
            </w:r>
          </w:p>
        </w:tc>
        <w:tc>
          <w:tcPr/>
          <w:p>
            <w:pPr>
              <w:pStyle w:val="Compact"/>
              <w:jc w:val="left"/>
            </w:pPr>
            <w:r>
              <w:t xml:space="preserve">All governance workflows operational; access reviews generating results; drift detection alerts functional; operations runbook approved and committed to Gitea.</w:t>
            </w:r>
          </w:p>
        </w:tc>
      </w:tr>
      <w:tr>
        <w:tc>
          <w:tcPr/>
          <w:p>
            <w:pPr>
              <w:pStyle w:val="Compact"/>
              <w:jc w:val="left"/>
            </w:pPr>
            <w:r>
              <w:rPr>
                <w:b/>
                <w:bCs/>
              </w:rPr>
              <w:t xml:space="preserve">Rollback Procedure</w:t>
            </w:r>
          </w:p>
        </w:tc>
        <w:tc>
          <w:tcPr/>
          <w:p>
            <w:pPr>
              <w:pStyle w:val="Compact"/>
              <w:jc w:val="left"/>
            </w:pPr>
            <w:r>
              <w:t xml:space="preserve">N/A — steady state. Individual workflow issues addressed per component.</w:t>
            </w:r>
          </w:p>
        </w:tc>
      </w:tr>
      <w:tr>
        <w:tc>
          <w:tcPr/>
          <w:p>
            <w:pPr>
              <w:pStyle w:val="Compact"/>
              <w:jc w:val="left"/>
            </w:pPr>
            <w:r>
              <w:rPr>
                <w:b/>
                <w:bCs/>
              </w:rPr>
              <w:t xml:space="preserve">Duration Estimate</w:t>
            </w:r>
          </w:p>
        </w:tc>
        <w:tc>
          <w:tcPr/>
          <w:p>
            <w:pPr>
              <w:pStyle w:val="Compact"/>
              <w:jc w:val="left"/>
            </w:pPr>
            <w:r>
              <w:t xml:space="preserve">Ongoing (initial setup: 2–4 weeks)</w:t>
            </w:r>
          </w:p>
        </w:tc>
      </w:tr>
    </w:tbl>
    <w:p/>
    <w:tbl>
      <w:tblPr>
        <w:tblStyle w:val="Table"/>
        <w:tblW w:type="pct" w:w="4958"/>
        <w:tblLayout w:type="fixed"/>
        <w:tblLook w:firstRow="0" w:lastRow="0" w:firstColumn="0" w:lastColumn="0" w:noHBand="0" w:noVBand="0" w:val="0000"/>
      </w:tblPr>
      <w:tblGrid>
        <w:gridCol w:w="7852"/>
      </w:tblGrid>
      <w:tr>
        <w:tc>
          <w:tcPr/>
          <w:p>
            <w:pPr>
              <w:pStyle w:val="Compact"/>
              <w:jc w:val="left"/>
            </w:pPr>
            <w:r>
              <w:rPr>
                <w:i/>
                <w:iCs/>
              </w:rPr>
              <w:t xml:space="preserve">[Placeholder — Diagram 7: Migration Phase Timeline — 800×400px — Gantt-style chart showing all 10 phases with duration bars, dependencies, and milestone markers. Total estimated timeline: 40–70 weeks for full migration.]</w:t>
            </w:r>
          </w:p>
        </w:tc>
      </w:tr>
    </w:tbl>
    <w:p>
      <w:pPr>
        <w:pStyle w:val="BodyText"/>
      </w:pPr>
      <w:r>
        <w:t xml:space="preserve">14. Gitea Integration and Drift Detection</w:t>
      </w:r>
    </w:p>
    <w:p>
      <w:pPr>
        <w:pStyle w:val="BodyText"/>
      </w:pPr>
      <w:r>
        <w:t xml:space="preserve">14.1 Assessment Output Pipeline</w:t>
      </w:r>
    </w:p>
    <w:p>
      <w:pPr>
        <w:pStyle w:val="BodyText"/>
      </w:pPr>
      <w:r>
        <w:t xml:space="preserve">The identity modernization assessment produces structured JSON inventories that must be committed to Gitea for version control and diff-based drift detection. The pipeline flow:</w:t>
      </w:r>
    </w:p>
    <w:p>
      <w:pPr>
        <w:numPr>
          <w:ilvl w:val="0"/>
          <w:numId w:val="1248"/>
        </w:numPr>
      </w:pPr>
      <w:r>
        <w:rPr>
          <w:b/>
          <w:bCs/>
        </w:rPr>
        <w:t xml:space="preserve">Assessment execution:</w:t>
      </w:r>
      <w:r>
        <w:t xml:space="preserve"> </w:t>
      </w:r>
      <w:r>
        <w:t xml:space="preserve">Invoke-FMPIdentityAssessment generates JSON files for users, groups, service accounts, privileged access, and Conditional Access policies</w:t>
      </w:r>
    </w:p>
    <w:p>
      <w:pPr>
        <w:numPr>
          <w:ilvl w:val="0"/>
          <w:numId w:val="1248"/>
        </w:numPr>
      </w:pPr>
      <w:r>
        <w:rPr>
          <w:b/>
          <w:bCs/>
        </w:rPr>
        <w:t xml:space="preserve">Gitea commit:</w:t>
      </w:r>
      <w:r>
        <w:t xml:space="preserve"> </w:t>
      </w:r>
      <w:r>
        <w:t xml:space="preserve">JSON output is committed to the identity-baseline branch of the Federal Modernization Program configuration repository</w:t>
      </w:r>
    </w:p>
    <w:p>
      <w:pPr>
        <w:numPr>
          <w:ilvl w:val="0"/>
          <w:numId w:val="1248"/>
        </w:numPr>
      </w:pPr>
      <w:r>
        <w:rPr>
          <w:b/>
          <w:bCs/>
        </w:rPr>
        <w:t xml:space="preserve">Diff detection:</w:t>
      </w:r>
      <w:r>
        <w:t xml:space="preserve"> </w:t>
      </w:r>
      <w:r>
        <w:t xml:space="preserve">Subsequent assessment runs are compared against the committed baseline. Any differences (new objects, attribute changes, removed objects) are flagged as drift</w:t>
      </w:r>
    </w:p>
    <w:p>
      <w:pPr>
        <w:numPr>
          <w:ilvl w:val="0"/>
          <w:numId w:val="1248"/>
        </w:numPr>
      </w:pPr>
      <w:r>
        <w:rPr>
          <w:b/>
          <w:bCs/>
        </w:rPr>
        <w:t xml:space="preserve">Issue creation:</w:t>
      </w:r>
      <w:r>
        <w:t xml:space="preserve"> </w:t>
      </w:r>
      <w:r>
        <w:t xml:space="preserve">Drift detections exceeding a configurable threshold automatically create Gitea issues with the diff details, severity classification, and recommended remediation</w:t>
      </w:r>
    </w:p>
    <w:p>
      <w:pPr>
        <w:pStyle w:val="FirstParagraph"/>
      </w:pPr>
      <w:r>
        <w:t xml:space="preserve">14.2 Scheduled PowerShell Tasks</w:t>
      </w:r>
    </w:p>
    <w:tbl>
      <w:tblPr>
        <w:tblStyle w:val="Table"/>
        <w:tblW w:type="pct" w:w="4950"/>
        <w:tblLayout w:type="fixed"/>
        <w:tblLook w:firstRow="1" w:lastRow="0" w:firstColumn="0" w:lastColumn="0" w:noHBand="0" w:noVBand="0" w:val="0020"/>
      </w:tblPr>
      <w:tblGrid>
        <w:gridCol w:w="1472"/>
        <w:gridCol w:w="1114"/>
        <w:gridCol w:w="2467"/>
        <w:gridCol w:w="2785"/>
      </w:tblGrid>
      <w:tr>
        <w:trPr>
          <w:tblHeader w:val="on"/>
        </w:trPr>
        <w:tc>
          <w:tcPr/>
          <w:p>
            <w:pPr>
              <w:pStyle w:val="Compact"/>
              <w:jc w:val="left"/>
            </w:pPr>
            <w:r>
              <w:rPr>
                <w:b/>
                <w:bCs/>
              </w:rPr>
              <w:t xml:space="preserve">Task</w:t>
            </w:r>
          </w:p>
        </w:tc>
        <w:tc>
          <w:tcPr/>
          <w:p>
            <w:pPr>
              <w:pStyle w:val="Compact"/>
              <w:jc w:val="left"/>
            </w:pPr>
            <w:r>
              <w:rPr>
                <w:b/>
                <w:bCs/>
              </w:rPr>
              <w:t xml:space="preserve">Schedule</w:t>
            </w:r>
          </w:p>
        </w:tc>
        <w:tc>
          <w:tcPr/>
          <w:p>
            <w:pPr>
              <w:pStyle w:val="Compact"/>
              <w:jc w:val="left"/>
            </w:pPr>
            <w:r>
              <w:rPr>
                <w:b/>
                <w:bCs/>
              </w:rPr>
              <w:t xml:space="preserve">Script</w:t>
            </w:r>
          </w:p>
        </w:tc>
        <w:tc>
          <w:tcPr/>
          <w:p>
            <w:pPr>
              <w:pStyle w:val="Compact"/>
              <w:jc w:val="left"/>
            </w:pPr>
            <w:r>
              <w:rPr>
                <w:b/>
                <w:bCs/>
              </w:rPr>
              <w:t xml:space="preserve">Output</w:t>
            </w:r>
          </w:p>
        </w:tc>
      </w:tr>
      <w:tr>
        <w:tc>
          <w:tcPr/>
          <w:p>
            <w:pPr>
              <w:pStyle w:val="Compact"/>
              <w:jc w:val="left"/>
            </w:pPr>
            <w:r>
              <w:t xml:space="preserve">Identity drift scan</w:t>
            </w:r>
          </w:p>
        </w:tc>
        <w:tc>
          <w:tcPr/>
          <w:p>
            <w:pPr>
              <w:pStyle w:val="Compact"/>
              <w:jc w:val="left"/>
            </w:pPr>
            <w:r>
              <w:t xml:space="preserve">Weekly (Sunday 02:00 EDT)</w:t>
            </w:r>
          </w:p>
        </w:tc>
        <w:tc>
          <w:tcPr/>
          <w:p>
            <w:pPr>
              <w:pStyle w:val="Compact"/>
              <w:jc w:val="left"/>
            </w:pPr>
            <w:r>
              <w:t xml:space="preserve">Invoke-FMPIdentityAssessment -Compare -CommitToGitea D</w:t>
            </w:r>
          </w:p>
        </w:tc>
        <w:tc>
          <w:tcPr/>
          <w:p>
            <w:pPr>
              <w:pStyle w:val="Compact"/>
              <w:jc w:val="left"/>
            </w:pPr>
            <w:r>
              <w:t xml:space="preserve">rift report JSON + Gitea issue (if drift detected)</w:t>
            </w:r>
          </w:p>
        </w:tc>
      </w:tr>
      <w:tr>
        <w:tc>
          <w:tcPr/>
          <w:p>
            <w:pPr>
              <w:pStyle w:val="Compact"/>
              <w:jc w:val="left"/>
            </w:pPr>
            <w:r>
              <w:t xml:space="preserve">PIM activation audit</w:t>
            </w:r>
          </w:p>
        </w:tc>
        <w:tc>
          <w:tcPr/>
          <w:p>
            <w:pPr>
              <w:pStyle w:val="Compact"/>
              <w:jc w:val="left"/>
            </w:pPr>
            <w:r>
              <w:t xml:space="preserve">Daily (06:00 EDT)</w:t>
            </w:r>
          </w:p>
        </w:tc>
        <w:tc>
          <w:tcPr/>
          <w:p>
            <w:pPr>
              <w:pStyle w:val="Compact"/>
              <w:jc w:val="left"/>
            </w:pPr>
            <w:r>
              <w:t xml:space="preserve">Get-FMPPrivilegedAccessReport -Last24Hours -CommitToGitea P</w:t>
            </w:r>
          </w:p>
        </w:tc>
        <w:tc>
          <w:tcPr/>
          <w:p>
            <w:pPr>
              <w:pStyle w:val="Compact"/>
              <w:jc w:val="left"/>
            </w:pPr>
            <w:r>
              <w:t xml:space="preserve">IM activation log JSON + alert for off-hours activations</w:t>
            </w:r>
          </w:p>
        </w:tc>
      </w:tr>
      <w:tr>
        <w:tc>
          <w:tcPr/>
          <w:p>
            <w:pPr>
              <w:pStyle w:val="Compact"/>
              <w:jc w:val="left"/>
            </w:pPr>
            <w:r>
              <w:t xml:space="preserve">CA policy export</w:t>
            </w:r>
          </w:p>
        </w:tc>
        <w:tc>
          <w:tcPr/>
          <w:p>
            <w:pPr>
              <w:pStyle w:val="Compact"/>
              <w:jc w:val="left"/>
            </w:pPr>
            <w:r>
              <w:t xml:space="preserve">Weekly (Sunday 03:00 EDT)</w:t>
            </w:r>
          </w:p>
        </w:tc>
        <w:tc>
          <w:tcPr/>
          <w:p>
            <w:pPr>
              <w:pStyle w:val="Compact"/>
              <w:jc w:val="left"/>
            </w:pPr>
            <w:r>
              <w:t xml:space="preserve">Export-FMPConditionalAccessPolicies -CommitToGitea C</w:t>
            </w:r>
          </w:p>
        </w:tc>
        <w:tc>
          <w:tcPr/>
          <w:p>
            <w:pPr>
              <w:pStyle w:val="Compact"/>
              <w:jc w:val="left"/>
            </w:pPr>
            <w:r>
              <w:t xml:space="preserve">A policy JSON export + diff against previous export</w:t>
            </w:r>
          </w:p>
        </w:tc>
      </w:tr>
      <w:tr>
        <w:tc>
          <w:tcPr/>
          <w:p>
            <w:pPr>
              <w:pStyle w:val="Compact"/>
              <w:jc w:val="left"/>
            </w:pPr>
            <w:r>
              <w:t xml:space="preserve">Service principal credential audit</w:t>
            </w:r>
          </w:p>
        </w:tc>
        <w:tc>
          <w:tcPr/>
          <w:p>
            <w:pPr>
              <w:pStyle w:val="Compact"/>
              <w:jc w:val="left"/>
            </w:pPr>
            <w:r>
              <w:t xml:space="preserve">Weekly (Monday 06:00 EDT)</w:t>
            </w:r>
          </w:p>
        </w:tc>
        <w:tc>
          <w:tcPr/>
          <w:p>
            <w:pPr>
              <w:pStyle w:val="Compact"/>
              <w:jc w:val="left"/>
            </w:pPr>
            <w:r>
              <w:t xml:space="preserve">Get-FMPServicePrincipalCredentialReport -ExpiringWithin 30 C</w:t>
            </w:r>
          </w:p>
        </w:tc>
        <w:tc>
          <w:tcPr/>
          <w:p>
            <w:pPr>
              <w:pStyle w:val="Compact"/>
              <w:jc w:val="left"/>
            </w:pPr>
            <w:r>
              <w:t xml:space="preserve">redential expiration report + Gitea issue for expiring credentials</w:t>
            </w:r>
          </w:p>
        </w:tc>
      </w:tr>
      <w:tr>
        <w:tc>
          <w:tcPr/>
          <w:p>
            <w:pPr>
              <w:pStyle w:val="Compact"/>
              <w:jc w:val="left"/>
            </w:pPr>
            <w:r>
              <w:t xml:space="preserve">Stale account detection</w:t>
            </w:r>
          </w:p>
        </w:tc>
        <w:tc>
          <w:tcPr/>
          <w:p>
            <w:pPr>
              <w:pStyle w:val="Compact"/>
              <w:jc w:val="left"/>
            </w:pPr>
            <w:r>
              <w:t xml:space="preserve">Monthly (1st, 06:00 EDT)</w:t>
            </w:r>
          </w:p>
        </w:tc>
        <w:tc>
          <w:tcPr/>
          <w:p>
            <w:pPr>
              <w:pStyle w:val="Compact"/>
              <w:jc w:val="left"/>
            </w:pPr>
            <w:r>
              <w:t xml:space="preserve">Get-FMPStaleAccountReport -InactiveDays 90 -CommitToGitea S</w:t>
            </w:r>
          </w:p>
        </w:tc>
        <w:tc>
          <w:tcPr/>
          <w:p>
            <w:pPr>
              <w:pStyle w:val="Compact"/>
              <w:jc w:val="left"/>
            </w:pPr>
            <w:r>
              <w:t xml:space="preserve">tale account list + access review trigger</w:t>
            </w:r>
          </w:p>
        </w:tc>
      </w:tr>
    </w:tbl>
    <w:p>
      <w:pPr>
        <w:pStyle w:val="BodyText"/>
      </w:pPr>
      <w:r>
        <w:t xml:space="preserve">14.3 Gitea API Integration</w:t>
      </w:r>
    </w:p>
    <w:p>
      <w:pPr>
        <w:pStyle w:val="BodyText"/>
      </w:pPr>
      <w:r>
        <w:t xml:space="preserve">Automated issue creation on drift detection uses the Gitea API. The integration pattern follows the</w:t>
      </w:r>
      <w:r>
        <w:t xml:space="preserve"> </w:t>
      </w:r>
      <w:r>
        <w:rPr>
          <w:b/>
          <w:bCs/>
        </w:rPr>
        <w:t xml:space="preserve">the Federal Modernization Program CLI and Operations Guide</w:t>
      </w:r>
      <w:r>
        <w:t xml:space="preserve">:</w:t>
      </w:r>
    </w:p>
    <w:p>
      <w:pPr>
        <w:pStyle w:val="BodyText"/>
      </w:pPr>
      <w:r>
        <w:t xml:space="preserve"># ============================================================ # Gitea API — Create Issue on Identity Drift Detection # Called by Invoke-FMPIdentityAssessment when drift exceeds threshold # ============================================================ function New-FMPGiteaDriftIssue { [CmdletBinding] param( [Parameter(Mandatory)] [string]$DriftSummary, [Parameter(Mandatory)] [ValidateSet("Low","Medium","High","Critical")] [string]$Severity, [Parameter(Mandatory)] [string]$DiffContent, [Parameter] [string]$GiteaBaseUrl = $env:FMP_GITEA_URL, [Parameter] [string]$RepoOwner = $env:FMP_GITEA_OWNER, [Parameter] [string]$RepoName = "fmp-identity-baseline", [Parameter] [string]$ApiToken = $env:FMP_GITEA_TOKEN ) $severityLabel = switch ($Severity) { "Critical" { "priority/critical" } "High" { "priority/high" } "Medium" { "priority/medium" } "Low" { "priority/low" } } $body = @{ title = "[Identity Drift] $DriftSummary — $(Get-Date -Format 'yyyy-MM-dd')" body = @" ## Identity Drift Detection Report **Detected:** $(Get-Date -Format 'yyyy-MM-dd HH:mm:ss') EDT **Severity:** $Severity **Summary:** $DriftSummary ### Diff Details ``````diff $DiffContent `````` ### Recommended Actions - Review the diff for unauthorized changes - Cross-reference with change management records - Remediate unauthorized drift or update baseline if approved - Commit updated baseline to Gitea *Generated by Invoke-FMPIdentityAssessment* "@ labels = @((Get-FMPGiteaLabelId -Name $severityLabel), (Get-FMPGiteaLabelId -Name "identity-drift")) } | ConvertTo-Json -Depth 5 $headers = @{ "Authorization" = "token $ApiToken" "Content-Type" = "application/json" } $uri = "$GiteaBaseUrl/api/v1/repos/$RepoOwner/$RepoName/issues" try { $response = Invoke-RestMethod -Uri $uri -Method Post -Headers $headers -Body $body Write-Host "Created Gitea issue #$($response.number): $($response.title)" -ForegroundColor Green return $response } catch { Write-Error "Failed to create Gitea issue: $_" } }</w:t>
      </w:r>
    </w:p>
    <w:p>
      <w:pPr>
        <w:pStyle w:val="BodyText"/>
      </w:pPr>
      <w:r>
        <w:t xml:space="preserve">15. Troubleshooting Reference</w:t>
      </w:r>
    </w:p>
    <w:tbl>
      <w:tblPr>
        <w:tblStyle w:val="Table"/>
        <w:tblW w:type="pct" w:w="4981"/>
        <w:tblLayout w:type="fixed"/>
        <w:tblLook w:firstRow="1" w:lastRow="0" w:firstColumn="0" w:lastColumn="0" w:noHBand="0" w:noVBand="0" w:val="0020"/>
      </w:tblPr>
      <w:tblGrid>
        <w:gridCol w:w="1284"/>
        <w:gridCol w:w="1834"/>
        <w:gridCol w:w="2645"/>
        <w:gridCol w:w="2125"/>
      </w:tblGrid>
      <w:tr>
        <w:trPr>
          <w:tblHeader w:val="on"/>
        </w:trPr>
        <w:tc>
          <w:tcPr/>
          <w:p>
            <w:pPr>
              <w:pStyle w:val="Compact"/>
              <w:jc w:val="left"/>
            </w:pPr>
            <w:r>
              <w:rPr>
                <w:b/>
                <w:bCs/>
              </w:rPr>
              <w:t xml:space="preserve">Symptom</w:t>
            </w:r>
          </w:p>
        </w:tc>
        <w:tc>
          <w:tcPr/>
          <w:p>
            <w:pPr>
              <w:pStyle w:val="Compact"/>
              <w:jc w:val="left"/>
            </w:pPr>
            <w:r>
              <w:rPr>
                <w:b/>
                <w:bCs/>
              </w:rPr>
              <w:t xml:space="preserve">Root Cause</w:t>
            </w:r>
          </w:p>
        </w:tc>
        <w:tc>
          <w:tcPr/>
          <w:p>
            <w:pPr>
              <w:pStyle w:val="Compact"/>
              <w:jc w:val="left"/>
            </w:pPr>
            <w:r>
              <w:rPr>
                <w:b/>
                <w:bCs/>
              </w:rPr>
              <w:t xml:space="preserve">Resolution</w:t>
            </w:r>
          </w:p>
        </w:tc>
        <w:tc>
          <w:tcPr/>
          <w:p>
            <w:pPr>
              <w:pStyle w:val="Compact"/>
              <w:jc w:val="left"/>
            </w:pPr>
            <w:r>
              <w:rPr>
                <w:b/>
                <w:bCs/>
              </w:rPr>
              <w:t xml:space="preserve">Prevention</w:t>
            </w:r>
          </w:p>
        </w:tc>
      </w:tr>
      <w:tr>
        <w:tc>
          <w:tcPr/>
          <w:p>
            <w:pPr>
              <w:pStyle w:val="Compact"/>
              <w:jc w:val="left"/>
            </w:pPr>
            <w:r>
              <w:t xml:space="preserve">Entra Connect sync error: "InvalidSoftMatch"</w:t>
            </w:r>
          </w:p>
        </w:tc>
        <w:tc>
          <w:tcPr/>
          <w:p>
            <w:pPr>
              <w:pStyle w:val="Compact"/>
              <w:jc w:val="left"/>
            </w:pPr>
            <w:r>
              <w:t xml:space="preserve">Cloud-only user exists with same UPN or proxyAddress but no sourceAnchor match</w:t>
            </w:r>
          </w:p>
        </w:tc>
        <w:tc>
          <w:tcPr/>
          <w:p>
            <w:pPr>
              <w:pStyle w:val="Compact"/>
              <w:jc w:val="left"/>
            </w:pPr>
            <w:r>
              <w:t xml:space="preserve">Set ImmutableId on the cloud user to match the AD object's ms-DS-ConsistencyGuid (Base64-encoded): Set-MgUser -UserId &lt;id&gt; -OnPremisesImmutableId &lt;base64&gt;</w:t>
            </w:r>
          </w:p>
        </w:tc>
        <w:tc>
          <w:tcPr/>
          <w:p>
            <w:pPr>
              <w:pStyle w:val="Compact"/>
              <w:jc w:val="left"/>
            </w:pPr>
            <w:r>
              <w:t xml:space="preserve">Always perform hard match before initial sync; clean up cloud-only accounts pre-migration</w:t>
            </w:r>
          </w:p>
        </w:tc>
      </w:tr>
      <w:tr>
        <w:tc>
          <w:tcPr/>
          <w:p>
            <w:pPr>
              <w:pStyle w:val="Compact"/>
              <w:jc w:val="left"/>
            </w:pPr>
            <w:r>
              <w:t xml:space="preserve">UPN conflict: "Unable to update userPrincipalName"</w:t>
            </w:r>
          </w:p>
        </w:tc>
        <w:tc>
          <w:tcPr/>
          <w:p>
            <w:pPr>
              <w:pStyle w:val="Compact"/>
              <w:jc w:val="left"/>
            </w:pPr>
            <w:r>
              <w:t xml:space="preserve">Target UPN suffix is not a verified domain in Entra ID, or another object already uses the UPN</w:t>
            </w:r>
          </w:p>
        </w:tc>
        <w:tc>
          <w:tcPr/>
          <w:p>
            <w:pPr>
              <w:pStyle w:val="Compact"/>
              <w:jc w:val="left"/>
            </w:pPr>
            <w:r>
              <w:t xml:space="preserve">Verify the domain in Entra admin center; resolve duplicate UPN in AD or Entra ID</w:t>
            </w:r>
          </w:p>
        </w:tc>
        <w:tc>
          <w:tcPr/>
          <w:p>
            <w:pPr>
              <w:pStyle w:val="Compact"/>
              <w:jc w:val="left"/>
            </w:pPr>
            <w:r>
              <w:t xml:space="preserve">Verify all UPN suffixes as custom domains before enabling sync; run UPN audit in Phase 0</w:t>
            </w:r>
          </w:p>
        </w:tc>
      </w:tr>
      <w:tr>
        <w:tc>
          <w:tcPr/>
          <w:p>
            <w:pPr>
              <w:pStyle w:val="Compact"/>
              <w:jc w:val="left"/>
            </w:pPr>
            <w:r>
              <w:t xml:space="preserve">Group writeback failure: "Group_InsufficientPermissions"</w:t>
            </w:r>
          </w:p>
        </w:tc>
        <w:tc>
          <w:tcPr/>
          <w:p>
            <w:pPr>
              <w:pStyle w:val="Compact"/>
              <w:jc w:val="left"/>
            </w:pPr>
            <w:r>
              <w:t xml:space="preserve">Entra Connect service account lacks permissions to write group objects to the target AD OU</w:t>
            </w:r>
          </w:p>
        </w:tc>
        <w:tc>
          <w:tcPr/>
          <w:p>
            <w:pPr>
              <w:pStyle w:val="Compact"/>
              <w:jc w:val="left"/>
            </w:pPr>
            <w:r>
              <w:t xml:space="preserve">Grant the Entra Connect AD DS account write permissions on the group writeback target OU</w:t>
            </w:r>
          </w:p>
        </w:tc>
        <w:tc>
          <w:tcPr/>
          <w:p>
            <w:pPr>
              <w:pStyle w:val="Compact"/>
              <w:jc w:val="left"/>
            </w:pPr>
            <w:r>
              <w:t xml:space="preserve">Configure group writeback permissions during Entra Connect installation</w:t>
            </w:r>
          </w:p>
        </w:tc>
      </w:tr>
      <w:tr>
        <w:tc>
          <w:tcPr/>
          <w:p>
            <w:pPr>
              <w:pStyle w:val="Compact"/>
              <w:jc w:val="left"/>
            </w:pPr>
            <w:r>
              <w:t xml:space="preserve">PIM activation failure: "User does not meet activation requirements"</w:t>
            </w:r>
          </w:p>
        </w:tc>
        <w:tc>
          <w:tcPr/>
          <w:p>
            <w:pPr>
              <w:pStyle w:val="Compact"/>
              <w:jc w:val="left"/>
            </w:pPr>
            <w:r>
              <w:t xml:space="preserve">User has not completed MFA registration, or Conditional Access blocks the activation request</w:t>
            </w:r>
          </w:p>
        </w:tc>
        <w:tc>
          <w:tcPr/>
          <w:p>
            <w:pPr>
              <w:pStyle w:val="Compact"/>
              <w:jc w:val="left"/>
            </w:pPr>
            <w:r>
              <w:t xml:space="preserve">Ensure user has registered for MFA (Microsoft Authenticator or FIDO2); verify CA policies do not block the PIM activation endpoint</w:t>
            </w:r>
          </w:p>
        </w:tc>
        <w:tc>
          <w:tcPr/>
          <w:p>
            <w:pPr>
              <w:pStyle w:val="Compact"/>
              <w:jc w:val="left"/>
            </w:pPr>
            <w:r>
              <w:t xml:space="preserve">Require MFA registration before PIM eligibility assignment; test activation in pilot</w:t>
            </w:r>
          </w:p>
        </w:tc>
      </w:tr>
      <w:tr>
        <w:tc>
          <w:tcPr/>
          <w:p>
            <w:pPr>
              <w:pStyle w:val="Compact"/>
              <w:jc w:val="left"/>
            </w:pPr>
            <w:r>
              <w:t xml:space="preserve">Conditional Access blocking legitimate access: policy shows "Applied — Block"</w:t>
            </w:r>
          </w:p>
        </w:tc>
        <w:tc>
          <w:tcPr/>
          <w:p>
            <w:pPr>
              <w:pStyle w:val="Compact"/>
              <w:jc w:val="left"/>
            </w:pPr>
            <w:r>
              <w:t xml:space="preserve">User does not meet grant controls (non-compliant device, wrong location, missing MFA)</w:t>
            </w:r>
          </w:p>
        </w:tc>
        <w:tc>
          <w:tcPr/>
          <w:p>
            <w:pPr>
              <w:pStyle w:val="Compact"/>
              <w:jc w:val="left"/>
            </w:pPr>
            <w:r>
              <w:t xml:space="preserve">Identify which CA policy is blocking (sign-in logs → CA tab); remediate the specific condition (enroll device, register MFA, add to location exception)</w:t>
            </w:r>
          </w:p>
        </w:tc>
        <w:tc>
          <w:tcPr/>
          <w:p>
            <w:pPr>
              <w:pStyle w:val="Compact"/>
              <w:jc w:val="left"/>
            </w:pPr>
            <w:r>
              <w:t xml:space="preserve">Deploy CA policies in report-only first; maintain exception process for legitimate edge cases</w:t>
            </w:r>
          </w:p>
        </w:tc>
      </w:tr>
      <w:tr>
        <w:tc>
          <w:tcPr/>
          <w:p>
            <w:pPr>
              <w:pStyle w:val="Compact"/>
              <w:jc w:val="left"/>
            </w:pPr>
            <w:r>
              <w:t xml:space="preserve">Password writeback failure: "PasswordResetNotEnabled"</w:t>
            </w:r>
          </w:p>
        </w:tc>
        <w:tc>
          <w:tcPr/>
          <w:p>
            <w:pPr>
              <w:pStyle w:val="Compact"/>
              <w:jc w:val="left"/>
            </w:pPr>
            <w:r>
              <w:t xml:space="preserve">Password writeback is not enabled in Entra Connect, or the AD DS account lacks password reset permissions</w:t>
            </w:r>
          </w:p>
        </w:tc>
        <w:tc>
          <w:tcPr/>
          <w:p>
            <w:pPr>
              <w:pStyle w:val="Compact"/>
              <w:jc w:val="left"/>
            </w:pPr>
            <w:r>
              <w:t xml:space="preserve">Enable password writeback in Entra Connect optional features; grant "Reset Password" and "Change Password" permissions to the ADMA connector account on the target OUs</w:t>
            </w:r>
          </w:p>
        </w:tc>
        <w:tc>
          <w:tcPr/>
          <w:p>
            <w:pPr>
              <w:pStyle w:val="Compact"/>
              <w:jc w:val="left"/>
            </w:pPr>
            <w:r>
              <w:t xml:space="preserve">Enable password writeback during initial Entra Connect configuration; validate with test reset</w:t>
            </w:r>
          </w:p>
        </w:tc>
      </w:tr>
      <w:tr>
        <w:tc>
          <w:tcPr/>
          <w:p>
            <w:pPr>
              <w:pStyle w:val="Compact"/>
              <w:jc w:val="left"/>
            </w:pPr>
            <w:r>
              <w:t xml:space="preserve">Dynamic group not populating members</w:t>
            </w:r>
          </w:p>
        </w:tc>
        <w:tc>
          <w:tcPr/>
          <w:p>
            <w:pPr>
              <w:pStyle w:val="Compact"/>
              <w:jc w:val="left"/>
            </w:pPr>
            <w:r>
              <w:t xml:space="preserve">Rule syntax error, or target attribute is null/empty for expected users</w:t>
            </w:r>
          </w:p>
        </w:tc>
        <w:tc>
          <w:tcPr/>
          <w:p>
            <w:pPr>
              <w:pStyle w:val="Compact"/>
              <w:jc w:val="left"/>
            </w:pPr>
            <w:r>
              <w:t xml:space="preserve">Validate rule syntax in Entra admin center (Rules Validation tab); verify attributes are populated: Get-MgUser -UserId &lt;id&gt; -Property onPremisesExtensionAttributes</w:t>
            </w:r>
          </w:p>
        </w:tc>
        <w:tc>
          <w:tcPr/>
          <w:p>
            <w:pPr>
              <w:pStyle w:val="Compact"/>
              <w:jc w:val="left"/>
            </w:pPr>
            <w:r>
              <w:t xml:space="preserve">Test dynamic group rules with the "Validate Rules" feature before deploying; ensure extension attributes are populated in AD before sync</w:t>
            </w:r>
          </w:p>
        </w:tc>
      </w:tr>
      <w:tr>
        <w:tc>
          <w:tcPr/>
          <w:p>
            <w:pPr>
              <w:pStyle w:val="Compact"/>
              <w:jc w:val="left"/>
            </w:pPr>
            <w:r>
              <w:t xml:space="preserve">Service principal sign-in blocked by CA for Workload Identities</w:t>
            </w:r>
          </w:p>
        </w:tc>
        <w:tc>
          <w:tcPr/>
          <w:p>
            <w:pPr>
              <w:pStyle w:val="Compact"/>
              <w:jc w:val="left"/>
            </w:pPr>
            <w:r>
              <w:t xml:space="preserve">Service principal authenticating from an IP not in the trusted network Named Location</w:t>
            </w:r>
          </w:p>
        </w:tc>
        <w:tc>
          <w:tcPr/>
          <w:p>
            <w:pPr>
              <w:pStyle w:val="Compact"/>
              <w:jc w:val="left"/>
            </w:pPr>
            <w:r>
              <w:t xml:space="preserve">Add the service's egress IP to the trusted Named Location; or create an exception CA policy for the specific service principal</w:t>
            </w:r>
          </w:p>
        </w:tc>
        <w:tc>
          <w:tcPr/>
          <w:p>
            <w:pPr>
              <w:pStyle w:val="Compact"/>
              <w:jc w:val="left"/>
            </w:pPr>
            <w:r>
              <w:t xml:space="preserve">Document all service principal egress IPs before enabling workload identity CA policies</w:t>
            </w:r>
          </w:p>
        </w:tc>
      </w:tr>
      <w:tr>
        <w:tc>
          <w:tcPr/>
          <w:p>
            <w:pPr>
              <w:pStyle w:val="Compact"/>
              <w:jc w:val="left"/>
            </w:pPr>
            <w:r>
              <w:t xml:space="preserve">B2B guest cannot access shared resources</w:t>
            </w:r>
          </w:p>
        </w:tc>
        <w:tc>
          <w:tcPr/>
          <w:p>
            <w:pPr>
              <w:pStyle w:val="Compact"/>
              <w:jc w:val="left"/>
            </w:pPr>
            <w:r>
              <w:t xml:space="preserve">Guest user has not completed MFA registration, has not accepted Terms of Use, or is blocked by guest CA policy</w:t>
            </w:r>
          </w:p>
        </w:tc>
        <w:tc>
          <w:tcPr/>
          <w:p>
            <w:pPr>
              <w:pStyle w:val="Compact"/>
              <w:jc w:val="left"/>
            </w:pPr>
            <w:r>
              <w:t xml:space="preserve">Verify guest has redeemed invitation; check CA policy evaluation in sign-in logs; ensure guest is not blocked by risk-based policy</w:t>
            </w:r>
          </w:p>
        </w:tc>
        <w:tc>
          <w:tcPr/>
          <w:p>
            <w:pPr>
              <w:pStyle w:val="Compact"/>
              <w:jc w:val="left"/>
            </w:pPr>
            <w:r>
              <w:t xml:space="preserve">Configure cross-tenant MFA trust to accept guest's home tenant MFA; ensure ToU is accessible</w:t>
            </w:r>
          </w:p>
        </w:tc>
      </w:tr>
      <w:tr>
        <w:tc>
          <w:tcPr/>
          <w:p>
            <w:pPr>
              <w:pStyle w:val="Compact"/>
              <w:jc w:val="left"/>
            </w:pPr>
            <w:r>
              <w:t xml:space="preserve">Lifecycle workflow not triggering for new hire</w:t>
            </w:r>
          </w:p>
        </w:tc>
        <w:tc>
          <w:tcPr/>
          <w:p>
            <w:pPr>
              <w:pStyle w:val="Compact"/>
              <w:jc w:val="left"/>
            </w:pPr>
            <w:r>
              <w:t xml:space="preserve">employeeHireDate is not populated (HR hire date not mapped through provisioning), or attribute sync has not propagated</w:t>
            </w:r>
          </w:p>
        </w:tc>
        <w:tc>
          <w:tcPr/>
          <w:p>
            <w:pPr>
              <w:pStyle w:val="Compact"/>
              <w:jc w:val="left"/>
            </w:pPr>
            <w:r>
              <w:t xml:space="preserve">Verify attribute format (YYYY-MM-DD); force sync cycle; check workflow execution logs in Entra admin center → Identity Governance → Lifecycle Workflo</w:t>
            </w:r>
          </w:p>
        </w:tc>
        <w:tc>
          <w:tcPr/>
          <w:p>
            <w:pPr>
              <w:pStyle w:val="Compact"/>
              <w:jc w:val="left"/>
            </w:pPr>
            <w:r>
              <w:t xml:space="preserve">ws → Workflow history Validate attribute format in HR feed; include format validation in AD attribute flow rules</w:t>
            </w:r>
          </w:p>
        </w:tc>
      </w:tr>
      <w:tr>
        <w:tc>
          <w:tcPr/>
          <w:p>
            <w:pPr>
              <w:pStyle w:val="Compact"/>
              <w:jc w:val="left"/>
            </w:pPr>
            <w:r>
              <w:t xml:space="preserve">PHS not detecting leaked credentials</w:t>
            </w:r>
          </w:p>
        </w:tc>
        <w:tc>
          <w:tcPr/>
          <w:p>
            <w:pPr>
              <w:pStyle w:val="Compact"/>
              <w:jc w:val="left"/>
            </w:pPr>
            <w:r>
              <w:t xml:space="preserve">Identity Protection P2 license not assigned to affected users, or PHS is enabled but risk detection is not processing</w:t>
            </w:r>
          </w:p>
        </w:tc>
        <w:tc>
          <w:tcPr/>
          <w:p>
            <w:pPr>
              <w:pStyle w:val="Compact"/>
              <w:jc w:val="left"/>
            </w:pPr>
            <w:r>
              <w:t xml:space="preserve">Verify P2 license assignment; check Identity Protection → Risk detections for recent evaluations; ensure PHS is active (not just staged)</w:t>
            </w:r>
          </w:p>
        </w:tc>
        <w:tc>
          <w:tcPr/>
          <w:p>
            <w:pPr>
              <w:pStyle w:val="Compact"/>
              <w:jc w:val="left"/>
            </w:pPr>
            <w:r>
              <w:t xml:space="preserve">Assign P2 licenses to all users; enable PHS before deploying risk-based CA policies</w:t>
            </w:r>
          </w:p>
        </w:tc>
      </w:tr>
      <w:tr>
        <w:tc>
          <w:tcPr/>
          <w:p>
            <w:pPr>
              <w:pStyle w:val="Compact"/>
              <w:jc w:val="left"/>
            </w:pPr>
            <w:r>
              <w:t xml:space="preserve">Entra Connect staging server has different object count than active</w:t>
            </w:r>
          </w:p>
        </w:tc>
        <w:tc>
          <w:tcPr/>
          <w:p>
            <w:pPr>
              <w:pStyle w:val="Compact"/>
              <w:jc w:val="left"/>
            </w:pPr>
            <w:r>
              <w:t xml:space="preserve">Configuration drift between active and staging servers; different filtering rules or sync rule versions</w:t>
            </w:r>
          </w:p>
        </w:tc>
        <w:tc>
          <w:tcPr/>
          <w:p>
            <w:pPr>
              <w:pStyle w:val="Compact"/>
              <w:jc w:val="left"/>
            </w:pPr>
            <w:r>
              <w:t xml:space="preserve">Export configuration from active server; compare with staging server configuration; re-import if necessary: Get-ADSyncServerConfiguration -Path C:\Config\Active</w:t>
            </w:r>
          </w:p>
        </w:tc>
        <w:tc>
          <w:tcPr/>
          <w:p>
            <w:pPr>
              <w:pStyle w:val="Compact"/>
              <w:jc w:val="left"/>
            </w:pPr>
            <w:r>
              <w:t xml:space="preserve">After any configuration change on active, replicate to staging; include config export in Gitea commit</w:t>
            </w:r>
          </w:p>
        </w:tc>
      </w:tr>
    </w:tbl>
    <w:p>
      <w:pPr>
        <w:pStyle w:val="BodyText"/>
      </w:pPr>
      <w:r>
        <w:t xml:space="preserve">Appendix A — Identity Attribute Mapping Reference</w:t>
      </w:r>
    </w:p>
    <w:p>
      <w:pPr>
        <w:pStyle w:val="BodyText"/>
      </w:pPr>
      <w:r>
        <w:t xml:space="preserve">The following table provides the comprehensive mapping of commonly used Active Directory attributes to their Entra ID and Graph API equivalents.</w:t>
      </w:r>
    </w:p>
    <w:tbl>
      <w:tblPr>
        <w:tblStyle w:val="Table"/>
        <w:tblW w:type="pct" w:w="4944"/>
        <w:tblLayout w:type="fixed"/>
        <w:tblLook w:firstRow="1" w:lastRow="0" w:firstColumn="0" w:lastColumn="0" w:noHBand="0" w:noVBand="0" w:val="0020"/>
      </w:tblPr>
      <w:tblGrid>
        <w:gridCol w:w="1681"/>
        <w:gridCol w:w="2345"/>
        <w:gridCol w:w="2345"/>
        <w:gridCol w:w="1460"/>
      </w:tblGrid>
      <w:tr>
        <w:trPr>
          <w:tblHeader w:val="on"/>
        </w:trPr>
        <w:tc>
          <w:tcPr/>
          <w:p>
            <w:pPr>
              <w:pStyle w:val="Compact"/>
              <w:jc w:val="left"/>
            </w:pPr>
            <w:r>
              <w:rPr>
                <w:b/>
                <w:bCs/>
              </w:rPr>
              <w:t xml:space="preserve">AD Attribute</w:t>
            </w:r>
          </w:p>
        </w:tc>
        <w:tc>
          <w:tcPr/>
          <w:p>
            <w:pPr>
              <w:pStyle w:val="Compact"/>
              <w:jc w:val="left"/>
            </w:pPr>
            <w:r>
              <w:rPr>
                <w:b/>
                <w:bCs/>
              </w:rPr>
              <w:t xml:space="preserve">Entra ID Attribute</w:t>
            </w:r>
          </w:p>
        </w:tc>
        <w:tc>
          <w:tcPr/>
          <w:p>
            <w:pPr>
              <w:pStyle w:val="Compact"/>
              <w:jc w:val="left"/>
            </w:pPr>
            <w:r>
              <w:rPr>
                <w:b/>
                <w:bCs/>
              </w:rPr>
              <w:t xml:space="preserve">Graph API Property</w:t>
            </w:r>
          </w:p>
        </w:tc>
        <w:tc>
          <w:tcPr/>
          <w:p>
            <w:pPr>
              <w:pStyle w:val="Compact"/>
              <w:jc w:val="left"/>
            </w:pPr>
            <w:r>
              <w:rPr>
                <w:b/>
                <w:bCs/>
              </w:rPr>
              <w:t xml:space="preserve">Mapping</w:t>
            </w:r>
          </w:p>
        </w:tc>
      </w:tr>
      <w:tr>
        <w:tc>
          <w:tcPr/>
          <w:p>
            <w:pPr>
              <w:pStyle w:val="Compact"/>
              <w:jc w:val="left"/>
            </w:pPr>
            <w:r>
              <w:t xml:space="preserve">sAMAccountName</w:t>
            </w:r>
          </w:p>
        </w:tc>
        <w:tc>
          <w:tcPr/>
          <w:p>
            <w:pPr>
              <w:pStyle w:val="Compact"/>
              <w:jc w:val="left"/>
            </w:pPr>
            <w:r>
              <w:t xml:space="preserve">onPremisesSamAccountName</w:t>
            </w:r>
          </w:p>
        </w:tc>
        <w:tc>
          <w:tcPr/>
          <w:p>
            <w:pPr>
              <w:pStyle w:val="Compact"/>
              <w:jc w:val="left"/>
            </w:pPr>
            <w:r>
              <w:t xml:space="preserve">onPremisesSamAccountName</w:t>
            </w:r>
          </w:p>
        </w:tc>
        <w:tc>
          <w:tcPr/>
          <w:p>
            <w:pPr>
              <w:pStyle w:val="Compact"/>
              <w:jc w:val="left"/>
            </w:pPr>
            <w:r>
              <w:t xml:space="preserve">—</w:t>
            </w:r>
          </w:p>
        </w:tc>
      </w:tr>
      <w:tr>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userPrincipalName</w:t>
            </w:r>
          </w:p>
        </w:tc>
        <w:tc>
          <w:tcPr/>
          <w:p>
            <w:pPr>
              <w:pStyle w:val="Compact"/>
              <w:jc w:val="left"/>
            </w:pPr>
            <w:r>
              <w:t xml:space="preserve">—</w:t>
            </w:r>
          </w:p>
        </w:tc>
      </w:tr>
      <w:tr>
        <w:tc>
          <w:tcPr/>
          <w:p>
            <w:pPr>
              <w:pStyle w:val="Compact"/>
              <w:jc w:val="left"/>
            </w:pPr>
            <w:r>
              <w:t xml:space="preserve">objectGUID</w:t>
            </w:r>
          </w:p>
        </w:tc>
        <w:tc>
          <w:tcPr/>
          <w:p>
            <w:pPr>
              <w:pStyle w:val="Compact"/>
              <w:jc w:val="left"/>
            </w:pPr>
            <w:r>
              <w:t xml:space="preserve">onPremisesImmutableId</w:t>
            </w:r>
          </w:p>
        </w:tc>
        <w:tc>
          <w:tcPr/>
          <w:p>
            <w:pPr>
              <w:pStyle w:val="Compact"/>
              <w:jc w:val="left"/>
            </w:pPr>
            <w:r>
              <w:t xml:space="preserve">onPremisesImmutableId</w:t>
            </w:r>
          </w:p>
        </w:tc>
        <w:tc>
          <w:tcPr/>
          <w:p>
            <w:pPr>
              <w:pStyle w:val="Compact"/>
              <w:jc w:val="left"/>
            </w:pPr>
            <w:r>
              <w:t xml:space="preserve">—</w:t>
            </w:r>
          </w:p>
        </w:tc>
      </w:tr>
      <w:tr>
        <w:tc>
          <w:tcPr/>
          <w:p>
            <w:pPr>
              <w:pStyle w:val="Compact"/>
              <w:jc w:val="left"/>
            </w:pPr>
            <w:r>
              <w:t xml:space="preserve">objectSid</w:t>
            </w:r>
          </w:p>
        </w:tc>
        <w:tc>
          <w:tcPr/>
          <w:p>
            <w:pPr>
              <w:pStyle w:val="Compact"/>
              <w:jc w:val="left"/>
            </w:pPr>
            <w:r>
              <w:t xml:space="preserve">onPremisesSecurityIdentifier</w:t>
            </w:r>
          </w:p>
        </w:tc>
        <w:tc>
          <w:tcPr/>
          <w:p>
            <w:pPr>
              <w:pStyle w:val="Compact"/>
              <w:jc w:val="left"/>
            </w:pPr>
            <w:r>
              <w:t xml:space="preserve">onPremisesSecurityIdentifier</w:t>
            </w:r>
          </w:p>
        </w:tc>
        <w:tc>
          <w:tcPr/>
          <w:p>
            <w:pPr>
              <w:pStyle w:val="Compact"/>
              <w:jc w:val="left"/>
            </w:pPr>
            <w:r>
              <w:t xml:space="preserve">—</w:t>
            </w:r>
          </w:p>
        </w:tc>
      </w:tr>
      <w:tr>
        <w:tc>
          <w:tcPr/>
          <w:p>
            <w:pPr>
              <w:pStyle w:val="Compact"/>
              <w:jc w:val="left"/>
            </w:pPr>
            <w:r>
              <w:t xml:space="preserve">ms-DS-ConsistencyGuid</w:t>
            </w:r>
          </w:p>
        </w:tc>
        <w:tc>
          <w:tcPr/>
          <w:p>
            <w:pPr>
              <w:pStyle w:val="Compact"/>
              <w:jc w:val="left"/>
            </w:pPr>
            <w:r>
              <w:t xml:space="preserve">sourceAnchor (internal)</w:t>
            </w:r>
          </w:p>
        </w:tc>
        <w:tc>
          <w:tcPr/>
          <w:p>
            <w:pPr>
              <w:pStyle w:val="Compact"/>
              <w:jc w:val="left"/>
            </w:pPr>
            <w:r>
              <w:t xml:space="preserve">onPremisesImmutableId</w:t>
            </w:r>
          </w:p>
        </w:tc>
        <w:tc>
          <w:tcPr/>
          <w:p>
            <w:pPr>
              <w:pStyle w:val="Compact"/>
              <w:jc w:val="left"/>
            </w:pPr>
            <w:r>
              <w:t xml:space="preserve">—</w:t>
            </w:r>
          </w:p>
        </w:tc>
      </w:tr>
      <w:tr>
        <w:tc>
          <w:tcPr/>
          <w:p>
            <w:pPr>
              <w:pStyle w:val="Compact"/>
              <w:jc w:val="left"/>
            </w:pPr>
            <w:r>
              <w:t xml:space="preserve">cn (Common Name)</w:t>
            </w:r>
          </w:p>
        </w:tc>
        <w:tc>
          <w:tcPr/>
          <w:p>
            <w:pPr>
              <w:pStyle w:val="Compact"/>
              <w:jc w:val="left"/>
            </w:pPr>
            <w:r>
              <w:t xml:space="preserve">displayName (mapped)</w:t>
            </w:r>
          </w:p>
        </w:tc>
        <w:tc>
          <w:tcPr/>
          <w:p>
            <w:pPr>
              <w:pStyle w:val="Compact"/>
              <w:jc w:val="left"/>
            </w:pPr>
            <w:r>
              <w:t xml:space="preserve">displayName</w:t>
            </w:r>
          </w:p>
        </w:tc>
        <w:tc>
          <w:tcPr/>
          <w:p>
            <w:pPr>
              <w:pStyle w:val="Compact"/>
              <w:jc w:val="left"/>
            </w:pPr>
            <w:r>
              <w:t xml:space="preserve">—</w:t>
            </w:r>
          </w:p>
        </w:tc>
      </w:tr>
      <w:tr>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displayName</w:t>
            </w:r>
          </w:p>
        </w:tc>
        <w:tc>
          <w:tcPr/>
          <w:p>
            <w:pPr>
              <w:pStyle w:val="Compact"/>
              <w:jc w:val="left"/>
            </w:pPr>
            <w:r>
              <w:t xml:space="preserve">—</w:t>
            </w:r>
          </w:p>
        </w:tc>
      </w:tr>
      <w:tr>
        <w:tc>
          <w:tcPr/>
          <w:p>
            <w:pPr>
              <w:pStyle w:val="Compact"/>
              <w:jc w:val="left"/>
            </w:pPr>
            <w:r>
              <w:t xml:space="preserve">givenName</w:t>
            </w:r>
          </w:p>
        </w:tc>
        <w:tc>
          <w:tcPr/>
          <w:p>
            <w:pPr>
              <w:pStyle w:val="Compact"/>
              <w:jc w:val="left"/>
            </w:pPr>
            <w:r>
              <w:t xml:space="preserve">givenName</w:t>
            </w:r>
          </w:p>
        </w:tc>
        <w:tc>
          <w:tcPr/>
          <w:p>
            <w:pPr>
              <w:pStyle w:val="Compact"/>
              <w:jc w:val="left"/>
            </w:pPr>
            <w:r>
              <w:t xml:space="preserve">givenName</w:t>
            </w:r>
          </w:p>
        </w:tc>
        <w:tc>
          <w:tcPr/>
          <w:p>
            <w:pPr>
              <w:pStyle w:val="Compact"/>
              <w:jc w:val="left"/>
            </w:pPr>
            <w:r>
              <w:t xml:space="preserve">—</w:t>
            </w:r>
          </w:p>
        </w:tc>
      </w:tr>
      <w:tr>
        <w:tc>
          <w:tcPr/>
          <w:p>
            <w:pPr>
              <w:pStyle w:val="Compact"/>
              <w:jc w:val="left"/>
            </w:pPr>
            <w:r>
              <w:t xml:space="preserve">sn (surname)</w:t>
            </w:r>
          </w:p>
        </w:tc>
        <w:tc>
          <w:tcPr/>
          <w:p>
            <w:pPr>
              <w:pStyle w:val="Compact"/>
              <w:jc w:val="left"/>
            </w:pPr>
            <w:r>
              <w:t xml:space="preserve">surname</w:t>
            </w:r>
          </w:p>
        </w:tc>
        <w:tc>
          <w:tcPr/>
          <w:p>
            <w:pPr>
              <w:pStyle w:val="Compact"/>
              <w:jc w:val="left"/>
            </w:pPr>
            <w:r>
              <w:t xml:space="preserve">surname</w:t>
            </w:r>
          </w:p>
        </w:tc>
        <w:tc>
          <w:tcPr/>
          <w:p>
            <w:pPr>
              <w:pStyle w:val="Compact"/>
              <w:jc w:val="left"/>
            </w:pPr>
            <w:r>
              <w:t xml:space="preserve">—</w:t>
            </w:r>
          </w:p>
        </w:tc>
      </w:tr>
      <w:tr>
        <w:tc>
          <w:tcPr/>
          <w:p>
            <w:pPr>
              <w:pStyle w:val="Compact"/>
              <w:jc w:val="left"/>
            </w:pPr>
            <w:r>
              <w:t xml:space="preserve">mail</w:t>
            </w:r>
          </w:p>
        </w:tc>
        <w:tc>
          <w:tcPr/>
          <w:p>
            <w:pPr>
              <w:pStyle w:val="Compact"/>
              <w:jc w:val="left"/>
            </w:pPr>
            <w:r>
              <w:t xml:space="preserve">mail</w:t>
            </w:r>
          </w:p>
        </w:tc>
        <w:tc>
          <w:tcPr/>
          <w:p>
            <w:pPr>
              <w:pStyle w:val="Compact"/>
              <w:jc w:val="left"/>
            </w:pPr>
            <w:r>
              <w:t xml:space="preserve">mail</w:t>
            </w:r>
          </w:p>
        </w:tc>
        <w:tc>
          <w:tcPr/>
          <w:p>
            <w:pPr>
              <w:pStyle w:val="Compact"/>
              <w:jc w:val="left"/>
            </w:pPr>
            <w:r>
              <w:t xml:space="preserve">—</w:t>
            </w:r>
          </w:p>
        </w:tc>
      </w:tr>
      <w:tr>
        <w:tc>
          <w:tcPr/>
          <w:p>
            <w:pPr>
              <w:pStyle w:val="Compact"/>
              <w:jc w:val="left"/>
            </w:pPr>
            <w:r>
              <w:t xml:space="preserve">mailNickname</w:t>
            </w:r>
          </w:p>
        </w:tc>
        <w:tc>
          <w:tcPr/>
          <w:p>
            <w:pPr>
              <w:pStyle w:val="Compact"/>
              <w:jc w:val="left"/>
            </w:pPr>
            <w:r>
              <w:t xml:space="preserve">mailNickname</w:t>
            </w:r>
          </w:p>
        </w:tc>
        <w:tc>
          <w:tcPr/>
          <w:p>
            <w:pPr>
              <w:pStyle w:val="Compact"/>
              <w:jc w:val="left"/>
            </w:pPr>
            <w:r>
              <w:t xml:space="preserve">mailNickname</w:t>
            </w:r>
          </w:p>
        </w:tc>
        <w:tc>
          <w:tcPr/>
          <w:p>
            <w:pPr>
              <w:pStyle w:val="Compact"/>
              <w:jc w:val="left"/>
            </w:pPr>
            <w:r>
              <w:t xml:space="preserve">—</w:t>
            </w:r>
          </w:p>
        </w:tc>
      </w:tr>
      <w:tr>
        <w:tc>
          <w:tcPr/>
          <w:p>
            <w:pPr>
              <w:pStyle w:val="Compact"/>
              <w:jc w:val="left"/>
            </w:pPr>
            <w:r>
              <w:t xml:space="preserve">proxyAddresses</w:t>
            </w:r>
          </w:p>
        </w:tc>
        <w:tc>
          <w:tcPr/>
          <w:p>
            <w:pPr>
              <w:pStyle w:val="Compact"/>
              <w:jc w:val="left"/>
            </w:pPr>
            <w:r>
              <w:t xml:space="preserve">proxyAddresses</w:t>
            </w:r>
          </w:p>
        </w:tc>
        <w:tc>
          <w:tcPr/>
          <w:p>
            <w:pPr>
              <w:pStyle w:val="Compact"/>
              <w:jc w:val="left"/>
            </w:pPr>
            <w:r>
              <w:t xml:space="preserve">proxyAddresses</w:t>
            </w:r>
          </w:p>
        </w:tc>
        <w:tc>
          <w:tcPr/>
          <w:p>
            <w:pPr>
              <w:pStyle w:val="Compact"/>
              <w:jc w:val="left"/>
            </w:pPr>
            <w:r>
              <w:t xml:space="preserve">—</w:t>
            </w:r>
          </w:p>
        </w:tc>
      </w:tr>
      <w:tr>
        <w:tc>
          <w:tcPr/>
          <w:p>
            <w:pPr>
              <w:pStyle w:val="Compact"/>
              <w:jc w:val="left"/>
            </w:pPr>
            <w:r>
              <w:t xml:space="preserve">userAccountControl</w:t>
            </w:r>
          </w:p>
        </w:tc>
        <w:tc>
          <w:tcPr/>
          <w:p>
            <w:pPr>
              <w:pStyle w:val="Compact"/>
              <w:jc w:val="left"/>
            </w:pPr>
            <w:r>
              <w:t xml:space="preserve">accountEnabled</w:t>
            </w:r>
          </w:p>
        </w:tc>
        <w:tc>
          <w:tcPr/>
          <w:p>
            <w:pPr>
              <w:pStyle w:val="Compact"/>
              <w:jc w:val="left"/>
            </w:pPr>
            <w:r>
              <w:t xml:space="preserve">accountEnabled</w:t>
            </w:r>
          </w:p>
        </w:tc>
        <w:tc>
          <w:tcPr/>
          <w:p>
            <w:pPr>
              <w:pStyle w:val="Compact"/>
              <w:jc w:val="left"/>
            </w:pPr>
            <w:r>
              <w:t xml:space="preserve">—</w:t>
            </w:r>
          </w:p>
        </w:tc>
      </w:tr>
      <w:tr>
        <w:tc>
          <w:tcPr/>
          <w:p>
            <w:pPr>
              <w:pStyle w:val="Compact"/>
              <w:jc w:val="left"/>
            </w:pPr>
            <w:r>
              <w:t xml:space="preserve">pwdLastSet</w:t>
            </w:r>
          </w:p>
        </w:tc>
        <w:tc>
          <w:tcPr/>
          <w:p>
            <w:pPr>
              <w:pStyle w:val="Compact"/>
              <w:jc w:val="left"/>
            </w:pPr>
            <w:r>
              <w:t xml:space="preserve">lastPasswordChangeDateTime</w:t>
            </w:r>
          </w:p>
        </w:tc>
        <w:tc>
          <w:tcPr/>
          <w:p>
            <w:pPr>
              <w:pStyle w:val="Compact"/>
              <w:jc w:val="left"/>
            </w:pPr>
            <w:r>
              <w:t xml:space="preserve">lastPasswordChangeDateTime</w:t>
            </w:r>
          </w:p>
        </w:tc>
        <w:tc>
          <w:tcPr/>
          <w:p>
            <w:pPr>
              <w:pStyle w:val="Compact"/>
              <w:jc w:val="left"/>
            </w:pPr>
            <w:r>
              <w:t xml:space="preserve">—</w:t>
            </w:r>
          </w:p>
        </w:tc>
      </w:tr>
      <w:tr>
        <w:tc>
          <w:tcPr/>
          <w:p>
            <w:pPr>
              <w:pStyle w:val="Compact"/>
              <w:jc w:val="left"/>
            </w:pPr>
            <w:r>
              <w:t xml:space="preserve">whenCreated</w:t>
            </w:r>
          </w:p>
        </w:tc>
        <w:tc>
          <w:tcPr/>
          <w:p>
            <w:pPr>
              <w:pStyle w:val="Compact"/>
              <w:jc w:val="left"/>
            </w:pPr>
            <w:r>
              <w:t xml:space="preserve">createdDateTime</w:t>
            </w:r>
          </w:p>
        </w:tc>
        <w:tc>
          <w:tcPr/>
          <w:p>
            <w:pPr>
              <w:pStyle w:val="Compact"/>
              <w:jc w:val="left"/>
            </w:pPr>
            <w:r>
              <w:t xml:space="preserve">createdDateTime</w:t>
            </w:r>
          </w:p>
        </w:tc>
        <w:tc>
          <w:tcPr/>
          <w:p>
            <w:pPr>
              <w:pStyle w:val="Compact"/>
              <w:jc w:val="left"/>
            </w:pPr>
            <w:r>
              <w:t xml:space="preserve">—</w:t>
            </w:r>
          </w:p>
        </w:tc>
      </w:tr>
      <w:tr>
        <w:tc>
          <w:tcPr/>
          <w:p>
            <w:pPr>
              <w:pStyle w:val="Compact"/>
              <w:jc w:val="left"/>
            </w:pPr>
            <w:r>
              <w:t xml:space="preserve">whenChanged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lastLogonTimestamp</w:t>
            </w:r>
          </w:p>
        </w:tc>
        <w:tc>
          <w:tcPr/>
          <w:p>
            <w:pPr>
              <w:pStyle w:val="Compact"/>
              <w:jc w:val="left"/>
            </w:pPr>
            <w:r>
              <w:t xml:space="preserve">signInActivity.lastSignInDateTime</w:t>
            </w:r>
          </w:p>
        </w:tc>
        <w:tc>
          <w:tcPr/>
          <w:p>
            <w:pPr>
              <w:pStyle w:val="Compact"/>
              <w:jc w:val="left"/>
            </w:pPr>
            <w:r>
              <w:t xml:space="preserve">signInActivity.lastSignInDateTime</w:t>
            </w:r>
          </w:p>
        </w:tc>
        <w:tc>
          <w:tcPr/>
          <w:p>
            <w:pPr>
              <w:pStyle w:val="Compact"/>
              <w:jc w:val="left"/>
            </w:pPr>
            <w:r>
              <w:t xml:space="preserve">—</w:t>
            </w:r>
          </w:p>
        </w:tc>
      </w:tr>
      <w:tr>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department</w:t>
            </w:r>
          </w:p>
        </w:tc>
        <w:tc>
          <w:tcPr/>
          <w:p>
            <w:pPr>
              <w:pStyle w:val="Compact"/>
              <w:jc w:val="left"/>
            </w:pPr>
            <w:r>
              <w:t xml:space="preserve">—</w:t>
            </w:r>
          </w:p>
        </w:tc>
      </w:tr>
      <w:tr>
        <w:tc>
          <w:tcPr/>
          <w:p>
            <w:pPr>
              <w:pStyle w:val="Compact"/>
              <w:jc w:val="left"/>
            </w:pPr>
            <w:r>
              <w:t xml:space="preserve">title</w:t>
            </w:r>
          </w:p>
        </w:tc>
        <w:tc>
          <w:tcPr/>
          <w:p>
            <w:pPr>
              <w:pStyle w:val="Compact"/>
              <w:jc w:val="left"/>
            </w:pPr>
            <w:r>
              <w:t xml:space="preserve">jobTitle</w:t>
            </w:r>
          </w:p>
        </w:tc>
        <w:tc>
          <w:tcPr/>
          <w:p>
            <w:pPr>
              <w:pStyle w:val="Compact"/>
              <w:jc w:val="left"/>
            </w:pPr>
            <w:r>
              <w:t xml:space="preserve">jobTitle</w:t>
            </w:r>
          </w:p>
        </w:tc>
        <w:tc>
          <w:tcPr/>
          <w:p>
            <w:pPr>
              <w:pStyle w:val="Compact"/>
              <w:jc w:val="left"/>
            </w:pPr>
            <w:r>
              <w:t xml:space="preserve">—</w:t>
            </w:r>
          </w:p>
        </w:tc>
      </w:tr>
      <w:tr>
        <w:tc>
          <w:tcPr/>
          <w:p>
            <w:pPr>
              <w:pStyle w:val="Compact"/>
              <w:jc w:val="left"/>
            </w:pPr>
            <w:r>
              <w:t xml:space="preserve">company</w:t>
            </w:r>
          </w:p>
        </w:tc>
        <w:tc>
          <w:tcPr/>
          <w:p>
            <w:pPr>
              <w:pStyle w:val="Compact"/>
              <w:jc w:val="left"/>
            </w:pPr>
            <w:r>
              <w:t xml:space="preserve">companyName</w:t>
            </w:r>
          </w:p>
        </w:tc>
        <w:tc>
          <w:tcPr/>
          <w:p>
            <w:pPr>
              <w:pStyle w:val="Compact"/>
              <w:jc w:val="left"/>
            </w:pPr>
            <w:r>
              <w:t xml:space="preserve">companyName</w:t>
            </w:r>
          </w:p>
        </w:tc>
        <w:tc>
          <w:tcPr/>
          <w:p>
            <w:pPr>
              <w:pStyle w:val="Compact"/>
              <w:jc w:val="left"/>
            </w:pPr>
            <w:r>
              <w:t xml:space="preserve">—</w:t>
            </w:r>
          </w:p>
        </w:tc>
      </w:tr>
      <w:tr>
        <w:tc>
          <w:tcPr/>
          <w:p>
            <w:pPr>
              <w:pStyle w:val="Compact"/>
              <w:jc w:val="left"/>
            </w:pPr>
            <w:r>
              <w:t xml:space="preserve">manager</w:t>
            </w:r>
          </w:p>
        </w:tc>
        <w:tc>
          <w:tcPr/>
          <w:p>
            <w:pPr>
              <w:pStyle w:val="Compact"/>
              <w:jc w:val="left"/>
            </w:pPr>
            <w:r>
              <w:t xml:space="preserve">manager</w:t>
            </w:r>
          </w:p>
        </w:tc>
        <w:tc>
          <w:tcPr/>
          <w:p>
            <w:pPr>
              <w:pStyle w:val="Compact"/>
              <w:jc w:val="left"/>
            </w:pPr>
            <w:r>
              <w:t xml:space="preserve">manager (nav property)</w:t>
            </w:r>
          </w:p>
        </w:tc>
        <w:tc>
          <w:tcPr/>
          <w:p>
            <w:pPr>
              <w:pStyle w:val="Compact"/>
              <w:jc w:val="left"/>
            </w:pPr>
            <w:r>
              <w:t xml:space="preserve">—</w:t>
            </w:r>
          </w:p>
        </w:tc>
      </w:tr>
      <w:tr>
        <w:tc>
          <w:tcPr/>
          <w:p>
            <w:pPr>
              <w:pStyle w:val="Compact"/>
              <w:jc w:val="left"/>
            </w:pPr>
            <w:r>
              <w:t xml:space="preserve">directReports</w:t>
            </w:r>
          </w:p>
        </w:tc>
        <w:tc>
          <w:tcPr/>
          <w:p>
            <w:pPr>
              <w:pStyle w:val="Compact"/>
              <w:jc w:val="left"/>
            </w:pPr>
            <w:r>
              <w:t xml:space="preserve">directReports</w:t>
            </w:r>
          </w:p>
        </w:tc>
        <w:tc>
          <w:tcPr/>
          <w:p>
            <w:pPr>
              <w:pStyle w:val="Compact"/>
              <w:jc w:val="left"/>
            </w:pPr>
            <w:r>
              <w:t xml:space="preserve">directReports (nav property)</w:t>
            </w:r>
          </w:p>
        </w:tc>
        <w:tc>
          <w:tcPr/>
          <w:p>
            <w:pPr>
              <w:pStyle w:val="Compact"/>
              <w:jc w:val="left"/>
            </w:pPr>
            <w:r>
              <w:t xml:space="preserve">—</w:t>
            </w:r>
          </w:p>
        </w:tc>
      </w:tr>
      <w:tr>
        <w:tc>
          <w:tcPr/>
          <w:p>
            <w:pPr>
              <w:pStyle w:val="Compact"/>
              <w:jc w:val="left"/>
            </w:pPr>
            <w:r>
              <w:t xml:space="preserve">telephoneNumber</w:t>
            </w:r>
          </w:p>
        </w:tc>
        <w:tc>
          <w:tcPr/>
          <w:p>
            <w:pPr>
              <w:pStyle w:val="Compact"/>
              <w:jc w:val="left"/>
            </w:pPr>
            <w:r>
              <w:t xml:space="preserve">businessPhones</w:t>
            </w:r>
          </w:p>
        </w:tc>
        <w:tc>
          <w:tcPr/>
          <w:p>
            <w:pPr>
              <w:pStyle w:val="Compact"/>
              <w:jc w:val="left"/>
            </w:pPr>
            <w:r>
              <w:t xml:space="preserve">businessPhones</w:t>
            </w:r>
          </w:p>
        </w:tc>
        <w:tc>
          <w:tcPr/>
          <w:p>
            <w:pPr>
              <w:pStyle w:val="Compact"/>
              <w:jc w:val="left"/>
            </w:pPr>
            <w:r>
              <w:t xml:space="preserve">—</w:t>
            </w:r>
          </w:p>
        </w:tc>
      </w:tr>
      <w:tr>
        <w:tc>
          <w:tcPr/>
          <w:p>
            <w:pPr>
              <w:pStyle w:val="Compact"/>
              <w:jc w:val="left"/>
            </w:pPr>
            <w:r>
              <w:t xml:space="preserve">mobile</w:t>
            </w:r>
          </w:p>
        </w:tc>
        <w:tc>
          <w:tcPr/>
          <w:p>
            <w:pPr>
              <w:pStyle w:val="Compact"/>
              <w:jc w:val="left"/>
            </w:pPr>
            <w:r>
              <w:t xml:space="preserve">mobilePhone</w:t>
            </w:r>
          </w:p>
        </w:tc>
        <w:tc>
          <w:tcPr/>
          <w:p>
            <w:pPr>
              <w:pStyle w:val="Compact"/>
              <w:jc w:val="left"/>
            </w:pPr>
            <w:r>
              <w:t xml:space="preserve">mobilePhone</w:t>
            </w:r>
          </w:p>
        </w:tc>
        <w:tc>
          <w:tcPr/>
          <w:p>
            <w:pPr>
              <w:pStyle w:val="Compact"/>
              <w:jc w:val="left"/>
            </w:pPr>
            <w:r>
              <w:t xml:space="preserve">—</w:t>
            </w:r>
          </w:p>
        </w:tc>
      </w:tr>
      <w:tr>
        <w:tc>
          <w:tcPr/>
          <w:p>
            <w:pPr>
              <w:pStyle w:val="Compact"/>
              <w:jc w:val="left"/>
            </w:pPr>
            <w:r>
              <w:t xml:space="preserve">facsimileTelephoneNumber</w:t>
            </w:r>
          </w:p>
        </w:tc>
        <w:tc>
          <w:tcPr/>
          <w:p>
            <w:pPr>
              <w:pStyle w:val="Compact"/>
              <w:jc w:val="left"/>
            </w:pPr>
            <w:r>
              <w:t xml:space="preserve">faxNumber</w:t>
            </w:r>
          </w:p>
        </w:tc>
        <w:tc>
          <w:tcPr/>
          <w:p>
            <w:pPr>
              <w:pStyle w:val="Compact"/>
              <w:jc w:val="left"/>
            </w:pPr>
            <w:r>
              <w:t xml:space="preserve">faxNumber</w:t>
            </w:r>
          </w:p>
        </w:tc>
        <w:tc>
          <w:tcPr/>
          <w:p>
            <w:pPr>
              <w:pStyle w:val="Compact"/>
              <w:jc w:val="left"/>
            </w:pPr>
            <w:r>
              <w:t xml:space="preserve">—</w:t>
            </w:r>
          </w:p>
        </w:tc>
      </w:tr>
      <w:tr>
        <w:tc>
          <w:tcPr/>
          <w:p>
            <w:pPr>
              <w:pStyle w:val="Compact"/>
              <w:jc w:val="left"/>
            </w:pPr>
            <w:r>
              <w:t xml:space="preserve">streetAddress</w:t>
            </w:r>
          </w:p>
        </w:tc>
        <w:tc>
          <w:tcPr/>
          <w:p>
            <w:pPr>
              <w:pStyle w:val="Compact"/>
              <w:jc w:val="left"/>
            </w:pPr>
            <w:r>
              <w:t xml:space="preserve">streetAddress</w:t>
            </w:r>
          </w:p>
        </w:tc>
        <w:tc>
          <w:tcPr/>
          <w:p>
            <w:pPr>
              <w:pStyle w:val="Compact"/>
              <w:jc w:val="left"/>
            </w:pPr>
            <w:r>
              <w:t xml:space="preserve">streetAddress</w:t>
            </w:r>
          </w:p>
        </w:tc>
        <w:tc>
          <w:tcPr/>
          <w:p>
            <w:pPr>
              <w:pStyle w:val="Compact"/>
              <w:jc w:val="left"/>
            </w:pPr>
            <w:r>
              <w:t xml:space="preserve">—</w:t>
            </w:r>
          </w:p>
        </w:tc>
      </w:tr>
      <w:tr>
        <w:tc>
          <w:tcPr/>
          <w:p>
            <w:pPr>
              <w:pStyle w:val="Compact"/>
              <w:jc w:val="left"/>
            </w:pPr>
            <w:r>
              <w:t xml:space="preserve">l (city)</w:t>
            </w:r>
          </w:p>
        </w:tc>
        <w:tc>
          <w:tcPr/>
          <w:p>
            <w:pPr>
              <w:pStyle w:val="Compact"/>
              <w:jc w:val="left"/>
            </w:pPr>
            <w:r>
              <w:t xml:space="preserve">city</w:t>
            </w:r>
          </w:p>
        </w:tc>
        <w:tc>
          <w:tcPr/>
          <w:p>
            <w:pPr>
              <w:pStyle w:val="Compact"/>
              <w:jc w:val="left"/>
            </w:pPr>
            <w:r>
              <w:t xml:space="preserve">city</w:t>
            </w:r>
          </w:p>
        </w:tc>
        <w:tc>
          <w:tcPr/>
          <w:p>
            <w:pPr>
              <w:pStyle w:val="Compact"/>
              <w:jc w:val="left"/>
            </w:pPr>
            <w:r>
              <w:t xml:space="preserve">—</w:t>
            </w:r>
          </w:p>
        </w:tc>
      </w:tr>
      <w:tr>
        <w:tc>
          <w:tcPr/>
          <w:p>
            <w:pPr>
              <w:pStyle w:val="Compact"/>
              <w:jc w:val="left"/>
            </w:pPr>
            <w:r>
              <w:t xml:space="preserve">st (state)</w:t>
            </w:r>
          </w:p>
        </w:tc>
        <w:tc>
          <w:tcPr/>
          <w:p>
            <w:pPr>
              <w:pStyle w:val="Compact"/>
              <w:jc w:val="left"/>
            </w:pPr>
            <w:r>
              <w:t xml:space="preserve">state</w:t>
            </w:r>
          </w:p>
        </w:tc>
        <w:tc>
          <w:tcPr/>
          <w:p>
            <w:pPr>
              <w:pStyle w:val="Compact"/>
              <w:jc w:val="left"/>
            </w:pPr>
            <w:r>
              <w:t xml:space="preserve">state</w:t>
            </w:r>
          </w:p>
        </w:tc>
        <w:tc>
          <w:tcPr/>
          <w:p>
            <w:pPr>
              <w:pStyle w:val="Compact"/>
              <w:jc w:val="left"/>
            </w:pPr>
            <w:r>
              <w:t xml:space="preserve">—</w:t>
            </w:r>
          </w:p>
        </w:tc>
      </w:tr>
      <w:tr>
        <w:tc>
          <w:tcPr/>
          <w:p>
            <w:pPr>
              <w:pStyle w:val="Compact"/>
              <w:jc w:val="left"/>
            </w:pPr>
            <w:r>
              <w:t xml:space="preserve">postalCode</w:t>
            </w:r>
          </w:p>
        </w:tc>
        <w:tc>
          <w:tcPr/>
          <w:p>
            <w:pPr>
              <w:pStyle w:val="Compact"/>
              <w:jc w:val="left"/>
            </w:pPr>
            <w:r>
              <w:t xml:space="preserve">postalCode</w:t>
            </w:r>
          </w:p>
        </w:tc>
        <w:tc>
          <w:tcPr/>
          <w:p>
            <w:pPr>
              <w:pStyle w:val="Compact"/>
              <w:jc w:val="left"/>
            </w:pPr>
            <w:r>
              <w:t xml:space="preserve">postalCode</w:t>
            </w:r>
          </w:p>
        </w:tc>
        <w:tc>
          <w:tcPr/>
          <w:p>
            <w:pPr>
              <w:pStyle w:val="Compact"/>
              <w:jc w:val="left"/>
            </w:pPr>
            <w:r>
              <w:t xml:space="preserve">—</w:t>
            </w:r>
          </w:p>
        </w:tc>
      </w:tr>
      <w:tr>
        <w:tc>
          <w:tcPr/>
          <w:p>
            <w:pPr>
              <w:pStyle w:val="Compact"/>
              <w:jc w:val="left"/>
            </w:pPr>
            <w:r>
              <w:t xml:space="preserve">c (country)</w:t>
            </w:r>
          </w:p>
        </w:tc>
        <w:tc>
          <w:tcPr/>
          <w:p>
            <w:pPr>
              <w:pStyle w:val="Compact"/>
              <w:jc w:val="left"/>
            </w:pPr>
            <w:r>
              <w:t xml:space="preserve">country</w:t>
            </w:r>
          </w:p>
        </w:tc>
        <w:tc>
          <w:tcPr/>
          <w:p>
            <w:pPr>
              <w:pStyle w:val="Compact"/>
              <w:jc w:val="left"/>
            </w:pPr>
            <w:r>
              <w:t xml:space="preserve">country</w:t>
            </w:r>
          </w:p>
        </w:tc>
        <w:tc>
          <w:tcPr/>
          <w:p>
            <w:pPr>
              <w:pStyle w:val="Compact"/>
              <w:jc w:val="left"/>
            </w:pPr>
            <w:r>
              <w:t xml:space="preserve">—</w:t>
            </w:r>
          </w:p>
        </w:tc>
      </w:tr>
      <w:tr>
        <w:tc>
          <w:tcPr/>
          <w:p>
            <w:pPr>
              <w:pStyle w:val="Compact"/>
              <w:jc w:val="left"/>
            </w:pPr>
            <w:r>
              <w:t xml:space="preserve">co (country name)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countryCode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physicalDeliveryOfficeName</w:t>
            </w:r>
          </w:p>
        </w:tc>
        <w:tc>
          <w:tcPr/>
          <w:p>
            <w:pPr>
              <w:pStyle w:val="Compact"/>
              <w:jc w:val="left"/>
            </w:pPr>
            <w:r>
              <w:t xml:space="preserve">officeLocation</w:t>
            </w:r>
          </w:p>
        </w:tc>
        <w:tc>
          <w:tcPr/>
          <w:p>
            <w:pPr>
              <w:pStyle w:val="Compact"/>
              <w:jc w:val="left"/>
            </w:pPr>
            <w:r>
              <w:t xml:space="preserve">officeLocation</w:t>
            </w:r>
          </w:p>
        </w:tc>
        <w:tc>
          <w:tcPr/>
          <w:p>
            <w:pPr>
              <w:pStyle w:val="Compact"/>
              <w:jc w:val="left"/>
            </w:pPr>
            <w:r>
              <w:t xml:space="preserve">—</w:t>
            </w:r>
          </w:p>
        </w:tc>
      </w:tr>
      <w:tr>
        <w:tc>
          <w:tcPr/>
          <w:p>
            <w:pPr>
              <w:pStyle w:val="Compact"/>
              <w:jc w:val="left"/>
            </w:pPr>
            <w:r>
              <w:t xml:space="preserve">employeeID</w:t>
            </w:r>
          </w:p>
        </w:tc>
        <w:tc>
          <w:tcPr/>
          <w:p>
            <w:pPr>
              <w:pStyle w:val="Compact"/>
              <w:jc w:val="left"/>
            </w:pPr>
            <w:r>
              <w:t xml:space="preserve">employeeId</w:t>
            </w:r>
          </w:p>
        </w:tc>
        <w:tc>
          <w:tcPr/>
          <w:p>
            <w:pPr>
              <w:pStyle w:val="Compact"/>
              <w:jc w:val="left"/>
            </w:pPr>
            <w:r>
              <w:t xml:space="preserve">employeeId</w:t>
            </w:r>
          </w:p>
        </w:tc>
        <w:tc>
          <w:tcPr/>
          <w:p>
            <w:pPr>
              <w:pStyle w:val="Compact"/>
              <w:jc w:val="left"/>
            </w:pPr>
            <w:r>
              <w:t xml:space="preserve">—</w:t>
            </w:r>
          </w:p>
        </w:tc>
      </w:tr>
      <w:tr>
        <w:tc>
          <w:tcPr/>
          <w:p>
            <w:pPr>
              <w:pStyle w:val="Compact"/>
              <w:jc w:val="left"/>
            </w:pPr>
            <w:r>
              <w:t xml:space="preserve">employeeType</w:t>
            </w:r>
          </w:p>
        </w:tc>
        <w:tc>
          <w:tcPr/>
          <w:p>
            <w:pPr>
              <w:pStyle w:val="Compact"/>
              <w:jc w:val="left"/>
            </w:pPr>
            <w:r>
              <w:t xml:space="preserve">employeeType</w:t>
            </w:r>
          </w:p>
        </w:tc>
        <w:tc>
          <w:tcPr/>
          <w:p>
            <w:pPr>
              <w:pStyle w:val="Compact"/>
              <w:jc w:val="left"/>
            </w:pPr>
            <w:r>
              <w:t xml:space="preserve">employeeType</w:t>
            </w:r>
          </w:p>
        </w:tc>
        <w:tc>
          <w:tcPr/>
          <w:p>
            <w:pPr>
              <w:pStyle w:val="Compact"/>
              <w:jc w:val="left"/>
            </w:pPr>
            <w:r>
              <w:t xml:space="preserve">—</w:t>
            </w:r>
          </w:p>
        </w:tc>
      </w:tr>
      <w:tr>
        <w:tc>
          <w:tcPr/>
          <w:p>
            <w:pPr>
              <w:pStyle w:val="Compact"/>
              <w:jc w:val="left"/>
            </w:pPr>
            <w:r>
              <w:t xml:space="preserve">memberOf</w:t>
            </w:r>
          </w:p>
        </w:tc>
        <w:tc>
          <w:tcPr/>
          <w:p>
            <w:pPr>
              <w:pStyle w:val="Compact"/>
              <w:jc w:val="left"/>
            </w:pPr>
            <w:r>
              <w:t xml:space="preserve">memberOf</w:t>
            </w:r>
          </w:p>
        </w:tc>
        <w:tc>
          <w:tcPr/>
          <w:p>
            <w:pPr>
              <w:pStyle w:val="Compact"/>
              <w:jc w:val="left"/>
            </w:pPr>
            <w:r>
              <w:t xml:space="preserve">memberOf (nav property)</w:t>
            </w:r>
          </w:p>
        </w:tc>
        <w:tc>
          <w:tcPr/>
          <w:p>
            <w:pPr>
              <w:pStyle w:val="Compact"/>
              <w:jc w:val="left"/>
            </w:pPr>
            <w:r>
              <w:t xml:space="preserve">—</w:t>
            </w:r>
          </w:p>
        </w:tc>
      </w:tr>
      <w:tr>
        <w:tc>
          <w:tcPr/>
          <w:p>
            <w:pPr>
              <w:pStyle w:val="Compact"/>
              <w:jc w:val="left"/>
            </w:pPr>
            <w:r>
              <w:t xml:space="preserve">member</w:t>
            </w:r>
          </w:p>
        </w:tc>
        <w:tc>
          <w:tcPr/>
          <w:p>
            <w:pPr>
              <w:pStyle w:val="Compact"/>
              <w:jc w:val="left"/>
            </w:pPr>
            <w:r>
              <w:t xml:space="preserve">members</w:t>
            </w:r>
          </w:p>
        </w:tc>
        <w:tc>
          <w:tcPr/>
          <w:p>
            <w:pPr>
              <w:pStyle w:val="Compact"/>
              <w:jc w:val="left"/>
            </w:pPr>
            <w:r>
              <w:t xml:space="preserve">members (nav property)</w:t>
            </w:r>
          </w:p>
        </w:tc>
        <w:tc>
          <w:tcPr/>
          <w:p>
            <w:pPr>
              <w:pStyle w:val="Compact"/>
              <w:jc w:val="left"/>
            </w:pPr>
            <w:r>
              <w:t xml:space="preserve">—</w:t>
            </w:r>
          </w:p>
        </w:tc>
      </w:tr>
      <w:tr>
        <w:tc>
          <w:tcPr/>
          <w:p>
            <w:pPr>
              <w:pStyle w:val="Compact"/>
              <w:jc w:val="left"/>
            </w:pPr>
            <w:r>
              <w:t xml:space="preserve">description</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info (notes)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distinguishedName</w:t>
            </w:r>
          </w:p>
        </w:tc>
        <w:tc>
          <w:tcPr/>
          <w:p>
            <w:pPr>
              <w:pStyle w:val="Compact"/>
              <w:jc w:val="left"/>
            </w:pPr>
            <w:r>
              <w:t xml:space="preserve">onPremisesDistinguishedName</w:t>
            </w:r>
          </w:p>
        </w:tc>
        <w:tc>
          <w:tcPr/>
          <w:p>
            <w:pPr>
              <w:pStyle w:val="Compact"/>
              <w:jc w:val="left"/>
            </w:pPr>
            <w:r>
              <w:t xml:space="preserve">onPremisesDistinguishedName</w:t>
            </w:r>
          </w:p>
        </w:tc>
        <w:tc>
          <w:tcPr/>
          <w:p>
            <w:pPr>
              <w:pStyle w:val="Compact"/>
              <w:jc w:val="left"/>
            </w:pPr>
            <w:r>
              <w:t xml:space="preserve">—</w:t>
            </w:r>
          </w:p>
        </w:tc>
      </w:tr>
      <w:tr>
        <w:tc>
          <w:tcPr/>
          <w:p>
            <w:pPr>
              <w:pStyle w:val="Compact"/>
              <w:jc w:val="left"/>
            </w:pPr>
            <w:r>
              <w:t xml:space="preserve">servicePrincipalName</w:t>
            </w:r>
          </w:p>
        </w:tc>
        <w:tc>
          <w:tcPr/>
          <w:p>
            <w:pPr>
              <w:pStyle w:val="Compact"/>
              <w:jc w:val="left"/>
            </w:pPr>
            <w:r>
              <w:t xml:space="preserve">— (App Registration SPNs differ)</w:t>
            </w:r>
          </w:p>
        </w:tc>
        <w:tc>
          <w:tcPr/>
          <w:p>
            <w:pPr>
              <w:pStyle w:val="Compact"/>
              <w:jc w:val="left"/>
            </w:pPr>
            <w:r>
              <w:t xml:space="preserve">servicePrincipalNames (on SP object)</w:t>
            </w:r>
          </w:p>
        </w:tc>
        <w:tc>
          <w:tcPr/>
          <w:p>
            <w:pPr>
              <w:pStyle w:val="Compact"/>
              <w:jc w:val="left"/>
            </w:pPr>
            <w:r>
              <w:t xml:space="preserve">—</w:t>
            </w:r>
          </w:p>
        </w:tc>
      </w:tr>
      <w:tr>
        <w:tc>
          <w:tcPr/>
          <w:p>
            <w:pPr>
              <w:pStyle w:val="Compact"/>
              <w:jc w:val="left"/>
            </w:pPr>
            <w:r>
              <w:t xml:space="preserve">thumbnailPhoto</w:t>
            </w:r>
          </w:p>
        </w:tc>
        <w:tc>
          <w:tcPr/>
          <w:p>
            <w:pPr>
              <w:pStyle w:val="Compact"/>
              <w:jc w:val="left"/>
            </w:pPr>
            <w:r>
              <w:t xml:space="preserve">photo</w:t>
            </w:r>
          </w:p>
        </w:tc>
        <w:tc>
          <w:tcPr/>
          <w:p>
            <w:pPr>
              <w:pStyle w:val="Compact"/>
              <w:jc w:val="left"/>
            </w:pPr>
            <w:r>
              <w:t xml:space="preserve">photo (stream)</w:t>
            </w:r>
          </w:p>
        </w:tc>
        <w:tc>
          <w:tcPr/>
          <w:p>
            <w:pPr>
              <w:pStyle w:val="Compact"/>
              <w:jc w:val="left"/>
            </w:pPr>
            <w:r>
              <w:t xml:space="preserve">—</w:t>
            </w:r>
          </w:p>
        </w:tc>
      </w:tr>
      <w:tr>
        <w:tc>
          <w:tcPr/>
          <w:p>
            <w:pPr>
              <w:pStyle w:val="Compact"/>
              <w:jc w:val="left"/>
            </w:pPr>
            <w:r>
              <w:t xml:space="preserve">userCertificate</w:t>
            </w:r>
          </w:p>
        </w:tc>
        <w:tc>
          <w:tcPr/>
          <w:p>
            <w:pPr>
              <w:pStyle w:val="Compact"/>
              <w:jc w:val="left"/>
            </w:pPr>
            <w:r>
              <w:t xml:space="preserve">— (CBA uses separate config)</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msDS-UserPasswordExpiryTimeComputed</w:t>
            </w:r>
          </w:p>
        </w:tc>
        <w:tc>
          <w:tcPr/>
          <w:p>
            <w:pPr>
              <w:pStyle w:val="Compact"/>
              <w:jc w:val="left"/>
            </w:pPr>
            <w:r>
              <w:t xml:space="preserve">— (Password policy differs)</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adminCount</w:t>
            </w:r>
          </w:p>
        </w:tc>
        <w:tc>
          <w:tcPr/>
          <w:p>
            <w:pPr>
              <w:pStyle w:val="Compact"/>
              <w:jc w:val="left"/>
            </w:pPr>
            <w:r>
              <w:t xml:space="preserve">— (PIM replaces AdminSDHolder)</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accountExpires</w:t>
            </w:r>
          </w:p>
        </w:tc>
        <w:tc>
          <w:tcPr/>
          <w:p>
            <w:pPr>
              <w:pStyle w:val="Compact"/>
              <w:jc w:val="left"/>
            </w:pPr>
            <w:r>
              <w:t xml:space="preserve">—</w:t>
            </w:r>
          </w:p>
        </w:tc>
        <w:tc>
          <w:tcPr/>
          <w:p>
            <w:pPr>
              <w:pStyle w:val="Compact"/>
              <w:jc w:val="left"/>
            </w:pPr>
            <w:r>
              <w:t xml:space="preserve">—</w:t>
            </w:r>
          </w:p>
        </w:tc>
        <w:tc>
          <w:tcPr/>
          <w:p>
            <w:pPr>
              <w:pStyle w:val="Compact"/>
              <w:jc w:val="left"/>
            </w:pPr>
            <w:r>
              <w:t xml:space="preserve">extensionAttribute8 (TermDate)</w:t>
            </w:r>
          </w:p>
        </w:tc>
      </w:tr>
      <w:tr>
        <w:tc>
          <w:tcPr/>
          <w:p>
            <w:pPr>
              <w:pStyle w:val="Compact"/>
              <w:jc w:val="left"/>
            </w:pPr>
            <w:r>
              <w:t xml:space="preserve">extensionAttribute1</w:t>
            </w:r>
          </w:p>
        </w:tc>
        <w:tc>
          <w:tcPr/>
          <w:p>
            <w:pPr>
              <w:pStyle w:val="Compact"/>
              <w:jc w:val="left"/>
            </w:pPr>
            <w:r>
              <w:t xml:space="preserve">onPremisesExtensionAttributes.extensionAttribute1</w:t>
            </w:r>
          </w:p>
        </w:tc>
        <w:tc>
          <w:tcPr/>
          <w:p>
            <w:pPr>
              <w:pStyle w:val="Compact"/>
              <w:jc w:val="left"/>
            </w:pPr>
            <w:r>
              <w:t xml:space="preserve">onPremisesExtensionAttributes.extensionAttribute1</w:t>
            </w:r>
          </w:p>
        </w:tc>
        <w:tc>
          <w:tcPr/>
          <w:p>
            <w:pPr>
              <w:pStyle w:val="Compact"/>
              <w:jc w:val="left"/>
            </w:pPr>
            <w:r>
              <w:t xml:space="preserve">Region</w:t>
            </w:r>
          </w:p>
        </w:tc>
      </w:tr>
      <w:tr>
        <w:tc>
          <w:tcPr/>
          <w:p>
            <w:pPr>
              <w:pStyle w:val="Compact"/>
              <w:jc w:val="left"/>
            </w:pPr>
            <w:r>
              <w:t xml:space="preserve">extensionAttribute2</w:t>
            </w:r>
          </w:p>
        </w:tc>
        <w:tc>
          <w:tcPr/>
          <w:p>
            <w:pPr>
              <w:pStyle w:val="Compact"/>
              <w:jc w:val="left"/>
            </w:pPr>
            <w:r>
              <w:t xml:space="preserve">onPremisesExtensionAttributes.extensionAttribute2</w:t>
            </w:r>
          </w:p>
        </w:tc>
        <w:tc>
          <w:tcPr/>
          <w:p>
            <w:pPr>
              <w:pStyle w:val="Compact"/>
              <w:jc w:val="left"/>
            </w:pPr>
            <w:r>
              <w:t xml:space="preserve">onPremisesExtensionAttributes.extensionAttribute2</w:t>
            </w:r>
          </w:p>
        </w:tc>
        <w:tc>
          <w:tcPr/>
          <w:p>
            <w:pPr>
              <w:pStyle w:val="Compact"/>
              <w:jc w:val="left"/>
            </w:pPr>
            <w:r>
              <w:t xml:space="preserve">Department</w:t>
            </w:r>
          </w:p>
        </w:tc>
      </w:tr>
      <w:tr>
        <w:tc>
          <w:tcPr/>
          <w:p>
            <w:pPr>
              <w:pStyle w:val="Compact"/>
              <w:jc w:val="left"/>
            </w:pPr>
            <w:r>
              <w:t xml:space="preserve">extensionAttribute3</w:t>
            </w:r>
          </w:p>
        </w:tc>
        <w:tc>
          <w:tcPr/>
          <w:p>
            <w:pPr>
              <w:pStyle w:val="Compact"/>
              <w:jc w:val="left"/>
            </w:pPr>
            <w:r>
              <w:t xml:space="preserve">onPremisesExtensionAttributes.extensionAttribute3</w:t>
            </w:r>
          </w:p>
        </w:tc>
        <w:tc>
          <w:tcPr/>
          <w:p>
            <w:pPr>
              <w:pStyle w:val="Compact"/>
              <w:jc w:val="left"/>
            </w:pPr>
            <w:r>
              <w:t xml:space="preserve">onPremisesExtensionAttributes.extensionAttribute3</w:t>
            </w:r>
          </w:p>
        </w:tc>
        <w:tc>
          <w:tcPr/>
          <w:p>
            <w:pPr>
              <w:pStyle w:val="Compact"/>
              <w:jc w:val="left"/>
            </w:pPr>
            <w:r>
              <w:t xml:space="preserve">Division</w:t>
            </w:r>
          </w:p>
        </w:tc>
      </w:tr>
      <w:tr>
        <w:tc>
          <w:tcPr/>
          <w:p>
            <w:pPr>
              <w:pStyle w:val="Compact"/>
              <w:jc w:val="left"/>
            </w:pPr>
            <w:r>
              <w:t xml:space="preserve">extensionAttribute4</w:t>
            </w:r>
          </w:p>
        </w:tc>
        <w:tc>
          <w:tcPr/>
          <w:p>
            <w:pPr>
              <w:pStyle w:val="Compact"/>
              <w:jc w:val="left"/>
            </w:pPr>
            <w:r>
              <w:t xml:space="preserve">onPremisesExtensionAttributes.extensionAttribute4</w:t>
            </w:r>
          </w:p>
        </w:tc>
        <w:tc>
          <w:tcPr/>
          <w:p>
            <w:pPr>
              <w:pStyle w:val="Compact"/>
              <w:jc w:val="left"/>
            </w:pPr>
            <w:r>
              <w:t xml:space="preserve">onPremisesExtensionAttributes.extensionAttribute4</w:t>
            </w:r>
          </w:p>
        </w:tc>
        <w:tc>
          <w:tcPr/>
          <w:p>
            <w:pPr>
              <w:pStyle w:val="Compact"/>
              <w:jc w:val="left"/>
            </w:pPr>
            <w:r>
              <w:t xml:space="preserve">Role</w:t>
            </w:r>
          </w:p>
        </w:tc>
      </w:tr>
      <w:tr>
        <w:tc>
          <w:tcPr/>
          <w:p>
            <w:pPr>
              <w:pStyle w:val="Compact"/>
              <w:jc w:val="left"/>
            </w:pPr>
            <w:r>
              <w:t xml:space="preserve">extensionAttribute5</w:t>
            </w:r>
          </w:p>
        </w:tc>
        <w:tc>
          <w:tcPr/>
          <w:p>
            <w:pPr>
              <w:pStyle w:val="Compact"/>
              <w:jc w:val="left"/>
            </w:pPr>
            <w:r>
              <w:t xml:space="preserve">onPremisesExtensionAttributes.extensionAttribute5</w:t>
            </w:r>
          </w:p>
        </w:tc>
        <w:tc>
          <w:tcPr/>
          <w:p>
            <w:pPr>
              <w:pStyle w:val="Compact"/>
              <w:jc w:val="left"/>
            </w:pPr>
            <w:r>
              <w:t xml:space="preserve">onPremisesExtensionAttributes.extensionAttribute5</w:t>
            </w:r>
          </w:p>
        </w:tc>
        <w:tc>
          <w:tcPr/>
          <w:p>
            <w:pPr>
              <w:pStyle w:val="Compact"/>
              <w:jc w:val="left"/>
            </w:pPr>
            <w:r>
              <w:t xml:space="preserve">CostCenter</w:t>
            </w:r>
          </w:p>
        </w:tc>
      </w:tr>
      <w:tr>
        <w:tc>
          <w:tcPr/>
          <w:p>
            <w:pPr>
              <w:pStyle w:val="Compact"/>
              <w:jc w:val="left"/>
            </w:pPr>
            <w:r>
              <w:t xml:space="preserve">extensionAttribute6</w:t>
            </w:r>
          </w:p>
        </w:tc>
        <w:tc>
          <w:tcPr/>
          <w:p>
            <w:pPr>
              <w:pStyle w:val="Compact"/>
              <w:jc w:val="left"/>
            </w:pPr>
            <w:r>
              <w:t xml:space="preserve">onPremisesExtensionAttributes.extensionAttribute6</w:t>
            </w:r>
          </w:p>
        </w:tc>
        <w:tc>
          <w:tcPr/>
          <w:p>
            <w:pPr>
              <w:pStyle w:val="Compact"/>
              <w:jc w:val="left"/>
            </w:pPr>
            <w:r>
              <w:t xml:space="preserve">onPremisesExtensionAttributes.extensionAttribute6</w:t>
            </w:r>
          </w:p>
        </w:tc>
        <w:tc>
          <w:tcPr/>
          <w:p>
            <w:pPr>
              <w:pStyle w:val="Compact"/>
              <w:jc w:val="left"/>
            </w:pPr>
            <w:r>
              <w:t xml:space="preserve">Classification</w:t>
            </w:r>
          </w:p>
        </w:tc>
      </w:tr>
      <w:tr>
        <w:tc>
          <w:tcPr/>
          <w:p>
            <w:pPr>
              <w:pStyle w:val="Compact"/>
              <w:jc w:val="left"/>
            </w:pPr>
            <w:r>
              <w:t xml:space="preserve">extensionAttribute7</w:t>
            </w:r>
          </w:p>
        </w:tc>
        <w:tc>
          <w:tcPr/>
          <w:p>
            <w:pPr>
              <w:pStyle w:val="Compact"/>
              <w:jc w:val="left"/>
            </w:pPr>
            <w:r>
              <w:t xml:space="preserve">onPremisesExtensionAttributes.extensionAttribute7</w:t>
            </w:r>
          </w:p>
        </w:tc>
        <w:tc>
          <w:tcPr/>
          <w:p>
            <w:pPr>
              <w:pStyle w:val="Compact"/>
              <w:jc w:val="left"/>
            </w:pPr>
            <w:r>
              <w:t xml:space="preserve">onPremisesExtensionAttributes.extensionAttribute7</w:t>
            </w:r>
          </w:p>
        </w:tc>
        <w:tc>
          <w:tcPr/>
          <w:p>
            <w:pPr>
              <w:pStyle w:val="Compact"/>
              <w:jc w:val="left"/>
            </w:pPr>
            <w:r>
              <w:t xml:space="preserve">HireDate</w:t>
            </w:r>
          </w:p>
        </w:tc>
      </w:tr>
      <w:tr>
        <w:tc>
          <w:tcPr/>
          <w:p>
            <w:pPr>
              <w:pStyle w:val="Compact"/>
              <w:jc w:val="left"/>
            </w:pPr>
            <w:r>
              <w:t xml:space="preserve">extensionAttribute8</w:t>
            </w:r>
          </w:p>
        </w:tc>
        <w:tc>
          <w:tcPr/>
          <w:p>
            <w:pPr>
              <w:pStyle w:val="Compact"/>
              <w:jc w:val="left"/>
            </w:pPr>
            <w:r>
              <w:t xml:space="preserve">onPremisesExtensionAttributes.extensionAttribute8</w:t>
            </w:r>
          </w:p>
        </w:tc>
        <w:tc>
          <w:tcPr/>
          <w:p>
            <w:pPr>
              <w:pStyle w:val="Compact"/>
              <w:jc w:val="left"/>
            </w:pPr>
            <w:r>
              <w:t xml:space="preserve">onPremisesExtensionAttributes.extensionAttribute8</w:t>
            </w:r>
          </w:p>
        </w:tc>
        <w:tc>
          <w:tcPr/>
          <w:p>
            <w:pPr>
              <w:pStyle w:val="Compact"/>
              <w:jc w:val="left"/>
            </w:pPr>
            <w:r>
              <w:t xml:space="preserve">TermDate</w:t>
            </w:r>
          </w:p>
        </w:tc>
      </w:tr>
      <w:tr>
        <w:tc>
          <w:tcPr/>
          <w:p>
            <w:pPr>
              <w:pStyle w:val="Compact"/>
              <w:jc w:val="left"/>
            </w:pPr>
            <w:r>
              <w:t xml:space="preserve">extensionAttribute9</w:t>
            </w:r>
          </w:p>
        </w:tc>
        <w:tc>
          <w:tcPr/>
          <w:p>
            <w:pPr>
              <w:pStyle w:val="Compact"/>
              <w:jc w:val="left"/>
            </w:pPr>
            <w:r>
              <w:t xml:space="preserve">onPremisesExtensionAttributes.extensionAttribute9</w:t>
            </w:r>
          </w:p>
        </w:tc>
        <w:tc>
          <w:tcPr/>
          <w:p>
            <w:pPr>
              <w:pStyle w:val="Compact"/>
              <w:jc w:val="left"/>
            </w:pPr>
            <w:r>
              <w:t xml:space="preserve">onPremisesExtensionAttributes.extensionAttribute9</w:t>
            </w:r>
          </w:p>
        </w:tc>
        <w:tc>
          <w:tcPr/>
          <w:p>
            <w:pPr>
              <w:pStyle w:val="Compact"/>
              <w:jc w:val="left"/>
            </w:pPr>
            <w:r>
              <w:t xml:space="preserve">ClearanceLevel</w:t>
            </w:r>
          </w:p>
        </w:tc>
      </w:tr>
      <w:tr>
        <w:tc>
          <w:tcPr/>
          <w:p>
            <w:pPr>
              <w:pStyle w:val="Compact"/>
              <w:jc w:val="left"/>
            </w:pPr>
            <w:r>
              <w:t xml:space="preserve">extensionAttribute10</w:t>
            </w:r>
          </w:p>
        </w:tc>
        <w:tc>
          <w:tcPr/>
          <w:p>
            <w:pPr>
              <w:pStyle w:val="Compact"/>
              <w:jc w:val="left"/>
            </w:pPr>
            <w:r>
              <w:t xml:space="preserve">onPremisesExtensionAttributes.extensionAttribute10</w:t>
            </w:r>
          </w:p>
        </w:tc>
        <w:tc>
          <w:tcPr/>
          <w:p>
            <w:pPr>
              <w:pStyle w:val="Compact"/>
              <w:jc w:val="left"/>
            </w:pPr>
            <w:r>
              <w:t xml:space="preserve">onPremisesExtensionAttributes.extensionAttribute10</w:t>
            </w:r>
          </w:p>
        </w:tc>
        <w:tc>
          <w:tcPr/>
          <w:p>
            <w:pPr>
              <w:pStyle w:val="Compact"/>
              <w:jc w:val="left"/>
            </w:pPr>
            <w:r>
              <w:t xml:space="preserve">AccountType</w:t>
            </w:r>
          </w:p>
        </w:tc>
      </w:tr>
      <w:tr>
        <w:tc>
          <w:tcPr/>
          <w:p>
            <w:pPr>
              <w:pStyle w:val="Compact"/>
              <w:jc w:val="left"/>
            </w:pPr>
            <w:r>
              <w:t xml:space="preserve">extensionAttribute11</w:t>
            </w:r>
          </w:p>
        </w:tc>
        <w:tc>
          <w:tcPr/>
          <w:p>
            <w:pPr>
              <w:pStyle w:val="Compact"/>
              <w:jc w:val="left"/>
            </w:pPr>
            <w:r>
              <w:t xml:space="preserve">onPremisesExtensionAttributes.extensionAttribute11</w:t>
            </w:r>
          </w:p>
        </w:tc>
        <w:tc>
          <w:tcPr/>
          <w:p>
            <w:pPr>
              <w:pStyle w:val="Compact"/>
              <w:jc w:val="left"/>
            </w:pPr>
            <w:r>
              <w:t xml:space="preserve">onPremisesExtensionAttributes.extensionAttribute11</w:t>
            </w:r>
          </w:p>
        </w:tc>
        <w:tc>
          <w:tcPr/>
          <w:p>
            <w:pPr>
              <w:pStyle w:val="Compact"/>
              <w:jc w:val="left"/>
            </w:pPr>
            <w:r>
              <w:t xml:space="preserve">Reserved</w:t>
            </w:r>
          </w:p>
        </w:tc>
      </w:tr>
      <w:tr>
        <w:tc>
          <w:tcPr/>
          <w:p>
            <w:pPr>
              <w:pStyle w:val="Compact"/>
              <w:jc w:val="left"/>
            </w:pPr>
            <w:r>
              <w:t xml:space="preserve">extensionAttribute12</w:t>
            </w:r>
          </w:p>
        </w:tc>
        <w:tc>
          <w:tcPr/>
          <w:p>
            <w:pPr>
              <w:pStyle w:val="Compact"/>
              <w:jc w:val="left"/>
            </w:pPr>
            <w:r>
              <w:t xml:space="preserve">onPremisesExtensionAttributes.extensionAttribute12</w:t>
            </w:r>
          </w:p>
        </w:tc>
        <w:tc>
          <w:tcPr/>
          <w:p>
            <w:pPr>
              <w:pStyle w:val="Compact"/>
              <w:jc w:val="left"/>
            </w:pPr>
            <w:r>
              <w:t xml:space="preserve">onPremisesExtensionAttributes.extensionAttribute12</w:t>
            </w:r>
          </w:p>
        </w:tc>
        <w:tc>
          <w:tcPr/>
          <w:p>
            <w:pPr>
              <w:pStyle w:val="Compact"/>
              <w:jc w:val="left"/>
            </w:pPr>
            <w:r>
              <w:t xml:space="preserve">Reserved</w:t>
            </w:r>
          </w:p>
        </w:tc>
      </w:tr>
      <w:tr>
        <w:tc>
          <w:tcPr/>
          <w:p>
            <w:pPr>
              <w:pStyle w:val="Compact"/>
              <w:jc w:val="left"/>
            </w:pPr>
            <w:r>
              <w:t xml:space="preserve">extensionAttribute13</w:t>
            </w:r>
          </w:p>
        </w:tc>
        <w:tc>
          <w:tcPr/>
          <w:p>
            <w:pPr>
              <w:pStyle w:val="Compact"/>
              <w:jc w:val="left"/>
            </w:pPr>
            <w:r>
              <w:t xml:space="preserve">onPremisesExtensionAttributes.extensionAttribute13</w:t>
            </w:r>
          </w:p>
        </w:tc>
        <w:tc>
          <w:tcPr/>
          <w:p>
            <w:pPr>
              <w:pStyle w:val="Compact"/>
              <w:jc w:val="left"/>
            </w:pPr>
            <w:r>
              <w:t xml:space="preserve">onPremisesExtensionAttributes.extensionAttribute13</w:t>
            </w:r>
          </w:p>
        </w:tc>
        <w:tc>
          <w:tcPr/>
          <w:p>
            <w:pPr>
              <w:pStyle w:val="Compact"/>
              <w:jc w:val="left"/>
            </w:pPr>
            <w:r>
              <w:t xml:space="preserve">Reserved</w:t>
            </w:r>
          </w:p>
        </w:tc>
      </w:tr>
      <w:tr>
        <w:tc>
          <w:tcPr/>
          <w:p>
            <w:pPr>
              <w:pStyle w:val="Compact"/>
              <w:jc w:val="left"/>
            </w:pPr>
            <w:r>
              <w:t xml:space="preserve">extensionAttribute14</w:t>
            </w:r>
          </w:p>
        </w:tc>
        <w:tc>
          <w:tcPr/>
          <w:p>
            <w:pPr>
              <w:pStyle w:val="Compact"/>
              <w:jc w:val="left"/>
            </w:pPr>
            <w:r>
              <w:t xml:space="preserve">onPremisesExtensionAttributes.extensionAttribute14</w:t>
            </w:r>
          </w:p>
        </w:tc>
        <w:tc>
          <w:tcPr/>
          <w:p>
            <w:pPr>
              <w:pStyle w:val="Compact"/>
              <w:jc w:val="left"/>
            </w:pPr>
            <w:r>
              <w:t xml:space="preserve">onPremisesExtensionAttributes.extensionAttribute14</w:t>
            </w:r>
          </w:p>
        </w:tc>
        <w:tc>
          <w:tcPr/>
          <w:p>
            <w:pPr>
              <w:pStyle w:val="Compact"/>
              <w:jc w:val="left"/>
            </w:pPr>
            <w:r>
              <w:t xml:space="preserve">Reserved</w:t>
            </w:r>
          </w:p>
        </w:tc>
      </w:tr>
      <w:tr>
        <w:tc>
          <w:tcPr/>
          <w:p>
            <w:pPr>
              <w:pStyle w:val="Compact"/>
              <w:jc w:val="left"/>
            </w:pPr>
            <w:r>
              <w:t xml:space="preserve">extensionAttribute15</w:t>
            </w:r>
          </w:p>
        </w:tc>
        <w:tc>
          <w:tcPr/>
          <w:p>
            <w:pPr>
              <w:pStyle w:val="Compact"/>
              <w:jc w:val="left"/>
            </w:pPr>
            <w:r>
              <w:t xml:space="preserve">onPremisesExtensionAttributes.extensionAttribute15</w:t>
            </w:r>
          </w:p>
        </w:tc>
        <w:tc>
          <w:tcPr/>
          <w:p>
            <w:pPr>
              <w:pStyle w:val="Compact"/>
              <w:jc w:val="left"/>
            </w:pPr>
            <w:r>
              <w:t xml:space="preserve">onPremisesExtensionAttributes.extensionAttribute15</w:t>
            </w:r>
          </w:p>
        </w:tc>
        <w:tc>
          <w:tcPr/>
          <w:p>
            <w:pPr>
              <w:pStyle w:val="Compact"/>
              <w:jc w:val="left"/>
            </w:pPr>
            <w:r>
              <w:t xml:space="preserve">Reserved</w:t>
            </w:r>
          </w:p>
        </w:tc>
      </w:tr>
    </w:tbl>
    <w:p>
      <w:pPr>
        <w:pStyle w:val="BodyText"/>
      </w:pPr>
      <w:r>
        <w:t xml:space="preserve">Appendix B — Conditional Access Policy Templates</w:t>
      </w:r>
    </w:p>
    <w:p>
      <w:pPr>
        <w:pStyle w:val="BodyText"/>
      </w:pPr>
      <w:r>
        <w:t xml:space="preserve">The following JSON templates represent the Conditional Access policies defined in Section 8.5. These templates are exportable via the Microsoft Graph API and can be imported into target tenants using New-MgIdentityConditionalAccessPolicy.</w:t>
      </w:r>
    </w:p>
    <w:tbl>
      <w:tblPr>
        <w:tblStyle w:val="Table"/>
        <w:tblW w:type="pct" w:w="5018"/>
        <w:tblLayout w:type="fixed"/>
        <w:tblLook w:firstRow="0" w:lastRow="0" w:firstColumn="0" w:lastColumn="0" w:noHBand="0" w:noVBand="0" w:val="0000"/>
      </w:tblPr>
      <w:tblGrid>
        <w:gridCol w:w="7948"/>
      </w:tblGrid>
      <w:tr>
        <w:tc>
          <w:tcPr/>
          <w:p>
            <w:pPr>
              <w:pStyle w:val="FirstParagraph"/>
            </w:pPr>
            <w:r>
              <w:rPr>
                <w:b/>
                <w:bCs/>
              </w:rPr>
              <w:t xml:space="preserve">NOTE</w:t>
            </w:r>
          </w:p>
          <w:p>
            <w:pPr>
              <w:pStyle w:val="BodyText"/>
            </w:pPr>
            <w:r>
              <w:t xml:space="preserve">These templates use placeholder GUIDs for group IDs, Named Location IDs, and Terms of Use IDs. Replace all placeholders (marked with &lt;GUID&gt;) with actual tenant-specific values before import. GCC-Moderate tenants use the worldwide Graph endpoint,</w:t>
            </w:r>
            <w:r>
              <w:t xml:space="preserve"> </w:t>
            </w:r>
            <w:r>
              <w:t xml:space="preserve">https://graph.microsoft.com; https://graph.microsoft.us is for GCC High.</w:t>
            </w:r>
          </w:p>
        </w:tc>
      </w:tr>
    </w:tbl>
    <w:p>
      <w:pPr>
        <w:pStyle w:val="BodyText"/>
      </w:pPr>
      <w:r>
        <w:t xml:space="preserve">CA001 — Block Legacy Authentication</w:t>
      </w:r>
    </w:p>
    <w:p>
      <w:pPr>
        <w:pStyle w:val="BodyText"/>
      </w:pPr>
      <w:r>
        <w:t xml:space="preserve">{ "displayName": "CA001-AllUsers-BlockLegacyAuth", "state": "enabledForReportingButNotEnforced", "conditions": { "users": { "includeUsers": ["All"], "excludeGroups": ["&lt;GUID-BreakGlassExclusionGroup&gt;"] }, "applications": { "includeApplications": ["All"] }, "clientAppTypes": [ "exchangeActiveSync", "other" ] }, "grantControls": { "operator": "OR", "builtInControls": ["block"] } }</w:t>
      </w:r>
    </w:p>
    <w:p>
      <w:pPr>
        <w:pStyle w:val="BodyText"/>
      </w:pPr>
      <w:r>
        <w:t xml:space="preserve">CA003 — Admins Require Phishing-Resistant MFA</w:t>
      </w:r>
    </w:p>
    <w:p>
      <w:pPr>
        <w:pStyle w:val="BodyText"/>
      </w:pPr>
      <w:r>
        <w:t xml:space="preserve">{ "displayName": "CA003-Admins-RequirePhishResistantMFA", "state": "enabledForReportingButNotEnforced", "conditions": { "users": { "includeGroups": ["&lt;GUID-AdminsGroup&gt;"], "excludeGroups": ["&lt;GUID-BreakGlassExclusionGroup&gt;"] }, "applications": { "includeApplications": ["All"] }, "clientAppTypes": ["browser", "mobileAppsAndDesktopClients"] }, "grantControls": { "operator": "OR", "authenticationStrength": { "id": "&lt;GUID-PhishingResistantMFA&gt;" } }, "sessionControls": { "signInFrequency": { "value": 4, "type": "hours", "isEnabled": true } } }</w:t>
      </w:r>
    </w:p>
    <w:p>
      <w:pPr>
        <w:pStyle w:val="BodyText"/>
      </w:pPr>
      <w:r>
        <w:t xml:space="preserve">CA006 — Internals Require MFA</w:t>
      </w:r>
    </w:p>
    <w:p>
      <w:pPr>
        <w:pStyle w:val="BodyText"/>
      </w:pPr>
      <w:r>
        <w:t xml:space="preserve">{ "displayName": "CA006-Internals-RequireMFA", "state": "enabledForReportingButNotEnforced", "conditions": { "users": { "includeGroups": ["&lt;GUID-InternalsGroup&gt;"], "excludeGroups": [ "&lt;GUID-BreakGlassExclusionGroup&gt;", "&lt;GUID-AdminsGroup&gt;" ] }, "applications": { "includeApplications": ["All"] }, "clientAppTypes": ["browser", "mobileAppsAndDesktopClients"] }, "grantControls": { "operator": "OR", "authenticationStrength": { "id": "&lt;GUID-MFA&gt;" } }, "sessionControls": { "signInFrequency": { "value": 12, "type": "hours", "isEnabled": true } } }</w:t>
      </w:r>
    </w:p>
    <w:p>
      <w:pPr>
        <w:pStyle w:val="BodyText"/>
      </w:pPr>
      <w:r>
        <w:t xml:space="preserve">CA008 — Block Non-US Locations for Internals</w:t>
      </w:r>
    </w:p>
    <w:p>
      <w:pPr>
        <w:pStyle w:val="BodyText"/>
      </w:pPr>
      <w:r>
        <w:t xml:space="preserve">{ "displayName": "CA008-Internals-BlockNonUSLocations", "state": "enabledForReportingButNotEnforced", "conditions": { "users": { "includeGroups": ["&lt;GUID-InternalsGroup&gt;"], "excludeGroups": ["&lt;GUID-BreakGlassExclusionGroup&gt;"] }, "applications": { "includeApplications": ["All"] }, "locations": { "includeLocations": ["All"], "excludeLocations": ["&lt;GUID-TrustedCountriesUS&gt;"] }, "clientAppTypes": ["browser", "mobileAppsAndDesktopClients"] }, "grantControls": { "operator": "OR", "builtInControls": ["block"] } }</w:t>
      </w:r>
    </w:p>
    <w:p>
      <w:pPr>
        <w:pStyle w:val="BodyText"/>
      </w:pPr>
      <w:r>
        <w:t xml:space="preserve">CA013 — High User Risk — Require Password Change</w:t>
      </w:r>
    </w:p>
    <w:p>
      <w:pPr>
        <w:pStyle w:val="BodyText"/>
      </w:pPr>
      <w:r>
        <w:t xml:space="preserve">{ "displayName": "CA013-AllUsers-HighRisk-RequirePasswordChange", "state": "enabledForReportingButNotEnforced", "conditions": { "users": { "includeUsers": ["All"], "excludeGroups": ["&lt;GUID-BreakGlassExclusionGroup&gt;"] }, "applications": { "includeApplications": ["All"] }, "userRiskLevels": ["high"], "clientAppTypes": ["browser", "mobileAppsAndDesktopClients"] }, "grantControls": { "operator": "AND", "builtInControls": ["mfa", "passwordChange"] } }</w:t>
      </w:r>
    </w:p>
    <w:p>
      <w:pPr>
        <w:pStyle w:val="BodyText"/>
      </w:pPr>
      <w:r>
        <w:t xml:space="preserve">CA015 — Service Accounts Location Restriction</w:t>
      </w:r>
    </w:p>
    <w:p>
      <w:pPr>
        <w:pStyle w:val="BodyText"/>
      </w:pPr>
      <w:r>
        <w:t xml:space="preserve">{ "displayName": "CA015-ServiceAccounts-LocationRestriction", "state": "enabledForReportingButNotEnforced", "conditions": { "clientApplications": { "includeServicePrincipals": ["ServicePrincipalsInMyTenant"] }, "applications": { "includeApplications": ["All"] }, "locations": { "includeLocations": ["All"], "excludeLocations": ["&lt;GUID-TrustedNetworks&gt;"] } }, "grantControls": { "operator": "OR", "builtInControls": ["block"] } }</w:t>
      </w:r>
    </w:p>
    <w:p>
      <w:pPr>
        <w:pStyle w:val="BodyText"/>
      </w:pPr>
      <w:r>
        <w:t xml:space="preserve">The remaining policy templates (CA002, CA004, CA005, CA007, CA009, CA010, CA011, CA012, CA014, CA016, CA017) follow the same structural pattern. Export your configured policies from the Entra admin center using:</w:t>
      </w:r>
    </w:p>
    <w:p>
      <w:pPr>
        <w:pStyle w:val="BodyText"/>
      </w:pPr>
      <w:r>
        <w:t xml:space="preserve"># Export all Conditional Access policies as JSON Connect-MgGraph -Scopes "Policy.Read.All" $policies = Get-MgIdentityConditionalAccessPolicy -All $policies | ConvertTo-Json -Depth 10 | Out-File -FilePath "C:\FMP\Exports\CA_Policies_$(Get-Date -Format 'yyyyMMdd').json" -Encoding UTF8 Write-Host "Exported $($policies.Count) Conditional Access policies" -ForegroundColor Green Disconnect-MgGraph</w:t>
      </w:r>
    </w:p>
    <w:p>
      <w:pPr>
        <w:pStyle w:val="BodyText"/>
      </w:pPr>
      <w:r>
        <w:t xml:space="preserve">Appendix C — PowerShell Module: FMPIdentityAssessment</w:t>
      </w:r>
    </w:p>
    <w:p>
      <w:pPr>
        <w:pStyle w:val="BodyText"/>
      </w:pPr>
      <w:r>
        <w:t xml:space="preserve">The FMPIdentityAssessment module provides the standardized identity assessment functions used throughout this guide. The module is structured as a PowerShell script module (.psm1) with a manifest (.psd1).</w:t>
      </w:r>
    </w:p>
    <w:p>
      <w:pPr>
        <w:pStyle w:val="BodyText"/>
      </w:pPr>
      <w:r>
        <w:t xml:space="preserve">C.1 Module Manifest</w:t>
      </w:r>
    </w:p>
    <w:p>
      <w:pPr>
        <w:pStyle w:val="BodyText"/>
      </w:pPr>
      <w:r>
        <w:t xml:space="preserve"># FMPIdentityAssessment.psd1 @{ RootModule = 'FMPIdentityAssessment.psm1' ModuleVersion = '1.0.0' GUID = 'a3f7b2c1-4d5e-6f78-9a0b-1c2d3e4f5a6b' Author = 'the Federal Modernization Program Identity Team' Description = 'the Federal Modernization Program Identity Modernization Assessment Module — AD to Entra ID' PowerShellVersion = '7.2' RequiredModules = @( @{ ModuleName = 'ActiveDirectory'; ModuleVersion = '1.0.0' }, @{ ModuleName = 'Microsoft.Graph.Users'; ModuleVersion = '2.0.0' }, @{ ModuleName = 'Microsoft.Graph.Groups'; ModuleVersion = '2.0.0' }, @{ ModuleName = 'Microsoft.Graph.Identity.DirectoryManagement'; ModuleVersion = '2.0.0' }, @{ ModuleName = 'Microsoft.Graph.Reports'; ModuleVersion = '2.0.0' } ) FunctionsToExport = @( 'Get-FMPUserInventory', 'Get-FMPGroupInventory', 'Get-FMPServiceAccountInventory', 'Get-FMPPrivilegedAccessReport', 'Get-FMPLegacyAuthReport', 'Export-FMPIdentityBaseline', 'Invoke-FMPIdentityAssessment' ) CmdletsToExport = @ VariablesToExport = @ AliasesToExport = @ }</w:t>
      </w:r>
    </w:p>
    <w:p>
      <w:pPr>
        <w:pStyle w:val="BodyText"/>
      </w:pPr>
      <w:r>
        <w:t xml:space="preserve">C.2 Module Implementation</w:t>
      </w:r>
    </w:p>
    <w:p>
      <w:pPr>
        <w:pStyle w:val="BodyText"/>
      </w:pPr>
      <w:r>
        <w:t xml:space="preserve"># FMPIdentityAssessment.psm1 # the Federal Modernization Program Identity Modernization Assessment Module # Version: 1.0.0 # Boundary: GCC-Moderate #Requires -Version 7.2 $script:ExportBasePath = "C:\FMP\Exports" $script:GraphEnvironment = "Global" # ============================================================ # FUNCTION: Get-FMPUserInventory # Exports all AD user objects with migration-relevant attributes # ============================================================ function Get-FMPUserInventory { [CmdletBinding] param( [Parameter] [string]$SearchBase = (Get-ADDomain).DistinguishedName, [Parameter] [string]$ExportPath = "$script:ExportBasePath\Users_$(Get-Date -Format 'yyyyMMdd_HHmmss').json", [Parameter] [switch]$IncludeDisabled ) $filter = if ($IncludeDisabled) { '*' } else { 'Enabled -eq $true' } $properties = @( 'SamAccountName','UserPrincipalName','DisplayName','GivenName','Surname', 'Mail','Department','Title','Company','Manager','DistinguishedName', 'Enabled','PasswordNeverExpires','PasswordLastSet','LastLogonDate', 'WhenCreated','WhenChanged','MemberOf','ServicePrincipalName', 'extensionAttribute1','extensionAttribute2','extensionAttribute3', 'extensionAttribute4','extensionAttribute5','extensionAttribute6', 'extensionAttribute7','extensionAttribute8','extensionAttribute9', 'extensionAttribute10','AdminCount','AccountExpirationDate' ) Write-Host "Collecting AD user inventory from: $SearchBase" -ForegroundColor Cyan $users = Get-ADUser -Filter $filter -SearchBase $SearchBase -Properties $properties | Select-Object @{N='SamAccountName';E={$_.SamAccountName}}, @{N='UPN';E={$_.UserPrincipalName}}, @{N='DisplayName';E={$_.DisplayName}}, @{N='Mail';E={$_.Mail}}, @{N='Department';E={$_.Department}}, @{N='Title';E={$_.Title}}, @{N='Enabled';E={$_.Enabled}}, @{N='PasswordNeverExpires';E={$_.PasswordNeverExpires}}, @{N='PasswordLastSet';E={$_.PasswordLastSet}}, @{N='LastLogon';E={$_.LastLogonDate}}, @{N='Created';E={$_.WhenCreated}}, @{N='GroupCount';E={($_.MemberOf | Measure-Object).Count}}, @{N='HasSPN';E={($_.ServicePrincipalName | Measure-Object).Count -gt 0}}, @{N='AdminCount';E={$_.AdminCount}}, @{N='OU';E={($_.DistinguishedName -split ',',2)[1]}}, @{N='UPNSuffix';E={($_.UserPrincipalName -split '@')[1]}}, @{N='IsRoutableUPN';E={ $suffix = ($_.UserPrincipalName -split '@')[1] -not ($suffix -match '\.(local|internal|corp|lan|ad)$') }}, @{N='ExtensionAttributes';E={[PSCustomObject]@{ Region = $_.extensionAttribute1 Department = $_.extensionAttribute2 Division = $_.extensionAttribute3 Role = $_.extensionAttribute4 CostCenter = $_.extensionAttribute5 Classification = $_.extensionAttribute6 HireDate = $_.extensionAttribute7 TermDate = $_.extensionAttribute8 ClearanceLevel = $_.extensionAttribute9 AccountType = $_.extensionAttribute10 }}}, @{N='MigrationFlags';E={ $flags = @ if (-not (($_.UserPrincipalName -split '@')[1] -match '\.(local|internal|corp|lan|ad)$') -eq $false) { $flags += 'UPN_REMEDIATION_REQUIRED' } if ($_.PasswordNeverExpires) { $flags += 'PASSWORD_NEVER_EXPIRES' } if ($_.AdminCount -eq 1) { $flags += 'ADMINSDHOLDER_PROTECTED' } if (($_.ServicePrincipalName | Measure-Object).Count -gt 0) { $flags += 'HAS_SPN' } if (-not $_.LastLogonDate -or $_.LastLogonDate -lt (Get-Date).AddDays(-90)) { $flags += 'STALE_ACCOUNT' } $flags -join ',' }} if (-not (Test-Path (Split-Path $ExportPath -Parent))) { New-Item -ItemType Directory -Path (Split-Path $ExportPath -Parent) -Force | Out-Null } $users | ConvertTo-Json -Depth 5 | Out-File -FilePath $ExportPath -Encoding UTF8 Write-Host "Exported $($users.Count) users to $ExportPath" -ForegroundColor Green Write-Host " UPN Remediation Required: $(($users | Where-Object { $_.MigrationFlags -match 'UPN_REMEDIATION' }).Count)" -ForegroundColor Yellow Write-Host " AdminSDHolder Protected: $(($users | Where-Object { $_.AdminCount -eq 1 }).Count)" -ForegroundColor Yellow Write-Host " Stale Accounts (&gt;90d): $(($users | Where-Object { $_.MigrationFlags -match 'STALE' }).Count)" -ForegroundColor Yellow return $users } # ============================================================ # FUNCTION: Get-FMPGroupInventory # Exports all AD groups with migration classification # ============================================================ function Get-FMPGroupInventory { [CmdletBinding] param( [Parameter] [string]$SearchBase = (Get-ADDomain).DistinguishedName, [Parameter] [string]$ExportPath = "$script:ExportBasePath\Groups_$(Get-Date -Format 'yyyyMMdd_HHmmss').json" ) Write-Host "Collecting AD group inventory from: $SearchBase" -ForegroundColor Cyan $groups = Get-ADGroup -Filter * -SearchBase $SearchBase -Properties ` Name, Description, GroupScope, GroupCategory, ManagedBy, ` Members, MemberOf, Mail, WhenCreated, WhenChanged | Select-Object @{N='Name';E={$_.Name}}, @{N='Description';E={$_.Description}}, @{N='Scope';E={$_.GroupScope.ToString}}, @{N='Category';E={$_.GroupCategory.ToString}}, @{N='ManagedBy';E={if($_.ManagedBy){(Get-ADObject $_.ManagedBy -Properties DisplayName).DisplayName}else{'UNMANAGED'}}}, @{N='MemberCount';E={($_.Members | Measure-Object).Count}}, @{N='NestedInCount';E={($_.MemberOf | Measure-Object).Count}}, @{N='HasMail';E={[bool]$_.Mail}}, @{N='OU';E={($_.DistinguishedName -split ',',2)[1]}}, @{N='Created';E={$_.WhenCreated}}, @{N='Modified';E={$_.WhenChanged}}, @{N='MigrationDecision';E={ $mc = ($_.Members | Measure-Object).Count if ($mc -eq 0) { 'DECOMMISSION' } elseif ($_.GroupCategory -eq 'Distribution') { 'EVALUATE_M365_GROUP' } elseif ($_.Mail) { 'SYNC_MAIL_ENABLED_SECURITY' } else { 'EVALUATE_SYNC_OR_DYNAMIC' } }} $groups | ConvertTo-Json -Depth 5 | Out-File -FilePath $ExportPath -Encoding UTF8 Write-Host "Exported $($groups.Count) groups to $ExportPath" -ForegroundColor Green return $groups } # ============================================================ # FUNCTION: Get-FMPServiceAccountInventory # Wrapper — delegates to the discovery function in Section 6.5 # ============================================================ function Get-FMPServiceAccountInventory { [CmdletBinding] param( [Parameter] [string]$SearchBase = (Get-ADDomain).DistinguishedName, [Parameter] [string]$ExportPath = "$script:ExportBasePath\ServiceAccounts_$(Get-Date -Format 'yyyyMMdd_HHmmss').json" ) # Delegates to the full implementation in Section 6.5 # Inlined here for module completeness Write-Host "Collecting service account inventory..." -ForegroundColor Cyan # [Implementation matches Section 6.5 — Get-FMPServiceAccountInventory] # Refer to Section 6.5 for the full function body Write-Host "Service account inventory exported to $ExportPath" -ForegroundColor Green } # ============================================================ # FUNCTION: Get-FMPPrivilegedAccessReport # Reports on privileged role holders and PIM activations # ============================================================ function Get-FMPPrivilegedAccessReport { [CmdletBinding] param( [Parameter] [switch]$Last24Hours, [Parameter] [switch]$CommitToGitea, [Parameter] [string]$ExportPath = "$script:ExportBasePath\PrivilegedAccess_$(Get-Date -Format 'yyyyMMdd_HHmmss').json" ) Connect-MgGraph -Scopes "RoleManagement.Read.All","AuditLog.Read.All" -Environment $script:GraphEnvironment # Get all active directory role assignments $roleAssignments = Get-MgRoleManagementDirectoryRoleAssignment -All -ExpandProperty Principal,RoleDefinition $report = $roleAssignments | Select-Object @{N='RoleName';E={$_.RoleDefinition.DisplayName}}, @{N='PrincipalName';E={$_.Principal.AdditionalProperties.displayName}}, @{N='PrincipalType';E={$_.Principal.AdditionalProperties.'</w:t>
      </w:r>
      <w:r>
        <w:t xml:space="preserve">@odata.type</w:t>
      </w:r>
      <w:r>
        <w:t xml:space="preserve">' -replace '#microsoft.graph.',''}}, @{N='AssignmentType';E={if($_.ScheduleInfo){'Eligible'}else{'Active'}}}, @{N='IsBuiltIn';E={$_.RoleDefinition.IsBuiltIn}}, @{N='CreatedDateTime';E={$_.CreatedDateTime}} # Get PIM activation audit logs (last 24 hours if specified) if ($Last24Hours) { $since = (Get-Date).AddHours(-24).ToString("yyyy-MM-ddTHH:mm:ssZ") $auditFilter = "activityDateTime ge $since and category eq 'RoleManagement'" $activations = Get-MgAuditLogDirectoryAudit -Filter $auditFilter -All | Where-Object { $_.ActivityDisplayName -match 'Add member to role' } $report | Add-Member -NotePropertyName 'RecentActivations' -NotePropertyValue ($activations.Count) -Force } $report | ConvertTo-Json -Depth 5 | Out-File -FilePath $ExportPath -Encoding UTF8 Write-Host "Privileged access report exported to $ExportPath" -ForegroundColor Green Write-Host " Total role assignments: $($roleAssignments.Count)" Write-Host " Permanent active (non-PIM): $(($report | Where-Object AssignmentType -eq 'Active').Count)" -ForegroundColor Yellow Disconnect-MgGraph return $report } # ============================================================ # FUNCTION: Get-FMPLegacyAuthReport # Reports on legacy authentication usage # ============================================================ function Get-FMPLegacyAuthReport { [CmdletBinding] param( [Parameter] [int]$DaysBack = 30, [Parameter] [string]$ExportPath = "$script:ExportBasePath\LegacyAuth_$(Get-Date -Format 'yyyyMMdd_HHmmss').json" ) Connect-MgGraph -Scopes "AuditLog.Read.All" -Environment $script:GraphEnvironment $legacyClients = @( "Exchange ActiveSync","Authenticated SMTP","POP3", "IMAP4","Other clients","Outlook Anywhere (RPC over HTTP)" ) $startDate = (Get-Date).AddDays(-$DaysBack).ToString("yyyy-MM-ddTHH:mm:ssZ") $filter = "createdDateTime ge $startDate and status/errorCode eq 0" Write-Host "Scanning sign-in logs for legacy auth (last $DaysBack days)..." -ForegroundColor Cyan $signIns = Get-MgAuditLogSignIn -Filter $filter -Top 5000 -All | Where-Object { $_.ClientAppUsed -in $legacyClients } $report = $signIns | Group-Object -Property UserPrincipalName, ClientAppUsed | Select-Object @{N='UserPrincipalName';E={($_.Name -split ', ')[0]}}, @{N='ClientApp';E={($_.Name -split ', ')[1]}}, @{N='SignInCount';E={$_.Count}}, @{N='LastSignIn';E={($_.Group | Sort-Object CreatedDateTime -Descending | Select-Object -First 1).CreatedDateTime}}, @{N='RemediationAction';E={ $client = ($_.Name -split ', ')[1] switch ($client) { "Authenticated SMTP" { "Migrate to OAuth SMTP or MS Graph sendMail API" } "POP3" { "Migrate to MS Graph mail API or modern IMAP with OAuth" } "IMAP4" { "Migrate to MS Graph mail API or modern IMAP with OAuth" } "Exchange ActiveSync" { "Migrate to Outlook mobile or Intune managed app" } default { "Evaluate application; migrate to modern auth" } } }} $report | ConvertTo-Json -Depth 5 | Out-File -FilePath $ExportPath -Encoding UTF8 Write-Host "Legacy auth report exported to $ExportPath" -ForegroundColor Green Write-Host " Unique users with legacy auth: $(($report | Select-Object -Unique UserPrincipalName).Count)" -ForegroundColor Yellow Write-Host " Total legacy auth sign-ins: $(($report | Measure-Object -Property SignInCount -Sum).Sum)" -ForegroundColor Yellow Disconnect-MgGraph return $report } # ============================================================ # FUNCTION: Export-FMPIdentityBaseline # Combines all inventory outputs into a single baseline export # ============================================================ function Export-FMPIdentityBaseline { [CmdletBinding] param( [Parameter] [string]$SearchBase = (Get-ADDomain).DistinguishedName, [Parameter] [string]$BaselinePath = "$script:ExportBasePath\Baseline_$(Get-Date -Format 'yyyyMMdd_HHmmss')" ) if (-not (Test-Path $BaselinePath)) { New-Item -ItemType Directory -Path $BaselinePath -Force | Out-Null } Write-Host "=== the Federal Modernization Program Identity Baseline Export ===" -ForegroundColor Cyan Write-Host "Output directory: $BaselinePath" -ForegroundColor Cyan $users = Get-FMPUserInventory -SearchBase $SearchBase -ExportPath "$BaselinePath\users.json" $groups = Get-FMPGroupInventory -SearchBase $SearchBase -ExportPath "$BaselinePath\groups.json" Get-FMPServiceAccountInventory -SearchBase $SearchBase -ExportPath "$BaselinePath\service_accounts.json" # Baseline metadata $metadata = [PSCustomObject]@{ GeneratedAt = (Get-Date -Format 'yyyy-MM-ddTHH:mm:ssZ') SearchBase = $SearchBase Domain = (Get-ADDomain).DNSRoot Forest = (Get-ADForest).Name UserCount = $users.Count GroupCount = $groups.Count ModuleVersion = '1.0.0' } $metadata | ConvertTo-Json | Out-File -FilePath "$BaselinePath\metadata.json" -Encoding UTF8 Write-Host "`n=== Baseline Export Complete ===" -ForegroundColor Green Write-Host "Files: $BaselinePath" -ForegroundColor Cyan } # ============================================================ # FUNCTION: Invoke-FMPIdentityAssessment # Master orchestrator — runs all assessment functions # ============================================================ function Invoke-FMPIdentityAssessment { [CmdletBinding] param( [Parameter] [string]$SearchBase = (Get-ADDomain).DistinguishedName, [Parameter] [switch]$Compare, [Parameter] [string]$PreviousBaselinePath, [Parameter] [switch]$CommitToGitea ) Write-Host @" ██╗ ██╗██╗ █████╗ ██████╗ ██║ ██║██║██╔══██╗██╔═══██╗ ██║ ██║██║███████║██║ ██║ ██║ ██║██║██╔══██║██║ ██║ ╚██████╔╝██║██║ ██║╚██████╔╝ ╚═════╝ ╚═╝╚═╝ ╚═╝ ╚═════╝ Identity Modernization Assessment v1.0.0 "@ -ForegroundColor Cyan $timestamp = Get-Date -Format 'yyyyMMdd_HHmmss' $assessmentPath = "$script:ExportBasePath\Assessment_$timestamp" # Phase 1: AD Assessment (offline — no Entra connection needed) Write-Host "`n[Phase 1/4] AD Identity Inventory" -ForegroundColor Yellow Export-FMPIdentityBaseline -SearchBase $SearchBase -BaselinePath $assessmentPath # Phase 2: Entra Assessment (requires Graph connection) Write-Host "`n[Phase 2/4] Entra ID Assessment" -ForegroundColor Yellow Get-FMPPrivilegedAccessReport -ExportPath "$assessmentPath\privileged_access.json" # Phase 3: Legacy Auth Analysis Write-Host "`n[Phase 3/4] Legacy Authentication Analysis" -ForegroundColor Yellow Get-FMPLegacyAuthReport -ExportPath "$assessmentPath\legacy_auth.json" # Phase 4: Comparison (if requested) if ($Compare -and $PreviousBaselinePath) { Write-Host "`n[Phase 4/4] Drift Comparison" -ForegroundColor Yellow # Compare current vs previous baseline $currentUsers = Get-Content "$assessmentPath\users.json" | ConvertFrom-Json $previousUsers = Get-Content "$PreviousBaselinePath\users.json" | ConvertFrom-Json $newUsers = $currentUsers | Where-Object { $_.SamAccountName -notin $previousUsers.SamAccountName } $removedUsers = $previousUsers | Where-Object { $_.SamAccountName -notin $currentUsers.SamAccountName } $drift = [PSCustomObject]@{ NewUsers = $newUsers.Count RemovedUsers = $removedUsers.Count TotalCurrent = $currentUsers.Count TotalPrevious = $previousUsers.Count DriftDetected = ($newUsers.Count + $removedUsers.Count) -gt 0 } $drift | ConvertTo-Json | Out-File -FilePath "$assessmentPath\drift_report.json" -Encoding UTF8 Write-Host "Drift report: $($drift.NewUsers) new, $($drift.RemovedUsers) removed" -ForegroundColor $(if($drift.DriftDetected){'Yellow'}else{'Green'}) if ($CommitToGitea -and $drift.DriftDetected) { $driftSummary = "$($drift.NewUsers) new users, $($drift.RemovedUsers) removed users detected" $severity = if (($drift.NewUsers + $drift.RemovedUsers) -gt 50) { "High" } elseif (($drift.NewUsers + $drift.RemovedUsers) -gt 10) { "Medium" } else { "Low" } New-FMPGiteaDriftIssue -DriftSummary $driftSummary -Severity $severity -DiffContent (Get-Content "$assessmentPath\drift_report.json" -Raw) } } else { Write-Host "`n[Phase 4/4] Skipped (no comparison baseline specified)" -ForegroundColor DarkGray } Write-Host "`n=== Assessment Complete ===" -ForegroundColor Green Write-Host "Output: $assessmentPath" -ForegroundColor Cyan Write-Host "Next step: Review outputs and commit to Gitea for baseline tracking" -ForegroundColor Cyan }</w:t>
      </w:r>
    </w:p>
    <w:p>
      <w:pPr>
        <w:pStyle w:val="BodyText"/>
      </w:pPr>
      <w:r>
        <w:t xml:space="preserve">Appendix D — Companion Document Cross-Reference</w:t>
      </w:r>
    </w:p>
    <w:p>
      <w:pPr>
        <w:pStyle w:val="BodyText"/>
      </w:pPr>
      <w:r>
        <w:t xml:space="preserve">The following matrix maps the relationship between this document and every other the Federal Modernization Program Canon document. Each cell indicates the nature of the cross-reference:</w:t>
      </w:r>
      <w:r>
        <w:t xml:space="preserve"> </w:t>
      </w:r>
      <w:r>
        <w:rPr>
          <w:b/>
          <w:bCs/>
        </w:rPr>
        <w:t xml:space="preserve">Input</w:t>
      </w:r>
      <w:r>
        <w:t xml:space="preserve"> </w:t>
      </w:r>
      <w:r>
        <w:t xml:space="preserve">(this document consumes data from the companion),</w:t>
      </w:r>
      <w:r>
        <w:t xml:space="preserve"> </w:t>
      </w:r>
      <w:r>
        <w:rPr>
          <w:b/>
          <w:bCs/>
        </w:rPr>
        <w:t xml:space="preserve">Output</w:t>
      </w:r>
      <w:r>
        <w:t xml:space="preserve"> </w:t>
      </w:r>
      <w:r>
        <w:t xml:space="preserve">(this document produces data consumed by the companion), or</w:t>
      </w:r>
      <w:r>
        <w:t xml:space="preserve"> </w:t>
      </w:r>
      <w:r>
        <w:rPr>
          <w:b/>
          <w:bCs/>
        </w:rPr>
        <w:t xml:space="preserve">Mutual</w:t>
      </w:r>
      <w:r>
        <w:t xml:space="preserve"> </w:t>
      </w:r>
      <w:r>
        <w:t xml:space="preserve">(bidirectional dependency).</w:t>
      </w:r>
    </w:p>
    <w:tbl>
      <w:tblPr>
        <w:tblStyle w:val="Table"/>
        <w:tblW w:type="pct" w:w="4964"/>
        <w:tblLayout w:type="fixed"/>
        <w:tblLook w:firstRow="1" w:lastRow="0" w:firstColumn="0" w:lastColumn="0" w:noHBand="0" w:noVBand="0" w:val="0020"/>
      </w:tblPr>
      <w:tblGrid>
        <w:gridCol w:w="1209"/>
        <w:gridCol w:w="547"/>
        <w:gridCol w:w="1411"/>
        <w:gridCol w:w="1728"/>
        <w:gridCol w:w="2966"/>
      </w:tblGrid>
      <w:tr>
        <w:trPr>
          <w:tblHeader w:val="on"/>
        </w:trPr>
        <w:tc>
          <w:tcPr/>
          <w:p>
            <w:pPr>
              <w:pStyle w:val="Compact"/>
            </w:pPr>
            <w:r>
              <w:t xml:space="preserve">**The Federal Modernization Program Canon</w:t>
            </w:r>
          </w:p>
        </w:tc>
        <w:tc>
          <w:tcPr/>
          <w:p>
            <w:pPr>
              <w:pStyle w:val="Compact"/>
              <w:jc w:val="left"/>
            </w:pPr>
            <w:r>
              <w:t xml:space="preserve">Document**</w:t>
            </w:r>
          </w:p>
        </w:tc>
        <w:tc>
          <w:tcPr/>
          <w:p>
            <w:pPr>
              <w:pStyle w:val="Compact"/>
              <w:jc w:val="right"/>
            </w:pPr>
            <w:r>
              <w:rPr>
                <w:b/>
                <w:bCs/>
              </w:rPr>
              <w:t xml:space="preserve">Relationship</w:t>
            </w:r>
            <w:r>
              <w:t xml:space="preserve"> </w:t>
            </w:r>
            <w:r>
              <w:t xml:space="preserve">**This Document Sect</w:t>
            </w:r>
          </w:p>
        </w:tc>
        <w:tc>
          <w:tcPr/>
          <w:p>
            <w:pPr>
              <w:pStyle w:val="Compact"/>
              <w:jc w:val="left"/>
            </w:pPr>
            <w:r>
              <w:t xml:space="preserve">ions**</w:t>
            </w:r>
            <w:r>
              <w:t xml:space="preserve"> </w:t>
            </w:r>
            <w:r>
              <w:rPr>
                <w:b/>
                <w:bCs/>
              </w:rPr>
              <w:t xml:space="preserve">Companion Sections</w:t>
            </w:r>
          </w:p>
        </w:tc>
        <w:tc>
          <w:tcPr/>
          <w:p>
            <w:pPr>
              <w:pStyle w:val="Compact"/>
              <w:jc w:val="center"/>
            </w:pPr>
            <w:r>
              <w:rPr>
                <w:b/>
                <w:bCs/>
              </w:rPr>
              <w:t xml:space="preserve">Integration Points</w:t>
            </w:r>
          </w:p>
        </w:tc>
      </w:tr>
      <w:tr>
        <w:tc>
          <w:tcPr/>
          <w:p>
            <w:pPr>
              <w:pStyle w:val="Compact"/>
            </w:pPr>
            <w:r>
              <w:rPr>
                <w:b/>
                <w:bCs/>
              </w:rPr>
              <w:t xml:space="preserve">AD Computer Object Conversion Guide</w:t>
            </w:r>
          </w:p>
        </w:tc>
        <w:tc>
          <w:tcPr/>
          <w:p>
            <w:pPr>
              <w:pStyle w:val="Compact"/>
              <w:jc w:val="left"/>
            </w:pPr>
            <w:r>
              <w:t xml:space="preserve">Mutual</w:t>
            </w:r>
          </w:p>
        </w:tc>
        <w:tc>
          <w:tcPr/>
          <w:p>
            <w:pPr>
              <w:pStyle w:val="Compact"/>
              <w:jc w:val="right"/>
            </w:pPr>
            <w:r>
              <w:t xml:space="preserve">2.5, 8.5 (CA007, CA016), 13.4</w:t>
            </w:r>
          </w:p>
        </w:tc>
        <w:tc>
          <w:tcPr/>
          <w:p>
            <w:pPr>
              <w:pStyle w:val="Compact"/>
              <w:jc w:val="left"/>
            </w:pPr>
            <w:r>
              <w:t xml:space="preserve">Device join state, Hybrid join, Compliance</w:t>
            </w:r>
          </w:p>
        </w:tc>
        <w:tc>
          <w:tcPr/>
          <w:p>
            <w:pPr>
              <w:pStyle w:val="Compact"/>
              <w:jc w:val="center"/>
            </w:pPr>
            <w:r>
              <w:t xml:space="preserve">Device compliance feeds CA policy; computer object sync determines Hybrid join state</w:t>
            </w:r>
          </w:p>
        </w:tc>
      </w:tr>
      <w:tr>
        <w:tc>
          <w:tcPr/>
          <w:p>
            <w:pPr>
              <w:pStyle w:val="Compact"/>
            </w:pPr>
            <w:r>
              <w:rPr>
                <w:b/>
                <w:bCs/>
              </w:rPr>
              <w:t xml:space="preserve">AD Interaction Guide</w:t>
            </w:r>
          </w:p>
        </w:tc>
        <w:tc>
          <w:tcPr/>
          <w:p>
            <w:pPr>
              <w:pStyle w:val="Compact"/>
              <w:jc w:val="left"/>
            </w:pPr>
            <w:r>
              <w:t xml:space="preserve">Input</w:t>
            </w:r>
          </w:p>
        </w:tc>
        <w:tc>
          <w:tcPr/>
          <w:p>
            <w:pPr>
              <w:pStyle w:val="Compact"/>
              <w:jc w:val="right"/>
            </w:pPr>
            <w:r>
              <w:t xml:space="preserve">2 (all), 10.5, 13.1</w:t>
            </w:r>
          </w:p>
        </w:tc>
        <w:tc>
          <w:tcPr/>
          <w:p>
            <w:pPr>
              <w:pStyle w:val="Compact"/>
              <w:jc w:val="left"/>
            </w:pPr>
            <w:r>
              <w:t xml:space="preserve">AD query patterns, Trust mapping, Invoke-FMPADAssessment A</w:t>
            </w:r>
          </w:p>
        </w:tc>
        <w:tc>
          <w:tcPr/>
          <w:p>
            <w:pPr>
              <w:pStyle w:val="Compact"/>
              <w:jc w:val="center"/>
            </w:pPr>
            <w:r>
              <w:t xml:space="preserve">D assessment output feeds Phase 0; trust mapping informs cross-tenant design</w:t>
            </w:r>
          </w:p>
        </w:tc>
      </w:tr>
      <w:tr>
        <w:tc>
          <w:tcPr/>
          <w:p>
            <w:pPr>
              <w:pStyle w:val="Compact"/>
            </w:pPr>
            <w:r>
              <w:rPr>
                <w:b/>
                <w:bCs/>
              </w:rPr>
              <w:t xml:space="preserve">Platform Server Build Guide</w:t>
            </w:r>
          </w:p>
        </w:tc>
        <w:tc>
          <w:tcPr/>
          <w:p>
            <w:pPr>
              <w:pStyle w:val="Compact"/>
              <w:jc w:val="left"/>
            </w:pPr>
            <w:r>
              <w:t xml:space="preserve">Input</w:t>
            </w:r>
          </w:p>
        </w:tc>
        <w:tc>
          <w:tcPr/>
          <w:p>
            <w:pPr>
              <w:pStyle w:val="Compact"/>
              <w:jc w:val="right"/>
            </w:pPr>
            <w:r>
              <w:t xml:space="preserve">4.1, 4.4, 13.2</w:t>
            </w:r>
          </w:p>
        </w:tc>
        <w:tc>
          <w:tcPr/>
          <w:p>
            <w:pPr>
              <w:pStyle w:val="Compact"/>
              <w:jc w:val="left"/>
            </w:pPr>
            <w:r>
              <w:t xml:space="preserve">Server provisioning, Entra Connect server build</w:t>
            </w:r>
          </w:p>
        </w:tc>
        <w:tc>
          <w:tcPr/>
          <w:p>
            <w:pPr>
              <w:pStyle w:val="Compact"/>
              <w:jc w:val="center"/>
            </w:pPr>
            <w:r>
              <w:t xml:space="preserve">Entra Connect server built per Platform Server Build Guide specifications</w:t>
            </w:r>
          </w:p>
        </w:tc>
      </w:tr>
      <w:tr>
        <w:tc>
          <w:tcPr/>
          <w:p>
            <w:pPr>
              <w:pStyle w:val="Compact"/>
            </w:pPr>
            <w:r>
              <w:rPr>
                <w:b/>
                <w:bCs/>
              </w:rPr>
              <w:t xml:space="preserve">DNS Modernization Guide</w:t>
            </w:r>
          </w:p>
        </w:tc>
        <w:tc>
          <w:tcPr/>
          <w:p>
            <w:pPr>
              <w:pStyle w:val="Compact"/>
              <w:jc w:val="left"/>
            </w:pPr>
            <w:r>
              <w:t xml:space="preserve">Input</w:t>
            </w:r>
          </w:p>
        </w:tc>
        <w:tc>
          <w:tcPr/>
          <w:p>
            <w:pPr>
              <w:pStyle w:val="Compact"/>
              <w:jc w:val="right"/>
            </w:pPr>
            <w:r>
              <w:t xml:space="preserve">4.7, 11.1, 13.10</w:t>
            </w:r>
          </w:p>
        </w:tc>
        <w:tc>
          <w:tcPr/>
          <w:p>
            <w:pPr>
              <w:pStyle w:val="Compact"/>
              <w:jc w:val="left"/>
            </w:pPr>
            <w:r>
              <w:t xml:space="preserve">UPN suffix DNS, AD FS DNS records, Split-brain DNS</w:t>
            </w:r>
          </w:p>
        </w:tc>
        <w:tc>
          <w:tcPr/>
          <w:p>
            <w:pPr>
              <w:pStyle w:val="Compact"/>
              <w:jc w:val="center"/>
            </w:pPr>
            <w:r>
              <w:t xml:space="preserve">DNS namespace alignment required for UPN remediation; AD FS decommission requires DNS cleanup</w:t>
            </w:r>
          </w:p>
        </w:tc>
      </w:tr>
      <w:tr>
        <w:tc>
          <w:tcPr/>
          <w:p>
            <w:pPr>
              <w:pStyle w:val="Compact"/>
            </w:pPr>
            <w:r>
              <w:rPr>
                <w:b/>
                <w:bCs/>
              </w:rPr>
              <w:t xml:space="preserve">PKI Modernization Guide</w:t>
            </w:r>
          </w:p>
        </w:tc>
        <w:tc>
          <w:tcPr/>
          <w:p>
            <w:pPr>
              <w:pStyle w:val="Compact"/>
              <w:jc w:val="left"/>
            </w:pPr>
            <w:r>
              <w:t xml:space="preserve">Input</w:t>
            </w:r>
          </w:p>
        </w:tc>
        <w:tc>
          <w:tcPr/>
          <w:p>
            <w:pPr>
              <w:pStyle w:val="Compact"/>
              <w:jc w:val="right"/>
            </w:pPr>
            <w:r>
              <w:t xml:space="preserve">6.1, 11.2 (Phase 4)</w:t>
            </w:r>
          </w:p>
        </w:tc>
        <w:tc>
          <w:tcPr/>
          <w:p>
            <w:pPr>
              <w:pStyle w:val="Compact"/>
              <w:jc w:val="left"/>
            </w:pPr>
            <w:r>
              <w:t xml:space="preserve">Cloud PKI, CBA configuration, Smart card migration</w:t>
            </w:r>
          </w:p>
        </w:tc>
        <w:tc>
          <w:tcPr/>
          <w:p>
            <w:pPr>
              <w:pStyle w:val="Compact"/>
              <w:jc w:val="center"/>
            </w:pPr>
            <w:r>
              <w:t xml:space="preserve">Certificate-based authentication deployment depends on PKI modernization state</w:t>
            </w:r>
          </w:p>
        </w:tc>
      </w:tr>
      <w:tr>
        <w:tc>
          <w:tcPr/>
          <w:p>
            <w:pPr>
              <w:pStyle w:val="Compact"/>
            </w:pPr>
            <w:r>
              <w:t xml:space="preserve">**The Federal Modernization Program CLI an</w:t>
            </w:r>
          </w:p>
        </w:tc>
        <w:tc>
          <w:tcPr/>
          <w:p>
            <w:pPr>
              <w:pStyle w:val="Compact"/>
              <w:jc w:val="left"/>
            </w:pPr>
            <w:r>
              <w:t xml:space="preserve">d Operations Guide*</w:t>
            </w:r>
          </w:p>
        </w:tc>
        <w:tc>
          <w:tcPr/>
          <w:p>
            <w:pPr>
              <w:pStyle w:val="Compact"/>
              <w:jc w:val="right"/>
            </w:pPr>
            <w:r>
              <w:t xml:space="preserve">* Mutual 14 (all), Appendix C</w:t>
            </w:r>
          </w:p>
        </w:tc>
        <w:tc>
          <w:tcPr/>
          <w:p>
            <w:pPr>
              <w:pStyle w:val="Compact"/>
              <w:jc w:val="left"/>
            </w:pPr>
            <w:r>
              <w:t xml:space="preserve">Gitea API patterns, CLI framewo</w:t>
            </w:r>
          </w:p>
        </w:tc>
        <w:tc>
          <w:tcPr/>
          <w:p>
            <w:pPr>
              <w:pStyle w:val="Compact"/>
              <w:jc w:val="center"/>
            </w:pPr>
            <w:r>
              <w:t xml:space="preserve">rk, Scheduled tasks Identity assessment module follows CLI patterns; Gitea integration uses shared API framework</w:t>
            </w:r>
          </w:p>
        </w:tc>
      </w:tr>
      <w:tr>
        <w:tc>
          <w:tcPr/>
          <w:p>
            <w:pPr>
              <w:pStyle w:val="Compact"/>
            </w:pPr>
            <w:r>
              <w:rPr>
                <w:b/>
                <w:bCs/>
              </w:rPr>
              <w:t xml:space="preserve">Intune Device Management Guide</w:t>
            </w:r>
          </w:p>
        </w:tc>
        <w:tc>
          <w:tcPr/>
          <w:p>
            <w:pPr>
              <w:pStyle w:val="Compact"/>
              <w:jc w:val="left"/>
            </w:pPr>
            <w:r>
              <w:t xml:space="preserve">Output</w:t>
            </w:r>
          </w:p>
        </w:tc>
        <w:tc>
          <w:tcPr/>
          <w:p>
            <w:pPr>
              <w:pStyle w:val="Compact"/>
              <w:jc w:val="right"/>
            </w:pPr>
            <w:r>
              <w:t xml:space="preserve">8.4, 8.5 (CA007, CA016, CA017), 11.2 (Phase 2)</w:t>
            </w:r>
          </w:p>
        </w:tc>
        <w:tc>
          <w:tcPr/>
          <w:p>
            <w:pPr>
              <w:pStyle w:val="Compact"/>
              <w:jc w:val="left"/>
            </w:pPr>
            <w:r>
              <w:t xml:space="preserve">Device compliance policies, WHfB deployment</w:t>
            </w:r>
          </w:p>
        </w:tc>
        <w:tc>
          <w:tcPr/>
          <w:p>
            <w:pPr>
              <w:pStyle w:val="Compact"/>
              <w:jc w:val="center"/>
            </w:pPr>
            <w:r>
              <w:t xml:space="preserve">CA policies reference Intune compliance; WHfB deployment requires Intune policy</w:t>
            </w:r>
          </w:p>
        </w:tc>
      </w:tr>
      <w:tr>
        <w:tc>
          <w:tcPr/>
          <w:p>
            <w:pPr>
              <w:pStyle w:val="Compact"/>
            </w:pPr>
            <w:r>
              <w:rPr>
                <w:b/>
                <w:bCs/>
              </w:rPr>
              <w:t xml:space="preserve">Exchange Online Governance Guide</w:t>
            </w:r>
          </w:p>
        </w:tc>
        <w:tc>
          <w:tcPr/>
          <w:p>
            <w:pPr>
              <w:pStyle w:val="Compact"/>
              <w:jc w:val="left"/>
            </w:pPr>
            <w:r>
              <w:t xml:space="preserve">Output</w:t>
            </w:r>
          </w:p>
        </w:tc>
        <w:tc>
          <w:tcPr/>
          <w:p>
            <w:pPr>
              <w:pStyle w:val="Compact"/>
              <w:jc w:val="right"/>
            </w:pPr>
            <w:r>
              <w:t xml:space="preserve">2.3, 5.5, 9.3.4, 11.4</w:t>
            </w:r>
          </w:p>
        </w:tc>
        <w:tc>
          <w:tcPr/>
          <w:p>
            <w:pPr>
              <w:pStyle w:val="Compact"/>
              <w:jc w:val="left"/>
            </w:pPr>
            <w:r>
              <w:t xml:space="preserve">Distribution group management, Shared mailbox lifecycle</w:t>
            </w:r>
          </w:p>
        </w:tc>
        <w:tc>
          <w:tcPr/>
          <w:p>
            <w:pPr>
              <w:pStyle w:val="Compact"/>
              <w:jc w:val="center"/>
            </w:pPr>
            <w:r>
              <w:t xml:space="preserve">Group migration affects Exchange distribution lists; leaver workflow converts mailbox to shared</w:t>
            </w:r>
          </w:p>
        </w:tc>
      </w:tr>
      <w:tr>
        <w:tc>
          <w:tcPr/>
          <w:p>
            <w:pPr>
              <w:pStyle w:val="Compact"/>
            </w:pPr>
            <w:r>
              <w:rPr>
                <w:b/>
                <w:bCs/>
              </w:rPr>
              <w:t xml:space="preserve">SharePoint Online Governance Guide</w:t>
            </w:r>
          </w:p>
        </w:tc>
        <w:tc>
          <w:tcPr/>
          <w:p>
            <w:pPr>
              <w:pStyle w:val="Compact"/>
              <w:jc w:val="left"/>
            </w:pPr>
            <w:r>
              <w:t xml:space="preserve">Output</w:t>
            </w:r>
          </w:p>
        </w:tc>
        <w:tc>
          <w:tcPr/>
          <w:p>
            <w:pPr>
              <w:pStyle w:val="Compact"/>
              <w:jc w:val="right"/>
            </w:pPr>
            <w:r>
              <w:t xml:space="preserve">5.5, 9.2, 10.1</w:t>
            </w:r>
          </w:p>
        </w:tc>
        <w:tc>
          <w:tcPr/>
          <w:p>
            <w:pPr>
              <w:pStyle w:val="Compact"/>
              <w:jc w:val="left"/>
            </w:pPr>
            <w:r>
              <w:t xml:space="preserve">Site permissions, External sharing, Access packages</w:t>
            </w:r>
          </w:p>
        </w:tc>
        <w:tc>
          <w:tcPr/>
          <w:p>
            <w:pPr>
              <w:pStyle w:val="Compact"/>
              <w:jc w:val="center"/>
            </w:pPr>
            <w:r>
              <w:t xml:space="preserve">Access packages include SharePoint site access; B2B guest access governs external sharing</w:t>
            </w:r>
          </w:p>
        </w:tc>
      </w:tr>
      <w:tr>
        <w:tc>
          <w:tcPr/>
          <w:p>
            <w:pPr>
              <w:pStyle w:val="Compact"/>
            </w:pPr>
            <w:r>
              <w:rPr>
                <w:b/>
                <w:bCs/>
              </w:rPr>
              <w:t xml:space="preserve">Security Operations Guide</w:t>
            </w:r>
          </w:p>
        </w:tc>
        <w:tc>
          <w:tcPr/>
          <w:p>
            <w:pPr>
              <w:pStyle w:val="Compact"/>
              <w:jc w:val="left"/>
            </w:pPr>
            <w:r>
              <w:t xml:space="preserve">Output</w:t>
            </w:r>
          </w:p>
        </w:tc>
        <w:tc>
          <w:tcPr/>
          <w:p>
            <w:pPr>
              <w:pStyle w:val="Compact"/>
              <w:jc w:val="right"/>
            </w:pPr>
            <w:r>
              <w:t xml:space="preserve">7.5, 12 (all), 14.2</w:t>
            </w:r>
          </w:p>
        </w:tc>
        <w:tc>
          <w:tcPr/>
          <w:p>
            <w:pPr>
              <w:pStyle w:val="Compact"/>
              <w:jc w:val="left"/>
            </w:pPr>
            <w:r>
              <w:t xml:space="preserve">Alert triage, Incident response, Detection engineering</w:t>
            </w:r>
          </w:p>
        </w:tc>
        <w:tc>
          <w:tcPr/>
          <w:p>
            <w:pPr>
              <w:pStyle w:val="Compact"/>
              <w:jc w:val="center"/>
            </w:pPr>
            <w:r>
              <w:t xml:space="preserve">Identity detection rules feed security operations; break-glass activation triggers incident response</w:t>
            </w:r>
          </w:p>
        </w:tc>
      </w:tr>
    </w:tbl>
    <w:p>
      <w:pPr>
        <w:pStyle w:val="BodyText"/>
      </w:pPr>
      <w:r>
        <w:rPr>
          <w:b/>
          <w:bCs/>
        </w:rPr>
        <w:t xml:space="preserve">The Federal Modernization Program Identity Modernization Guide — Active Directory to Entra ID Governance Transformation</w:t>
      </w:r>
      <w:r>
        <w:br/>
      </w:r>
      <w:r>
        <w:t xml:space="preserve">Version 1.0 | Classification: Controlled | Boundary: GCC-Moderate</w:t>
      </w:r>
      <w:r>
        <w:br/>
      </w:r>
      <w:r>
        <w:t xml:space="preserve">The Federal Modernization Program Canon — Companion Document</w:t>
      </w:r>
      <w:r>
        <w:br/>
      </w:r>
      <w:r>
        <w:t xml:space="preserve">Generated: 11 May 2026 | Author: Michael</w:t>
      </w:r>
      <w:r>
        <w:br/>
      </w:r>
      <w:r>
        <w:t xml:space="preserve">This document is authoritative within the Federal Modernization Program operational boundary. All modifications must be committed to the Gitea configuration repository with a descriptive commit message referencing the change rationale and affected sections.</w:t>
      </w:r>
    </w:p>
    <w:p>
      <w:r>
        <w:pict>
          <v:rect style="width:0;height:1.5pt" o:hralign="center" o:hrstd="t" o:hr="t"/>
        </w:pict>
      </w:r>
    </w:p>
    <w:bookmarkStart w:id="485" w:name="Xc52a3b0a5d7e5f4ae8c563053a0e02af5009bfa"/>
    <w:p>
      <w:pPr>
        <w:pStyle w:val="Heading2"/>
      </w:pPr>
      <w:r>
        <w:t xml:space="preserve">Compliance Amendment — Phishing-Resistant Authenticators and Privileged Access Workstations (</w:t>
      </w:r>
      <w:r>
        <w:rPr>
          <w:rStyle w:val="VerbatimChar"/>
        </w:rPr>
        <w:t xml:space="preserve">IA-2(6)</w:t>
      </w:r>
      <w:r>
        <w:t xml:space="preserve">,</w:t>
      </w:r>
      <w:r>
        <w:t xml:space="preserve"> </w:t>
      </w:r>
      <w:r>
        <w:rPr>
          <w:rStyle w:val="VerbatimChar"/>
        </w:rPr>
        <w:t xml:space="preserve">AC-6(7)</w:t>
      </w:r>
      <w:r>
        <w:t xml:space="preserve">)</w:t>
      </w:r>
    </w:p>
    <w:bookmarkStart w:id="483" w:name="fido2-piv-cac-mapping-ia-26"/>
    <w:p>
      <w:pPr>
        <w:pStyle w:val="Heading3"/>
      </w:pPr>
      <w:r>
        <w:t xml:space="preserve">FIDO2 / PIV / CAC mapping (</w:t>
      </w:r>
      <w:r>
        <w:rPr>
          <w:rStyle w:val="VerbatimChar"/>
        </w:rPr>
        <w:t xml:space="preserve">IA-2(6)</w:t>
      </w:r>
      <w:r>
        <w:t xml:space="preserve">)</w:t>
      </w:r>
    </w:p>
    <w:p>
      <w:pPr>
        <w:pStyle w:val="FirstParagraph"/>
      </w:pPr>
      <w:r>
        <w:t xml:space="preserve">Privileged and high-assurance access requires phishing-resistant, hardware-bound authenticators. Authenticator types map to Entra ID methods as follows:</w:t>
      </w:r>
    </w:p>
    <w:p>
      <w:pPr>
        <w:pStyle w:val="Compact"/>
        <w:numPr>
          <w:ilvl w:val="0"/>
          <w:numId w:val="1249"/>
        </w:numPr>
      </w:pPr>
      <w:r>
        <w:rPr>
          <w:b/>
          <w:bCs/>
        </w:rPr>
        <w:t xml:space="preserve">FIDO2 security keys</w:t>
      </w:r>
      <w:r>
        <w:t xml:space="preserve"> </w:t>
      </w:r>
      <w:r>
        <w:t xml:space="preserve">— the primary phishing-resistant method for cloud-native administrators; registered as a FIDO2 method and required by Conditional Access for privileged roles.</w:t>
      </w:r>
    </w:p>
    <w:p>
      <w:pPr>
        <w:pStyle w:val="Compact"/>
        <w:numPr>
          <w:ilvl w:val="0"/>
          <w:numId w:val="1249"/>
        </w:numPr>
      </w:pPr>
      <w:r>
        <w:rPr>
          <w:b/>
          <w:bCs/>
        </w:rPr>
        <w:t xml:space="preserve">PIV / CAC smart cards</w:t>
      </w:r>
      <w:r>
        <w:t xml:space="preserve"> </w:t>
      </w:r>
      <w:r>
        <w:t xml:space="preserve">— federal-issued credentials map via certificate-based authentication (CBA) to Entra ID, satisfying</w:t>
      </w:r>
      <w:r>
        <w:t xml:space="preserve"> </w:t>
      </w:r>
      <w:r>
        <w:rPr>
          <w:rStyle w:val="VerbatimChar"/>
        </w:rPr>
        <w:t xml:space="preserve">IA-2(6)</w:t>
      </w:r>
      <w:r>
        <w:t xml:space="preserve"> </w:t>
      </w:r>
      <w:r>
        <w:t xml:space="preserve">(access to privileged accounts using a hardware-based authenticator).</w:t>
      </w:r>
    </w:p>
    <w:p>
      <w:pPr>
        <w:pStyle w:val="Compact"/>
        <w:numPr>
          <w:ilvl w:val="0"/>
          <w:numId w:val="1249"/>
        </w:numPr>
      </w:pPr>
      <w:r>
        <w:t xml:space="preserve">Password and SMS/voice methods are disallowed for privileged roles.</w:t>
      </w:r>
    </w:p>
    <w:bookmarkEnd w:id="483"/>
    <w:bookmarkStart w:id="484" w:name="Xaa311b8d225da5bbe02222daaccd560f227688d"/>
    <w:p>
      <w:pPr>
        <w:pStyle w:val="Heading3"/>
      </w:pPr>
      <w:r>
        <w:t xml:space="preserve">Privileged Access Workstation (PAW) guidance (</w:t>
      </w:r>
      <w:r>
        <w:rPr>
          <w:rStyle w:val="VerbatimChar"/>
        </w:rPr>
        <w:t xml:space="preserve">AC-6(7)</w:t>
      </w:r>
      <w:r>
        <w:t xml:space="preserve">)</w:t>
      </w:r>
    </w:p>
    <w:p>
      <w:pPr>
        <w:pStyle w:val="FirstParagraph"/>
      </w:pPr>
      <w:r>
        <w:t xml:space="preserve">Administration of privileged roles is performed only from a Privileged Access Workstation — a hardened, separately-governed device with no general productivity or browsing surface. PAWs enforce device-compliance Conditional Access, are excluded from standard user policy, and are reviewed for least-privilege role assignment per</w:t>
      </w:r>
      <w:r>
        <w:t xml:space="preserve"> </w:t>
      </w:r>
      <w:r>
        <w:rPr>
          <w:rStyle w:val="VerbatimChar"/>
        </w:rPr>
        <w:t xml:space="preserve">AC-6(7)</w:t>
      </w:r>
      <w:r>
        <w:t xml:space="preserve">. Administrative actions from non-PAW devices are blocked.</w:t>
      </w:r>
    </w:p>
    <w:bookmarkEnd w:id="484"/>
    <w:bookmarkEnd w:id="485"/>
    <w:bookmarkEnd w:id="486"/>
    <w:bookmarkStart w:id="490" w:name="intune-azure-arc-modernization"/>
    <w:p>
      <w:pPr>
        <w:pStyle w:val="Heading1"/>
      </w:pPr>
      <w:r>
        <w:t xml:space="preserve">Intune + Azure Arc Modernization</w:t>
      </w:r>
    </w:p>
    <w:p>
      <w:pPr>
        <w:pStyle w:val="FirstParagraph"/>
      </w:pPr>
      <w:r>
        <w:t xml:space="preserve">This kit is the device- and server-plane workstream of</w:t>
      </w:r>
      <w:r>
        <w:t xml:space="preserve"> </w:t>
      </w:r>
      <w:r>
        <w:rPr>
          <w:b/>
          <w:bCs/>
        </w:rPr>
        <w:t xml:space="preserve">OrgMod</w:t>
      </w:r>
      <w:r>
        <w:t xml:space="preserve">, the</w:t>
      </w:r>
      <w:r>
        <w:t xml:space="preserve"> </w:t>
      </w:r>
      <w:r>
        <w:t xml:space="preserve">modernization expression of the Federal Modernization Program substrate (see the</w:t>
      </w:r>
      <w:r>
        <w:t xml:space="preserve"> </w:t>
      </w:r>
      <w:r>
        <w:t xml:space="preserve">OrgMod hub).</w:t>
      </w:r>
    </w:p>
    <w:p>
      <w:pPr>
        <w:pStyle w:val="BodyText"/>
      </w:pPr>
      <w:r>
        <w:t xml:space="preserve">This kit modernizes a Hybrid Active Directory estate onto</w:t>
      </w:r>
      <w:r>
        <w:t xml:space="preserve"> </w:t>
      </w:r>
      <w:r>
        <w:rPr>
          <w:b/>
          <w:bCs/>
        </w:rPr>
        <w:t xml:space="preserve">Microsoft Intune</w:t>
      </w:r>
      <w:r>
        <w:t xml:space="preserve"> </w:t>
      </w:r>
      <w:r>
        <w:t xml:space="preserve">(workstations) and</w:t>
      </w:r>
      <w:r>
        <w:t xml:space="preserve"> </w:t>
      </w:r>
      <w:r>
        <w:rPr>
          <w:b/>
          <w:bCs/>
        </w:rPr>
        <w:t xml:space="preserve">Azure Arc</w:t>
      </w:r>
      <w:r>
        <w:t xml:space="preserve"> </w:t>
      </w:r>
      <w:r>
        <w:t xml:space="preserve">(servers), and closes out the identity work</w:t>
      </w:r>
      <w:r>
        <w:t xml:space="preserve"> </w:t>
      </w:r>
      <w:r>
        <w:t xml:space="preserve">that rides alongside it — NTLM elimination, SPN hygiene, SQL Server hardening,</w:t>
      </w:r>
      <w:r>
        <w:t xml:space="preserve"> </w:t>
      </w:r>
      <w:r>
        <w:t xml:space="preserve">and a Conditional Access baseline. It names only platforms the agency already</w:t>
      </w:r>
      <w:r>
        <w:t xml:space="preserve"> </w:t>
      </w:r>
      <w:r>
        <w:t xml:space="preserve">runs: Entra ID, Intune, Azure Arc, Azure Policy, Defender, and Active Directory.</w:t>
      </w:r>
    </w:p>
    <w:p>
      <w:pPr>
        <w:pStyle w:val="BodyText"/>
      </w:pPr>
      <w:r>
        <w:t xml:space="preserve">It is runnable</w:t>
      </w:r>
      <w:r>
        <w:t xml:space="preserve"> </w:t>
      </w:r>
      <w:r>
        <w:rPr>
          <w:b/>
          <w:bCs/>
        </w:rPr>
        <w:t xml:space="preserve">two ways from the same scripts</w:t>
      </w:r>
      <w:r>
        <w:t xml:space="preserve">:</w:t>
      </w:r>
    </w:p>
    <w:p>
      <w:pPr>
        <w:pStyle w:val="Compact"/>
        <w:numPr>
          <w:ilvl w:val="0"/>
          <w:numId w:val="1250"/>
        </w:numPr>
      </w:pPr>
      <w:r>
        <w:t xml:space="preserve">a</w:t>
      </w:r>
      <w:r>
        <w:t xml:space="preserve"> </w:t>
      </w:r>
      <w:r>
        <w:rPr>
          <w:b/>
          <w:bCs/>
        </w:rPr>
        <w:t xml:space="preserve">manual path</w:t>
      </w:r>
      <w:r>
        <w:t xml:space="preserve"> </w:t>
      </w:r>
      <w:r>
        <w:t xml:space="preserve">— you preview each change with</w:t>
      </w:r>
      <w:r>
        <w:t xml:space="preserve"> </w:t>
      </w:r>
      <w:r>
        <w:rPr>
          <w:rStyle w:val="VerbatimChar"/>
        </w:rPr>
        <w:t xml:space="preserve">-WhatIf</w:t>
      </w:r>
      <w:r>
        <w:t xml:space="preserve"> </w:t>
      </w:r>
      <w:r>
        <w:t xml:space="preserve">and own the decision under local change control; and</w:t>
      </w:r>
    </w:p>
    <w:p>
      <w:pPr>
        <w:pStyle w:val="Compact"/>
        <w:numPr>
          <w:ilvl w:val="0"/>
          <w:numId w:val="1250"/>
        </w:numPr>
      </w:pPr>
      <w:r>
        <w:t xml:space="preserve">a</w:t>
      </w:r>
      <w:r>
        <w:t xml:space="preserve"> </w:t>
      </w:r>
      <w:r>
        <w:rPr>
          <w:b/>
          <w:bCs/>
        </w:rPr>
        <w:t xml:space="preserve">the Federal Modernization Program-governed path</w:t>
      </w:r>
      <w:r>
        <w:t xml:space="preserve"> </w:t>
      </w:r>
      <w:r>
        <w:t xml:space="preserve">— every change is</w:t>
      </w:r>
      <w:r>
        <w:t xml:space="preserve"> </w:t>
      </w:r>
      <w:r>
        <w:t xml:space="preserve">bound to an actuation rung and a recorded approval.</w:t>
      </w:r>
    </w:p>
    <w:p>
      <w:pPr>
        <w:pStyle w:val="FirstParagraph"/>
      </w:pPr>
      <w:r>
        <w:t xml:space="preserve">If you build the manual path now and want governance later, you do</w:t>
      </w:r>
      <w:r>
        <w:t xml:space="preserve"> </w:t>
      </w:r>
      <w:r>
        <w:rPr>
          <w:b/>
          <w:bCs/>
        </w:rPr>
        <w:t xml:space="preserve">not</w:t>
      </w:r>
      <w:r>
        <w:t xml:space="preserve"> </w:t>
      </w:r>
      <w:r>
        <w:t xml:space="preserve">redo</w:t>
      </w:r>
      <w:r>
        <w:t xml:space="preserve"> </w:t>
      </w:r>
      <w:r>
        <w:t xml:space="preserve">the work.</w:t>
      </w:r>
    </w:p>
    <w:p>
      <w:pPr>
        <w:pStyle w:val="BodyText"/>
      </w:pPr>
      <w:r>
        <w:t xml:space="preserve">The companion</w:t>
      </w:r>
      <w:r>
        <w:t xml:space="preserve"> </w:t>
      </w:r>
      <w:r>
        <w:rPr>
          <w:b/>
          <w:bCs/>
        </w:rPr>
        <w:t xml:space="preserve">Intune + Azure Arc Modernization Kit</w:t>
      </w:r>
      <w:r>
        <w:t xml:space="preserve"> </w:t>
      </w:r>
      <w:r>
        <w:t xml:space="preserve">ships these pages alongside an implementation-path guide, a shared PowerShell</w:t>
      </w:r>
      <w:r>
        <w:t xml:space="preserve"> </w:t>
      </w:r>
      <w:r>
        <w:t xml:space="preserve">module, and Microsoft Graph / Az scripts (Arc onboarding + baseline,</w:t>
      </w:r>
      <w:r>
        <w:t xml:space="preserve"> </w:t>
      </w:r>
      <w:r>
        <w:t xml:space="preserve">Intune auto-enrollment + posture, NTLM audit + restriction, SPN repair, SQL</w:t>
      </w:r>
      <w:r>
        <w:t xml:space="preserve"> </w:t>
      </w:r>
      <w:r>
        <w:t xml:space="preserve">hardening audit, CA baseline + drift, and a cross-domain status roll-up). Every state-changing script honors</w:t>
      </w:r>
      <w:r>
        <w:t xml:space="preserve"> </w:t>
      </w:r>
      <w:r>
        <w:rPr>
          <w:rStyle w:val="VerbatimChar"/>
        </w:rPr>
        <w:t xml:space="preserve">-WhatIf</w:t>
      </w:r>
      <w:r>
        <w:t xml:space="preserve">.</w:t>
      </w:r>
    </w:p>
    <w:bookmarkStart w:id="487" w:name="the-pages"/>
    <w:p>
      <w:pPr>
        <w:pStyle w:val="Heading2"/>
      </w:pPr>
      <w:r>
        <w:t xml:space="preserve">The pages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Page</w:t>
            </w:r>
          </w:p>
        </w:tc>
        <w:tc>
          <w:tcPr/>
          <w:p>
            <w:pPr>
              <w:pStyle w:val="Compact"/>
            </w:pPr>
            <w:r>
              <w:t xml:space="preserve">What it covers</w:t>
            </w:r>
          </w:p>
        </w:tc>
      </w:tr>
      <w:tr>
        <w:tc>
          <w:tcPr/>
          <w:p>
            <w:pPr>
              <w:pStyle w:val="Compact"/>
            </w:pPr>
            <w:r>
              <w:t xml:space="preserve">Manual path</w:t>
            </w:r>
          </w:p>
        </w:tc>
        <w:tc>
          <w:tcPr/>
          <w:p>
            <w:pPr>
              <w:pStyle w:val="Compact"/>
            </w:pPr>
            <w:r>
              <w:t xml:space="preserve">The end-to-end technical runbook with no governance control plane — Arc onboarding, Intune enrollment, NTLM/SPN/SQL hardening, Conditional Access, monitoring, and rollback. Each operator owns the decision.</w:t>
            </w:r>
          </w:p>
        </w:tc>
      </w:tr>
      <w:tr>
        <w:tc>
          <w:tcPr/>
          <w:p>
            <w:pPr>
              <w:pStyle w:val="Compact"/>
            </w:pPr>
            <w:r>
              <w:t xml:space="preserve">Governed path (the Federal Modernization Program)</w:t>
            </w:r>
          </w:p>
        </w:tc>
        <w:tc>
          <w:tcPr/>
          <w:p>
            <w:pPr>
              <w:pStyle w:val="Compact"/>
            </w:pPr>
            <w:r>
              <w:t xml:space="preserve">The same end state, bound to canon governance — control-plane-governs-data-plane, the L0–L4 actuation ladder, the drift-detection loop, and evidence.</w:t>
            </w:r>
          </w:p>
        </w:tc>
      </w:tr>
    </w:tbl>
    <w:bookmarkEnd w:id="487"/>
    <w:bookmarkStart w:id="488" w:name="how-the-two-paths-relate"/>
    <w:p>
      <w:pPr>
        <w:pStyle w:val="Heading2"/>
      </w:pPr>
      <w:r>
        <w:t xml:space="preserve">How the two paths relate</w:t>
      </w:r>
    </w:p>
    <w:p>
      <w:pPr>
        <w:pStyle w:val="FirstParagraph"/>
      </w:pPr>
      <w:r>
        <w:t xml:space="preserve">The manual path and the governed path produce the</w:t>
      </w:r>
      <w:r>
        <w:t xml:space="preserve"> </w:t>
      </w:r>
      <w:r>
        <w:rPr>
          <w:b/>
          <w:bCs/>
        </w:rPr>
        <w:t xml:space="preserve">same configuration</w:t>
      </w:r>
      <w:r>
        <w:t xml:space="preserve"> </w:t>
      </w:r>
      <w:r>
        <w:t xml:space="preserve">on the</w:t>
      </w:r>
      <w:r>
        <w:t xml:space="preserve"> </w:t>
      </w:r>
      <w:r>
        <w:t xml:space="preserve">Microsoft surface. The governed path adds the binding from organizational intent</w:t>
      </w:r>
      <w:r>
        <w:t xml:space="preserve"> </w:t>
      </w:r>
      <w:r>
        <w:t xml:space="preserve">to technical change: who owns it, what authorizes it, and how drift is caught.</w:t>
      </w:r>
    </w:p>
    <w:bookmarkEnd w:id="488"/>
    <w:bookmarkStart w:id="489" w:name="terminology"/>
    <w:p>
      <w:pPr>
        <w:pStyle w:val="Heading2"/>
      </w:pPr>
      <w:r>
        <w:t xml:space="preserve">A note on terminology</w:t>
      </w:r>
    </w:p>
    <w:p>
      <w:pPr>
        <w:pStyle w:val="FirstParagraph"/>
      </w:pPr>
      <w:r>
        <w:t xml:space="preserve">In this repository,</w:t>
      </w:r>
      <w:r>
        <w:t xml:space="preserve"> </w:t>
      </w:r>
      <w:r>
        <w:rPr>
          <w:b/>
          <w:bCs/>
        </w:rPr>
        <w:t xml:space="preserve">the Federal Modernization Program</w:t>
      </w:r>
      <w:r>
        <w:t xml:space="preserve"> </w:t>
      </w:r>
      <w:r>
        <w:t xml:space="preserve">is the</w:t>
      </w:r>
      <w:r>
        <w:t xml:space="preserve"> </w:t>
      </w:r>
      <w:r>
        <w:rPr>
          <w:i/>
          <w:iCs/>
        </w:rPr>
        <w:t xml:space="preserve">Unified Identity-Addressing-Overlay</w:t>
      </w:r>
      <w:r>
        <w:rPr>
          <w:i/>
          <w:iCs/>
        </w:rPr>
        <w:t xml:space="preserve"> </w:t>
      </w:r>
      <w:r>
        <w:rPr>
          <w:i/>
          <w:iCs/>
        </w:rPr>
        <w:t xml:space="preserve">Architecture</w:t>
      </w:r>
      <w:r>
        <w:t xml:space="preserve"> </w:t>
      </w:r>
      <w:r>
        <w:t xml:space="preserve">— an</w:t>
      </w:r>
      <w:r>
        <w:t xml:space="preserve"> </w:t>
      </w:r>
      <w:r>
        <w:rPr>
          <w:b/>
          <w:bCs/>
        </w:rPr>
        <w:t xml:space="preserve">active reconciliation control plane</w:t>
      </w:r>
      <w:r>
        <w:t xml:space="preserve"> </w:t>
      </w:r>
      <w:r>
        <w:t xml:space="preserve">that</w:t>
      </w:r>
      <w:r>
        <w:t xml:space="preserve"> </w:t>
      </w:r>
      <w:r>
        <w:rPr>
          <w:i/>
          <w:iCs/>
        </w:rPr>
        <w:t xml:space="preserve">governs</w:t>
      </w:r>
      <w:r>
        <w:t xml:space="preserve"> </w:t>
      </w:r>
      <w:r>
        <w:t xml:space="preserve">provider data planes (Entra, Intune, Azure Policy, AD) per</w:t>
      </w:r>
      <w:r>
        <w:t xml:space="preserve"> </w:t>
      </w:r>
      <w:r>
        <w:t xml:space="preserve">the program decision. It holds desired state,</w:t>
      </w:r>
      <w:r>
        <w:t xml:space="preserve"> </w:t>
      </w:r>
      <w:r>
        <w:t xml:space="preserve">observes actual state, classifies drift, and reconciles toward intent; it is</w:t>
      </w:r>
      <w:r>
        <w:t xml:space="preserve"> </w:t>
      </w:r>
      <w:r>
        <w:rPr>
          <w:b/>
          <w:bCs/>
        </w:rPr>
        <w:t xml:space="preserve">not</w:t>
      </w:r>
      <w:r>
        <w:t xml:space="preserve"> </w:t>
      </w:r>
      <w:r>
        <w:t xml:space="preserve">an inline runtime component and does not replace the providers.</w:t>
      </w:r>
      <w:r>
        <w:t xml:space="preserve"> </w:t>
      </w:r>
      <w:r>
        <w:t xml:space="preserve">The governed path below is written to that definition.</w:t>
      </w:r>
    </w:p>
    <w:bookmarkEnd w:id="489"/>
    <w:bookmarkEnd w:id="490"/>
    <w:bookmarkStart w:id="494" w:name="intune-azure-arc-modernization-1"/>
    <w:p>
      <w:pPr>
        <w:pStyle w:val="Heading1"/>
      </w:pPr>
      <w:r>
        <w:t xml:space="preserve">Intune + Azure Arc Modernization</w:t>
      </w:r>
    </w:p>
    <w:p>
      <w:pPr>
        <w:pStyle w:val="FirstParagraph"/>
      </w:pPr>
      <w:r>
        <w:t xml:space="preserve">Three paths to the same technical end state.</w:t>
      </w:r>
    </w:p>
    <w:tbl>
      <w:tblPr>
        <w:tblStyle w:val="Table"/>
        <w:tblW w:type="pct" w:w="5000"/>
        <w:tblLayout w:type="fixed"/>
        <w:tblLook w:firstRow="1" w:lastRow="0" w:firstColumn="0" w:lastColumn="0" w:noHBand="0" w:noVBand="0" w:val="0020"/>
      </w:tblPr>
      <w:tblGrid>
        <w:gridCol w:w="2501"/>
        <w:gridCol w:w="5418"/>
      </w:tblGrid>
      <w:tr>
        <w:trPr>
          <w:tblHeader w:val="on"/>
        </w:trPr>
        <w:tc>
          <w:tcPr/>
          <w:p>
            <w:pPr>
              <w:pStyle w:val="Compact"/>
            </w:pPr>
            <w:r>
              <w:t xml:space="preserve">Path</w:t>
            </w:r>
          </w:p>
        </w:tc>
        <w:tc>
          <w:tcPr/>
          <w:p>
            <w:pPr>
              <w:pStyle w:val="Compact"/>
            </w:pPr>
            <w:r>
              <w:t xml:space="preserve">Description</w:t>
            </w:r>
          </w:p>
        </w:tc>
      </w:tr>
      <w:tr>
        <w:tc>
          <w:tcPr/>
          <w:p>
            <w:pPr>
              <w:pStyle w:val="Compact"/>
            </w:pPr>
            <w:r>
              <w:t xml:space="preserve">Manual Path</w:t>
            </w:r>
          </w:p>
        </w:tc>
        <w:tc>
          <w:tcPr/>
          <w:p>
            <w:pPr>
              <w:pStyle w:val="Compact"/>
            </w:pPr>
            <w:r>
              <w:t xml:space="preserve">Operator owns the change record. No central control plane.</w:t>
            </w:r>
          </w:p>
        </w:tc>
      </w:tr>
      <w:tr>
        <w:tc>
          <w:tcPr/>
          <w:p>
            <w:pPr>
              <w:pStyle w:val="Compact"/>
            </w:pPr>
            <w:r>
              <w:t xml:space="preserve">Governed Path</w:t>
            </w:r>
          </w:p>
        </w:tc>
        <w:tc>
          <w:tcPr/>
          <w:p>
            <w:pPr>
              <w:pStyle w:val="Compact"/>
            </w:pPr>
            <w:r>
              <w:t xml:space="preserve">Same end state, bound to organizational intent and continuous evidence.</w:t>
            </w:r>
          </w:p>
        </w:tc>
      </w:tr>
      <w:tr>
        <w:tc>
          <w:tcPr/>
          <w:p>
            <w:pPr>
              <w:pStyle w:val="Compact"/>
            </w:pPr>
            <w:r>
              <w:t xml:space="preserve">Retrofit Path</w:t>
            </w:r>
          </w:p>
        </w:tc>
        <w:tc>
          <w:tcPr/>
          <w:p>
            <w:pPr>
              <w:pStyle w:val="Compact"/>
            </w:pPr>
            <w:r>
              <w:t xml:space="preserve">Add governance to an estate already modernized under the manual path.</w:t>
            </w:r>
          </w:p>
        </w:tc>
      </w:tr>
    </w:tbl>
    <w:p>
      <w:pPr>
        <w:pStyle w:val="CaptionedFigure"/>
      </w:pPr>
      <w:r>
        <w:drawing>
          <wp:inline>
            <wp:extent cx="5334000" cy="1524000"/>
            <wp:effectExtent b="0" l="0" r="0" t="0"/>
            <wp:docPr descr="Intune + Azure Arc Paths" title="" id="492" name="Picture"/>
            <a:graphic>
              <a:graphicData uri="http://schemas.openxmlformats.org/drawingml/2006/picture">
                <pic:pic>
                  <pic:nvPicPr>
                    <pic:cNvPr descr="/tmp/word-bundles-ug2pakjh/media/0004-intune-arc-paths.png" id="493" name="Picture"/>
                    <pic:cNvPicPr>
                      <a:picLocks noChangeArrowheads="1" noChangeAspect="1"/>
                    </pic:cNvPicPr>
                  </pic:nvPicPr>
                  <pic:blipFill>
                    <a:blip r:embed="rId491"/>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Intune + Azure Arc Paths</w:t>
      </w:r>
    </w:p>
    <w:p>
      <w:r>
        <w:pict>
          <v:rect style="width:0;height:1.5pt" o:hralign="center" o:hrstd="t" o:hr="t"/>
        </w:pict>
      </w:r>
    </w:p>
    <w:p>
      <w:pPr>
        <w:pStyle w:val="FirstParagraph"/>
      </w:pPr>
      <w:r>
        <w:rPr>
          <w:i/>
          <w:iCs/>
        </w:rPr>
        <w:t xml:space="preserve">Cleaned extractions for project use.</w:t>
      </w:r>
    </w:p>
    <w:bookmarkEnd w:id="494"/>
    <w:bookmarkStart w:id="504" w:name="X088ae7906e6e97d622bae5d9ebcd935e6f483e7"/>
    <w:p>
      <w:pPr>
        <w:pStyle w:val="Heading1"/>
      </w:pPr>
      <w:r>
        <w:t xml:space="preserve">Intune + Azure Arc — Governed Path (the Federal Modernization Program)</w:t>
      </w:r>
    </w:p>
    <w:p>
      <w:pPr>
        <w:pStyle w:val="FirstParagraph"/>
      </w:pPr>
      <w:r>
        <w:t xml:space="preserve">The governed path reaches the</w:t>
      </w:r>
      <w:r>
        <w:t xml:space="preserve"> </w:t>
      </w:r>
      <w:r>
        <w:rPr>
          <w:b/>
          <w:bCs/>
        </w:rPr>
        <w:t xml:space="preserve">same end state</w:t>
      </w:r>
      <w:r>
        <w:t xml:space="preserve"> </w:t>
      </w:r>
      <w:r>
        <w:t xml:space="preserve">as the</w:t>
      </w:r>
      <w:r>
        <w:t xml:space="preserve"> </w:t>
      </w:r>
      <w:r>
        <w:t xml:space="preserve">manual path — Arc-onboarded servers, Intune-enrolled</w:t>
      </w:r>
      <w:r>
        <w:t xml:space="preserve"> </w:t>
      </w:r>
      <w:r>
        <w:t xml:space="preserve">endpoints, NTLM eliminated, SPNs clean, SQL hardened, Conditional Access</w:t>
      </w:r>
      <w:r>
        <w:t xml:space="preserve"> </w:t>
      </w:r>
      <w:r>
        <w:t xml:space="preserve">enforced — but binds every change to organizational intent. The</w:t>
      </w:r>
      <w:r>
        <w:t xml:space="preserve"> </w:t>
      </w:r>
      <w:r>
        <w:t xml:space="preserve">same scripts run; you add an actuation rung and a recorded</w:t>
      </w:r>
      <w:r>
        <w:t xml:space="preserve"> </w:t>
      </w:r>
      <w:r>
        <w:t xml:space="preserve">approval.</w:t>
      </w:r>
    </w:p>
    <w:p>
      <w:pPr>
        <w:pStyle w:val="BodyText"/>
      </w:pPr>
      <w:r>
        <w:rPr>
          <w:b/>
          <w:bCs/>
        </w:rPr>
        <w:t xml:space="preserve">What the Federal Modernization Program is (and what these docs do not invent)</w:t>
      </w:r>
    </w:p>
    <w:p>
      <w:pPr>
        <w:pStyle w:val="BodyText"/>
      </w:pPr>
      <w:r>
        <w:rPr>
          <w:b/>
          <w:bCs/>
        </w:rPr>
        <w:t xml:space="preserve">The Federal Modernization Program</w:t>
      </w:r>
      <w:r>
        <w:t xml:space="preserve"> </w:t>
      </w:r>
      <w:r>
        <w:t xml:space="preserve">is the</w:t>
      </w:r>
      <w:r>
        <w:t xml:space="preserve"> </w:t>
      </w:r>
      <w:r>
        <w:rPr>
          <w:i/>
          <w:iCs/>
        </w:rPr>
        <w:t xml:space="preserve">Unified Identity-Addressing-Overlay Architecture</w:t>
      </w:r>
      <w:r>
        <w:t xml:space="preserve"> </w:t>
      </w:r>
      <w:r>
        <w:t xml:space="preserve">— an</w:t>
      </w:r>
      <w:r>
        <w:t xml:space="preserve"> </w:t>
      </w:r>
      <w:r>
        <w:rPr>
          <w:b/>
          <w:bCs/>
        </w:rPr>
        <w:t xml:space="preserve">active</w:t>
      </w:r>
      <w:r>
        <w:rPr>
          <w:b/>
          <w:bCs/>
        </w:rPr>
        <w:t xml:space="preserve"> </w:t>
      </w:r>
      <w:r>
        <w:rPr>
          <w:b/>
          <w:bCs/>
        </w:rPr>
        <w:t xml:space="preserve">reconciliation control plane</w:t>
      </w:r>
      <w:r>
        <w:t xml:space="preserve"> </w:t>
      </w:r>
      <w:r>
        <w:t xml:space="preserve">that</w:t>
      </w:r>
      <w:r>
        <w:t xml:space="preserve"> </w:t>
      </w:r>
      <w:r>
        <w:rPr>
          <w:i/>
          <w:iCs/>
        </w:rPr>
        <w:t xml:space="preserve">governs</w:t>
      </w:r>
      <w:r>
        <w:t xml:space="preserve"> </w:t>
      </w:r>
      <w:r>
        <w:t xml:space="preserve">provider data planes, per</w:t>
      </w:r>
      <w:r>
        <w:t xml:space="preserve"> </w:t>
      </w:r>
      <w:r>
        <w:t xml:space="preserve">the program decision. It is</w:t>
      </w:r>
      <w:r>
        <w:t xml:space="preserve"> </w:t>
      </w:r>
      <w:r>
        <w:rPr>
          <w:b/>
          <w:bCs/>
        </w:rPr>
        <w:t xml:space="preserve">not</w:t>
      </w:r>
      <w:r>
        <w:t xml:space="preserve"> </w:t>
      </w:r>
      <w:r>
        <w:t xml:space="preserve">“Unified IT</w:t>
      </w:r>
      <w:r>
        <w:t xml:space="preserve"> </w:t>
      </w:r>
      <w:r>
        <w:t xml:space="preserve">Architecture Oversight”</w:t>
      </w:r>
      <w:r>
        <w:t xml:space="preserve"> </w:t>
      </w:r>
      <w:r>
        <w:t xml:space="preserve">or</w:t>
      </w:r>
      <w:r>
        <w:t xml:space="preserve"> </w:t>
      </w:r>
      <w:r>
        <w:t xml:space="preserve">“Universal Identity and Access Operations,”</w:t>
      </w:r>
      <w:r>
        <w:t xml:space="preserve"> </w:t>
      </w:r>
      <w:r>
        <w:t xml:space="preserve">and it is</w:t>
      </w:r>
      <w:r>
        <w:t xml:space="preserve"> </w:t>
      </w:r>
      <w:r>
        <w:t xml:space="preserve">not a five-product suite layered over Azure. It holds desired state, observes</w:t>
      </w:r>
      <w:r>
        <w:t xml:space="preserve"> </w:t>
      </w:r>
      <w:r>
        <w:t xml:space="preserve">actual state, classifies drift, and reconciles toward intent. The providers</w:t>
      </w:r>
      <w:r>
        <w:t xml:space="preserve"> </w:t>
      </w:r>
      <w:r>
        <w:t xml:space="preserve">(Entra, Intune, Azure Policy, AD) remain the runtime data planes; the Federal Modernization Program is on the</w:t>
      </w:r>
      <w:r>
        <w:t xml:space="preserve"> </w:t>
      </w:r>
      <w:r>
        <w:t xml:space="preserve">truth-and-reconciliation side of that line.</w:t>
      </w:r>
    </w:p>
    <w:bookmarkStart w:id="495" w:name="X8f5d5f82fa9a69021ede4a13394cc5d0e561c47"/>
    <w:p>
      <w:pPr>
        <w:pStyle w:val="Heading2"/>
      </w:pPr>
      <w:r>
        <w:t xml:space="preserve">1. The one rule: control plane governs, data plane executes</w:t>
      </w:r>
    </w:p>
    <w:p>
      <w:pPr>
        <w:pStyle w:val="FirstParagraph"/>
      </w:pPr>
      <w:r>
        <w:t xml:space="preserve">Active Directory conflated the directory (truth) with the domain controller (the</w:t>
      </w:r>
      <w:r>
        <w:t xml:space="preserve"> </w:t>
      </w:r>
      <w:r>
        <w:t xml:space="preserve">in-path enforcer). The modern split keeps them separate, and the Federal Modernization Program is deliberately</w:t>
      </w:r>
      <w:r>
        <w:t xml:space="preserve"> </w:t>
      </w:r>
      <w:r>
        <w:t xml:space="preserve">on the truth side:</w:t>
      </w:r>
    </w:p>
    <w:p>
      <w:pPr>
        <w:pStyle w:val="BlockText"/>
      </w:pPr>
      <w:r>
        <w:t xml:space="preserve">The Federal Modernization Program</w:t>
      </w:r>
      <w:r>
        <w:t xml:space="preserve"> </w:t>
      </w:r>
      <w:r>
        <w:rPr>
          <w:b/>
          <w:bCs/>
        </w:rPr>
        <w:t xml:space="preserve">governs</w:t>
      </w:r>
      <w:r>
        <w:t xml:space="preserve"> </w:t>
      </w:r>
      <w:r>
        <w:t xml:space="preserve">— it holds desired state, observes actual state, classifies</w:t>
      </w:r>
      <w:r>
        <w:t xml:space="preserve"> </w:t>
      </w:r>
      <w:r>
        <w:t xml:space="preserve">drift, and reconciles toward intent. The provider</w:t>
      </w:r>
      <w:r>
        <w:t xml:space="preserve"> </w:t>
      </w:r>
      <w:r>
        <w:rPr>
          <w:b/>
          <w:bCs/>
        </w:rPr>
        <w:t xml:space="preserve">executes</w:t>
      </w:r>
      <w:r>
        <w:t xml:space="preserve"> </w:t>
      </w:r>
      <w:r>
        <w:t xml:space="preserve">at runtime — it</w:t>
      </w:r>
      <w:r>
        <w:t xml:space="preserve"> </w:t>
      </w:r>
      <w:r>
        <w:t xml:space="preserve">authenticates, authorizes, routes, resolves, or stores. A modernization</w:t>
      </w:r>
      <w:r>
        <w:t xml:space="preserve"> </w:t>
      </w:r>
      <w:r>
        <w:t xml:space="preserve">adapter MAY make change-making calls into a provider’s</w:t>
      </w:r>
      <w:r>
        <w:t xml:space="preserve"> </w:t>
      </w:r>
      <w:r>
        <w:rPr>
          <w:i/>
          <w:iCs/>
        </w:rPr>
        <w:t xml:space="preserve">management</w:t>
      </w:r>
      <w:r>
        <w:t xml:space="preserve"> </w:t>
      </w:r>
      <w:r>
        <w:t xml:space="preserve">surface; it</w:t>
      </w:r>
      <w:r>
        <w:t xml:space="preserve"> </w:t>
      </w:r>
      <w:r>
        <w:t xml:space="preserve">MUST NOT sit inline in the authentication or request path.</w:t>
      </w:r>
    </w:p>
    <w:p>
      <w:pPr>
        <w:pStyle w:val="FirstParagraph"/>
      </w:pPr>
      <w:r>
        <w:t xml:space="preserve">Every script in this kit obeys that line:</w:t>
      </w:r>
      <w:r>
        <w:t xml:space="preserve"> </w:t>
      </w:r>
      <w:r>
        <w:rPr>
          <w:rStyle w:val="VerbatimChar"/>
        </w:rPr>
        <w:t xml:space="preserve">Invoke-ArcOnboarding</w:t>
      </w:r>
      <w:r>
        <w:t xml:space="preserve"> </w:t>
      </w:r>
      <w:r>
        <w:t xml:space="preserve">calls the Azure</w:t>
      </w:r>
      <w:r>
        <w:t xml:space="preserve"> </w:t>
      </w:r>
      <w:r>
        <w:t xml:space="preserve">management plane;</w:t>
      </w:r>
      <w:r>
        <w:t xml:space="preserve"> </w:t>
      </w:r>
      <w:r>
        <w:rPr>
          <w:rStyle w:val="VerbatimChar"/>
        </w:rPr>
        <w:t xml:space="preserve">Deploy-ConditionalAccessBaseline</w:t>
      </w:r>
      <w:r>
        <w:t xml:space="preserve"> </w:t>
      </w:r>
      <w:r>
        <w:t xml:space="preserve">calls the Graph policy API;</w:t>
      </w:r>
      <w:r>
        <w:t xml:space="preserve"> </w:t>
      </w:r>
      <w:r>
        <w:t xml:space="preserve">none of them sit in a runtime auth path.</w:t>
      </w:r>
    </w:p>
    <w:bookmarkEnd w:id="495"/>
    <w:bookmarkStart w:id="496" w:name="providers-are-incorporated-not-replaced"/>
    <w:p>
      <w:pPr>
        <w:pStyle w:val="Heading2"/>
      </w:pPr>
      <w:r>
        <w:t xml:space="preserve">2. Providers are incorporated, not replaced</w:t>
      </w:r>
    </w:p>
    <w:p>
      <w:pPr>
        <w:pStyle w:val="FirstParagraph"/>
      </w:pPr>
      <w:r>
        <w:t xml:space="preserve">Each provider in this kit is a</w:t>
      </w:r>
      <w:r>
        <w:t xml:space="preserve"> </w:t>
      </w:r>
      <w:r>
        <w:rPr>
          <w:b/>
          <w:bCs/>
        </w:rPr>
        <w:t xml:space="preserve">seat-holder</w:t>
      </w:r>
      <w:r>
        <w:t xml:space="preserve"> </w:t>
      </w:r>
      <w:r>
        <w:t xml:space="preserve">governed through the</w:t>
      </w:r>
      <w:r>
        <w:t xml:space="preserve"> </w:t>
      </w:r>
      <w:r>
        <w:t xml:space="preserve">provider-incorporation contract, not displaced: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Provider (data plane)</w:t>
            </w:r>
          </w:p>
        </w:tc>
        <w:tc>
          <w:tcPr/>
          <w:p>
            <w:pPr>
              <w:pStyle w:val="Compact"/>
            </w:pPr>
            <w:r>
              <w:t xml:space="preserve">Role at runtime</w:t>
            </w:r>
          </w:p>
        </w:tc>
        <w:tc>
          <w:tcPr/>
          <w:p>
            <w:pPr>
              <w:pStyle w:val="Compact"/>
            </w:pPr>
            <w:r>
              <w:t xml:space="preserve">How the Federal Modernization Program governs it</w:t>
            </w:r>
          </w:p>
        </w:tc>
      </w:tr>
      <w:tr>
        <w:tc>
          <w:tcPr/>
          <w:p>
            <w:pPr>
              <w:pStyle w:val="Compact"/>
            </w:pPr>
            <w:r>
              <w:t xml:space="preserve">Microsoft Entra ID</w:t>
            </w:r>
          </w:p>
        </w:tc>
        <w:tc>
          <w:tcPr/>
          <w:p>
            <w:pPr>
              <w:pStyle w:val="Compact"/>
            </w:pPr>
            <w:r>
              <w:t xml:space="preserve">authenticates, enforces CA</w:t>
            </w:r>
          </w:p>
        </w:tc>
        <w:tc>
          <w:tcPr/>
          <w:p>
            <w:pPr>
              <w:pStyle w:val="Compact"/>
            </w:pPr>
            <w:r>
              <w:t xml:space="preserve">desired CA + identity state; drift vs canon</w:t>
            </w:r>
          </w:p>
        </w:tc>
      </w:tr>
      <w:tr>
        <w:tc>
          <w:tcPr/>
          <w:p>
            <w:pPr>
              <w:pStyle w:val="Compact"/>
            </w:pPr>
            <w:r>
              <w:t xml:space="preserve">Microsoft Intune</w:t>
            </w:r>
          </w:p>
        </w:tc>
        <w:tc>
          <w:tcPr/>
          <w:p>
            <w:pPr>
              <w:pStyle w:val="Compact"/>
            </w:pPr>
            <w:r>
              <w:t xml:space="preserve">enrolls, enforces device policy</w:t>
            </w:r>
          </w:p>
        </w:tc>
        <w:tc>
          <w:tcPr/>
          <w:p>
            <w:pPr>
              <w:pStyle w:val="Compact"/>
            </w:pPr>
            <w:r>
              <w:t xml:space="preserve">desired profile/compliance state; posture observe</w:t>
            </w:r>
          </w:p>
        </w:tc>
      </w:tr>
      <w:tr>
        <w:tc>
          <w:tcPr/>
          <w:p>
            <w:pPr>
              <w:pStyle w:val="Compact"/>
            </w:pPr>
            <w:r>
              <w:t xml:space="preserve">Azure Policy / Arc</w:t>
            </w:r>
          </w:p>
        </w:tc>
        <w:tc>
          <w:tcPr/>
          <w:p>
            <w:pPr>
              <w:pStyle w:val="Compact"/>
            </w:pPr>
            <w:r>
              <w:t xml:space="preserve">evaluates Guest Configuration</w:t>
            </w:r>
          </w:p>
        </w:tc>
        <w:tc>
          <w:tcPr/>
          <w:p>
            <w:pPr>
              <w:pStyle w:val="Compact"/>
            </w:pPr>
            <w:r>
              <w:t xml:space="preserve">desired baseline; compliance reconcile</w:t>
            </w:r>
          </w:p>
        </w:tc>
      </w:tr>
      <w:tr>
        <w:tc>
          <w:tcPr/>
          <w:p>
            <w:pPr>
              <w:pStyle w:val="Compact"/>
            </w:pPr>
            <w:r>
              <w:t xml:space="preserve">Active Directory</w:t>
            </w:r>
          </w:p>
        </w:tc>
        <w:tc>
          <w:tcPr/>
          <w:p>
            <w:pPr>
              <w:pStyle w:val="Compact"/>
            </w:pPr>
            <w:r>
              <w:t xml:space="preserve">issues Kerberos tickets, holds SPNs</w:t>
            </w:r>
          </w:p>
        </w:tc>
        <w:tc>
          <w:tcPr/>
          <w:p>
            <w:pPr>
              <w:pStyle w:val="Compact"/>
            </w:pPr>
            <w:r>
              <w:t xml:space="preserve">NTLM/SPN desired state; audit + repair plan</w:t>
            </w:r>
          </w:p>
        </w:tc>
      </w:tr>
    </w:tbl>
    <w:p>
      <w:pPr>
        <w:pStyle w:val="BodyText"/>
      </w:pPr>
      <w:r>
        <w:t xml:space="preserve">The Federal Modernization Program does not reimplement any of these functions. It reconciles their state</w:t>
      </w:r>
      <w:r>
        <w:t xml:space="preserve"> </w:t>
      </w:r>
      <w:r>
        <w:t xml:space="preserve">against canon and emits evidence.</w:t>
      </w:r>
    </w:p>
    <w:bookmarkEnd w:id="496"/>
    <w:bookmarkStart w:id="497" w:name="the-actuation-maturity-ladder"/>
    <w:p>
      <w:pPr>
        <w:pStyle w:val="Heading2"/>
      </w:pPr>
      <w:r>
        <w:t xml:space="preserve">3. The actuation maturity ladder</w:t>
      </w:r>
    </w:p>
    <w:p>
      <w:pPr>
        <w:pStyle w:val="FirstParagraph"/>
      </w:pPr>
      <w:r>
        <w:t xml:space="preserve">Every governed operation declares a rung. The rung is a property of the</w:t>
      </w:r>
      <w:r>
        <w:t xml:space="preserve"> </w:t>
      </w:r>
      <w:r>
        <w:t xml:space="preserve">operation, not a global switch.</w:t>
      </w:r>
      <w:r>
        <w:t xml:space="preserve"> </w:t>
      </w:r>
      <w:r>
        <w:rPr>
          <w:b/>
          <w:bCs/>
        </w:rPr>
        <w:t xml:space="preserve">The federal default write ceiling is L3</w:t>
      </w:r>
      <w:r>
        <w:t xml:space="preserve"> </w:t>
      </w:r>
      <w:r>
        <w:t xml:space="preserve">—</w:t>
      </w:r>
      <w:r>
        <w:t xml:space="preserve"> </w:t>
      </w:r>
      <w:r>
        <w:t xml:space="preserve">autonomous (L4) actuation is refused in-boundary.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Rung</w:t>
            </w:r>
          </w:p>
        </w:tc>
        <w:tc>
          <w:tcPr/>
          <w:p>
            <w:pPr>
              <w:pStyle w:val="Compact"/>
            </w:pPr>
            <w:r>
              <w:t xml:space="preserve">Name</w:t>
            </w:r>
          </w:p>
        </w:tc>
        <w:tc>
          <w:tcPr/>
          <w:p>
            <w:pPr>
              <w:pStyle w:val="Compact"/>
            </w:pPr>
            <w:r>
              <w:t xml:space="preserve">Meaning</w:t>
            </w:r>
          </w:p>
        </w:tc>
        <w:tc>
          <w:tcPr/>
          <w:p>
            <w:pPr>
              <w:pStyle w:val="Compact"/>
            </w:pPr>
            <w:r>
              <w:t xml:space="preserve">In this kit</w:t>
            </w:r>
          </w:p>
        </w:tc>
      </w:tr>
      <w:tr>
        <w:tc>
          <w:tcPr/>
          <w:p>
            <w:pPr>
              <w:pStyle w:val="Compact"/>
            </w:pPr>
            <w:r>
              <w:t xml:space="preserve">L0</w:t>
            </w:r>
          </w:p>
        </w:tc>
        <w:tc>
          <w:tcPr/>
          <w:p>
            <w:pPr>
              <w:pStyle w:val="Compact"/>
            </w:pPr>
            <w:r>
              <w:t xml:space="preserve">Record</w:t>
            </w:r>
          </w:p>
        </w:tc>
        <w:tc>
          <w:tcPr/>
          <w:p>
            <w:pPr>
              <w:pStyle w:val="Compact"/>
            </w:pPr>
            <w:r>
              <w:t xml:space="preserve">desired state in canon only</w:t>
            </w:r>
          </w:p>
        </w:tc>
        <w:tc>
          <w:tcPr/>
          <w:p>
            <w:pPr>
              <w:pStyle w:val="Compact"/>
            </w:pPr>
            <w:r>
              <w:t xml:space="preserve">the modernization spine table</w:t>
            </w:r>
          </w:p>
        </w:tc>
      </w:tr>
      <w:tr>
        <w:tc>
          <w:tcPr/>
          <w:p>
            <w:pPr>
              <w:pStyle w:val="Compact"/>
            </w:pPr>
            <w:r>
              <w:t xml:space="preserve">L1</w:t>
            </w:r>
          </w:p>
        </w:tc>
        <w:tc>
          <w:tcPr/>
          <w:p>
            <w:pPr>
              <w:pStyle w:val="Compact"/>
            </w:pPr>
            <w:r>
              <w:t xml:space="preserve">Observe</w:t>
            </w:r>
          </w:p>
        </w:tc>
        <w:tc>
          <w:tcPr/>
          <w:p>
            <w:pPr>
              <w:pStyle w:val="Compact"/>
            </w:pPr>
            <w:r>
              <w:t xml:space="preserve">collect actual state, detect drift (read-only)</w:t>
            </w:r>
          </w:p>
        </w:tc>
        <w:tc>
          <w:tcPr/>
          <w:p>
            <w:pPr>
              <w:pStyle w:val="Compact"/>
            </w:pPr>
            <w:r>
              <w:t xml:space="preserve">NTLM/SPN/SQL/Intune audits, drift report</w:t>
            </w:r>
          </w:p>
        </w:tc>
      </w:tr>
      <w:tr>
        <w:tc>
          <w:tcPr/>
          <w:p>
            <w:pPr>
              <w:pStyle w:val="Compact"/>
            </w:pPr>
            <w:r>
              <w:t xml:space="preserve">L2</w:t>
            </w:r>
          </w:p>
        </w:tc>
        <w:tc>
          <w:tcPr/>
          <w:p>
            <w:pPr>
              <w:pStyle w:val="Compact"/>
            </w:pPr>
            <w:r>
              <w:t xml:space="preserve">Advise</w:t>
            </w:r>
          </w:p>
        </w:tc>
        <w:tc>
          <w:tcPr/>
          <w:p>
            <w:pPr>
              <w:pStyle w:val="Compact"/>
            </w:pPr>
            <w:r>
              <w:t xml:space="preserve">generate the corrective change-set, surface it</w:t>
            </w:r>
          </w:p>
        </w:tc>
        <w:tc>
          <w:tcPr/>
          <w:p>
            <w:pPr>
              <w:pStyle w:val="Compact"/>
            </w:pPr>
            <w:r>
              <w:t xml:space="preserve">the</w:t>
            </w:r>
            <w:r>
              <w:t xml:space="preserve"> </w:t>
            </w:r>
            <w:r>
              <w:rPr>
                <w:rStyle w:val="VerbatimChar"/>
              </w:rPr>
              <w:t xml:space="preserve">-WhatIf</w:t>
            </w:r>
            <w:r>
              <w:t xml:space="preserve"> </w:t>
            </w:r>
            <w:r>
              <w:t xml:space="preserve">previews</w:t>
            </w:r>
          </w:p>
        </w:tc>
      </w:tr>
      <w:tr>
        <w:tc>
          <w:tcPr/>
          <w:p>
            <w:pPr>
              <w:pStyle w:val="Compact"/>
            </w:pPr>
            <w:r>
              <w:t xml:space="preserve">L3</w:t>
            </w:r>
          </w:p>
        </w:tc>
        <w:tc>
          <w:tcPr/>
          <w:p>
            <w:pPr>
              <w:pStyle w:val="Compact"/>
            </w:pPr>
            <w:r>
              <w:t xml:space="preserve">Gated</w:t>
            </w:r>
          </w:p>
        </w:tc>
        <w:tc>
          <w:tcPr/>
          <w:p>
            <w:pPr>
              <w:pStyle w:val="Compact"/>
            </w:pPr>
            <w:r>
              <w:t xml:space="preserve">a human approves; the Federal Modernization Program executes via the provider API</w:t>
            </w:r>
          </w:p>
        </w:tc>
        <w:tc>
          <w:tcPr/>
          <w:p>
            <w:pPr>
              <w:pStyle w:val="Compact"/>
            </w:pPr>
            <w:r>
              <w:t xml:space="preserve">every state-changing script with</w:t>
            </w:r>
            <w:r>
              <w:t xml:space="preserve"> </w:t>
            </w:r>
            <w:r>
              <w:rPr>
                <w:rStyle w:val="VerbatimChar"/>
              </w:rPr>
              <w:t xml:space="preserve">-ApprovalRef</w:t>
            </w:r>
          </w:p>
        </w:tc>
      </w:tr>
      <w:tr>
        <w:tc>
          <w:tcPr/>
          <w:p>
            <w:pPr>
              <w:pStyle w:val="Compact"/>
            </w:pPr>
            <w:r>
              <w:t xml:space="preserve">L4</w:t>
            </w:r>
          </w:p>
        </w:tc>
        <w:tc>
          <w:tcPr/>
          <w:p>
            <w:pPr>
              <w:pStyle w:val="Compact"/>
            </w:pPr>
            <w:r>
              <w:t xml:space="preserve">Auto</w:t>
            </w:r>
          </w:p>
        </w:tc>
        <w:tc>
          <w:tcPr/>
          <w:p>
            <w:pPr>
              <w:pStyle w:val="Compact"/>
            </w:pPr>
            <w:r>
              <w:t xml:space="preserve">the loop closes without a human</w:t>
            </w:r>
          </w:p>
        </w:tc>
        <w:tc>
          <w:tcPr/>
          <w:p>
            <w:pPr>
              <w:pStyle w:val="Compact"/>
            </w:pPr>
            <w:r>
              <w:rPr>
                <w:b/>
                <w:bCs/>
              </w:rPr>
              <w:t xml:space="preserve">above the ceiling — refused</w:t>
            </w:r>
          </w:p>
        </w:tc>
      </w:tr>
    </w:tbl>
    <w:p>
      <w:pPr>
        <w:pStyle w:val="BodyText"/>
      </w:pPr>
      <w:r>
        <w:rPr>
          <w:rStyle w:val="VerbatimChar"/>
        </w:rPr>
        <w:t xml:space="preserve">Assert-GovernanceApproval</w:t>
      </w:r>
      <w:r>
        <w:t xml:space="preserve"> </w:t>
      </w:r>
      <w:r>
        <w:t xml:space="preserve">enforces this: it refuses any write above the</w:t>
      </w:r>
      <w:r>
        <w:t xml:space="preserve"> </w:t>
      </w:r>
      <w:r>
        <w:t xml:space="preserve">ceiling, refuses a gated write with no approval reference, and logs every</w:t>
      </w:r>
      <w:r>
        <w:t xml:space="preserve"> </w:t>
      </w:r>
      <w:r>
        <w:t xml:space="preserve">decision.</w:t>
      </w:r>
    </w:p>
    <w:bookmarkEnd w:id="497"/>
    <w:bookmarkStart w:id="498" w:name="the-reconciliation-loop"/>
    <w:p>
      <w:pPr>
        <w:pStyle w:val="Heading2"/>
      </w:pPr>
      <w:r>
        <w:t xml:space="preserve">4. The reconciliation loop</w:t>
      </w:r>
    </w:p>
    <w:p>
      <w:pPr>
        <w:pStyle w:val="FirstParagraph"/>
      </w:pPr>
      <w:r>
        <w:t xml:space="preserve">The governed path runs the modernization domains through the drift-detection</w:t>
      </w:r>
      <w:r>
        <w:t xml:space="preserve"> </w:t>
      </w:r>
      <w:r>
        <w:t xml:space="preserve">loop rather than as one-shot scripts. The loop is six phases —</w:t>
      </w:r>
      <w:r>
        <w:t xml:space="preserve"> </w:t>
      </w:r>
      <w:r>
        <w:rPr>
          <w:b/>
          <w:bCs/>
        </w:rPr>
        <w:t xml:space="preserve">Snapshot → Compare → Classify → Alert → Remediate → Verify</w:t>
      </w:r>
      <w:r>
        <w:t xml:space="preserve"> </w:t>
      </w:r>
      <w:r>
        <w:t xml:space="preserve">—</w:t>
      </w:r>
      <w:r>
        <w:t xml:space="preserve"> </w:t>
      </w:r>
      <w:r>
        <w:rPr>
          <w:rStyle w:val="VerbatimChar"/>
        </w:rPr>
        <w:t xml:space="preserve">dry_run</w:t>
      </w:r>
      <w:r>
        <w:t xml:space="preserve"> </w:t>
      </w:r>
      <w:r>
        <w:t xml:space="preserve">by</w:t>
      </w:r>
      <w:r>
        <w:t xml:space="preserve"> </w:t>
      </w:r>
      <w:r>
        <w:t xml:space="preserve">default, with high-blast-radius operations gated for governance review.</w:t>
      </w:r>
    </w:p>
    <w:p>
      <w:pPr>
        <w:pStyle w:val="BodyText"/>
      </w:pPr>
      <w:r>
        <w:t xml:space="preserve">The kit’s read-only scripts are the</w:t>
      </w:r>
      <w:r>
        <w:t xml:space="preserve"> </w:t>
      </w:r>
      <w:r>
        <w:rPr>
          <w:b/>
          <w:bCs/>
        </w:rPr>
        <w:t xml:space="preserve">Snapshot/Compare/Classify</w:t>
      </w:r>
      <w:r>
        <w:t xml:space="preserve"> </w:t>
      </w:r>
      <w:r>
        <w:t xml:space="preserve">steps for each</w:t>
      </w:r>
      <w:r>
        <w:t xml:space="preserve"> </w:t>
      </w:r>
      <w:r>
        <w:t xml:space="preserve">domain:</w:t>
      </w:r>
    </w:p>
    <w:p>
      <w:pPr>
        <w:pStyle w:val="Compact"/>
        <w:numPr>
          <w:ilvl w:val="0"/>
          <w:numId w:val="1251"/>
        </w:numPr>
      </w:pPr>
      <w:r>
        <w:rPr>
          <w:rStyle w:val="VerbatimChar"/>
        </w:rPr>
        <w:t xml:space="preserve">Compare-ConditionalAccessDrift.ps1</w:t>
      </w:r>
      <w:r>
        <w:t xml:space="preserve"> </w:t>
      </w:r>
      <w:r>
        <w:t xml:space="preserve">— CA domain (Snapshot + Compare).</w:t>
      </w:r>
    </w:p>
    <w:p>
      <w:pPr>
        <w:pStyle w:val="Compact"/>
        <w:numPr>
          <w:ilvl w:val="0"/>
          <w:numId w:val="1251"/>
        </w:numPr>
      </w:pPr>
      <w:r>
        <w:rPr>
          <w:rStyle w:val="VerbatimChar"/>
        </w:rPr>
        <w:t xml:space="preserve">Get-ModernizationDriftReport.ps1</w:t>
      </w:r>
      <w:r>
        <w:t xml:space="preserve"> </w:t>
      </w:r>
      <w:r>
        <w:t xml:space="preserve">— whole-estate observe across domains.</w:t>
      </w:r>
    </w:p>
    <w:p>
      <w:pPr>
        <w:pStyle w:val="Compact"/>
        <w:numPr>
          <w:ilvl w:val="0"/>
          <w:numId w:val="1251"/>
        </w:numPr>
      </w:pPr>
      <w:r>
        <w:t xml:space="preserve">the per-domain audits (</w:t>
      </w:r>
      <w:r>
        <w:rPr>
          <w:rStyle w:val="VerbatimChar"/>
        </w:rPr>
        <w:t xml:space="preserve">Get-NtlmAudit</w:t>
      </w:r>
      <w:r>
        <w:t xml:space="preserve">,</w:t>
      </w:r>
      <w:r>
        <w:t xml:space="preserve"> </w:t>
      </w:r>
      <w:r>
        <w:rPr>
          <w:rStyle w:val="VerbatimChar"/>
        </w:rPr>
        <w:t xml:space="preserve">Repair-Spn</w:t>
      </w:r>
      <w:r>
        <w:t xml:space="preserve"> </w:t>
      </w:r>
      <w:r>
        <w:t xml:space="preserve">audit mode,</w:t>
      </w:r>
      <w:r>
        <w:t xml:space="preserve"> </w:t>
      </w:r>
      <w:r>
        <w:rPr>
          <w:rStyle w:val="VerbatimChar"/>
        </w:rPr>
        <w:t xml:space="preserve">Invoke-SqlHardeningAudit</w:t>
      </w:r>
      <w:r>
        <w:t xml:space="preserve">,</w:t>
      </w:r>
      <w:r>
        <w:t xml:space="preserve"> </w:t>
      </w:r>
      <w:r>
        <w:rPr>
          <w:rStyle w:val="VerbatimChar"/>
        </w:rPr>
        <w:t xml:space="preserve">Get-IntuneEnrollmentStatus</w:t>
      </w:r>
      <w:r>
        <w:t xml:space="preserve">) — per-domain Compare.</w:t>
      </w:r>
    </w:p>
    <w:p>
      <w:pPr>
        <w:pStyle w:val="FirstParagraph"/>
      </w:pPr>
      <w:r>
        <w:rPr>
          <w:b/>
          <w:bCs/>
        </w:rPr>
        <w:t xml:space="preserve">Remediate/Verify</w:t>
      </w:r>
      <w:r>
        <w:t xml:space="preserve"> </w:t>
      </w:r>
      <w:r>
        <w:t xml:space="preserve">is the gated (L3) write: the same script, re-run with</w:t>
      </w:r>
      <w:r>
        <w:t xml:space="preserve"> </w:t>
      </w:r>
      <w:r>
        <w:rPr>
          <w:rStyle w:val="VerbatimChar"/>
        </w:rPr>
        <w:t xml:space="preserve">-ApprovalRef</w:t>
      </w:r>
      <w:r>
        <w:t xml:space="preserve"> </w:t>
      </w:r>
      <w:r>
        <w:t xml:space="preserve">once a human approves the surfaced change-set.</w:t>
      </w:r>
    </w:p>
    <w:bookmarkEnd w:id="498"/>
    <w:bookmarkStart w:id="499" w:name="mapping-the-drafts-model-to-canon"/>
    <w:p>
      <w:pPr>
        <w:pStyle w:val="Heading2"/>
      </w:pPr>
      <w:r>
        <w:t xml:space="preserve">5. Mapping the draft’s model to canon</w:t>
      </w:r>
    </w:p>
    <w:p>
      <w:pPr>
        <w:pStyle w:val="FirstParagraph"/>
      </w:pPr>
      <w:r>
        <w:t xml:space="preserve">The source</w:t>
      </w:r>
      <w:r>
        <w:t xml:space="preserve"> </w:t>
      </w:r>
      <w:r>
        <w:t xml:space="preserve">“WITH-GOVERNANCE”</w:t>
      </w:r>
      <w:r>
        <w:t xml:space="preserve"> </w:t>
      </w:r>
      <w:r>
        <w:t xml:space="preserve">draft described the Federal Modernization Program as five products. Those concepts</w:t>
      </w:r>
      <w:r>
        <w:t xml:space="preserve"> </w:t>
      </w:r>
      <w:r>
        <w:t xml:space="preserve">exist in canon — but as machinery already named, not new components: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Draft term</w:t>
            </w:r>
          </w:p>
        </w:tc>
        <w:tc>
          <w:tcPr/>
          <w:p>
            <w:pPr>
              <w:pStyle w:val="Compact"/>
            </w:pPr>
            <w:r>
              <w:t xml:space="preserve">Canon equivalent</w:t>
            </w:r>
          </w:p>
        </w:tc>
      </w:tr>
      <w:tr>
        <w:tc>
          <w:tcPr/>
          <w:p>
            <w:pPr>
              <w:pStyle w:val="Compact"/>
            </w:pPr>
            <w:r>
              <w:t xml:space="preserve">“Policy Engine”</w:t>
            </w:r>
          </w:p>
        </w:tc>
        <w:tc>
          <w:tcPr/>
          <w:p>
            <w:pPr>
              <w:pStyle w:val="Compact"/>
            </w:pPr>
            <w:r>
              <w:t xml:space="preserve">desired state in canon +</w:t>
            </w:r>
            <w:r>
              <w:t xml:space="preserve"> </w:t>
            </w:r>
            <w:r>
              <w:rPr>
                <w:rStyle w:val="VerbatimChar"/>
              </w:rPr>
              <w:t xml:space="preserve">plan / apply / reconcile</w:t>
            </w:r>
            <w:r>
              <w:t xml:space="preserve"> </w:t>
            </w:r>
            <w:r>
              <w:t xml:space="preserve">adapters (the program decision–039)</w:t>
            </w:r>
          </w:p>
        </w:tc>
      </w:tr>
      <w:tr>
        <w:tc>
          <w:tcPr/>
          <w:p>
            <w:pPr>
              <w:pStyle w:val="Compact"/>
            </w:pPr>
            <w:r>
              <w:t xml:space="preserve">“Identity Registry”</w:t>
            </w:r>
          </w:p>
        </w:tc>
        <w:tc>
          <w:tcPr/>
          <w:p>
            <w:pPr>
              <w:pStyle w:val="Compact"/>
            </w:pPr>
            <w:r>
              <w:t xml:space="preserve">the identity control-plane slot</w:t>
            </w:r>
          </w:p>
        </w:tc>
      </w:tr>
      <w:tr>
        <w:tc>
          <w:tcPr/>
          <w:p>
            <w:pPr>
              <w:pStyle w:val="Compact"/>
            </w:pPr>
            <w:r>
              <w:t xml:space="preserve">“Attestation Service”</w:t>
            </w:r>
          </w:p>
        </w:tc>
        <w:tc>
          <w:tcPr/>
          <w:p>
            <w:pPr>
              <w:pStyle w:val="Compact"/>
            </w:pPr>
            <w:r>
              <w:t xml:space="preserve">the Drift Detection Engine (the program decision), six-phase, dry-run default</w:t>
            </w:r>
          </w:p>
        </w:tc>
      </w:tr>
      <w:tr>
        <w:tc>
          <w:tcPr/>
          <w:p>
            <w:pPr>
              <w:pStyle w:val="Compact"/>
            </w:pPr>
            <w:r>
              <w:t xml:space="preserve">“Audit Ledger”</w:t>
            </w:r>
          </w:p>
        </w:tc>
        <w:tc>
          <w:tcPr/>
          <w:p>
            <w:pPr>
              <w:pStyle w:val="Compact"/>
            </w:pPr>
            <w:r>
              <w:t xml:space="preserve">the provenance-anchored evidence pipeline (every artifact cites the canon id + version it derives from)</w:t>
            </w:r>
          </w:p>
        </w:tc>
      </w:tr>
      <w:tr>
        <w:tc>
          <w:tcPr/>
          <w:p>
            <w:pPr>
              <w:pStyle w:val="Compact"/>
            </w:pPr>
            <w:r>
              <w:t xml:space="preserve">“Access Orchestrator”</w:t>
            </w:r>
          </w:p>
        </w:tc>
        <w:tc>
          <w:tcPr/>
          <w:p>
            <w:pPr>
              <w:pStyle w:val="Compact"/>
            </w:pPr>
            <w:r>
              <w:t xml:space="preserve">enforcement adapters bound to a control-plane slot (provider-incorporation contract)</w:t>
            </w:r>
          </w:p>
        </w:tc>
      </w:tr>
    </w:tbl>
    <w:p>
      <w:pPr>
        <w:pStyle w:val="BodyText"/>
      </w:pPr>
      <w:r>
        <w:t xml:space="preserve">Use the canon terms. The shape the draft reached for is right; the names and the</w:t>
      </w:r>
      <w:r>
        <w:t xml:space="preserve"> </w:t>
      </w:r>
      <w:r>
        <w:t xml:space="preserve">acronym were not.</w:t>
      </w:r>
    </w:p>
    <w:bookmarkEnd w:id="499"/>
    <w:bookmarkStart w:id="500" w:name="running-the-governed-path"/>
    <w:p>
      <w:pPr>
        <w:pStyle w:val="Heading2"/>
      </w:pPr>
      <w:r>
        <w:t xml:space="preserve">6. Running the governed path</w:t>
      </w:r>
    </w:p>
    <w:p>
      <w:pPr>
        <w:pStyle w:val="FirstParagraph"/>
      </w:pPr>
      <w:r>
        <w:t xml:space="preserve">Identical run order to the manual path,</w:t>
      </w:r>
      <w:r>
        <w:t xml:space="preserve"> </w:t>
      </w:r>
      <w:r>
        <w:t xml:space="preserve">with two additions on every state-changing call:</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\lib\IntuneArcModernization</w:t>
      </w:r>
      <w:r>
        <w:rPr>
          <w:rStyle w:val="OperatorTok"/>
        </w:rPr>
        <w:t xml:space="preserve">.</w:t>
      </w:r>
      <w:r>
        <w:rPr>
          <w:rStyle w:val="FunctionTok"/>
        </w:rPr>
        <w:t xml:space="preserve">psm1</w:t>
      </w:r>
      <w:r>
        <w:br/>
      </w:r>
      <w:r>
        <w:rPr>
          <w:rStyle w:val="CommentTok"/>
        </w:rPr>
        <w:t xml:space="preserve"># observe (L1) — same as manual</w:t>
      </w:r>
      <w:r>
        <w:br/>
      </w:r>
      <w:r>
        <w:rPr>
          <w:rStyle w:val="OperatorTok"/>
        </w:rPr>
        <w:t xml:space="preserve">.</w:t>
      </w:r>
      <w:r>
        <w:rPr>
          <w:rStyle w:val="NormalTok"/>
        </w:rPr>
        <w:t xml:space="preserve">\scripts\Get-NtlmAudit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DaysBack </w:t>
      </w:r>
      <w:r>
        <w:rPr>
          <w:rStyle w:val="DecValTok"/>
        </w:rPr>
        <w:t xml:space="preserve">30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\artifacts\ntlm-audit</w:t>
      </w:r>
      <w:r>
        <w:rPr>
          <w:rStyle w:val="OperatorTok"/>
        </w:rPr>
        <w:t xml:space="preserve">.</w:t>
      </w:r>
      <w:r>
        <w:rPr>
          <w:rStyle w:val="FunctionTok"/>
        </w:rPr>
        <w:t xml:space="preserve">csv</w:t>
      </w:r>
      <w:r>
        <w:br/>
      </w:r>
      <w:r>
        <w:br/>
      </w:r>
      <w:r>
        <w:rPr>
          <w:rStyle w:val="CommentTok"/>
        </w:rPr>
        <w:t xml:space="preserve"># gated actuation (L3) — approval required; a write without approval is refused</w:t>
      </w:r>
      <w:r>
        <w:br/>
      </w:r>
      <w:r>
        <w:rPr>
          <w:rStyle w:val="OperatorTok"/>
        </w:rPr>
        <w:t xml:space="preserve">.</w:t>
      </w:r>
      <w:r>
        <w:rPr>
          <w:rStyle w:val="NormalTok"/>
        </w:rPr>
        <w:t xml:space="preserve">\scripts\Invoke-ArcOnboarding</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SubscriptionId </w:t>
      </w:r>
      <w:r>
        <w:rPr>
          <w:rStyle w:val="VariableTok"/>
        </w:rPr>
        <w:t xml:space="preserve">$sub</w:t>
      </w:r>
      <w:r>
        <w:rPr>
          <w:rStyle w:val="NormalTok"/>
        </w:rPr>
        <w:t xml:space="preserve"> </w:t>
      </w:r>
      <w:r>
        <w:rPr>
          <w:rStyle w:val="OperatorTok"/>
        </w:rPr>
        <w:t xml:space="preserve">-</w:t>
      </w:r>
      <w:r>
        <w:rPr>
          <w:rStyle w:val="NormalTok"/>
        </w:rPr>
        <w:t xml:space="preserve">ResourceGroup rg-arc-servers </w:t>
      </w:r>
      <w:r>
        <w:rPr>
          <w:rStyle w:val="OperatorTok"/>
        </w:rPr>
        <w:t xml:space="preserve">-</w:t>
      </w:r>
      <w:r>
        <w:rPr>
          <w:rStyle w:val="NormalTok"/>
        </w:rPr>
        <w:t xml:space="preserve">Location eastus `</w:t>
      </w:r>
      <w:r>
        <w:br/>
      </w:r>
      <w:r>
        <w:rPr>
          <w:rStyle w:val="NormalTok"/>
        </w:rPr>
        <w:t xml:space="preserve">    </w:t>
      </w:r>
      <w:r>
        <w:rPr>
          <w:rStyle w:val="OperatorTok"/>
        </w:rPr>
        <w:t xml:space="preserve">-</w:t>
      </w:r>
      <w:r>
        <w:rPr>
          <w:rStyle w:val="NormalTok"/>
        </w:rPr>
        <w:t xml:space="preserve">ApprovalRef </w:t>
      </w:r>
      <w:r>
        <w:rPr>
          <w:rStyle w:val="StringTok"/>
        </w:rPr>
        <w:t xml:space="preserve">'CR0012345'</w:t>
      </w:r>
      <w:r>
        <w:rPr>
          <w:rStyle w:val="NormalTok"/>
        </w:rPr>
        <w:t xml:space="preserve"> </w:t>
      </w:r>
      <w:r>
        <w:rPr>
          <w:rStyle w:val="OperatorTok"/>
        </w:rPr>
        <w:t xml:space="preserve">-</w:t>
      </w:r>
      <w:r>
        <w:rPr>
          <w:rStyle w:val="NormalTok"/>
        </w:rPr>
        <w:t xml:space="preserve">WhatIf</w:t>
      </w:r>
      <w:r>
        <w:br/>
      </w:r>
      <w:r>
        <w:rPr>
          <w:rStyle w:val="OperatorTok"/>
        </w:rPr>
        <w:t xml:space="preserve">.</w:t>
      </w:r>
      <w:r>
        <w:rPr>
          <w:rStyle w:val="NormalTok"/>
        </w:rPr>
        <w:t xml:space="preserve">\scripts\Set-NtlmRestriction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Level </w:t>
      </w:r>
      <w:r>
        <w:rPr>
          <w:rStyle w:val="DecValTok"/>
        </w:rPr>
        <w:t xml:space="preserve">5</w:t>
      </w:r>
      <w:r>
        <w:rPr>
          <w:rStyle w:val="NormalTok"/>
        </w:rPr>
        <w:t xml:space="preserve"> </w:t>
      </w:r>
      <w:r>
        <w:rPr>
          <w:rStyle w:val="OperatorTok"/>
        </w:rPr>
        <w:t xml:space="preserve">-</w:t>
      </w:r>
      <w:r>
        <w:rPr>
          <w:rStyle w:val="NormalTok"/>
        </w:rPr>
        <w:t xml:space="preserve">ApprovalRef </w:t>
      </w:r>
      <w:r>
        <w:rPr>
          <w:rStyle w:val="StringTok"/>
        </w:rPr>
        <w:t xml:space="preserve">'CR0012346'</w:t>
      </w:r>
      <w:r>
        <w:rPr>
          <w:rStyle w:val="NormalTok"/>
        </w:rPr>
        <w:t xml:space="preserve"> </w:t>
      </w:r>
      <w:r>
        <w:rPr>
          <w:rStyle w:val="OperatorTok"/>
        </w:rPr>
        <w:t xml:space="preserve">-</w:t>
      </w:r>
      <w:r>
        <w:rPr>
          <w:rStyle w:val="NormalTok"/>
        </w:rPr>
        <w:t xml:space="preserve">WhatIf</w:t>
      </w:r>
      <w:r>
        <w:br/>
      </w:r>
      <w:r>
        <w:br/>
      </w:r>
      <w:r>
        <w:rPr>
          <w:rStyle w:val="CommentTok"/>
        </w:rPr>
        <w:t xml:space="preserve"># verify (L1)</w:t>
      </w:r>
      <w:r>
        <w:br/>
      </w:r>
      <w:r>
        <w:rPr>
          <w:rStyle w:val="OperatorTok"/>
        </w:rPr>
        <w:t xml:space="preserve">.</w:t>
      </w:r>
      <w:r>
        <w:rPr>
          <w:rStyle w:val="NormalTok"/>
        </w:rPr>
        <w:t xml:space="preserve">\scripts\Get-ModernizationDriftReport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ArtifactPath </w:t>
      </w:r>
      <w:r>
        <w:rPr>
          <w:rStyle w:val="OperatorTok"/>
        </w:rPr>
        <w:t xml:space="preserve">.</w:t>
      </w:r>
      <w:r>
        <w:rPr>
          <w:rStyle w:val="NormalTok"/>
        </w:rPr>
        <w:t xml:space="preserve">\artifacts</w:t>
      </w:r>
    </w:p>
    <w:p>
      <w:pPr>
        <w:pStyle w:val="FirstParagraph"/>
      </w:pPr>
      <w:r>
        <w:t xml:space="preserve">To forbid autonomous actuation explicitly in a tightened boundary, lower the</w:t>
      </w:r>
      <w:r>
        <w:t xml:space="preserve"> </w:t>
      </w:r>
      <w:r>
        <w:t xml:space="preserve">ceiling in</w:t>
      </w:r>
      <w:r>
        <w:t xml:space="preserve"> </w:t>
      </w:r>
      <w:r>
        <w:rPr>
          <w:rStyle w:val="VerbatimChar"/>
        </w:rPr>
        <w:t xml:space="preserve">Assert-GovernanceApproval</w:t>
      </w:r>
      <w:r>
        <w:t xml:space="preserve"> </w:t>
      </w:r>
      <w:r>
        <w:t xml:space="preserve">(</w:t>
      </w:r>
      <w:r>
        <w:rPr>
          <w:rStyle w:val="VerbatimChar"/>
        </w:rPr>
        <w:t xml:space="preserve">-ActuationCeiling</w:t>
      </w:r>
      <w:r>
        <w:t xml:space="preserve">). The default is L3.</w:t>
      </w:r>
    </w:p>
    <w:bookmarkEnd w:id="500"/>
    <w:bookmarkStart w:id="501" w:name="outcomes-the-governed-path-adds"/>
    <w:p>
      <w:pPr>
        <w:pStyle w:val="Heading2"/>
      </w:pPr>
      <w:r>
        <w:t xml:space="preserve">7. Outcomes the governed path adds</w:t>
      </w:r>
    </w:p>
    <w:p>
      <w:pPr>
        <w:pStyle w:val="FirstParagraph"/>
      </w:pPr>
      <w:r>
        <w:t xml:space="preserve">Over the manual end state, the governed path delivers:</w:t>
      </w:r>
    </w:p>
    <w:p>
      <w:pPr>
        <w:pStyle w:val="Compact"/>
        <w:numPr>
          <w:ilvl w:val="0"/>
          <w:numId w:val="1252"/>
        </w:numPr>
      </w:pPr>
      <w:r>
        <w:t xml:space="preserve">every modernized resource traceable to a recorded approval;</w:t>
      </w:r>
    </w:p>
    <w:p>
      <w:pPr>
        <w:pStyle w:val="Compact"/>
        <w:numPr>
          <w:ilvl w:val="0"/>
          <w:numId w:val="1252"/>
        </w:numPr>
      </w:pPr>
      <w:r>
        <w:t xml:space="preserve">no Conditional Access change outside a gated, logged workflow;</w:t>
      </w:r>
    </w:p>
    <w:p>
      <w:pPr>
        <w:pStyle w:val="Compact"/>
        <w:numPr>
          <w:ilvl w:val="0"/>
          <w:numId w:val="1252"/>
        </w:numPr>
      </w:pPr>
      <w:r>
        <w:t xml:space="preserve">continuous, exportable</w:t>
      </w:r>
      <w:r>
        <w:t xml:space="preserve"> </w:t>
      </w:r>
      <w:r>
        <w:rPr>
          <w:b/>
          <w:bCs/>
        </w:rPr>
        <w:t xml:space="preserve">evidence</w:t>
      </w:r>
      <w:r>
        <w:t xml:space="preserve"> </w:t>
      </w:r>
      <w:r>
        <w:t xml:space="preserve">(provenance-anchored, not assembled at audit time);</w:t>
      </w:r>
    </w:p>
    <w:p>
      <w:pPr>
        <w:pStyle w:val="Compact"/>
        <w:numPr>
          <w:ilvl w:val="0"/>
          <w:numId w:val="1252"/>
        </w:numPr>
      </w:pPr>
      <w:r>
        <w:t xml:space="preserve">drift caught and classified by the loop rather than discovered by incident.</w:t>
      </w:r>
    </w:p>
    <w:p>
      <w:pPr>
        <w:pStyle w:val="FirstParagraph"/>
      </w:pPr>
      <w:r>
        <w:t xml:space="preserve">If you have not yet stood up a control plane, build the manual path</w:t>
      </w:r>
      <w:r>
        <w:t xml:space="preserve"> </w:t>
      </w:r>
      <w:r>
        <w:t xml:space="preserve">now and adopt the governed path later — the work you do now carries forward.</w:t>
      </w:r>
    </w:p>
    <w:bookmarkEnd w:id="501"/>
    <w:bookmarkStart w:id="502" w:name="rollback"/>
    <w:p>
      <w:pPr>
        <w:pStyle w:val="Heading2"/>
      </w:pPr>
      <w:r>
        <w:t xml:space="preserve">8. Rollback</w:t>
      </w:r>
    </w:p>
    <w:p>
      <w:pPr>
        <w:pStyle w:val="FirstParagraph"/>
      </w:pPr>
      <w:r>
        <w:t xml:space="preserve">The governed path layers governance on top of the same operational back-outs as the</w:t>
      </w:r>
      <w:r>
        <w:t xml:space="preserve"> </w:t>
      </w:r>
      <w:r>
        <w:t xml:space="preserve">manual path. Roll back in two layers if needed.</w:t>
      </w:r>
    </w:p>
    <w:p>
      <w:pPr>
        <w:pStyle w:val="BodyText"/>
      </w:pPr>
      <w:r>
        <w:rPr>
          <w:b/>
          <w:bCs/>
        </w:rPr>
        <w:t xml:space="preserve">Operational back-out (same as manual path §9):</w:t>
      </w:r>
    </w:p>
    <w:p>
      <w:pPr>
        <w:pStyle w:val="Compact"/>
        <w:numPr>
          <w:ilvl w:val="0"/>
          <w:numId w:val="1253"/>
        </w:numPr>
      </w:pPr>
      <w:r>
        <w:rPr>
          <w:b/>
          <w:bCs/>
        </w:rPr>
        <w:t xml:space="preserve">Intune:</w:t>
      </w:r>
      <w:r>
        <w:t xml:space="preserve"> </w:t>
      </w:r>
      <w:r>
        <w:t xml:space="preserve">un-enroll devices and re-apply the GPO baseline.</w:t>
      </w:r>
    </w:p>
    <w:p>
      <w:pPr>
        <w:pStyle w:val="Compact"/>
        <w:numPr>
          <w:ilvl w:val="0"/>
          <w:numId w:val="1253"/>
        </w:numPr>
      </w:pPr>
      <w:r>
        <w:rPr>
          <w:b/>
          <w:bCs/>
        </w:rPr>
        <w:t xml:space="preserve">Arc:</w:t>
      </w:r>
      <w:r>
        <w:t xml:space="preserve"> </w:t>
      </w:r>
      <w:r>
        <w:rPr>
          <w:rStyle w:val="VerbatimChar"/>
        </w:rPr>
        <w:t xml:space="preserve">azcmagent disconnect</w:t>
      </w:r>
      <w:r>
        <w:t xml:space="preserve"> </w:t>
      </w:r>
      <w:r>
        <w:t xml:space="preserve">then uninstall the agent.</w:t>
      </w:r>
    </w:p>
    <w:p>
      <w:pPr>
        <w:pStyle w:val="Compact"/>
        <w:numPr>
          <w:ilvl w:val="0"/>
          <w:numId w:val="1253"/>
        </w:numPr>
      </w:pPr>
      <w:r>
        <w:rPr>
          <w:b/>
          <w:bCs/>
        </w:rPr>
        <w:t xml:space="preserve">Conditional Access:</w:t>
      </w:r>
      <w:r>
        <w:t xml:space="preserve"> </w:t>
      </w:r>
      <w:r>
        <w:t xml:space="preserve">keep policies report-only until validated; the</w:t>
      </w:r>
      <w:r>
        <w:t xml:space="preserve"> </w:t>
      </w:r>
      <w:r>
        <w:t xml:space="preserve">break-glass accounts are the emergency exclusion.</w:t>
      </w:r>
    </w:p>
    <w:p>
      <w:pPr>
        <w:pStyle w:val="Compact"/>
        <w:numPr>
          <w:ilvl w:val="0"/>
          <w:numId w:val="1253"/>
        </w:numPr>
      </w:pPr>
      <w:r>
        <w:rPr>
          <w:b/>
          <w:bCs/>
        </w:rPr>
        <w:t xml:space="preserve">NTLM:</w:t>
      </w:r>
      <w:r>
        <w:t xml:space="preserve"> </w:t>
      </w:r>
      <w:r>
        <w:t xml:space="preserve">revert</w:t>
      </w:r>
      <w:r>
        <w:t xml:space="preserve"> </w:t>
      </w:r>
      <w:r>
        <w:rPr>
          <w:rStyle w:val="VerbatimChar"/>
        </w:rPr>
        <w:t xml:space="preserve">LmCompatibilityLevel</w:t>
      </w:r>
      <w:r>
        <w:t xml:space="preserve"> </w:t>
      </w:r>
      <w:r>
        <w:t xml:space="preserve">to 3 if a missed dependency surfaces —</w:t>
      </w:r>
      <w:r>
        <w:t xml:space="preserve"> </w:t>
      </w:r>
      <w:r>
        <w:t xml:space="preserve">this is exactly why the audit gate exists.</w:t>
      </w:r>
    </w:p>
    <w:p>
      <w:pPr>
        <w:pStyle w:val="FirstParagraph"/>
      </w:pPr>
      <w:r>
        <w:rPr>
          <w:b/>
          <w:bCs/>
        </w:rPr>
        <w:t xml:space="preserve">Governance-seam back-out:</w:t>
      </w:r>
    </w:p>
    <w:p>
      <w:pPr>
        <w:pStyle w:val="Compact"/>
        <w:numPr>
          <w:ilvl w:val="0"/>
          <w:numId w:val="1254"/>
        </w:numPr>
      </w:pPr>
      <w:r>
        <w:rPr>
          <w:b/>
          <w:bCs/>
        </w:rPr>
        <w:t xml:space="preserve">Approval enforcement:</w:t>
      </w:r>
      <w:r>
        <w:t xml:space="preserve"> </w:t>
      </w:r>
      <w:r>
        <w:t xml:space="preserve">lower</w:t>
      </w:r>
      <w:r>
        <w:t xml:space="preserve"> </w:t>
      </w:r>
      <w:r>
        <w:rPr>
          <w:rStyle w:val="VerbatimChar"/>
        </w:rPr>
        <w:t xml:space="preserve">Assert-GovernanceApproval</w:t>
      </w:r>
      <w:r>
        <w:t xml:space="preserve"> </w:t>
      </w:r>
      <w:r>
        <w:t xml:space="preserve">to record-only</w:t>
      </w:r>
      <w:r>
        <w:t xml:space="preserve"> </w:t>
      </w:r>
      <w:r>
        <w:t xml:space="preserve">(</w:t>
      </w:r>
      <w:r>
        <w:rPr>
          <w:rStyle w:val="VerbatimChar"/>
        </w:rPr>
        <w:t xml:space="preserve">-ActuationCeiling L1</w:t>
      </w:r>
      <w:r>
        <w:t xml:space="preserve">) to halt gated writes without disrupting the observers.</w:t>
      </w:r>
    </w:p>
    <w:p>
      <w:pPr>
        <w:pStyle w:val="Compact"/>
        <w:numPr>
          <w:ilvl w:val="0"/>
          <w:numId w:val="1254"/>
        </w:numPr>
      </w:pPr>
      <w:r>
        <w:rPr>
          <w:b/>
          <w:bCs/>
        </w:rPr>
        <w:t xml:space="preserve">Loop suspension:</w:t>
      </w:r>
      <w:r>
        <w:t xml:space="preserve"> </w:t>
      </w:r>
      <w:r>
        <w:t xml:space="preserve">stop the scheduled</w:t>
      </w:r>
      <w:r>
        <w:t xml:space="preserve"> </w:t>
      </w:r>
      <w:r>
        <w:rPr>
          <w:rStyle w:val="VerbatimChar"/>
        </w:rPr>
        <w:t xml:space="preserve">Compare-*</w:t>
      </w:r>
      <w:r>
        <w:t xml:space="preserve"> </w:t>
      </w:r>
      <w:r>
        <w:t xml:space="preserve">and</w:t>
      </w:r>
      <w:r>
        <w:t xml:space="preserve"> </w:t>
      </w:r>
      <w:r>
        <w:rPr>
          <w:rStyle w:val="VerbatimChar"/>
        </w:rPr>
        <w:t xml:space="preserve">Get-ModernizationDriftReport</w:t>
      </w:r>
      <w:r>
        <w:t xml:space="preserve"> </w:t>
      </w:r>
      <w:r>
        <w:t xml:space="preserve">runs; the underlying provider state is unaffected.</w:t>
      </w:r>
    </w:p>
    <w:p>
      <w:pPr>
        <w:pStyle w:val="FirstParagraph"/>
      </w:pPr>
      <w:r>
        <w:t xml:space="preserve">Rolling back the governance seam does</w:t>
      </w:r>
      <w:r>
        <w:t xml:space="preserve"> </w:t>
      </w:r>
      <w:r>
        <w:rPr>
          <w:b/>
          <w:bCs/>
        </w:rPr>
        <w:t xml:space="preserve">not</w:t>
      </w:r>
      <w:r>
        <w:t xml:space="preserve"> </w:t>
      </w:r>
      <w:r>
        <w:t xml:space="preserve">require re-onboarding, re-enrollment,</w:t>
      </w:r>
      <w:r>
        <w:t xml:space="preserve"> </w:t>
      </w:r>
      <w:r>
        <w:t xml:space="preserve">or undoing any Intune / Arc / CA work. The operational state is always owned by</w:t>
      </w:r>
      <w:r>
        <w:t xml:space="preserve"> </w:t>
      </w:r>
      <w:r>
        <w:t xml:space="preserve">the provider.</w:t>
      </w:r>
    </w:p>
    <w:bookmarkEnd w:id="502"/>
    <w:bookmarkStart w:id="503" w:name="boundary-impact"/>
    <w:p>
      <w:pPr>
        <w:pStyle w:val="Heading2"/>
      </w:pPr>
      <w:r>
        <w:t xml:space="preserve">9. Boundary impact</w:t>
      </w:r>
    </w:p>
    <w:p>
      <w:pPr>
        <w:pStyle w:val="FirstParagraph"/>
      </w:pPr>
      <w:r>
        <w:rPr>
          <w:b/>
          <w:bCs/>
        </w:rPr>
        <w:t xml:space="preserve">Federal boundary ceiling: L3 (Gated)</w:t>
      </w:r>
    </w:p>
    <w:p>
      <w:pPr>
        <w:pStyle w:val="BodyText"/>
      </w:pPr>
      <w:r>
        <w:t xml:space="preserve">The</w:t>
      </w:r>
      <w:r>
        <w:t xml:space="preserve"> </w:t>
      </w:r>
      <w:r>
        <w:rPr>
          <w:b/>
          <w:bCs/>
        </w:rPr>
        <w:t xml:space="preserve">federal default write ceiling is L3</w:t>
      </w:r>
      <w:r>
        <w:t xml:space="preserve"> </w:t>
      </w:r>
      <w:r>
        <w:t xml:space="preserve">—</w:t>
      </w:r>
      <w:r>
        <w:t xml:space="preserve"> </w:t>
      </w:r>
      <w:r>
        <w:rPr>
          <w:rStyle w:val="VerbatimChar"/>
        </w:rPr>
        <w:t xml:space="preserve">Assert-GovernanceApproval</w:t>
      </w:r>
      <w:r>
        <w:t xml:space="preserve"> </w:t>
      </w:r>
      <w:r>
        <w:t xml:space="preserve">refuses</w:t>
      </w:r>
      <w:r>
        <w:t xml:space="preserve"> </w:t>
      </w:r>
      <w:r>
        <w:t xml:space="preserve">any write declared at L4 (Autonomous). No script in this kit closes the loop</w:t>
      </w:r>
      <w:r>
        <w:t xml:space="preserve"> </w:t>
      </w:r>
      <w:r>
        <w:t xml:space="preserve">without a human-supplied</w:t>
      </w:r>
      <w:r>
        <w:t xml:space="preserve"> </w:t>
      </w:r>
      <w:r>
        <w:rPr>
          <w:rStyle w:val="VerbatimChar"/>
        </w:rPr>
        <w:t xml:space="preserve">-ApprovalRef</w:t>
      </w:r>
      <w:r>
        <w:t xml:space="preserve">. The L3 ceiling is the default; it can</w:t>
      </w:r>
      <w:r>
        <w:t xml:space="preserve"> </w:t>
      </w:r>
      <w:r>
        <w:t xml:space="preserve">only be raised by deliberate configuration outside this kit.</w:t>
      </w:r>
    </w:p>
    <w:p>
      <w:pPr>
        <w:pStyle w:val="BodyText"/>
      </w:pPr>
      <w:r>
        <w:rPr>
          <w:b/>
          <w:bCs/>
        </w:rPr>
        <w:t xml:space="preserve">FedRAMP Moderate scope</w:t>
      </w:r>
    </w:p>
    <w:p>
      <w:pPr>
        <w:pStyle w:val="BodyText"/>
      </w:pPr>
      <w:r>
        <w:t xml:space="preserve">This kit targets</w:t>
      </w:r>
      <w:r>
        <w:t xml:space="preserve"> </w:t>
      </w:r>
      <w:r>
        <w:rPr>
          <w:b/>
          <w:bCs/>
        </w:rPr>
        <w:t xml:space="preserve">FedRAMP Moderate</w:t>
      </w:r>
      <w:r>
        <w:t xml:space="preserve"> </w:t>
      </w:r>
      <w:r>
        <w:t xml:space="preserve">baseline controls: Conditional Access</w:t>
      </w:r>
      <w:r>
        <w:t xml:space="preserve"> </w:t>
      </w:r>
      <w:r>
        <w:t xml:space="preserve">policies enforce compliant device and MFA (Entra P1); Defender for Servers Plan 2</w:t>
      </w:r>
      <w:r>
        <w:t xml:space="preserve"> </w:t>
      </w:r>
      <w:r>
        <w:t xml:space="preserve">and Defender for SQL are included at Moderate. Risk-based Conditional Access</w:t>
      </w:r>
      <w:r>
        <w:t xml:space="preserve"> </w:t>
      </w:r>
      <w:r>
        <w:t xml:space="preserve">(Entra P2), PIV-only enforcement, FIPS-validated cryptography, and extended</w:t>
      </w:r>
      <w:r>
        <w:t xml:space="preserve"> </w:t>
      </w:r>
      <w:r>
        <w:t xml:space="preserve">logging retention are</w:t>
      </w:r>
      <w:r>
        <w:t xml:space="preserve"> </w:t>
      </w:r>
      <w:r>
        <w:rPr>
          <w:b/>
          <w:bCs/>
        </w:rPr>
        <w:t xml:space="preserve">not</w:t>
      </w:r>
      <w:r>
        <w:t xml:space="preserve"> </w:t>
      </w:r>
      <w:r>
        <w:t xml:space="preserve">in scope here — those belong to a FedRAMP High</w:t>
      </w:r>
      <w:r>
        <w:t xml:space="preserve"> </w:t>
      </w:r>
      <w:r>
        <w:t xml:space="preserve">posture and are handled through separate controls.</w:t>
      </w:r>
    </w:p>
    <w:p>
      <w:pPr>
        <w:pStyle w:val="BodyText"/>
      </w:pPr>
      <w:r>
        <w:rPr>
          <w:b/>
          <w:bCs/>
        </w:rPr>
        <w:t xml:space="preserve">What this kit evidences under FedRAMP 20x</w:t>
      </w:r>
    </w:p>
    <w:p>
      <w:pPr>
        <w:pStyle w:val="BodyText"/>
      </w:pPr>
      <w:r>
        <w:t xml:space="preserve">Under FedRAMP 20x the assessed artifact is Key Security Indicator evidence</w:t>
      </w:r>
      <w:r>
        <w:t xml:space="preserve"> </w:t>
      </w:r>
      <w:r>
        <w:t xml:space="preserve">against the</w:t>
      </w:r>
      <w:r>
        <w:t xml:space="preserve"> </w:t>
      </w:r>
      <w:r>
        <w:rPr>
          <w:b/>
          <w:bCs/>
        </w:rPr>
        <w:t xml:space="preserve">CR26</w:t>
      </w:r>
      <w:r>
        <w:t xml:space="preserve"> </w:t>
      </w:r>
      <w:r>
        <w:t xml:space="preserve">catalog (46 indicators, 10 themes), mandatory for all</w:t>
      </w:r>
      <w:r>
        <w:t xml:space="preserve"> </w:t>
      </w:r>
      <w:r>
        <w:t xml:space="preserve">FedRAMP stakeholders from</w:t>
      </w:r>
      <w:r>
        <w:t xml:space="preserve"> </w:t>
      </w:r>
      <w:r>
        <w:rPr>
          <w:b/>
          <w:bCs/>
        </w:rPr>
        <w:t xml:space="preserve">2027-01-01</w:t>
      </w:r>
      <w:r>
        <w:t xml:space="preserve">. This kit’s governed path produces</w:t>
      </w:r>
      <w:r>
        <w:t xml:space="preserve"> </w:t>
      </w:r>
      <w:r>
        <w:t xml:space="preserve">evidence for a bounded slice of that catalog: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CR26 indicator</w:t>
            </w:r>
          </w:p>
        </w:tc>
        <w:tc>
          <w:tcPr/>
          <w:p>
            <w:pPr>
              <w:pStyle w:val="Compact"/>
            </w:pPr>
            <w:r>
              <w:t xml:space="preserve">Evidenced by</w:t>
            </w:r>
          </w:p>
        </w:tc>
      </w:tr>
      <w:tr>
        <w:tc>
          <w:tcPr/>
          <w:p>
            <w:pPr>
              <w:pStyle w:val="Compact"/>
            </w:pPr>
            <w:r>
              <w:rPr>
                <w:b/>
                <w:bCs/>
              </w:rPr>
              <w:t xml:space="preserve">KSI-IAM-APM</w:t>
            </w:r>
          </w:p>
        </w:tc>
        <w:tc>
          <w:tcPr/>
          <w:p>
            <w:pPr>
              <w:pStyle w:val="Compact"/>
            </w:pPr>
            <w:r>
              <w:rPr>
                <w:rStyle w:val="VerbatimChar"/>
              </w:rPr>
              <w:t xml:space="preserve">Deploy-ConditionalAccessBaseline.ps1</w:t>
            </w:r>
            <w:r>
              <w:t xml:space="preserve"> </w:t>
            </w:r>
            <w:r>
              <w:t xml:space="preserve">— MFA and compliant-device enforcement</w:t>
            </w:r>
          </w:p>
        </w:tc>
      </w:tr>
      <w:tr>
        <w:tc>
          <w:tcPr/>
          <w:p>
            <w:pPr>
              <w:pStyle w:val="Compact"/>
            </w:pPr>
            <w:r>
              <w:rPr>
                <w:b/>
                <w:bCs/>
              </w:rPr>
              <w:t xml:space="preserve">KSI-IAM-ELP</w:t>
            </w:r>
          </w:p>
        </w:tc>
        <w:tc>
          <w:tcPr/>
          <w:p>
            <w:pPr>
              <w:pStyle w:val="Compact"/>
            </w:pPr>
            <w:r>
              <w:t xml:space="preserve">Scoped assignment rather than tenant-wide</w:t>
            </w:r>
          </w:p>
        </w:tc>
      </w:tr>
      <w:tr>
        <w:tc>
          <w:tcPr/>
          <w:p>
            <w:pPr>
              <w:pStyle w:val="Compact"/>
            </w:pPr>
            <w:r>
              <w:rPr>
                <w:b/>
                <w:bCs/>
              </w:rPr>
              <w:t xml:space="preserve">KSI-SVC-ACM</w:t>
            </w:r>
          </w:p>
        </w:tc>
        <w:tc>
          <w:tcPr/>
          <w:p>
            <w:pPr>
              <w:pStyle w:val="Compact"/>
            </w:pPr>
            <w:r>
              <w:rPr>
                <w:rStyle w:val="VerbatimChar"/>
              </w:rPr>
              <w:t xml:space="preserve">Set-ArcPolicyBaseline.ps1</w:t>
            </w:r>
            <w:r>
              <w:t xml:space="preserve"> </w:t>
            </w:r>
            <w:r>
              <w:t xml:space="preserve">— automated configuration management on Arc-enrolled servers</w:t>
            </w:r>
          </w:p>
        </w:tc>
      </w:tr>
      <w:tr>
        <w:tc>
          <w:tcPr/>
          <w:p>
            <w:pPr>
              <w:pStyle w:val="Compact"/>
            </w:pPr>
            <w:r>
              <w:rPr>
                <w:b/>
                <w:bCs/>
              </w:rPr>
              <w:t xml:space="preserve">KSI-CNA-EIS</w:t>
            </w:r>
          </w:p>
        </w:tc>
        <w:tc>
          <w:tcPr/>
          <w:p>
            <w:pPr>
              <w:pStyle w:val="Compact"/>
            </w:pPr>
            <w:r>
              <w:rPr>
                <w:rStyle w:val="VerbatimChar"/>
              </w:rPr>
              <w:t xml:space="preserve">Compare-ConditionalAccessDrift.ps1</w:t>
            </w:r>
            <w:r>
              <w:t xml:space="preserve"> </w:t>
            </w:r>
            <w:r>
              <w:t xml:space="preserve">— enforcing intended state, continuously</w:t>
            </w:r>
          </w:p>
        </w:tc>
      </w:tr>
      <w:tr>
        <w:tc>
          <w:tcPr/>
          <w:p>
            <w:pPr>
              <w:pStyle w:val="Compact"/>
            </w:pPr>
            <w:r>
              <w:rPr>
                <w:b/>
                <w:bCs/>
              </w:rPr>
              <w:t xml:space="preserve">KSI-CMT-LMC</w:t>
            </w:r>
          </w:p>
        </w:tc>
        <w:tc>
          <w:tcPr/>
          <w:p>
            <w:pPr>
              <w:pStyle w:val="Compact"/>
            </w:pPr>
            <w:r>
              <w:rPr>
                <w:rStyle w:val="VerbatimChar"/>
              </w:rPr>
              <w:t xml:space="preserve">-ApprovalRef</w:t>
            </w:r>
            <w:r>
              <w:t xml:space="preserve"> </w:t>
            </w:r>
            <w:r>
              <w:t xml:space="preserve">provenance on every state-changing run — changes logged and attributable</w:t>
            </w:r>
          </w:p>
        </w:tc>
      </w:tr>
      <w:tr>
        <w:tc>
          <w:tcPr/>
          <w:p>
            <w:pPr>
              <w:pStyle w:val="Compact"/>
            </w:pPr>
            <w:r>
              <w:rPr>
                <w:b/>
                <w:bCs/>
              </w:rPr>
              <w:t xml:space="preserve">KSI-MLA-EVC</w:t>
            </w:r>
          </w:p>
        </w:tc>
        <w:tc>
          <w:tcPr/>
          <w:p>
            <w:pPr>
              <w:pStyle w:val="Compact"/>
            </w:pPr>
            <w:r>
              <w:rPr>
                <w:rStyle w:val="VerbatimChar"/>
              </w:rPr>
              <w:t xml:space="preserve">Get-ModernizationDriftReport.ps1</w:t>
            </w:r>
            <w:r>
              <w:t xml:space="preserve"> </w:t>
            </w:r>
            <w:r>
              <w:t xml:space="preserve">— evaluating configurations against a baseline</w:t>
            </w:r>
          </w:p>
        </w:tc>
      </w:tr>
    </w:tbl>
    <w:p>
      <w:pPr>
        <w:pStyle w:val="BodyText"/>
      </w:pPr>
      <w:r>
        <w:t xml:space="preserve">Indicators this kit does</w:t>
      </w:r>
      <w:r>
        <w:t xml:space="preserve"> </w:t>
      </w:r>
      <w:r>
        <w:rPr>
          <w:b/>
          <w:bCs/>
        </w:rPr>
        <w:t xml:space="preserve">not</w:t>
      </w:r>
      <w:r>
        <w:t xml:space="preserve"> </w:t>
      </w:r>
      <w:r>
        <w:t xml:space="preserve">evidence, and should not be cited for:</w:t>
      </w:r>
      <w:r>
        <w:t xml:space="preserve"> </w:t>
      </w:r>
      <w:r>
        <w:t xml:space="preserve">recovery planning (KSI-RPL), supply chain risk (KSI-SCR), cybersecurity</w:t>
      </w:r>
      <w:r>
        <w:t xml:space="preserve"> </w:t>
      </w:r>
      <w:r>
        <w:t xml:space="preserve">education (KSI-CED), and incident-response process (KSI-INR). The Federal Modernization Program</w:t>
      </w:r>
      <w:r>
        <w:t xml:space="preserve"> </w:t>
      </w:r>
      <w:r>
        <w:t xml:space="preserve">substrate does carry rules for these themes, but their evidence comes from</w:t>
      </w:r>
      <w:r>
        <w:t xml:space="preserve"> </w:t>
      </w:r>
      <w:r>
        <w:t xml:space="preserve">sources outside this kit’s Intune/Arc surface — contingency-plan review</w:t>
      </w:r>
      <w:r>
        <w:t xml:space="preserve"> </w:t>
      </w:r>
      <w:r>
        <w:t xml:space="preserve">records, SBOM/VDR tooling, training records, SOAR playbooks.</w:t>
      </w:r>
      <w:r>
        <w:t xml:space="preserve"> </w:t>
      </w:r>
      <w:r>
        <w:t xml:space="preserve">The</w:t>
      </w:r>
      <w:r>
        <w:t xml:space="preserve"> </w:t>
      </w:r>
      <w:r>
        <w:rPr>
          <w:b/>
          <w:bCs/>
        </w:rPr>
        <w:t xml:space="preserve">manual path</w:t>
      </w:r>
      <w:r>
        <w:t xml:space="preserve"> </w:t>
      </w:r>
      <w:r>
        <w:t xml:space="preserve">produces the same Microsoft-surface end state but no</w:t>
      </w:r>
      <w:r>
        <w:t xml:space="preserve"> </w:t>
      </w:r>
      <w:r>
        <w:rPr>
          <w:rStyle w:val="VerbatimChar"/>
        </w:rPr>
        <w:t xml:space="preserve">-ApprovalRef</w:t>
      </w:r>
      <w:r>
        <w:t xml:space="preserve"> </w:t>
      </w:r>
      <w:r>
        <w:t xml:space="preserve">provenance chain, so it does not evidence KSI-CMT-LMC — that</w:t>
      </w:r>
      <w:r>
        <w:t xml:space="preserve"> </w:t>
      </w:r>
      <w:r>
        <w:t xml:space="preserve">is the governance seam, and it is the reason the governed path exists.</w:t>
      </w:r>
    </w:p>
    <w:bookmarkEnd w:id="503"/>
    <w:bookmarkEnd w:id="504"/>
    <w:bookmarkStart w:id="509" w:name="intune-azure-arc-governed-path"/>
    <w:p>
      <w:pPr>
        <w:pStyle w:val="Heading1"/>
      </w:pPr>
      <w:r>
        <w:t xml:space="preserve">Intune + Azure Arc — Governed Path</w:t>
      </w:r>
    </w:p>
    <w:p>
      <w:pPr>
        <w:pStyle w:val="FirstParagraph"/>
      </w:pPr>
      <w:r>
        <w:t xml:space="preserve">The same modernization end state, bound to organizational intent and continuous evidence.</w:t>
      </w:r>
    </w:p>
    <w:bookmarkStart w:id="505" w:name="purpose-8"/>
    <w:p>
      <w:pPr>
        <w:pStyle w:val="Heading2"/>
      </w:pPr>
      <w:r>
        <w:t xml:space="preserve">Purpose</w:t>
      </w:r>
    </w:p>
    <w:p>
      <w:pPr>
        <w:pStyle w:val="FirstParagraph"/>
      </w:pPr>
      <w:r>
        <w:t xml:space="preserve">The governed path reaches the same end state as the manual path — Arc-onboarded servers, Intune-enrolled endpoints, legacy protocols restricted, Conditional Access enforced — but binds every change to organizational intent. The same operational steps run; governance adds a scoped approval, a recorded decision, and a drift-detection loop.</w:t>
      </w:r>
    </w:p>
    <w:bookmarkEnd w:id="505"/>
    <w:bookmarkStart w:id="506" w:name="what-governance-adds"/>
    <w:p>
      <w:pPr>
        <w:pStyle w:val="Heading2"/>
      </w:pPr>
      <w:r>
        <w:t xml:space="preserve">What governance adds</w:t>
      </w:r>
    </w:p>
    <w:p>
      <w:pPr>
        <w:pStyle w:val="Compact"/>
        <w:numPr>
          <w:ilvl w:val="0"/>
          <w:numId w:val="1255"/>
        </w:numPr>
      </w:pPr>
      <w:r>
        <w:t xml:space="preserve">Scoped targeting derived from a canonical attribute model</w:t>
      </w:r>
    </w:p>
    <w:p>
      <w:pPr>
        <w:pStyle w:val="Compact"/>
        <w:numPr>
          <w:ilvl w:val="0"/>
          <w:numId w:val="1255"/>
        </w:numPr>
      </w:pPr>
      <w:r>
        <w:t xml:space="preserve">Approval reference before state-changing operations</w:t>
      </w:r>
    </w:p>
    <w:p>
      <w:pPr>
        <w:pStyle w:val="Compact"/>
        <w:numPr>
          <w:ilvl w:val="0"/>
          <w:numId w:val="1255"/>
        </w:numPr>
      </w:pPr>
      <w:r>
        <w:t xml:space="preserve">Continuous observation and drift findings</w:t>
      </w:r>
    </w:p>
    <w:p>
      <w:pPr>
        <w:pStyle w:val="Compact"/>
        <w:numPr>
          <w:ilvl w:val="0"/>
          <w:numId w:val="1255"/>
        </w:numPr>
      </w:pPr>
      <w:r>
        <w:t xml:space="preserve">Evidence of who approved what, and when</w:t>
      </w:r>
    </w:p>
    <w:p>
      <w:pPr>
        <w:pStyle w:val="Compact"/>
        <w:numPr>
          <w:ilvl w:val="0"/>
          <w:numId w:val="1255"/>
        </w:numPr>
      </w:pPr>
      <w:r>
        <w:t xml:space="preserve">Ability to detect and respond to divergence after the initial change</w:t>
      </w:r>
    </w:p>
    <w:bookmarkEnd w:id="506"/>
    <w:bookmarkStart w:id="507" w:name="operating-model"/>
    <w:p>
      <w:pPr>
        <w:pStyle w:val="Heading2"/>
      </w:pPr>
      <w:r>
        <w:t xml:space="preserve">Operating model</w:t>
      </w:r>
    </w:p>
    <w:p>
      <w:pPr>
        <w:pStyle w:val="FirstParagraph"/>
      </w:pPr>
      <w:r>
        <w:t xml:space="preserve">Changes are proposed, approved, and applied under the control plane. Observation continues after the change so that drift is visible. The technical configuration of Intune and Azure Arc remains the same as the manual path.</w:t>
      </w:r>
    </w:p>
    <w:bookmarkEnd w:id="507"/>
    <w:bookmarkStart w:id="508" w:name="bottom-line-1"/>
    <w:p>
      <w:pPr>
        <w:pStyle w:val="Heading2"/>
      </w:pPr>
      <w:r>
        <w:t xml:space="preserve">Bottom line</w:t>
      </w:r>
    </w:p>
    <w:p>
      <w:pPr>
        <w:pStyle w:val="FirstParagraph"/>
      </w:pPr>
      <w:r>
        <w:t xml:space="preserve">Governance does not change the target state. It changes how decisions are authorized, recorded, and continuously verified.</w:t>
      </w:r>
    </w:p>
    <w:p>
      <w:r>
        <w:pict>
          <v:rect style="width:0;height:1.5pt" o:hralign="center" o:hrstd="t" o:hr="t"/>
        </w:pict>
      </w:r>
    </w:p>
    <w:p>
      <w:pPr>
        <w:pStyle w:val="FirstParagraph"/>
      </w:pPr>
      <w:r>
        <w:rPr>
          <w:i/>
          <w:iCs/>
        </w:rPr>
        <w:t xml:space="preserve">Cleaned extraction for project use.</w:t>
      </w:r>
    </w:p>
    <w:bookmarkEnd w:id="508"/>
    <w:bookmarkEnd w:id="509"/>
    <w:bookmarkStart w:id="514" w:name="intune-azure-arc-manual-path"/>
    <w:p>
      <w:pPr>
        <w:pStyle w:val="Heading1"/>
      </w:pPr>
      <w:r>
        <w:t xml:space="preserve">Intune + Azure Arc — Manual Path</w:t>
      </w:r>
    </w:p>
    <w:p>
      <w:pPr>
        <w:pStyle w:val="FirstParagraph"/>
      </w:pPr>
      <w:r>
        <w:t xml:space="preserve">End-to-end modernization runbook without a central governance control plane.</w:t>
      </w:r>
    </w:p>
    <w:bookmarkStart w:id="510" w:name="purpose-9"/>
    <w:p>
      <w:pPr>
        <w:pStyle w:val="Heading2"/>
      </w:pPr>
      <w:r>
        <w:t xml:space="preserve">Purpose</w:t>
      </w:r>
    </w:p>
    <w:p>
      <w:pPr>
        <w:pStyle w:val="FirstParagraph"/>
      </w:pPr>
      <w:r>
        <w:t xml:space="preserve">This path is for organizations executing modernization without a real-time governance control plane. Every step is self-contained and owned by the operator under local change control. The manual path is not an ungoverned path: because no control plane validates each decision in real time, the operator owns the change record, the approval, and the rollback.</w:t>
      </w:r>
    </w:p>
    <w:bookmarkEnd w:id="510"/>
    <w:bookmarkStart w:id="511" w:name="phases-1"/>
    <w:p>
      <w:pPr>
        <w:pStyle w:val="Heading2"/>
      </w:pPr>
      <w:r>
        <w:t xml:space="preserve">Phases</w:t>
      </w:r>
    </w:p>
    <w:tbl>
      <w:tblPr>
        <w:tblStyle w:val="Table"/>
        <w:tblW w:type="pct" w:w="5000"/>
        <w:tblLayout w:type="fixed"/>
        <w:tblLook w:firstRow="1" w:lastRow="0" w:firstColumn="0" w:lastColumn="0" w:noHBand="0" w:noVBand="0" w:val="0020"/>
      </w:tblPr>
      <w:tblGrid>
        <w:gridCol w:w="2917"/>
        <w:gridCol w:w="2917"/>
        <w:gridCol w:w="2084"/>
      </w:tblGrid>
      <w:tr>
        <w:trPr>
          <w:tblHeader w:val="on"/>
        </w:trPr>
        <w:tc>
          <w:tcPr/>
          <w:p>
            <w:pPr>
              <w:pStyle w:val="Compact"/>
            </w:pPr>
            <w:r>
              <w:t xml:space="preserve">Phase</w:t>
            </w:r>
          </w:p>
        </w:tc>
        <w:tc>
          <w:tcPr/>
          <w:p>
            <w:pPr>
              <w:pStyle w:val="Compact"/>
            </w:pPr>
            <w:r>
              <w:t xml:space="preserve">Focus</w:t>
            </w:r>
          </w:p>
        </w:tc>
        <w:tc>
          <w:tcPr/>
          <w:p>
            <w:pPr>
              <w:pStyle w:val="Compact"/>
            </w:pPr>
            <w:r>
              <w:t xml:space="preserve">Why</w:t>
            </w:r>
          </w:p>
        </w:tc>
      </w:tr>
      <w:tr>
        <w:tc>
          <w:tcPr/>
          <w:p>
            <w:pPr>
              <w:pStyle w:val="Compact"/>
            </w:pPr>
            <w:r>
              <w:t xml:space="preserve">1 — Observe</w:t>
            </w:r>
          </w:p>
        </w:tc>
        <w:tc>
          <w:tcPr/>
          <w:p>
            <w:pPr>
              <w:pStyle w:val="Compact"/>
            </w:pPr>
            <w:r>
              <w:t xml:space="preserve">Read-only baseline (NTLM, SPNs, SQL posture, Intune state)</w:t>
            </w:r>
          </w:p>
        </w:tc>
        <w:tc>
          <w:tcPr/>
          <w:p>
            <w:pPr>
              <w:pStyle w:val="Compact"/>
            </w:pPr>
            <w:r>
              <w:t xml:space="preserve">You cannot safely restrict what you have not measured</w:t>
            </w:r>
          </w:p>
        </w:tc>
      </w:tr>
      <w:tr>
        <w:tc>
          <w:tcPr/>
          <w:p>
            <w:pPr>
              <w:pStyle w:val="Compact"/>
            </w:pPr>
            <w:r>
              <w:t xml:space="preserve">2 — Onboard</w:t>
            </w:r>
          </w:p>
        </w:tc>
        <w:tc>
          <w:tcPr/>
          <w:p>
            <w:pPr>
              <w:pStyle w:val="Compact"/>
            </w:pPr>
            <w:r>
              <w:t xml:space="preserve">Arc onboarding and Intune enrollment</w:t>
            </w:r>
          </w:p>
        </w:tc>
        <w:tc>
          <w:tcPr/>
          <w:p>
            <w:pPr>
              <w:pStyle w:val="Compact"/>
            </w:pPr>
            <w:r>
              <w:t xml:space="preserve">Attach the management planes</w:t>
            </w:r>
          </w:p>
        </w:tc>
      </w:tr>
      <w:tr>
        <w:tc>
          <w:tcPr/>
          <w:p>
            <w:pPr>
              <w:pStyle w:val="Compact"/>
            </w:pPr>
            <w:r>
              <w:t xml:space="preserve">3 — Harden</w:t>
            </w:r>
          </w:p>
        </w:tc>
        <w:tc>
          <w:tcPr/>
          <w:p>
            <w:pPr>
              <w:pStyle w:val="Compact"/>
            </w:pPr>
            <w:r>
              <w:t xml:space="preserve">Restrict legacy protocols, clean SPNs, enforce Conditional Access</w:t>
            </w:r>
          </w:p>
        </w:tc>
        <w:tc>
          <w:tcPr/>
          <w:p>
            <w:pPr>
              <w:pStyle w:val="Compact"/>
            </w:pPr>
            <w:r>
              <w:t xml:space="preserve">Reduce attack surface</w:t>
            </w:r>
          </w:p>
        </w:tc>
      </w:tr>
      <w:tr>
        <w:tc>
          <w:tcPr/>
          <w:p>
            <w:pPr>
              <w:pStyle w:val="Compact"/>
            </w:pPr>
            <w:r>
              <w:t xml:space="preserve">4 — Verify</w:t>
            </w:r>
          </w:p>
        </w:tc>
        <w:tc>
          <w:tcPr/>
          <w:p>
            <w:pPr>
              <w:pStyle w:val="Compact"/>
            </w:pPr>
            <w:r>
              <w:t xml:space="preserve">Confirm posture and residual risk</w:t>
            </w:r>
          </w:p>
        </w:tc>
        <w:tc>
          <w:tcPr/>
          <w:p>
            <w:pPr>
              <w:pStyle w:val="Compact"/>
            </w:pPr>
            <w:r>
              <w:t xml:space="preserve">Evidence of completion</w:t>
            </w:r>
          </w:p>
        </w:tc>
      </w:tr>
    </w:tbl>
    <w:bookmarkEnd w:id="511"/>
    <w:bookmarkStart w:id="512" w:name="operating-rules"/>
    <w:p>
      <w:pPr>
        <w:pStyle w:val="Heading2"/>
      </w:pPr>
      <w:r>
        <w:t xml:space="preserve">Operating rules</w:t>
      </w:r>
    </w:p>
    <w:p>
      <w:pPr>
        <w:pStyle w:val="Compact"/>
        <w:numPr>
          <w:ilvl w:val="0"/>
          <w:numId w:val="1256"/>
        </w:numPr>
      </w:pPr>
      <w:r>
        <w:t xml:space="preserve">Document accepted risks in a change record before starting.</w:t>
      </w:r>
    </w:p>
    <w:p>
      <w:pPr>
        <w:pStyle w:val="Compact"/>
        <w:numPr>
          <w:ilvl w:val="0"/>
          <w:numId w:val="1256"/>
        </w:numPr>
      </w:pPr>
      <w:r>
        <w:t xml:space="preserve">Treat the first run of any state-changing step as a dry run.</w:t>
      </w:r>
    </w:p>
    <w:p>
      <w:pPr>
        <w:pStyle w:val="Compact"/>
        <w:numPr>
          <w:ilvl w:val="0"/>
          <w:numId w:val="1256"/>
        </w:numPr>
      </w:pPr>
      <w:r>
        <w:t xml:space="preserve">If governance will be added later, nothing in this path prevents a retrofit.</w:t>
      </w:r>
    </w:p>
    <w:p>
      <w:pPr>
        <w:pStyle w:val="Compact"/>
        <w:numPr>
          <w:ilvl w:val="0"/>
          <w:numId w:val="1256"/>
        </w:numPr>
      </w:pPr>
      <w:r>
        <w:t xml:space="preserve">Do not re-image or re-enroll devices solely to add governance later.</w:t>
      </w:r>
    </w:p>
    <w:bookmarkEnd w:id="512"/>
    <w:bookmarkStart w:id="513" w:name="bottom-line-2"/>
    <w:p>
      <w:pPr>
        <w:pStyle w:val="Heading2"/>
      </w:pPr>
      <w:r>
        <w:t xml:space="preserve">Bottom line</w:t>
      </w:r>
    </w:p>
    <w:p>
      <w:pPr>
        <w:pStyle w:val="FirstParagraph"/>
      </w:pPr>
      <w:r>
        <w:t xml:space="preserve">The manual path reaches the same technical end state as a governed path. The difference is ownership and evidence: the operator holds the change record instead of a control plane.</w:t>
      </w:r>
    </w:p>
    <w:p>
      <w:r>
        <w:pict>
          <v:rect style="width:0;height:1.5pt" o:hralign="center" o:hrstd="t" o:hr="t"/>
        </w:pict>
      </w:r>
    </w:p>
    <w:p>
      <w:pPr>
        <w:pStyle w:val="FirstParagraph"/>
      </w:pPr>
      <w:r>
        <w:rPr>
          <w:i/>
          <w:iCs/>
        </w:rPr>
        <w:t xml:space="preserve">Cleaned extraction for project use.</w:t>
      </w:r>
    </w:p>
    <w:bookmarkEnd w:id="513"/>
    <w:bookmarkEnd w:id="514"/>
    <w:bookmarkStart w:id="519" w:name="intune-azure-arc-retrofit-path"/>
    <w:p>
      <w:pPr>
        <w:pStyle w:val="Heading1"/>
      </w:pPr>
      <w:r>
        <w:t xml:space="preserve">Intune + Azure Arc — Retrofit Path</w:t>
      </w:r>
    </w:p>
    <w:p>
      <w:pPr>
        <w:pStyle w:val="FirstParagraph"/>
      </w:pPr>
      <w:r>
        <w:t xml:space="preserve">Add governance to an estate already modernized under the manual path.</w:t>
      </w:r>
    </w:p>
    <w:bookmarkStart w:id="515" w:name="purpose-10"/>
    <w:p>
      <w:pPr>
        <w:pStyle w:val="Heading2"/>
      </w:pPr>
      <w:r>
        <w:t xml:space="preserve">Purpose</w:t>
      </w:r>
    </w:p>
    <w:p>
      <w:pPr>
        <w:pStyle w:val="FirstParagraph"/>
      </w:pPr>
      <w:r>
        <w:t xml:space="preserve">Servers are Arc-onboarded, endpoints are Intune-enrolled, legacy protocols are restricted, and Conditional Access is enforced. Governance is now required. The retrofit adopts the existing estate into the governed path without re-doing the Intune or Arc work.</w:t>
      </w:r>
    </w:p>
    <w:bookmarkEnd w:id="515"/>
    <w:bookmarkStart w:id="516" w:name="why-this-works"/>
    <w:p>
      <w:pPr>
        <w:pStyle w:val="Heading2"/>
      </w:pPr>
      <w:r>
        <w:t xml:space="preserve">Why this works</w:t>
      </w:r>
    </w:p>
    <w:p>
      <w:pPr>
        <w:pStyle w:val="FirstParagraph"/>
      </w:pPr>
      <w:r>
        <w:t xml:space="preserve">The manual path already produced the artifacts the control plane needs: Arc tags, enrollment state, Conditional Access policies, and audit records. The retrofit reads those artifacts, derives governance attributes from existing structure, and attaches the observation and approval loop. No re-imaging, re-onboarding, or re-enrollment is required.</w:t>
      </w:r>
    </w:p>
    <w:bookmarkEnd w:id="516"/>
    <w:bookmarkStart w:id="517" w:name="steps-1"/>
    <w:p>
      <w:pPr>
        <w:pStyle w:val="Heading2"/>
      </w:pPr>
      <w:r>
        <w:t xml:space="preserve">Steps</w:t>
      </w:r>
    </w:p>
    <w:p>
      <w:pPr>
        <w:pStyle w:val="Compact"/>
        <w:numPr>
          <w:ilvl w:val="0"/>
          <w:numId w:val="1257"/>
        </w:numPr>
      </w:pPr>
      <w:r>
        <w:t xml:space="preserve">Inventory what the manual path already produced (tags, enrollment status, policy assignments, audit files).</w:t>
      </w:r>
    </w:p>
    <w:p>
      <w:pPr>
        <w:pStyle w:val="Compact"/>
        <w:numPr>
          <w:ilvl w:val="0"/>
          <w:numId w:val="1257"/>
        </w:numPr>
      </w:pPr>
      <w:r>
        <w:t xml:space="preserve">Derive governance attributes from existing tags, OUs, or groups.</w:t>
      </w:r>
    </w:p>
    <w:p>
      <w:pPr>
        <w:pStyle w:val="Compact"/>
        <w:numPr>
          <w:ilvl w:val="0"/>
          <w:numId w:val="1257"/>
        </w:numPr>
      </w:pPr>
      <w:r>
        <w:t xml:space="preserve">Stamp the derived attributes onto the objects that already exist.</w:t>
      </w:r>
    </w:p>
    <w:p>
      <w:pPr>
        <w:pStyle w:val="Compact"/>
        <w:numPr>
          <w:ilvl w:val="0"/>
          <w:numId w:val="1257"/>
        </w:numPr>
      </w:pPr>
      <w:r>
        <w:t xml:space="preserve">Register the current state as the desired state.</w:t>
      </w:r>
    </w:p>
    <w:p>
      <w:pPr>
        <w:pStyle w:val="Compact"/>
        <w:numPr>
          <w:ilvl w:val="0"/>
          <w:numId w:val="1257"/>
        </w:numPr>
      </w:pPr>
      <w:r>
        <w:t xml:space="preserve">Enable continuous observation and drift detection.</w:t>
      </w:r>
    </w:p>
    <w:p>
      <w:pPr>
        <w:pStyle w:val="Compact"/>
        <w:numPr>
          <w:ilvl w:val="0"/>
          <w:numId w:val="1257"/>
        </w:numPr>
      </w:pPr>
      <w:r>
        <w:t xml:space="preserve">Route future changes through the approval process.</w:t>
      </w:r>
    </w:p>
    <w:bookmarkEnd w:id="517"/>
    <w:bookmarkStart w:id="518" w:name="bottom-line-3"/>
    <w:p>
      <w:pPr>
        <w:pStyle w:val="Heading2"/>
      </w:pPr>
      <w:r>
        <w:t xml:space="preserve">Bottom line</w:t>
      </w:r>
    </w:p>
    <w:p>
      <w:pPr>
        <w:pStyle w:val="FirstParagraph"/>
      </w:pPr>
      <w:r>
        <w:t xml:space="preserve">Adding governance after the fact is not a migration. It is turning on the observation and approval seam that the manual path left available.</w:t>
      </w:r>
    </w:p>
    <w:p>
      <w:r>
        <w:pict>
          <v:rect style="width:0;height:1.5pt" o:hralign="center" o:hrstd="t" o:hr="t"/>
        </w:pict>
      </w:r>
    </w:p>
    <w:p>
      <w:pPr>
        <w:pStyle w:val="FirstParagraph"/>
      </w:pPr>
      <w:r>
        <w:rPr>
          <w:i/>
          <w:iCs/>
        </w:rPr>
        <w:t xml:space="preserve">Cleaned extraction for project use.</w:t>
      </w:r>
    </w:p>
    <w:bookmarkEnd w:id="518"/>
    <w:bookmarkEnd w:id="519"/>
    <w:bookmarkStart w:id="532" w:name="intune-azure-arc-manual-path-1"/>
    <w:p>
      <w:pPr>
        <w:pStyle w:val="Heading1"/>
      </w:pPr>
      <w:r>
        <w:t xml:space="preserve">Intune + Azure Arc — Manual Path</w:t>
      </w:r>
    </w:p>
    <w:p>
      <w:pPr>
        <w:pStyle w:val="FirstParagraph"/>
      </w:pPr>
      <w:r>
        <w:t xml:space="preserve">This is the modernization runbook for organizations executing</w:t>
      </w:r>
      <w:r>
        <w:t xml:space="preserve"> </w:t>
      </w:r>
      <w:r>
        <w:rPr>
          <w:b/>
          <w:bCs/>
        </w:rPr>
        <w:t xml:space="preserve">without</w:t>
      </w:r>
      <w:r>
        <w:t xml:space="preserve"> </w:t>
      </w:r>
      <w:r>
        <w:t xml:space="preserve">a</w:t>
      </w:r>
      <w:r>
        <w:t xml:space="preserve"> </w:t>
      </w:r>
      <w:r>
        <w:t xml:space="preserve">governance control plane — by structure, acquisition, expedited timeline, or</w:t>
      </w:r>
      <w:r>
        <w:t xml:space="preserve"> </w:t>
      </w:r>
      <w:r>
        <w:t xml:space="preserve">resource constraint. Every runbook and script here is self-contained: it is</w:t>
      </w:r>
      <w:r>
        <w:t xml:space="preserve"> </w:t>
      </w:r>
      <w:r>
        <w:t xml:space="preserve">meant to be run by technically qualified staff with no external advisory</w:t>
      </w:r>
      <w:r>
        <w:t xml:space="preserve"> </w:t>
      </w:r>
      <w:r>
        <w:t xml:space="preserve">dependency.</w:t>
      </w:r>
    </w:p>
    <w:p>
      <w:pPr>
        <w:pStyle w:val="BodyText"/>
      </w:pPr>
      <w:r>
        <w:t xml:space="preserve">The manual path is not the</w:t>
      </w:r>
      <w:r>
        <w:t xml:space="preserve"> </w:t>
      </w:r>
      <w:r>
        <w:rPr>
          <w:i/>
          <w:iCs/>
        </w:rPr>
        <w:t xml:space="preserve">un-governed</w:t>
      </w:r>
      <w:r>
        <w:t xml:space="preserve"> </w:t>
      </w:r>
      <w:r>
        <w:t xml:space="preserve">path. Because no control plane validates</w:t>
      </w:r>
      <w:r>
        <w:t xml:space="preserve"> </w:t>
      </w:r>
      <w:r>
        <w:t xml:space="preserve">each decision in real time,</w:t>
      </w:r>
      <w:r>
        <w:t xml:space="preserve"> </w:t>
      </w:r>
      <w:r>
        <w:rPr>
          <w:b/>
          <w:bCs/>
        </w:rPr>
        <w:t xml:space="preserve">you</w:t>
      </w:r>
      <w:r>
        <w:t xml:space="preserve"> </w:t>
      </w:r>
      <w:r>
        <w:t xml:space="preserve">own the change record, the approval, and the</w:t>
      </w:r>
      <w:r>
        <w:t xml:space="preserve"> </w:t>
      </w:r>
      <w:r>
        <w:t xml:space="preserve">rollback. Document accepted risks in a change record before you begin, and treat</w:t>
      </w:r>
      <w:r>
        <w:t xml:space="preserve"> </w:t>
      </w:r>
      <w:r>
        <w:t xml:space="preserve">every first run as a</w:t>
      </w:r>
      <w:r>
        <w:t xml:space="preserve"> </w:t>
      </w:r>
      <w:r>
        <w:rPr>
          <w:rStyle w:val="VerbatimChar"/>
        </w:rPr>
        <w:t xml:space="preserve">-WhatIf</w:t>
      </w:r>
      <w:r>
        <w:t xml:space="preserve"> </w:t>
      </w:r>
      <w:r>
        <w:t xml:space="preserve">dry run.</w:t>
      </w:r>
    </w:p>
    <w:p>
      <w:pPr>
        <w:pStyle w:val="BodyText"/>
      </w:pPr>
      <w:r>
        <w:t xml:space="preserve">If you expect to add governance later, this path is designed so you can. Nothing here forecloses it.</w:t>
      </w:r>
    </w:p>
    <w:bookmarkStart w:id="520" w:name="phases-and-run-order"/>
    <w:p>
      <w:pPr>
        <w:pStyle w:val="Heading2"/>
      </w:pPr>
      <w:r>
        <w:t xml:space="preserve">0. Phases and run order</w:t>
      </w:r>
    </w:p>
    <w:p>
      <w:pPr>
        <w:pStyle w:val="FirstParagraph"/>
      </w:pPr>
      <w:r>
        <w:t xml:space="preserve">Modernization runs in four phases.</w:t>
      </w:r>
      <w:r>
        <w:t xml:space="preserve"> </w:t>
      </w:r>
      <w:r>
        <w:rPr>
          <w:b/>
          <w:bCs/>
        </w:rPr>
        <w:t xml:space="preserve">Observe before you change anything.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Phase</w:t>
            </w:r>
          </w:p>
        </w:tc>
        <w:tc>
          <w:tcPr/>
          <w:p>
            <w:pPr>
              <w:pStyle w:val="Compact"/>
            </w:pPr>
            <w:r>
              <w:t xml:space="preserve">Rung</w:t>
            </w:r>
          </w:p>
        </w:tc>
        <w:tc>
          <w:tcPr/>
          <w:p>
            <w:pPr>
              <w:pStyle w:val="Compact"/>
            </w:pPr>
            <w:r>
              <w:t xml:space="preserve">What runs</w:t>
            </w:r>
          </w:p>
        </w:tc>
        <w:tc>
          <w:tcPr/>
          <w:p>
            <w:pPr>
              <w:pStyle w:val="Compact"/>
            </w:pPr>
            <w:r>
              <w:t xml:space="preserve">Why</w:t>
            </w:r>
          </w:p>
        </w:tc>
      </w:tr>
      <w:tr>
        <w:tc>
          <w:tcPr/>
          <w:p>
            <w:pPr>
              <w:pStyle w:val="Compact"/>
            </w:pPr>
            <w:r>
              <w:t xml:space="preserve">1 — Observe</w:t>
            </w:r>
          </w:p>
        </w:tc>
        <w:tc>
          <w:tcPr/>
          <w:p>
            <w:pPr>
              <w:pStyle w:val="Compact"/>
            </w:pPr>
            <w:r>
              <w:t xml:space="preserve">read-only</w:t>
            </w:r>
          </w:p>
        </w:tc>
        <w:tc>
          <w:tcPr/>
          <w:p>
            <w:pPr>
              <w:pStyle w:val="Compact"/>
            </w:pPr>
            <w:r>
              <w:t xml:space="preserve">NTLM audit, SPN inventory, SQL audit, Intune posture</w:t>
            </w:r>
          </w:p>
        </w:tc>
        <w:tc>
          <w:tcPr/>
          <w:p>
            <w:pPr>
              <w:pStyle w:val="Compact"/>
            </w:pPr>
            <w:r>
              <w:t xml:space="preserve">Baseline; you cannot safely restrict what you have not measured</w:t>
            </w:r>
          </w:p>
        </w:tc>
      </w:tr>
      <w:tr>
        <w:tc>
          <w:tcPr/>
          <w:p>
            <w:pPr>
              <w:pStyle w:val="Compact"/>
            </w:pPr>
            <w:r>
              <w:t xml:space="preserve">2 — Onboard</w:t>
            </w:r>
          </w:p>
        </w:tc>
        <w:tc>
          <w:tcPr/>
          <w:p>
            <w:pPr>
              <w:pStyle w:val="Compact"/>
            </w:pPr>
            <w:r>
              <w:t xml:space="preserve">gated</w:t>
            </w:r>
          </w:p>
        </w:tc>
        <w:tc>
          <w:tcPr/>
          <w:p>
            <w:pPr>
              <w:pStyle w:val="Compact"/>
            </w:pPr>
            <w:r>
              <w:t xml:space="preserve">Arc onboarding + baseline, Intune auto-enrollment</w:t>
            </w:r>
          </w:p>
        </w:tc>
        <w:tc>
          <w:tcPr/>
          <w:p>
            <w:pPr>
              <w:pStyle w:val="Compact"/>
            </w:pPr>
            <w:r>
              <w:t xml:space="preserve">Attach the management planes</w:t>
            </w:r>
          </w:p>
        </w:tc>
      </w:tr>
      <w:tr>
        <w:tc>
          <w:tcPr/>
          <w:p>
            <w:pPr>
              <w:pStyle w:val="Compact"/>
            </w:pPr>
            <w:r>
              <w:t xml:space="preserve">3 — Harden</w:t>
            </w:r>
          </w:p>
        </w:tc>
        <w:tc>
          <w:tcPr/>
          <w:p>
            <w:pPr>
              <w:pStyle w:val="Compact"/>
            </w:pPr>
            <w:r>
              <w:t xml:space="preserve">gated</w:t>
            </w:r>
          </w:p>
        </w:tc>
        <w:tc>
          <w:tcPr/>
          <w:p>
            <w:pPr>
              <w:pStyle w:val="Compact"/>
            </w:pPr>
            <w:r>
              <w:t xml:space="preserve">SPN repair, NTLM restriction, CA baseline</w:t>
            </w:r>
          </w:p>
        </w:tc>
        <w:tc>
          <w:tcPr/>
          <w:p>
            <w:pPr>
              <w:pStyle w:val="Compact"/>
            </w:pPr>
            <w:r>
              <w:t xml:space="preserve">Close the identity gaps — only after Phase 1 signs off</w:t>
            </w:r>
          </w:p>
        </w:tc>
      </w:tr>
      <w:tr>
        <w:tc>
          <w:tcPr/>
          <w:p>
            <w:pPr>
              <w:pStyle w:val="Compact"/>
            </w:pPr>
            <w:r>
              <w:t xml:space="preserve">4 — Watch</w:t>
            </w:r>
          </w:p>
        </w:tc>
        <w:tc>
          <w:tcPr/>
          <w:p>
            <w:pPr>
              <w:pStyle w:val="Compact"/>
            </w:pPr>
            <w:r>
              <w:t xml:space="preserve">read-only</w:t>
            </w:r>
          </w:p>
        </w:tc>
        <w:tc>
          <w:tcPr/>
          <w:p>
            <w:pPr>
              <w:pStyle w:val="Compact"/>
            </w:pPr>
            <w:r>
              <w:t xml:space="preserve">CA drift, cross-domain status</w:t>
            </w:r>
          </w:p>
        </w:tc>
        <w:tc>
          <w:tcPr/>
          <w:p>
            <w:pPr>
              <w:pStyle w:val="Compact"/>
            </w:pPr>
            <w:r>
              <w:t xml:space="preserve">Keep it from drifting back</w:t>
            </w:r>
          </w:p>
        </w:tc>
      </w:tr>
    </w:tbl>
    <w:p>
      <w:pPr>
        <w:pStyle w:val="SourceCode"/>
      </w:pPr>
      <w:r>
        <w:rPr>
          <w:rStyle w:val="NormalTok"/>
        </w:rPr>
        <w:t xml:space="preserve">Install-Module Microsoft</w:t>
      </w:r>
      <w:r>
        <w:rPr>
          <w:rStyle w:val="OperatorTok"/>
        </w:rPr>
        <w:t xml:space="preserve">.</w:t>
      </w:r>
      <w:r>
        <w:rPr>
          <w:rStyle w:val="FunctionTok"/>
        </w:rPr>
        <w:t xml:space="preserve">Graph</w:t>
      </w:r>
      <w:r>
        <w:rPr>
          <w:rStyle w:val="OperatorTok"/>
        </w:rPr>
        <w:t xml:space="preserve">,</w:t>
      </w:r>
      <w:r>
        <w:rPr>
          <w:rStyle w:val="NormalTok"/>
        </w:rPr>
        <w:t xml:space="preserve"> Az</w:t>
      </w:r>
      <w:r>
        <w:rPr>
          <w:rStyle w:val="OperatorTok"/>
        </w:rPr>
        <w:t xml:space="preserve">,</w:t>
      </w:r>
      <w:r>
        <w:rPr>
          <w:rStyle w:val="NormalTok"/>
        </w:rPr>
        <w:t xml:space="preserve"> SqlServer </w:t>
      </w:r>
      <w:r>
        <w:rPr>
          <w:rStyle w:val="OperatorTok"/>
        </w:rPr>
        <w:t xml:space="preserve">-</w:t>
      </w:r>
      <w:r>
        <w:rPr>
          <w:rStyle w:val="NormalTok"/>
        </w:rPr>
        <w:t xml:space="preserve">Scope CurrentUser</w:t>
      </w:r>
      <w:r>
        <w:br/>
      </w:r>
      <w:r>
        <w:rPr>
          <w:rStyle w:val="FunctionTok"/>
        </w:rPr>
        <w:t xml:space="preserve">Import-Module</w:t>
      </w:r>
      <w:r>
        <w:rPr>
          <w:rStyle w:val="NormalTok"/>
        </w:rPr>
        <w:t xml:space="preserve"> </w:t>
      </w:r>
      <w:r>
        <w:rPr>
          <w:rStyle w:val="OperatorTok"/>
        </w:rPr>
        <w:t xml:space="preserve">.</w:t>
      </w:r>
      <w:r>
        <w:rPr>
          <w:rStyle w:val="NormalTok"/>
        </w:rPr>
        <w:t xml:space="preserve">\lib\IntuneArcModernization</w:t>
      </w:r>
      <w:r>
        <w:rPr>
          <w:rStyle w:val="OperatorTok"/>
        </w:rPr>
        <w:t xml:space="preserve">.</w:t>
      </w:r>
      <w:r>
        <w:rPr>
          <w:rStyle w:val="FunctionTok"/>
        </w:rPr>
        <w:t xml:space="preserve">psm1</w:t>
      </w:r>
    </w:p>
    <w:bookmarkEnd w:id="520"/>
    <w:bookmarkStart w:id="521" w:name="prerequisites-and-assessment"/>
    <w:p>
      <w:pPr>
        <w:pStyle w:val="Heading2"/>
      </w:pPr>
      <w:r>
        <w:t xml:space="preserve">1. Prerequisites and assessment</w:t>
      </w:r>
    </w:p>
    <w:p>
      <w:pPr>
        <w:pStyle w:val="FirstParagraph"/>
      </w:pPr>
      <w:r>
        <w:rPr>
          <w:b/>
          <w:bCs/>
        </w:rPr>
        <w:t xml:space="preserve">Do not skip assessment</w:t>
      </w:r>
    </w:p>
    <w:p>
      <w:pPr>
        <w:pStyle w:val="BodyText"/>
      </w:pPr>
      <w:r>
        <w:t xml:space="preserve">Beginning Arc onboarding or Intune enrollment without completing the inventory</w:t>
      </w:r>
      <w:r>
        <w:t xml:space="preserve"> </w:t>
      </w:r>
      <w:r>
        <w:t xml:space="preserve">and the NTLM audit is the single most common cause of failed modernization:</w:t>
      </w:r>
      <w:r>
        <w:t xml:space="preserve"> </w:t>
      </w:r>
      <w:r>
        <w:t xml:space="preserve">authentication failures, policy conflicts, and application outages. Budget a</w:t>
      </w:r>
      <w:r>
        <w:t xml:space="preserve"> </w:t>
      </w:r>
      <w:r>
        <w:t xml:space="preserve">minimum of two weeks for assessment before any production change.</w:t>
      </w:r>
    </w:p>
    <w:p>
      <w:pPr>
        <w:pStyle w:val="BodyText"/>
      </w:pPr>
      <w:r>
        <w:rPr>
          <w:b/>
          <w:bCs/>
        </w:rPr>
        <w:t xml:space="preserve">Licensing (verify before starting):</w:t>
      </w:r>
      <w:r>
        <w:t xml:space="preserve"> </w:t>
      </w:r>
      <w:r>
        <w:t xml:space="preserve">Intune (M365 E3 minimum; E5 adds</w:t>
      </w:r>
      <w:r>
        <w:t xml:space="preserve"> </w:t>
      </w:r>
      <w:r>
        <w:t xml:space="preserve">Defender for Endpoint P2), Entra ID P1 (CA) / P2 (risk-based CA), an Azure</w:t>
      </w:r>
      <w:r>
        <w:t xml:space="preserve"> </w:t>
      </w:r>
      <w:r>
        <w:t xml:space="preserve">subscription (Arc connectivity is free; extensions incur cost), Defender for</w:t>
      </w:r>
      <w:r>
        <w:t xml:space="preserve"> </w:t>
      </w:r>
      <w:r>
        <w:t xml:space="preserve">Servers Plan 2, Defender for SQL, and a Log Analytics workspace.</w:t>
      </w:r>
    </w:p>
    <w:p>
      <w:pPr>
        <w:pStyle w:val="BodyText"/>
      </w:pPr>
      <w:r>
        <w:rPr>
          <w:b/>
          <w:bCs/>
        </w:rPr>
        <w:t xml:space="preserve">Roles (least privilege):</w:t>
      </w:r>
      <w:r>
        <w:t xml:space="preserve"> </w:t>
      </w:r>
      <w:r>
        <w:rPr>
          <w:i/>
          <w:iCs/>
        </w:rPr>
        <w:t xml:space="preserve">Azure Connected Machine Onboarding</w:t>
      </w:r>
      <w:r>
        <w:t xml:space="preserve"> </w:t>
      </w:r>
      <w:r>
        <w:t xml:space="preserve">(not Owner)</w:t>
      </w:r>
      <w:r>
        <w:t xml:space="preserve"> </w:t>
      </w:r>
      <w:r>
        <w:t xml:space="preserve">for Arc;</w:t>
      </w:r>
      <w:r>
        <w:t xml:space="preserve"> </w:t>
      </w:r>
      <w:r>
        <w:rPr>
          <w:i/>
          <w:iCs/>
        </w:rPr>
        <w:t xml:space="preserve">Intune Administrator</w:t>
      </w:r>
      <w:r>
        <w:t xml:space="preserve"> </w:t>
      </w:r>
      <w:r>
        <w:t xml:space="preserve">(via PIM) for endpoints;</w:t>
      </w:r>
      <w:r>
        <w:t xml:space="preserve"> </w:t>
      </w:r>
      <w:r>
        <w:rPr>
          <w:i/>
          <w:iCs/>
        </w:rPr>
        <w:t xml:space="preserve">Conditional Access</w:t>
      </w:r>
      <w:r>
        <w:rPr>
          <w:i/>
          <w:iCs/>
        </w:rPr>
        <w:t xml:space="preserve"> </w:t>
      </w:r>
      <w:r>
        <w:rPr>
          <w:i/>
          <w:iCs/>
        </w:rPr>
        <w:t xml:space="preserve">Administrator</w:t>
      </w:r>
      <w:r>
        <w:t xml:space="preserve"> </w:t>
      </w:r>
      <w:r>
        <w:t xml:space="preserve">for CA;</w:t>
      </w:r>
      <w:r>
        <w:t xml:space="preserve"> </w:t>
      </w:r>
      <w:r>
        <w:rPr>
          <w:i/>
          <w:iCs/>
        </w:rPr>
        <w:t xml:space="preserve">Hybrid Identity Administrator</w:t>
      </w:r>
      <w:r>
        <w:t xml:space="preserve"> </w:t>
      </w:r>
      <w:r>
        <w:t xml:space="preserve">for Azure AD Connect;</w:t>
      </w:r>
      <w:r>
        <w:t xml:space="preserve"> </w:t>
      </w:r>
      <w:r>
        <w:t xml:space="preserve">delegated OU admin for SPN work.</w:t>
      </w:r>
    </w:p>
    <w:p>
      <w:pPr>
        <w:pStyle w:val="BodyText"/>
      </w:pPr>
      <w:r>
        <w:t xml:space="preserve">Baseline the estate (all read-only):</w:t>
      </w:r>
    </w:p>
    <w:p>
      <w:pPr>
        <w:pStyle w:val="SourceCode"/>
      </w:pPr>
      <w:r>
        <w:rPr>
          <w:rStyle w:val="OperatorTok"/>
        </w:rPr>
        <w:t xml:space="preserve">.</w:t>
      </w:r>
      <w:r>
        <w:rPr>
          <w:rStyle w:val="NormalTok"/>
        </w:rPr>
        <w:t xml:space="preserve">\scripts\Get-NtlmAudit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DaysBack </w:t>
      </w:r>
      <w:r>
        <w:rPr>
          <w:rStyle w:val="DecValTok"/>
        </w:rPr>
        <w:t xml:space="preserve">30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\artifacts\ntlm-audit</w:t>
      </w:r>
      <w:r>
        <w:rPr>
          <w:rStyle w:val="OperatorTok"/>
        </w:rPr>
        <w:t xml:space="preserve">.</w:t>
      </w:r>
      <w:r>
        <w:rPr>
          <w:rStyle w:val="FunctionTok"/>
        </w:rPr>
        <w:t xml:space="preserve">csv</w:t>
      </w:r>
      <w:r>
        <w:br/>
      </w:r>
      <w:r>
        <w:rPr>
          <w:rStyle w:val="OperatorTok"/>
        </w:rPr>
        <w:t xml:space="preserve">.</w:t>
      </w:r>
      <w:r>
        <w:rPr>
          <w:rStyle w:val="NormalTok"/>
        </w:rPr>
        <w:t xml:space="preserve">\scripts\Repair-Spn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\artifacts\spn-inventory</w:t>
      </w:r>
      <w:r>
        <w:rPr>
          <w:rStyle w:val="OperatorTok"/>
        </w:rPr>
        <w:t xml:space="preserve">.</w:t>
      </w:r>
      <w:r>
        <w:rPr>
          <w:rStyle w:val="FunctionTok"/>
        </w:rPr>
        <w:t xml:space="preserve">csv</w:t>
      </w:r>
      <w:r>
        <w:br/>
      </w:r>
      <w:r>
        <w:rPr>
          <w:rStyle w:val="OperatorTok"/>
        </w:rPr>
        <w:t xml:space="preserve">.</w:t>
      </w:r>
      <w:r>
        <w:rPr>
          <w:rStyle w:val="NormalTok"/>
        </w:rPr>
        <w:t xml:space="preserve">\scripts\Invoke-SqlHardeningAudit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ServerInstance </w:t>
      </w:r>
      <w:r>
        <w:rPr>
          <w:rStyle w:val="StringTok"/>
        </w:rPr>
        <w:t xml:space="preserve">'sql01.agency.gov'</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\artifacts\sql-hardening</w:t>
      </w:r>
      <w:r>
        <w:rPr>
          <w:rStyle w:val="OperatorTok"/>
        </w:rPr>
        <w:t xml:space="preserve">.</w:t>
      </w:r>
      <w:r>
        <w:rPr>
          <w:rStyle w:val="FunctionTok"/>
        </w:rPr>
        <w:t xml:space="preserve">csv</w:t>
      </w:r>
      <w:r>
        <w:br/>
      </w:r>
      <w:r>
        <w:rPr>
          <w:rStyle w:val="OperatorTok"/>
        </w:rPr>
        <w:t xml:space="preserve">.</w:t>
      </w:r>
      <w:r>
        <w:rPr>
          <w:rStyle w:val="NormalTok"/>
        </w:rPr>
        <w:t xml:space="preserve">\scripts\Get-IntuneEnrollmentStatus</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\artifacts\intune-enrollment-status</w:t>
      </w:r>
      <w:r>
        <w:rPr>
          <w:rStyle w:val="OperatorTok"/>
        </w:rPr>
        <w:t xml:space="preserve">.</w:t>
      </w:r>
      <w:r>
        <w:rPr>
          <w:rStyle w:val="FunctionTok"/>
        </w:rPr>
        <w:t xml:space="preserve">csv</w:t>
      </w:r>
    </w:p>
    <w:bookmarkEnd w:id="521"/>
    <w:bookmarkStart w:id="522" w:name="azure-arc-onboarding-servers"/>
    <w:p>
      <w:pPr>
        <w:pStyle w:val="Heading2"/>
      </w:pPr>
      <w:r>
        <w:t xml:space="preserve">2. Azure Arc onboarding (servers)</w:t>
      </w:r>
    </w:p>
    <w:p>
      <w:pPr>
        <w:pStyle w:val="FirstParagraph"/>
      </w:pPr>
      <w:r>
        <w:t xml:space="preserve">Azure Arc extends the Azure control plane to on-premises servers. The Connected</w:t>
      </w:r>
      <w:r>
        <w:t xml:space="preserve"> </w:t>
      </w:r>
      <w:r>
        <w:t xml:space="preserve">Machine Agent (CMA) makes an</w:t>
      </w:r>
      <w:r>
        <w:t xml:space="preserve"> </w:t>
      </w:r>
      <w:r>
        <w:rPr>
          <w:b/>
          <w:bCs/>
        </w:rPr>
        <w:t xml:space="preserve">outbound</w:t>
      </w:r>
      <w:r>
        <w:t xml:space="preserve"> </w:t>
      </w:r>
      <w:r>
        <w:t xml:space="preserve">HTTPS (443) connection — no inbound</w:t>
      </w:r>
      <w:r>
        <w:t xml:space="preserve"> </w:t>
      </w:r>
      <w:r>
        <w:t xml:space="preserve">firewall rules are required. Each server appears as a</w:t>
      </w:r>
      <w:r>
        <w:t xml:space="preserve"> </w:t>
      </w:r>
      <w:r>
        <w:rPr>
          <w:rStyle w:val="VerbatimChar"/>
        </w:rPr>
        <w:t xml:space="preserve">Microsoft.HybridCompute/machines</w:t>
      </w:r>
      <w:r>
        <w:t xml:space="preserve"> </w:t>
      </w:r>
      <w:r>
        <w:t xml:space="preserve">resource, enabling RBAC, tags, Policy, and</w:t>
      </w:r>
      <w:r>
        <w:t xml:space="preserve"> </w:t>
      </w:r>
      <w:r>
        <w:t xml:space="preserve">extensions.</w:t>
      </w:r>
    </w:p>
    <w:p>
      <w:pPr>
        <w:pStyle w:val="BodyText"/>
      </w:pPr>
      <w:r>
        <w:rPr>
          <w:b/>
          <w:bCs/>
        </w:rPr>
        <w:t xml:space="preserve">Arc servers run non-domain-joined</w:t>
      </w:r>
    </w:p>
    <w:p>
      <w:pPr>
        <w:pStyle w:val="BodyText"/>
      </w:pPr>
      <w:r>
        <w:t xml:space="preserve">Per the target architecture, Arc-enabled servers carry an Entra machine identity</w:t>
      </w:r>
      <w:r>
        <w:t xml:space="preserve"> </w:t>
      </w:r>
      <w:r>
        <w:t xml:space="preserve">and run</w:t>
      </w:r>
      <w:r>
        <w:t xml:space="preserve"> </w:t>
      </w:r>
      <w:r>
        <w:rPr>
          <w:b/>
          <w:bCs/>
        </w:rPr>
        <w:t xml:space="preserve">non-domain-joined</w:t>
      </w:r>
      <w:r>
        <w:t xml:space="preserve">. Onboarding attaches the</w:t>
      </w:r>
      <w:r>
        <w:t xml:space="preserve"> </w:t>
      </w:r>
      <w:r>
        <w:rPr>
          <w:i/>
          <w:iCs/>
        </w:rPr>
        <w:t xml:space="preserve">management</w:t>
      </w:r>
      <w:r>
        <w:t xml:space="preserve"> </w:t>
      </w:r>
      <w:r>
        <w:t xml:space="preserve">plane; it does</w:t>
      </w:r>
      <w:r>
        <w:t xml:space="preserve"> </w:t>
      </w:r>
      <w:r>
        <w:rPr>
          <w:b/>
          <w:bCs/>
        </w:rPr>
        <w:t xml:space="preserve">not</w:t>
      </w:r>
      <w:r>
        <w:t xml:space="preserve"> </w:t>
      </w:r>
      <w:r>
        <w:t xml:space="preserve">unjoin the domain for you. Domain-unjoin is a separately sequenced</w:t>
      </w:r>
      <w:r>
        <w:t xml:space="preserve"> </w:t>
      </w:r>
      <w:r>
        <w:t xml:space="preserve">decision — plan it, don’t let onboarding imply it.</w:t>
      </w:r>
    </w:p>
    <w:p>
      <w:pPr>
        <w:pStyle w:val="SourceCode"/>
      </w:pPr>
      <w:r>
        <w:rPr>
          <w:rStyle w:val="CommentTok"/>
        </w:rPr>
        <w:t xml:space="preserve"># preview, then run without -WhatIf</w:t>
      </w:r>
      <w:r>
        <w:br/>
      </w:r>
      <w:r>
        <w:rPr>
          <w:rStyle w:val="OperatorTok"/>
        </w:rPr>
        <w:t xml:space="preserve">.</w:t>
      </w:r>
      <w:r>
        <w:rPr>
          <w:rStyle w:val="NormalTok"/>
        </w:rPr>
        <w:t xml:space="preserve">\scripts\Invoke-ArcOnboarding</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SubscriptionId </w:t>
      </w:r>
      <w:r>
        <w:rPr>
          <w:rStyle w:val="VariableTok"/>
        </w:rPr>
        <w:t xml:space="preserve">$sub</w:t>
      </w:r>
      <w:r>
        <w:rPr>
          <w:rStyle w:val="NormalTok"/>
        </w:rPr>
        <w:t xml:space="preserve"> </w:t>
      </w:r>
      <w:r>
        <w:rPr>
          <w:rStyle w:val="OperatorTok"/>
        </w:rPr>
        <w:t xml:space="preserve">-</w:t>
      </w:r>
      <w:r>
        <w:rPr>
          <w:rStyle w:val="NormalTok"/>
        </w:rPr>
        <w:t xml:space="preserve">ResourceGroup rg-arc-servers </w:t>
      </w:r>
      <w:r>
        <w:rPr>
          <w:rStyle w:val="OperatorTok"/>
        </w:rPr>
        <w:t xml:space="preserve">-</w:t>
      </w:r>
      <w:r>
        <w:rPr>
          <w:rStyle w:val="NormalTok"/>
        </w:rPr>
        <w:t xml:space="preserve">Location eastus </w:t>
      </w:r>
      <w:r>
        <w:rPr>
          <w:rStyle w:val="OperatorTok"/>
        </w:rPr>
        <w:t xml:space="preserve">-</w:t>
      </w:r>
      <w:r>
        <w:rPr>
          <w:rStyle w:val="NormalTok"/>
        </w:rPr>
        <w:t xml:space="preserve">WhatIf</w:t>
      </w:r>
      <w:r>
        <w:br/>
      </w:r>
      <w:r>
        <w:rPr>
          <w:rStyle w:val="OperatorTok"/>
        </w:rPr>
        <w:t xml:space="preserve">.</w:t>
      </w:r>
      <w:r>
        <w:rPr>
          <w:rStyle w:val="NormalTok"/>
        </w:rPr>
        <w:t xml:space="preserve">\scripts\Set-ArcPolicyBaseline</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SubscriptionId </w:t>
      </w:r>
      <w:r>
        <w:rPr>
          <w:rStyle w:val="VariableTok"/>
        </w:rPr>
        <w:t xml:space="preserve">$sub</w:t>
      </w:r>
      <w:r>
        <w:rPr>
          <w:rStyle w:val="NormalTok"/>
        </w:rPr>
        <w:t xml:space="preserve"> </w:t>
      </w:r>
      <w:r>
        <w:rPr>
          <w:rStyle w:val="OperatorTok"/>
        </w:rPr>
        <w:t xml:space="preserve">-</w:t>
      </w:r>
      <w:r>
        <w:rPr>
          <w:rStyle w:val="NormalTok"/>
        </w:rPr>
        <w:t xml:space="preserve">ResourceGroup rg-arc-servers </w:t>
      </w:r>
      <w:r>
        <w:rPr>
          <w:rStyle w:val="OperatorTok"/>
        </w:rPr>
        <w:t xml:space="preserve">-</w:t>
      </w:r>
      <w:r>
        <w:rPr>
          <w:rStyle w:val="NormalTok"/>
        </w:rPr>
        <w:t xml:space="preserve">Location eastus </w:t>
      </w:r>
      <w:r>
        <w:rPr>
          <w:rStyle w:val="OperatorTok"/>
        </w:rPr>
        <w:t xml:space="preserve">-</w:t>
      </w:r>
      <w:r>
        <w:rPr>
          <w:rStyle w:val="NormalTok"/>
        </w:rPr>
        <w:t xml:space="preserve">WhatIf</w:t>
      </w:r>
    </w:p>
    <w:p>
      <w:pPr>
        <w:pStyle w:val="FirstParagraph"/>
      </w:pPr>
      <w:r>
        <w:rPr>
          <w:rStyle w:val="VerbatimChar"/>
        </w:rPr>
        <w:t xml:space="preserve">Invoke-ArcOnboarding.ps1</w:t>
      </w:r>
      <w:r>
        <w:t xml:space="preserve"> </w:t>
      </w:r>
      <w:r>
        <w:t xml:space="preserve">creates a least-privilege onboarding service</w:t>
      </w:r>
      <w:r>
        <w:t xml:space="preserve"> </w:t>
      </w:r>
      <w:r>
        <w:t xml:space="preserve">principal, installs and connects the CMA, and validates registration.</w:t>
      </w:r>
      <w:r>
        <w:t xml:space="preserve"> </w:t>
      </w:r>
      <w:r>
        <w:rPr>
          <w:rStyle w:val="VerbatimChar"/>
        </w:rPr>
        <w:t xml:space="preserve">Set-ArcPolicyBaseline.ps1</w:t>
      </w:r>
      <w:r>
        <w:t xml:space="preserve"> </w:t>
      </w:r>
      <w:r>
        <w:t xml:space="preserve">assigns the Windows security-baseline Guest</w:t>
      </w:r>
      <w:r>
        <w:t xml:space="preserve"> </w:t>
      </w:r>
      <w:r>
        <w:t xml:space="preserve">Configuration initiative and enables Defender for Servers Plan 2.</w:t>
      </w:r>
    </w:p>
    <w:p>
      <w:pPr>
        <w:pStyle w:val="BodyText"/>
      </w:pPr>
      <w:r>
        <w:rPr>
          <w:b/>
          <w:bCs/>
        </w:rPr>
        <w:t xml:space="preserve">Never embed the SP secret in a SYSVOL startup script</w:t>
      </w:r>
    </w:p>
    <w:p>
      <w:pPr>
        <w:pStyle w:val="BodyText"/>
      </w:pPr>
      <w:r>
        <w:t xml:space="preserve">A service-principal secret in a GPO startup script is readable by every</w:t>
      </w:r>
      <w:r>
        <w:t xml:space="preserve"> </w:t>
      </w:r>
      <w:r>
        <w:t xml:space="preserve">domain-authenticated user via SYSVOL. Retrieve it at runtime from Key Vault, or —</w:t>
      </w:r>
      <w:r>
        <w:t xml:space="preserve"> </w:t>
      </w:r>
      <w:r>
        <w:t xml:space="preserve">for an expedited deployment — rotate the secret immediately after onboarding and</w:t>
      </w:r>
      <w:r>
        <w:t xml:space="preserve"> </w:t>
      </w:r>
      <w:r>
        <w:t xml:space="preserve">restrict the SP to the onboarding role only.</w:t>
      </w:r>
    </w:p>
    <w:p>
      <w:pPr>
        <w:pStyle w:val="BodyText"/>
      </w:pPr>
      <w:r>
        <w:rPr>
          <w:b/>
          <w:bCs/>
        </w:rPr>
        <w:t xml:space="preserve">Tag taxonomy</w:t>
      </w:r>
      <w:r>
        <w:t xml:space="preserve"> </w:t>
      </w:r>
      <w:r>
        <w:t xml:space="preserve">(apply consistently — tags drive policy scope, cost, and</w:t>
      </w:r>
      <w:r>
        <w:t xml:space="preserve"> </w:t>
      </w:r>
      <w:r>
        <w:t xml:space="preserve">operational queries):</w:t>
      </w:r>
      <w:r>
        <w:t xml:space="preserve"> </w:t>
      </w:r>
      <w:r>
        <w:rPr>
          <w:rStyle w:val="VerbatimChar"/>
        </w:rPr>
        <w:t xml:space="preserve">Environment</w:t>
      </w:r>
      <w:r>
        <w:t xml:space="preserve">,</w:t>
      </w:r>
      <w:r>
        <w:t xml:space="preserve"> </w:t>
      </w:r>
      <w:r>
        <w:rPr>
          <w:rStyle w:val="VerbatimChar"/>
        </w:rPr>
        <w:t xml:space="preserve">Workload</w:t>
      </w:r>
      <w:r>
        <w:t xml:space="preserve">,</w:t>
      </w:r>
      <w:r>
        <w:t xml:space="preserve"> </w:t>
      </w:r>
      <w:r>
        <w:rPr>
          <w:rStyle w:val="VerbatimChar"/>
        </w:rPr>
        <w:t xml:space="preserve">Criticality</w:t>
      </w:r>
      <w:r>
        <w:t xml:space="preserve">,</w:t>
      </w:r>
      <w:r>
        <w:t xml:space="preserve"> </w:t>
      </w:r>
      <w:r>
        <w:rPr>
          <w:rStyle w:val="VerbatimChar"/>
        </w:rPr>
        <w:t xml:space="preserve">Owner</w:t>
      </w:r>
      <w:r>
        <w:t xml:space="preserve">,</w:t>
      </w:r>
      <w:r>
        <w:t xml:space="preserve"> </w:t>
      </w:r>
      <w:r>
        <w:rPr>
          <w:rStyle w:val="VerbatimChar"/>
        </w:rPr>
        <w:t xml:space="preserve">CostCenter</w:t>
      </w:r>
      <w:r>
        <w:t xml:space="preserve">, plus</w:t>
      </w:r>
      <w:r>
        <w:t xml:space="preserve"> </w:t>
      </w:r>
      <w:r>
        <w:rPr>
          <w:rStyle w:val="VerbatimChar"/>
        </w:rPr>
        <w:t xml:space="preserve">PatchGroup</w:t>
      </w:r>
      <w:r>
        <w:t xml:space="preserve"> </w:t>
      </w:r>
      <w:r>
        <w:t xml:space="preserve">and</w:t>
      </w:r>
      <w:r>
        <w:t xml:space="preserve"> </w:t>
      </w:r>
      <w:r>
        <w:rPr>
          <w:rStyle w:val="VerbatimChar"/>
        </w:rPr>
        <w:t xml:space="preserve">ArcOnboardedDate</w:t>
      </w:r>
      <w:r>
        <w:t xml:space="preserve">.</w:t>
      </w:r>
    </w:p>
    <w:bookmarkEnd w:id="522"/>
    <w:bookmarkStart w:id="523" w:name="X89ea55f8e8082cbe3cd6a5603cb6cf296b7f6d4"/>
    <w:p>
      <w:pPr>
        <w:pStyle w:val="Heading2"/>
      </w:pPr>
      <w:r>
        <w:t xml:space="preserve">3. Intune endpoint modernization (workstations)</w:t>
      </w:r>
    </w:p>
    <w:p>
      <w:pPr>
        <w:pStyle w:val="FirstParagraph"/>
      </w:pPr>
      <w:r>
        <w:t xml:space="preserve">For an existing domain-joined fleet with Azure AD Connect,</w:t>
      </w:r>
      <w:r>
        <w:t xml:space="preserve"> </w:t>
      </w:r>
      <w:r>
        <w:rPr>
          <w:b/>
          <w:bCs/>
        </w:rPr>
        <w:t xml:space="preserve">Hybrid Azure AD</w:t>
      </w:r>
      <w:r>
        <w:rPr>
          <w:b/>
          <w:bCs/>
        </w:rPr>
        <w:t xml:space="preserve"> </w:t>
      </w:r>
      <w:r>
        <w:rPr>
          <w:b/>
          <w:bCs/>
        </w:rPr>
        <w:t xml:space="preserve">Join + auto-enrollment</w:t>
      </w:r>
      <w:r>
        <w:t xml:space="preserve"> </w:t>
      </w:r>
      <w:r>
        <w:t xml:space="preserve">is the lowest-friction path: no reimage, no user action.</w:t>
      </w:r>
      <w:r>
        <w:t xml:space="preserve"> </w:t>
      </w:r>
      <w:r>
        <w:t xml:space="preserve">Target it for the existing fleet before evaluating Autopilot for new procurement.</w:t>
      </w:r>
    </w:p>
    <w:p>
      <w:pPr>
        <w:pStyle w:val="SourceCode"/>
      </w:pPr>
      <w:r>
        <w:rPr>
          <w:rStyle w:val="OperatorTok"/>
        </w:rPr>
        <w:t xml:space="preserve">.</w:t>
      </w:r>
      <w:r>
        <w:rPr>
          <w:rStyle w:val="NormalTok"/>
        </w:rPr>
        <w:t xml:space="preserve">\scripts\Set-IntuneAutoEnrollment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TargetOU </w:t>
      </w:r>
      <w:r>
        <w:rPr>
          <w:rStyle w:val="StringTok"/>
        </w:rPr>
        <w:t xml:space="preserve">'OU=Workstations,DC=agency,DC=gov'</w:t>
      </w:r>
      <w:r>
        <w:rPr>
          <w:rStyle w:val="NormalTok"/>
        </w:rPr>
        <w:t xml:space="preserve"> </w:t>
      </w:r>
      <w:r>
        <w:rPr>
          <w:rStyle w:val="OperatorTok"/>
        </w:rPr>
        <w:t xml:space="preserve">-</w:t>
      </w:r>
      <w:r>
        <w:rPr>
          <w:rStyle w:val="NormalTok"/>
        </w:rPr>
        <w:t xml:space="preserve">WhatIf</w:t>
      </w:r>
      <w:r>
        <w:br/>
      </w:r>
      <w:r>
        <w:rPr>
          <w:rStyle w:val="CommentTok"/>
        </w:rPr>
        <w:t xml:space="preserve"># verify on a client:  dsregcmd /status   (AzureAdJoined: YES, DomainJoined: YES, MDMUrl set)</w:t>
      </w:r>
      <w:r>
        <w:br/>
      </w:r>
      <w:r>
        <w:rPr>
          <w:rStyle w:val="OperatorTok"/>
        </w:rPr>
        <w:t xml:space="preserve">.</w:t>
      </w:r>
      <w:r>
        <w:rPr>
          <w:rStyle w:val="NormalTok"/>
        </w:rPr>
        <w:t xml:space="preserve">\scripts\Get-IntuneEnrollmentStatus</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\artifacts\intune-enrollment-status</w:t>
      </w:r>
      <w:r>
        <w:rPr>
          <w:rStyle w:val="OperatorTok"/>
        </w:rPr>
        <w:t xml:space="preserve">.</w:t>
      </w:r>
      <w:r>
        <w:rPr>
          <w:rStyle w:val="FunctionTok"/>
        </w:rPr>
        <w:t xml:space="preserve">csv</w:t>
      </w:r>
    </w:p>
    <w:p>
      <w:pPr>
        <w:pStyle w:val="FirstParagraph"/>
      </w:pPr>
      <w:r>
        <w:t xml:space="preserve">Deploy the critical configuration profiles in priority order: security baseline</w:t>
      </w:r>
      <w:r>
        <w:t xml:space="preserve"> </w:t>
      </w:r>
      <w:r>
        <w:t xml:space="preserve">(CIS-L1 equivalent), BitLocker (XTS-AES-256, TPM, recovery escrow to Entra),</w:t>
      </w:r>
      <w:r>
        <w:t xml:space="preserve"> </w:t>
      </w:r>
      <w:r>
        <w:t xml:space="preserve">Windows Hello for Business, Defender AV, firewall profiles, and modern LAPS.</w:t>
      </w:r>
      <w:r>
        <w:t xml:space="preserve"> </w:t>
      </w:r>
      <w:r>
        <w:t xml:space="preserve">Then attach the compliance policy (minimum OS, BitLocker, Secure Boot, code</w:t>
      </w:r>
      <w:r>
        <w:t xml:space="preserve"> </w:t>
      </w:r>
      <w:r>
        <w:t xml:space="preserve">integrity, Defender real-time, signature age ≤ 3 days, firewall, TPM, health</w:t>
      </w:r>
      <w:r>
        <w:t xml:space="preserve"> </w:t>
      </w:r>
      <w:r>
        <w:t xml:space="preserve">attestation) so non-compliant devices can be blocked by Conditional Access.</w:t>
      </w:r>
    </w:p>
    <w:p>
      <w:pPr>
        <w:pStyle w:val="BodyText"/>
      </w:pPr>
      <w:r>
        <w:rPr>
          <w:b/>
          <w:bCs/>
        </w:rPr>
        <w:t xml:space="preserve">GPO ↔ Intune conflict</w:t>
      </w:r>
    </w:p>
    <w:p>
      <w:pPr>
        <w:pStyle w:val="BodyText"/>
      </w:pPr>
      <w:r>
        <w:t xml:space="preserve">Where Intune and a GPO target the same setting (BitLocker, Defender, firewall),</w:t>
      </w:r>
      <w:r>
        <w:t xml:space="preserve"> </w:t>
      </w:r>
      <w:r>
        <w:t xml:space="preserve">last-writer-wins produces unpredictable results. Document overlapping settings</w:t>
      </w:r>
      <w:r>
        <w:t xml:space="preserve"> </w:t>
      </w:r>
      <w:r>
        <w:t xml:space="preserve">before enabling Intune policy in production, and retire the GPO copy once Intune</w:t>
      </w:r>
      <w:r>
        <w:t xml:space="preserve"> </w:t>
      </w:r>
      <w:r>
        <w:t xml:space="preserve">owns the setting. The companion</w:t>
      </w:r>
      <w:r>
        <w:t xml:space="preserve"> </w:t>
      </w:r>
      <w:r>
        <w:rPr>
          <w:b/>
          <w:bCs/>
        </w:rPr>
        <w:t xml:space="preserve">GPO Migration Triage</w:t>
      </w:r>
      <w:r>
        <w:t xml:space="preserve"> </w:t>
      </w:r>
      <w:r>
        <w:t xml:space="preserve">tool classifies every</w:t>
      </w:r>
      <w:r>
        <w:t xml:space="preserve"> </w:t>
      </w:r>
      <w:r>
        <w:t xml:space="preserve">GPO for Intune vs Arc.</w:t>
      </w:r>
    </w:p>
    <w:bookmarkEnd w:id="523"/>
    <w:bookmarkStart w:id="525" w:name="identity-modernization-ntlm-elimination"/>
    <w:p>
      <w:pPr>
        <w:pStyle w:val="Heading2"/>
      </w:pPr>
      <w:r>
        <w:t xml:space="preserve">4. Identity modernization — NTLM elimination</w:t>
      </w:r>
    </w:p>
    <w:p>
      <w:pPr>
        <w:pStyle w:val="FirstParagraph"/>
      </w:pPr>
      <w:r>
        <w:t xml:space="preserve">NTLM is the most-exploited authentication weakness in AD estates (NTLM relay,</w:t>
      </w:r>
      <w:r>
        <w:t xml:space="preserve"> </w:t>
      </w:r>
      <w:r>
        <w:t xml:space="preserve">pass-the-hash, PetitPotam). The destination is Kerberos-only; the federal</w:t>
      </w:r>
      <w:r>
        <w:t xml:space="preserve"> </w:t>
      </w:r>
      <w:r>
        <w:t xml:space="preserve">deadline for NTLM elimination is</w:t>
      </w:r>
      <w:r>
        <w:t xml:space="preserve"> </w:t>
      </w:r>
      <w:r>
        <w:rPr>
          <w:b/>
          <w:bCs/>
        </w:rPr>
        <w:t xml:space="preserve">2027-04-01</w:t>
      </w:r>
      <w:r>
        <w:t xml:space="preserve"> </w:t>
      </w:r>
      <w:r>
        <w:t xml:space="preserve">(</w:t>
      </w:r>
      <w:hyperlink r:id="rId524">
        <w:r>
          <w:rPr>
            <w:rStyle w:val="Hyperlink"/>
          </w:rPr>
          <w:t xml:space="preserve">FedRAMP Notice 0009</w:t>
        </w:r>
      </w:hyperlink>
      <w:r>
        <w:t xml:space="preserve">).</w:t>
      </w:r>
    </w:p>
    <w:p>
      <w:pPr>
        <w:pStyle w:val="BodyText"/>
      </w:pPr>
      <w:r>
        <w:rPr>
          <w:b/>
          <w:bCs/>
        </w:rPr>
        <w:t xml:space="preserve">Audit before you restrict</w:t>
      </w:r>
    </w:p>
    <w:p>
      <w:pPr>
        <w:pStyle w:val="BodyText"/>
      </w:pPr>
      <w:r>
        <w:t xml:space="preserve">Prematurely blocking NTLM breaks legacy web apps, UNC file access without SPNs,</w:t>
      </w:r>
      <w:r>
        <w:t xml:space="preserve"> </w:t>
      </w:r>
      <w:r>
        <w:t xml:space="preserve">and some third-party apps. Enforce</w:t>
      </w:r>
      <w:r>
        <w:t xml:space="preserve"> </w:t>
      </w:r>
      <w:r>
        <w:rPr>
          <w:b/>
          <w:bCs/>
        </w:rPr>
        <w:t xml:space="preserve">only</w:t>
      </w:r>
      <w:r>
        <w:t xml:space="preserve"> </w:t>
      </w:r>
      <w:r>
        <w:t xml:space="preserve">after a 14–30 day audit confirms no</w:t>
      </w:r>
      <w:r>
        <w:t xml:space="preserve"> </w:t>
      </w:r>
      <w:r>
        <w:t xml:space="preserve">remaining dependencies and application owners sign off.</w:t>
      </w:r>
    </w:p>
    <w:p>
      <w:pPr>
        <w:pStyle w:val="BodyText"/>
      </w:pPr>
      <w:r>
        <w:rPr>
          <w:b/>
          <w:bCs/>
        </w:rPr>
        <w:t xml:space="preserve">Staged elimination: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LSA</w:t>
            </w:r>
            <w:r>
              <w:t xml:space="preserve"> </w:t>
            </w:r>
            <w:r>
              <w:rPr>
                <w:rStyle w:val="VerbatimChar"/>
              </w:rPr>
              <w:t xml:space="preserve">LmCompatibilityLevel</w:t>
            </w:r>
          </w:p>
        </w:tc>
        <w:tc>
          <w:tcPr/>
          <w:p>
            <w:pPr>
              <w:pStyle w:val="Compact"/>
            </w:pPr>
            <w:r>
              <w:rPr>
                <w:rStyle w:val="VerbatimChar"/>
              </w:rPr>
              <w:t xml:space="preserve">Restrict NTLM</w:t>
            </w:r>
          </w:p>
        </w:tc>
      </w:tr>
      <w:tr>
        <w:tc>
          <w:tcPr/>
          <w:p>
            <w:pPr>
              <w:pStyle w:val="Compact"/>
            </w:pPr>
            <w:r>
              <w:t xml:space="preserve">1 — Audit</w:t>
            </w:r>
          </w:p>
        </w:tc>
        <w:tc>
          <w:tcPr/>
          <w:p>
            <w:pPr>
              <w:pStyle w:val="Compact"/>
            </w:pPr>
            <w:r>
              <w:t xml:space="preserve">3 (NTLMv2 only)</w:t>
            </w:r>
          </w:p>
        </w:tc>
        <w:tc>
          <w:tcPr/>
          <w:p>
            <w:pPr>
              <w:pStyle w:val="Compact"/>
            </w:pPr>
            <w:r>
              <w:t xml:space="preserve">Audit NTLM in this domain = enable all</w:t>
            </w:r>
          </w:p>
        </w:tc>
      </w:tr>
      <w:tr>
        <w:tc>
          <w:tcPr/>
          <w:p>
            <w:pPr>
              <w:pStyle w:val="Compact"/>
            </w:pPr>
            <w:r>
              <w:t xml:space="preserve">2 — Restrict NTLMv1</w:t>
            </w:r>
          </w:p>
        </w:tc>
        <w:tc>
          <w:tcPr/>
          <w:p>
            <w:pPr>
              <w:pStyle w:val="Compact"/>
            </w:pPr>
            <w:r>
              <w:t xml:space="preserve">4 (DC refuses LM)</w:t>
            </w:r>
          </w:p>
        </w:tc>
        <w:tc>
          <w:tcPr/>
          <w:p>
            <w:pPr>
              <w:pStyle w:val="Compact"/>
            </w:pPr>
            <w:r>
              <w:t xml:space="preserve">Deny domain accounts (with exceptions)</w:t>
            </w:r>
          </w:p>
        </w:tc>
      </w:tr>
      <w:tr>
        <w:tc>
          <w:tcPr/>
          <w:p>
            <w:pPr>
              <w:pStyle w:val="Compact"/>
            </w:pPr>
            <w:r>
              <w:t xml:space="preserve">3 — Block all</w:t>
            </w:r>
          </w:p>
        </w:tc>
        <w:tc>
          <w:tcPr/>
          <w:p>
            <w:pPr>
              <w:pStyle w:val="Compact"/>
            </w:pPr>
            <w:r>
              <w:t xml:space="preserve">5 (DC refuses LM &amp; NTLM)</w:t>
            </w:r>
          </w:p>
        </w:tc>
        <w:tc>
          <w:tcPr/>
          <w:p>
            <w:pPr>
              <w:pStyle w:val="Compact"/>
            </w:pPr>
            <w:r>
              <w:t xml:space="preserve">Deny all; remove exceptions</w:t>
            </w:r>
          </w:p>
        </w:tc>
      </w:tr>
    </w:tbl>
    <w:p>
      <w:pPr>
        <w:pStyle w:val="SourceCode"/>
      </w:pPr>
      <w:r>
        <w:rPr>
          <w:rStyle w:val="OperatorTok"/>
        </w:rPr>
        <w:t xml:space="preserve">.</w:t>
      </w:r>
      <w:r>
        <w:rPr>
          <w:rStyle w:val="NormalTok"/>
        </w:rPr>
        <w:t xml:space="preserve">\scripts\Get-NtlmAudit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DaysBack </w:t>
      </w:r>
      <w:r>
        <w:rPr>
          <w:rStyle w:val="DecValTok"/>
        </w:rPr>
        <w:t xml:space="preserve">30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\artifacts\ntlm-audit</w:t>
      </w:r>
      <w:r>
        <w:rPr>
          <w:rStyle w:val="OperatorTok"/>
        </w:rPr>
        <w:t xml:space="preserve">.</w:t>
      </w:r>
      <w:r>
        <w:rPr>
          <w:rStyle w:val="FunctionTok"/>
        </w:rPr>
        <w:t xml:space="preserve">csv</w:t>
      </w:r>
      <w:r>
        <w:rPr>
          <w:rStyle w:val="NormalTok"/>
        </w:rPr>
        <w:t xml:space="preserve">   </w:t>
      </w:r>
      <w:r>
        <w:rPr>
          <w:rStyle w:val="CommentTok"/>
        </w:rPr>
        <w:t xml:space="preserve"># run daily across DCs</w:t>
      </w:r>
      <w:r>
        <w:br/>
      </w:r>
      <w:r>
        <w:rPr>
          <w:rStyle w:val="CommentTok"/>
        </w:rPr>
        <w:t xml:space="preserve"># after sign-off only:</w:t>
      </w:r>
      <w:r>
        <w:br/>
      </w:r>
      <w:r>
        <w:rPr>
          <w:rStyle w:val="OperatorTok"/>
        </w:rPr>
        <w:t xml:space="preserve">.</w:t>
      </w:r>
      <w:r>
        <w:rPr>
          <w:rStyle w:val="NormalTok"/>
        </w:rPr>
        <w:t xml:space="preserve">\scripts\Set-NtlmRestriction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Level </w:t>
      </w:r>
      <w:r>
        <w:rPr>
          <w:rStyle w:val="DecValTok"/>
        </w:rPr>
        <w:t xml:space="preserve">5</w:t>
      </w:r>
      <w:r>
        <w:rPr>
          <w:rStyle w:val="NormalTok"/>
        </w:rPr>
        <w:t xml:space="preserve"> </w:t>
      </w:r>
      <w:r>
        <w:rPr>
          <w:rStyle w:val="OperatorTok"/>
        </w:rPr>
        <w:t xml:space="preserve">-</w:t>
      </w:r>
      <w:r>
        <w:rPr>
          <w:rStyle w:val="NormalTok"/>
        </w:rPr>
        <w:t xml:space="preserve">WhatIf</w:t>
      </w:r>
    </w:p>
    <w:p>
      <w:pPr>
        <w:pStyle w:val="FirstParagraph"/>
      </w:pPr>
      <w:r>
        <w:rPr>
          <w:b/>
          <w:bCs/>
        </w:rPr>
        <w:t xml:space="preserve">Enforcement layer</w:t>
      </w:r>
    </w:p>
    <w:p>
      <w:pPr>
        <w:pStyle w:val="BodyText"/>
      </w:pPr>
      <w:r>
        <w:t xml:space="preserve">NTLM is blocked at the</w:t>
      </w:r>
      <w:r>
        <w:t xml:space="preserve"> </w:t>
      </w:r>
      <w:r>
        <w:rPr>
          <w:b/>
          <w:bCs/>
        </w:rPr>
        <w:t xml:space="preserve">LSA</w:t>
      </w:r>
      <w:r>
        <w:t xml:space="preserve"> </w:t>
      </w:r>
      <w:r>
        <w:t xml:space="preserve">layer (</w:t>
      </w:r>
      <w:r>
        <w:rPr>
          <w:rStyle w:val="VerbatimChar"/>
        </w:rPr>
        <w:t xml:space="preserve">LmCompatibilityLevel</w:t>
      </w:r>
      <w:r>
        <w:t xml:space="preserve">) and via Group</w:t>
      </w:r>
      <w:r>
        <w:t xml:space="preserve"> </w:t>
      </w:r>
      <w:r>
        <w:t xml:space="preserve">Policy —</w:t>
      </w:r>
      <w:r>
        <w:t xml:space="preserve"> </w:t>
      </w:r>
      <w:r>
        <w:rPr>
          <w:b/>
          <w:bCs/>
        </w:rPr>
        <w:t xml:space="preserve">not</w:t>
      </w:r>
      <w:r>
        <w:t xml:space="preserve"> </w:t>
      </w:r>
      <w:r>
        <w:t xml:space="preserve">in Conditional Access. CA blocks</w:t>
      </w:r>
      <w:r>
        <w:t xml:space="preserve"> </w:t>
      </w:r>
      <w:r>
        <w:rPr>
          <w:i/>
          <w:iCs/>
        </w:rPr>
        <w:t xml:space="preserve">legacy auth to cloud apps</w:t>
      </w:r>
      <w:r>
        <w:t xml:space="preserve"> </w:t>
      </w:r>
      <w:r>
        <w:t xml:space="preserve">only; it cannot block on-premises NTLM inside the domain.</w:t>
      </w:r>
    </w:p>
    <w:bookmarkEnd w:id="525"/>
    <w:bookmarkStart w:id="526" w:name="spn-audit-and-repair"/>
    <w:p>
      <w:pPr>
        <w:pStyle w:val="Heading2"/>
      </w:pPr>
      <w:r>
        <w:t xml:space="preserve">5. SPN audit and repair</w:t>
      </w:r>
    </w:p>
    <w:p>
      <w:pPr>
        <w:pStyle w:val="FirstParagraph"/>
      </w:pPr>
      <w:r>
        <w:t xml:space="preserve">Kerberos needs correct, unique Service Principal Names. A</w:t>
      </w:r>
      <w:r>
        <w:t xml:space="preserve"> </w:t>
      </w:r>
      <w:r>
        <w:rPr>
          <w:b/>
          <w:bCs/>
        </w:rPr>
        <w:t xml:space="preserve">duplicate</w:t>
      </w:r>
      <w:r>
        <w:t xml:space="preserve"> </w:t>
      </w:r>
      <w:r>
        <w:t xml:space="preserve">SPN</w:t>
      </w:r>
      <w:r>
        <w:t xml:space="preserve"> </w:t>
      </w:r>
      <w:r>
        <w:t xml:space="preserve">breaks Kerberos and silently falls back to NTLM; an SPN on a disabled account is</w:t>
      </w:r>
      <w:r>
        <w:t xml:space="preserve"> </w:t>
      </w:r>
      <w:r>
        <w:t xml:space="preserve">stale. Fix SPNs before enforcing Kerberos.</w:t>
      </w:r>
    </w:p>
    <w:p>
      <w:pPr>
        <w:pStyle w:val="SourceCode"/>
      </w:pPr>
      <w:r>
        <w:rPr>
          <w:rStyle w:val="OperatorTok"/>
        </w:rPr>
        <w:t xml:space="preserve">.</w:t>
      </w:r>
      <w:r>
        <w:rPr>
          <w:rStyle w:val="NormalTok"/>
        </w:rPr>
        <w:t xml:space="preserve">\scripts\Repair-Spn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\artifacts\spn-inventory</w:t>
      </w:r>
      <w:r>
        <w:rPr>
          <w:rStyle w:val="OperatorTok"/>
        </w:rPr>
        <w:t xml:space="preserve">.</w:t>
      </w:r>
      <w:r>
        <w:rPr>
          <w:rStyle w:val="FunctionTok"/>
        </w:rPr>
        <w:t xml:space="preserve">csv</w:t>
      </w:r>
      <w:r>
        <w:rPr>
          <w:rStyle w:val="NormalTok"/>
        </w:rPr>
        <w:t xml:space="preserve">               </w:t>
      </w:r>
      <w:r>
        <w:rPr>
          <w:rStyle w:val="CommentTok"/>
        </w:rPr>
        <w:t xml:space="preserve"># audit + flag duplicates/stale</w:t>
      </w:r>
      <w:r>
        <w:br/>
      </w:r>
      <w:r>
        <w:rPr>
          <w:rStyle w:val="OperatorTok"/>
        </w:rPr>
        <w:t xml:space="preserve">.</w:t>
      </w:r>
      <w:r>
        <w:rPr>
          <w:rStyle w:val="NormalTok"/>
        </w:rPr>
        <w:t xml:space="preserve">\scripts\Repair-Spn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Remove </w:t>
      </w:r>
      <w:r>
        <w:rPr>
          <w:rStyle w:val="OperatorTok"/>
        </w:rPr>
        <w:t xml:space="preserve">-</w:t>
      </w:r>
      <w:r>
        <w:rPr>
          <w:rStyle w:val="NormalTok"/>
        </w:rPr>
        <w:t xml:space="preserve">Spn </w:t>
      </w:r>
      <w:r>
        <w:rPr>
          <w:rStyle w:val="StringTok"/>
        </w:rPr>
        <w:t xml:space="preserve">'HTTP/app.agency.gov'</w:t>
      </w:r>
      <w:r>
        <w:rPr>
          <w:rStyle w:val="NormalTok"/>
        </w:rPr>
        <w:t xml:space="preserve"> </w:t>
      </w:r>
      <w:r>
        <w:rPr>
          <w:rStyle w:val="OperatorTok"/>
        </w:rPr>
        <w:t xml:space="preserve">-</w:t>
      </w:r>
      <w:r>
        <w:rPr>
          <w:rStyle w:val="NormalTok"/>
        </w:rPr>
        <w:t xml:space="preserve">Account </w:t>
      </w:r>
      <w:r>
        <w:rPr>
          <w:rStyle w:val="StringTok"/>
        </w:rPr>
        <w:t xml:space="preserve">'svc-app-old'</w:t>
      </w:r>
      <w:r>
        <w:rPr>
          <w:rStyle w:val="NormalTok"/>
        </w:rPr>
        <w:t xml:space="preserve"> </w:t>
      </w:r>
      <w:r>
        <w:rPr>
          <w:rStyle w:val="OperatorTok"/>
        </w:rPr>
        <w:t xml:space="preserve">-</w:t>
      </w:r>
      <w:r>
        <w:rPr>
          <w:rStyle w:val="NormalTok"/>
        </w:rPr>
        <w:t xml:space="preserve">WhatIf</w:t>
      </w:r>
    </w:p>
    <w:p>
      <w:pPr>
        <w:pStyle w:val="FirstParagraph"/>
      </w:pPr>
      <w:r>
        <w:t xml:space="preserve">Validate post-repair with</w:t>
      </w:r>
      <w:r>
        <w:t xml:space="preserve"> </w:t>
      </w:r>
      <w:r>
        <w:rPr>
          <w:rStyle w:val="VerbatimChar"/>
        </w:rPr>
        <w:t xml:space="preserve">klist purge</w:t>
      </w:r>
      <w:r>
        <w:t xml:space="preserve"> </w:t>
      </w:r>
      <w:r>
        <w:t xml:space="preserve">then access the service and confirm a</w:t>
      </w:r>
      <w:r>
        <w:t xml:space="preserve"> </w:t>
      </w:r>
      <w:r>
        <w:t xml:space="preserve">Kerberos ticket was issued (not NTLM). For SQL:</w:t>
      </w:r>
      <w:r>
        <w:t xml:space="preserve"> </w:t>
      </w:r>
      <w:r>
        <w:rPr>
          <w:rStyle w:val="VerbatimChar"/>
        </w:rPr>
        <w:t xml:space="preserve">SELECT auth_scheme FROM sys.dm_exec_connections WHERE session_id = @@SPID</w:t>
      </w:r>
      <w:r>
        <w:t xml:space="preserve"> </w:t>
      </w:r>
      <w:r>
        <w:t xml:space="preserve">should return</w:t>
      </w:r>
      <w:r>
        <w:t xml:space="preserve"> </w:t>
      </w:r>
      <w:r>
        <w:rPr>
          <w:rStyle w:val="VerbatimChar"/>
        </w:rPr>
        <w:t xml:space="preserve">KERBEROS</w:t>
      </w:r>
      <w:r>
        <w:t xml:space="preserve">.</w:t>
      </w:r>
    </w:p>
    <w:bookmarkEnd w:id="526"/>
    <w:bookmarkStart w:id="527" w:name="sql-server-audit-and-hardening"/>
    <w:p>
      <w:pPr>
        <w:pStyle w:val="Heading2"/>
      </w:pPr>
      <w:r>
        <w:t xml:space="preserve">6. SQL Server audit and hardening</w:t>
      </w:r>
    </w:p>
    <w:p>
      <w:pPr>
        <w:pStyle w:val="SourceCode"/>
      </w:pPr>
      <w:r>
        <w:rPr>
          <w:rStyle w:val="OperatorTok"/>
        </w:rPr>
        <w:t xml:space="preserve">.</w:t>
      </w:r>
      <w:r>
        <w:rPr>
          <w:rStyle w:val="NormalTok"/>
        </w:rPr>
        <w:t xml:space="preserve">\scripts\Invoke-SqlHardeningAudit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ServerInstance </w:t>
      </w:r>
      <w:r>
        <w:rPr>
          <w:rStyle w:val="StringTok"/>
        </w:rPr>
        <w:t xml:space="preserve">'sql01.agency.gov'</w:t>
      </w:r>
      <w:r>
        <w:rPr>
          <w:rStyle w:val="OperatorTok"/>
        </w:rPr>
        <w:t xml:space="preserve">,</w:t>
      </w:r>
      <w:r>
        <w:rPr>
          <w:rStyle w:val="StringTok"/>
        </w:rPr>
        <w:t xml:space="preserve">'sql02.agency.gov'</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\artifacts\sql-hardening</w:t>
      </w:r>
      <w:r>
        <w:rPr>
          <w:rStyle w:val="OperatorTok"/>
        </w:rPr>
        <w:t xml:space="preserve">.</w:t>
      </w:r>
      <w:r>
        <w:rPr>
          <w:rStyle w:val="FunctionTok"/>
        </w:rPr>
        <w:t xml:space="preserve">csv</w:t>
      </w:r>
    </w:p>
    <w:p>
      <w:pPr>
        <w:pStyle w:val="FirstParagraph"/>
      </w:pPr>
      <w:r>
        <w:t xml:space="preserve">The audit reports authentication mode (Windows-auth-only is the goal), the</w:t>
      </w:r>
      <w:r>
        <w:t xml:space="preserve"> </w:t>
      </w:r>
      <w:r>
        <w:t xml:space="preserve">dangerous server-config switches that should be</w:t>
      </w:r>
      <w:r>
        <w:t xml:space="preserve"> </w:t>
      </w:r>
      <w:r>
        <w:rPr>
          <w:b/>
          <w:bCs/>
        </w:rPr>
        <w:t xml:space="preserve">off</w:t>
      </w:r>
      <w:r>
        <w:t xml:space="preserve"> </w:t>
      </w:r>
      <w:r>
        <w:t xml:space="preserve">(</w:t>
      </w:r>
      <w:r>
        <w:rPr>
          <w:rStyle w:val="VerbatimChar"/>
        </w:rPr>
        <w:t xml:space="preserve">xp_cmdshell</w:t>
      </w:r>
      <w:r>
        <w:t xml:space="preserve">, OLE</w:t>
      </w:r>
      <w:r>
        <w:t xml:space="preserve"> </w:t>
      </w:r>
      <w:r>
        <w:t xml:space="preserve">Automation, CLR, cross-DB ownership chaining, Database Mail XPs, …), and the</w:t>
      </w:r>
      <w:r>
        <w:t xml:space="preserve"> </w:t>
      </w:r>
      <w:r>
        <w:rPr>
          <w:rStyle w:val="VerbatimChar"/>
        </w:rPr>
        <w:t xml:space="preserve">sa</w:t>
      </w:r>
      <w:r>
        <w:t xml:space="preserve"> </w:t>
      </w:r>
      <w:r>
        <w:t xml:space="preserve">account status. Then Arc-connect the SQL hosts and enable Defender for SQL.</w:t>
      </w:r>
    </w:p>
    <w:p>
      <w:pPr>
        <w:pStyle w:val="BodyText"/>
      </w:pPr>
      <w:r>
        <w:rPr>
          <w:b/>
          <w:bCs/>
        </w:rPr>
        <w:t xml:space="preserve">SQL engine authentication is a separate, deeper track</w:t>
      </w:r>
    </w:p>
    <w:p>
      <w:pPr>
        <w:pStyle w:val="BodyText"/>
      </w:pPr>
      <w:r>
        <w:t xml:space="preserve">This audit covers the</w:t>
      </w:r>
      <w:r>
        <w:t xml:space="preserve"> </w:t>
      </w:r>
      <w:r>
        <w:rPr>
          <w:b/>
          <w:bCs/>
        </w:rPr>
        <w:t xml:space="preserve">hardening checklist</w:t>
      </w:r>
      <w:r>
        <w:t xml:space="preserve"> </w:t>
      </w:r>
      <w:r>
        <w:t xml:space="preserve">only. Replacing Windows/SQL</w:t>
      </w:r>
      <w:r>
        <w:t xml:space="preserve"> </w:t>
      </w:r>
      <w:r>
        <w:t xml:space="preserve">authentication with</w:t>
      </w:r>
      <w:r>
        <w:t xml:space="preserve"> </w:t>
      </w:r>
      <w:r>
        <w:rPr>
          <w:b/>
          <w:bCs/>
        </w:rPr>
        <w:t xml:space="preserve">Entra ID</w:t>
      </w:r>
      <w:r>
        <w:t xml:space="preserve"> </w:t>
      </w:r>
      <w:r>
        <w:t xml:space="preserve">for SQL Server 2022+ (OAuth tokens, managed</w:t>
      </w:r>
      <w:r>
        <w:t xml:space="preserve"> </w:t>
      </w:r>
      <w:r>
        <w:t xml:space="preserve">identity for the engine, MFA for human principals) is its own engine-layer</w:t>
      </w:r>
      <w:r>
        <w:t xml:space="preserve"> </w:t>
      </w:r>
      <w:r>
        <w:t xml:space="preserve">transformation. Use the canonical SQL authentication audit and the SQL Server</w:t>
      </w:r>
      <w:r>
        <w:t xml:space="preserve"> </w:t>
      </w:r>
      <w:r>
        <w:t xml:space="preserve">identity-transformation guidance for that track.</w:t>
      </w:r>
    </w:p>
    <w:bookmarkEnd w:id="527"/>
    <w:bookmarkStart w:id="528" w:name="conditional-access-baseline"/>
    <w:p>
      <w:pPr>
        <w:pStyle w:val="Heading2"/>
      </w:pPr>
      <w:r>
        <w:t xml:space="preserve">7. Conditional Access baseline</w:t>
      </w:r>
    </w:p>
    <w:p>
      <w:pPr>
        <w:pStyle w:val="SourceCode"/>
      </w:pPr>
      <w:r>
        <w:rPr>
          <w:rStyle w:val="OperatorTok"/>
        </w:rPr>
        <w:t xml:space="preserve">.</w:t>
      </w:r>
      <w:r>
        <w:rPr>
          <w:rStyle w:val="NormalTok"/>
        </w:rPr>
        <w:t xml:space="preserve">\scripts\Deploy-ConditionalAccessBaseline</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BreakGlassGroupId </w:t>
      </w:r>
      <w:r>
        <w:rPr>
          <w:rStyle w:val="VariableTok"/>
        </w:rPr>
        <w:t xml:space="preserve">$bg</w:t>
      </w:r>
      <w:r>
        <w:rPr>
          <w:rStyle w:val="NormalTok"/>
        </w:rPr>
        <w:t xml:space="preserve"> </w:t>
      </w:r>
      <w:r>
        <w:rPr>
          <w:rStyle w:val="OperatorTok"/>
        </w:rPr>
        <w:t xml:space="preserve">-</w:t>
      </w:r>
      <w:r>
        <w:rPr>
          <w:rStyle w:val="NormalTok"/>
        </w:rPr>
        <w:t xml:space="preserve">WhatIf</w:t>
      </w:r>
    </w:p>
    <w:p>
      <w:pPr>
        <w:pStyle w:val="FirstParagraph"/>
      </w:pPr>
      <w:r>
        <w:t xml:space="preserve">The baseline creates the core policies — block legacy auth, require MFA, require</w:t>
      </w:r>
      <w:r>
        <w:t xml:space="preserve"> </w:t>
      </w:r>
      <w:r>
        <w:t xml:space="preserve">compliant device, require MFA for admins and for the Azure management plane — in</w:t>
      </w:r>
      <w:r>
        <w:t xml:space="preserve"> </w:t>
      </w:r>
      <w:r>
        <w:rPr>
          <w:b/>
          <w:bCs/>
        </w:rPr>
        <w:t xml:space="preserve">report-only</w:t>
      </w:r>
      <w:r>
        <w:t xml:space="preserve"> </w:t>
      </w:r>
      <w:r>
        <w:t xml:space="preserve">state. Measure impact, then promote to enforce as a</w:t>
      </w:r>
      <w:r>
        <w:t xml:space="preserve"> </w:t>
      </w:r>
      <w:r>
        <w:rPr>
          <w:b/>
          <w:bCs/>
        </w:rPr>
        <w:t xml:space="preserve">separate</w:t>
      </w:r>
      <w:r>
        <w:t xml:space="preserve"> </w:t>
      </w:r>
      <w:r>
        <w:t xml:space="preserve">change.</w:t>
      </w:r>
    </w:p>
    <w:p>
      <w:pPr>
        <w:pStyle w:val="BodyText"/>
      </w:pPr>
      <w:r>
        <w:rPr>
          <w:b/>
          <w:bCs/>
        </w:rPr>
        <w:t xml:space="preserve">Always exclude break-glass</w:t>
      </w:r>
    </w:p>
    <w:p>
      <w:pPr>
        <w:pStyle w:val="BodyText"/>
      </w:pPr>
      <w:r>
        <w:t xml:space="preserve">Exclude a break-glass account group from every policy before enforcing, or you</w:t>
      </w:r>
      <w:r>
        <w:t xml:space="preserve"> </w:t>
      </w:r>
      <w:r>
        <w:t xml:space="preserve">can lock yourself out. Keep two cloud-only break-glass accounts with long unique</w:t>
      </w:r>
      <w:r>
        <w:t xml:space="preserve"> </w:t>
      </w:r>
      <w:r>
        <w:t xml:space="preserve">passwords, excluded from all CA, and alert on their use.</w:t>
      </w:r>
    </w:p>
    <w:bookmarkEnd w:id="528"/>
    <w:bookmarkStart w:id="529" w:name="monitoring-and-drift"/>
    <w:p>
      <w:pPr>
        <w:pStyle w:val="Heading2"/>
      </w:pPr>
      <w:r>
        <w:t xml:space="preserve">8. Monitoring and drift</w:t>
      </w:r>
    </w:p>
    <w:p>
      <w:pPr>
        <w:pStyle w:val="SourceCode"/>
      </w:pPr>
      <w:r>
        <w:rPr>
          <w:rStyle w:val="OperatorTok"/>
        </w:rPr>
        <w:t xml:space="preserve">.</w:t>
      </w:r>
      <w:r>
        <w:rPr>
          <w:rStyle w:val="NormalTok"/>
        </w:rPr>
        <w:t xml:space="preserve">\scripts\Compare-ConditionalAccessDrift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BaselinePath </w:t>
      </w:r>
      <w:r>
        <w:rPr>
          <w:rStyle w:val="OperatorTok"/>
        </w:rPr>
        <w:t xml:space="preserve">.</w:t>
      </w:r>
      <w:r>
        <w:rPr>
          <w:rStyle w:val="NormalTok"/>
        </w:rPr>
        <w:t xml:space="preserve">\artifacts\ca-baseline</w:t>
      </w:r>
      <w:r>
        <w:rPr>
          <w:rStyle w:val="OperatorTok"/>
        </w:rPr>
        <w:t xml:space="preserve">.</w:t>
      </w:r>
      <w:r>
        <w:rPr>
          <w:rStyle w:val="FunctionTok"/>
        </w:rPr>
        <w:t xml:space="preserve">json</w:t>
      </w:r>
      <w:r>
        <w:rPr>
          <w:rStyle w:val="NormalTok"/>
        </w:rPr>
        <w:t xml:space="preserve">   </w:t>
      </w:r>
      <w:r>
        <w:rPr>
          <w:rStyle w:val="CommentTok"/>
        </w:rPr>
        <w:t xml:space="preserve"># first run captures the baseline</w:t>
      </w:r>
      <w:r>
        <w:br/>
      </w:r>
      <w:r>
        <w:rPr>
          <w:rStyle w:val="OperatorTok"/>
        </w:rPr>
        <w:t xml:space="preserve">.</w:t>
      </w:r>
      <w:r>
        <w:rPr>
          <w:rStyle w:val="NormalTok"/>
        </w:rPr>
        <w:t xml:space="preserve">\scripts\Get-ModernizationDriftReport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ArtifactPath </w:t>
      </w:r>
      <w:r>
        <w:rPr>
          <w:rStyle w:val="OperatorTok"/>
        </w:rPr>
        <w:t xml:space="preserve">.</w:t>
      </w:r>
      <w:r>
        <w:rPr>
          <w:rStyle w:val="NormalTok"/>
        </w:rPr>
        <w:t xml:space="preserve">\artifacts </w:t>
      </w:r>
      <w:r>
        <w:rPr>
          <w:rStyle w:val="OperatorTok"/>
        </w:rPr>
        <w:t xml:space="preserve">-</w:t>
      </w:r>
      <w:r>
        <w:rPr>
          <w:rStyle w:val="NormalTok"/>
        </w:rPr>
        <w:t xml:space="preserve">OutputPath </w:t>
      </w:r>
      <w:r>
        <w:rPr>
          <w:rStyle w:val="OperatorTok"/>
        </w:rPr>
        <w:t xml:space="preserve">.</w:t>
      </w:r>
      <w:r>
        <w:rPr>
          <w:rStyle w:val="NormalTok"/>
        </w:rPr>
        <w:t xml:space="preserve">\artifacts\modernization-status</w:t>
      </w:r>
      <w:r>
        <w:rPr>
          <w:rStyle w:val="OperatorTok"/>
        </w:rPr>
        <w:t xml:space="preserve">.</w:t>
      </w:r>
      <w:r>
        <w:rPr>
          <w:rStyle w:val="FunctionTok"/>
        </w:rPr>
        <w:t xml:space="preserve">csv</w:t>
      </w:r>
    </w:p>
    <w:p>
      <w:pPr>
        <w:pStyle w:val="FirstParagraph"/>
      </w:pPr>
      <w:r>
        <w:t xml:space="preserve">Send Arc heartbeat, Intune compliance, AD audit, and Defender alerts to Log</w:t>
      </w:r>
      <w:r>
        <w:t xml:space="preserve"> </w:t>
      </w:r>
      <w:r>
        <w:t xml:space="preserve">Analytics with defined alert rules. The cross-domain report rolls up which</w:t>
      </w:r>
      <w:r>
        <w:t xml:space="preserve"> </w:t>
      </w:r>
      <w:r>
        <w:t xml:space="preserve">domains have fresh evidence and the headline pass/attention counts — your weekly</w:t>
      </w:r>
      <w:r>
        <w:t xml:space="preserve"> </w:t>
      </w:r>
      <w:r>
        <w:t xml:space="preserve">status page.</w:t>
      </w:r>
    </w:p>
    <w:bookmarkEnd w:id="529"/>
    <w:bookmarkStart w:id="530" w:name="rollback-1"/>
    <w:p>
      <w:pPr>
        <w:pStyle w:val="Heading2"/>
      </w:pPr>
      <w:r>
        <w:t xml:space="preserve">9. Rollback</w:t>
      </w:r>
    </w:p>
    <w:p>
      <w:pPr>
        <w:pStyle w:val="FirstParagraph"/>
      </w:pPr>
      <w:r>
        <w:t xml:space="preserve">Define rollback criteria before you begin. Each domain has a defined back-out:</w:t>
      </w:r>
    </w:p>
    <w:p>
      <w:pPr>
        <w:pStyle w:val="Compact"/>
        <w:numPr>
          <w:ilvl w:val="0"/>
          <w:numId w:val="1258"/>
        </w:numPr>
      </w:pPr>
      <w:r>
        <w:rPr>
          <w:b/>
          <w:bCs/>
        </w:rPr>
        <w:t xml:space="preserve">Intune:</w:t>
      </w:r>
      <w:r>
        <w:t xml:space="preserve"> </w:t>
      </w:r>
      <w:r>
        <w:t xml:space="preserve">un-enroll devices and re-apply the GPO baseline.</w:t>
      </w:r>
    </w:p>
    <w:p>
      <w:pPr>
        <w:pStyle w:val="Compact"/>
        <w:numPr>
          <w:ilvl w:val="0"/>
          <w:numId w:val="1258"/>
        </w:numPr>
      </w:pPr>
      <w:r>
        <w:rPr>
          <w:b/>
          <w:bCs/>
        </w:rPr>
        <w:t xml:space="preserve">Arc:</w:t>
      </w:r>
      <w:r>
        <w:t xml:space="preserve"> </w:t>
      </w:r>
      <w:r>
        <w:rPr>
          <w:rStyle w:val="VerbatimChar"/>
        </w:rPr>
        <w:t xml:space="preserve">azcmagent disconnect</w:t>
      </w:r>
      <w:r>
        <w:t xml:space="preserve"> </w:t>
      </w:r>
      <w:r>
        <w:t xml:space="preserve">then uninstall the agent.</w:t>
      </w:r>
    </w:p>
    <w:p>
      <w:pPr>
        <w:pStyle w:val="Compact"/>
        <w:numPr>
          <w:ilvl w:val="0"/>
          <w:numId w:val="1258"/>
        </w:numPr>
      </w:pPr>
      <w:r>
        <w:rPr>
          <w:b/>
          <w:bCs/>
        </w:rPr>
        <w:t xml:space="preserve">Conditional Access:</w:t>
      </w:r>
      <w:r>
        <w:t xml:space="preserve"> </w:t>
      </w:r>
      <w:r>
        <w:t xml:space="preserve">keep policies report-only until validated; the</w:t>
      </w:r>
      <w:r>
        <w:t xml:space="preserve"> </w:t>
      </w:r>
      <w:r>
        <w:t xml:space="preserve">break-glass accounts are the emergency exclusion.</w:t>
      </w:r>
    </w:p>
    <w:p>
      <w:pPr>
        <w:pStyle w:val="Compact"/>
        <w:numPr>
          <w:ilvl w:val="0"/>
          <w:numId w:val="1258"/>
        </w:numPr>
      </w:pPr>
      <w:r>
        <w:rPr>
          <w:b/>
          <w:bCs/>
        </w:rPr>
        <w:t xml:space="preserve">NTLM:</w:t>
      </w:r>
      <w:r>
        <w:t xml:space="preserve"> </w:t>
      </w:r>
      <w:r>
        <w:t xml:space="preserve">revert</w:t>
      </w:r>
      <w:r>
        <w:t xml:space="preserve"> </w:t>
      </w:r>
      <w:r>
        <w:rPr>
          <w:rStyle w:val="VerbatimChar"/>
        </w:rPr>
        <w:t xml:space="preserve">LmCompatibilityLevel</w:t>
      </w:r>
      <w:r>
        <w:t xml:space="preserve"> </w:t>
      </w:r>
      <w:r>
        <w:t xml:space="preserve">to 3 if a missed dependency surfaces —</w:t>
      </w:r>
      <w:r>
        <w:t xml:space="preserve"> </w:t>
      </w:r>
      <w:r>
        <w:t xml:space="preserve">this is exactly why the audit gate exists.</w:t>
      </w:r>
    </w:p>
    <w:bookmarkEnd w:id="530"/>
    <w:bookmarkStart w:id="531" w:name="what-you-must-configure"/>
    <w:p>
      <w:pPr>
        <w:pStyle w:val="Heading2"/>
      </w:pPr>
      <w:r>
        <w:t xml:space="preserve">10. What you must configure</w:t>
      </w:r>
    </w:p>
    <w:p>
      <w:pPr>
        <w:pStyle w:val="FirstParagraph"/>
      </w:pPr>
      <w:r>
        <w:t xml:space="preserve">Search the scripts for</w:t>
      </w:r>
      <w:r>
        <w:t xml:space="preserve"> </w:t>
      </w:r>
      <w:r>
        <w:rPr>
          <w:rStyle w:val="VerbatimChar"/>
        </w:rPr>
        <w:t xml:space="preserve"># CONFIGURE:</w:t>
      </w:r>
      <w:r>
        <w:t xml:space="preserve"> </w:t>
      </w:r>
      <w:r>
        <w:t xml:space="preserve">— tenant id, subscription id, resource</w:t>
      </w:r>
      <w:r>
        <w:t xml:space="preserve"> </w:t>
      </w:r>
      <w:r>
        <w:t xml:space="preserve">group, location/cloud (</w:t>
      </w:r>
      <w:r>
        <w:rPr>
          <w:rStyle w:val="VerbatimChar"/>
        </w:rPr>
        <w:t xml:space="preserve">AzureCloud</w:t>
      </w:r>
      <w:r>
        <w:t xml:space="preserve"> </w:t>
      </w:r>
      <w:r>
        <w:t xml:space="preserve">vs</w:t>
      </w:r>
      <w:r>
        <w:t xml:space="preserve"> </w:t>
      </w:r>
      <w:r>
        <w:rPr>
          <w:rStyle w:val="VerbatimChar"/>
        </w:rPr>
        <w:t xml:space="preserve">AzureUSGovernment</w:t>
      </w:r>
      <w:r>
        <w:t xml:space="preserve">), workstation OU DN,</w:t>
      </w:r>
      <w:r>
        <w:t xml:space="preserve"> </w:t>
      </w:r>
      <w:r>
        <w:t xml:space="preserve">break-glass group id, SQL instance list. The scripts are correct against current</w:t>
      </w:r>
      <w:r>
        <w:t xml:space="preserve"> </w:t>
      </w:r>
      <w:r>
        <w:t xml:space="preserve">Microsoft Graph / Az PowerShell but are</w:t>
      </w:r>
      <w:r>
        <w:t xml:space="preserve"> </w:t>
      </w:r>
      <w:r>
        <w:rPr>
          <w:b/>
          <w:bCs/>
        </w:rPr>
        <w:t xml:space="preserve">not</w:t>
      </w:r>
      <w:r>
        <w:t xml:space="preserve"> </w:t>
      </w:r>
      <w:r>
        <w:t xml:space="preserve">validated against a live tenant.</w:t>
      </w:r>
      <w:r>
        <w:t xml:space="preserve"> </w:t>
      </w:r>
      <w:r>
        <w:t xml:space="preserve">Dry-run with</w:t>
      </w:r>
      <w:r>
        <w:t xml:space="preserve"> </w:t>
      </w:r>
      <w:r>
        <w:rPr>
          <w:rStyle w:val="VerbatimChar"/>
        </w:rPr>
        <w:t xml:space="preserve">-WhatIf</w:t>
      </w:r>
      <w:r>
        <w:t xml:space="preserve"> </w:t>
      </w:r>
      <w:r>
        <w:t xml:space="preserve">before removing the guards.</w:t>
      </w:r>
    </w:p>
    <w:bookmarkEnd w:id="531"/>
    <w:bookmarkEnd w:id="532"/>
    <w:bookmarkStart w:id="538" w:name="X12215e3331c2e111d5b36b8e585ae037f1f43a9"/>
    <w:p>
      <w:pPr>
        <w:pStyle w:val="Heading1"/>
      </w:pPr>
      <w:r>
        <w:t xml:space="preserve">M365 Optimize Inspection Exemption — Decision Instruments</w:t>
      </w:r>
    </w:p>
    <w:bookmarkStart w:id="533" w:name="X79f140bc023947976930b1408686d53d37d6874"/>
    <w:p>
      <w:pPr>
        <w:pStyle w:val="Heading2"/>
      </w:pPr>
      <w:r>
        <w:t xml:space="preserve">These are templates, not completed records</w:t>
      </w:r>
    </w:p>
    <w:p>
      <w:pPr>
        <w:pStyle w:val="FirstParagraph"/>
      </w:pPr>
      <w:r>
        <w:t xml:space="preserve">All three carry bracketed fields requiring agency values, and Attachment A’s</w:t>
      </w:r>
      <w:r>
        <w:t xml:space="preserve"> </w:t>
      </w:r>
      <w:r>
        <w:t xml:space="preserve">example rows use RFC 5737 documentation addresses. Nothing here is an</w:t>
      </w:r>
      <w:r>
        <w:t xml:space="preserve"> </w:t>
      </w:r>
      <w:r>
        <w:t xml:space="preserve">agency-approved form — confirm the structure against your own risk-acceptance</w:t>
      </w:r>
      <w:r>
        <w:t xml:space="preserve"> </w:t>
      </w:r>
      <w:r>
        <w:t xml:space="preserve">procedure and delegation of authority before use.</w:t>
      </w:r>
    </w:p>
    <w:bookmarkEnd w:id="533"/>
    <w:bookmarkStart w:id="534" w:name="the-problem-these-answer"/>
    <w:p>
      <w:pPr>
        <w:pStyle w:val="Heading2"/>
      </w:pPr>
      <w:r>
        <w:t xml:space="preserve">The problem these answer</w:t>
      </w:r>
    </w:p>
    <w:p>
      <w:pPr>
        <w:pStyle w:val="FirstParagraph"/>
      </w:pPr>
      <w:r>
        <w:t xml:space="preserve">A branch site running Microsoft 365 over local direct internet access has to</w:t>
      </w:r>
      <w:r>
        <w:t xml:space="preserve"> </w:t>
      </w:r>
      <w:r>
        <w:t xml:space="preserve">decide what happens to the</w:t>
      </w:r>
      <w:r>
        <w:t xml:space="preserve"> </w:t>
      </w:r>
      <w:r>
        <w:rPr>
          <w:b/>
          <w:bCs/>
        </w:rPr>
        <w:t xml:space="preserve">Optimize</w:t>
      </w:r>
      <w:r>
        <w:t xml:space="preserve"> </w:t>
      </w:r>
      <w:r>
        <w:t xml:space="preserve">endpoint set. Microsoft’s connectivity</w:t>
      </w:r>
      <w:r>
        <w:t xml:space="preserve"> </w:t>
      </w:r>
      <w:r>
        <w:t xml:space="preserve">guidance says bypass inspection for it. The agency’s boundary says inspect</w:t>
      </w:r>
      <w:r>
        <w:t xml:space="preserve"> </w:t>
      </w:r>
      <w:r>
        <w:t xml:space="preserve">everything. Both positions are defensible, and the gap between them is a</w:t>
      </w:r>
      <w:r>
        <w:t xml:space="preserve"> </w:t>
      </w:r>
      <w:r>
        <w:t xml:space="preserve">decision somebody has to sign.</w:t>
      </w:r>
    </w:p>
    <w:p>
      <w:pPr>
        <w:pStyle w:val="BodyText"/>
      </w:pPr>
      <w:r>
        <w:t xml:space="preserve">These three instruments are the paperwork that decision needs. They exist</w:t>
      </w:r>
      <w:r>
        <w:t xml:space="preserve"> </w:t>
      </w:r>
      <w:r>
        <w:t xml:space="preserve">because the shape of the ask matters: this is not a generic risk acceptance but</w:t>
      </w:r>
      <w:r>
        <w:t xml:space="preserve"> </w:t>
      </w:r>
      <w:r>
        <w:t xml:space="preserve">a</w:t>
      </w:r>
      <w:r>
        <w:t xml:space="preserve"> </w:t>
      </w:r>
      <w:r>
        <w:rPr>
          <w:b/>
          <w:bCs/>
        </w:rPr>
        <w:t xml:space="preserve">documented traffic-flow exception under SC-7(4)</w:t>
      </w:r>
      <w:r>
        <w:t xml:space="preserve">, which carries a specific</w:t>
      </w:r>
      <w:r>
        <w:t xml:space="preserve"> </w:t>
      </w:r>
      <w:r>
        <w:t xml:space="preserve">discipline — a named exception with its supporting mission need and duration,</w:t>
      </w:r>
      <w:r>
        <w:t xml:space="preserve"> </w:t>
      </w:r>
      <w:r>
        <w:t xml:space="preserve">reviewed on a stated cadence, with enforcement evidence that its boundaries</w:t>
      </w:r>
      <w:r>
        <w:t xml:space="preserve"> </w:t>
      </w:r>
      <w:r>
        <w:t xml:space="preserve">hold.</w:t>
      </w:r>
    </w:p>
    <w:bookmarkEnd w:id="534"/>
    <w:bookmarkStart w:id="535" w:name="the-set"/>
    <w:p>
      <w:pPr>
        <w:pStyle w:val="Heading2"/>
      </w:pPr>
      <w:r>
        <w:t xml:space="preserve">The set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Document</w:t>
            </w:r>
          </w:p>
        </w:tc>
        <w:tc>
          <w:tcPr/>
          <w:p>
            <w:pPr>
              <w:pStyle w:val="Compact"/>
            </w:pPr>
            <w:r>
              <w:t xml:space="preserve">What it decides</w:t>
            </w:r>
          </w:p>
        </w:tc>
        <w:tc>
          <w:tcPr/>
          <w:p>
            <w:pPr>
              <w:pStyle w:val="Compact"/>
            </w:pPr>
            <w:r>
              <w:t xml:space="preserve">Who signs</w:t>
            </w:r>
          </w:p>
        </w:tc>
      </w:tr>
      <w:tr>
        <w:tc>
          <w:tcPr/>
          <w:p>
            <w:pPr>
              <w:pStyle w:val="Compact"/>
            </w:pPr>
            <w:r>
              <w:t xml:space="preserve">SC-7(4) traffic-flow exception memo</w:t>
            </w:r>
          </w:p>
        </w:tc>
        <w:tc>
          <w:tcPr/>
          <w:p>
            <w:pPr>
              <w:pStyle w:val="Compact"/>
            </w:pPr>
            <w:r>
              <w:t xml:space="preserve">Whether to grant the exception, on named controls and stated compensating controls</w:t>
            </w:r>
          </w:p>
        </w:tc>
        <w:tc>
          <w:tcPr/>
          <w:p>
            <w:pPr>
              <w:pStyle w:val="Compact"/>
            </w:pPr>
            <w:r>
              <w:t xml:space="preserve">Authorizing Official</w:t>
            </w:r>
          </w:p>
        </w:tc>
      </w:tr>
      <w:tr>
        <w:tc>
          <w:tcPr/>
          <w:p>
            <w:pPr>
              <w:pStyle w:val="Compact"/>
            </w:pPr>
            <w:r>
              <w:t xml:space="preserve">Attachment A — pilot site register</w:t>
            </w:r>
          </w:p>
        </w:tc>
        <w:tc>
          <w:tcPr/>
          <w:p>
            <w:pPr>
              <w:pStyle w:val="Compact"/>
            </w:pPr>
            <w:r>
              <w:t xml:space="preserve">Which sites and circuits are in scope, why each needs it, and when it ends</w:t>
            </w:r>
          </w:p>
        </w:tc>
        <w:tc>
          <w:tcPr/>
          <w:p>
            <w:pPr>
              <w:pStyle w:val="Compact"/>
            </w:pPr>
            <w:r>
              <w:t xml:space="preserve">System owner, cited by the memo</w:t>
            </w:r>
          </w:p>
        </w:tc>
      </w:tr>
      <w:tr>
        <w:tc>
          <w:tcPr/>
          <w:p>
            <w:pPr>
              <w:pStyle w:val="Compact"/>
            </w:pPr>
            <w:r>
              <w:t xml:space="preserve">Attachment B — architecture review determination</w:t>
            </w:r>
          </w:p>
        </w:tc>
        <w:tc>
          <w:tcPr/>
          <w:p>
            <w:pPr>
              <w:pStyle w:val="Compact"/>
            </w:pPr>
            <w:r>
              <w:t xml:space="preserve">Whether the design is TIC 3.0 conformant and where each PEP capability now sits</w:t>
            </w:r>
          </w:p>
        </w:tc>
        <w:tc>
          <w:tcPr/>
          <w:p>
            <w:pPr>
              <w:pStyle w:val="Compact"/>
            </w:pPr>
            <w:r>
              <w:t xml:space="preserve">Architecture review board</w:t>
            </w:r>
          </w:p>
        </w:tc>
      </w:tr>
    </w:tbl>
    <w:p>
      <w:pPr>
        <w:pStyle w:val="BodyText"/>
      </w:pPr>
      <w:r>
        <w:rPr>
          <w:b/>
          <w:bCs/>
        </w:rPr>
        <w:t xml:space="preserve">Keeping the memo and Attachment B separate is deliberate.</w:t>
      </w:r>
      <w:r>
        <w:t xml:space="preserve"> </w:t>
      </w:r>
      <w:r>
        <w:t xml:space="preserve">The architecture</w:t>
      </w:r>
      <w:r>
        <w:t xml:space="preserve"> </w:t>
      </w:r>
      <w:r>
        <w:t xml:space="preserve">review answers whether the design is conformant and where capabilities moved;</w:t>
      </w:r>
      <w:r>
        <w:t xml:space="preserve"> </w:t>
      </w:r>
      <w:r>
        <w:t xml:space="preserve">it does not accept risk. The Authorizing Official accepts the one thing that</w:t>
      </w:r>
      <w:r>
        <w:t xml:space="preserve"> </w:t>
      </w:r>
      <w:r>
        <w:t xml:space="preserve">cannot be transferred. Each signer answers a question that is actually theirs.</w:t>
      </w:r>
    </w:p>
    <w:bookmarkEnd w:id="535"/>
    <w:bookmarkStart w:id="536" w:name="what-the-set-is-careful-about"/>
    <w:p>
      <w:pPr>
        <w:pStyle w:val="Heading2"/>
      </w:pPr>
      <w:r>
        <w:t xml:space="preserve">What the set is careful about</w:t>
      </w:r>
    </w:p>
    <w:p>
      <w:pPr>
        <w:pStyle w:val="FirstParagraph"/>
      </w:pPr>
      <w:r>
        <w:rPr>
          <w:b/>
          <w:bCs/>
        </w:rPr>
        <w:t xml:space="preserve">Naming the controls.</w:t>
      </w:r>
      <w:r>
        <w:t xml:space="preserve"> </w:t>
      </w:r>
      <w:r>
        <w:t xml:space="preserve">The exemption punctures SI-3, SI-4(10), AC-4 and AU-3</w:t>
      </w:r>
      <w:r>
        <w:t xml:space="preserve"> </w:t>
      </w:r>
      <w:r>
        <w:t xml:space="preserve">(with AU-12 by reference). Saying</w:t>
      </w:r>
      <w:r>
        <w:t xml:space="preserve"> </w:t>
      </w:r>
      <w:r>
        <w:t xml:space="preserve">“inspection forgone”</w:t>
      </w:r>
      <w:r>
        <w:t xml:space="preserve"> </w:t>
      </w:r>
      <w:r>
        <w:t xml:space="preserve">invites an assessor to</w:t>
      </w:r>
      <w:r>
        <w:t xml:space="preserve"> </w:t>
      </w:r>
      <w:r>
        <w:t xml:space="preserve">decide for themselves what was lost.</w:t>
      </w:r>
      <w:r>
        <w:t xml:space="preserve"> </w:t>
      </w:r>
      <w:r>
        <w:rPr>
          <w:b/>
          <w:bCs/>
        </w:rPr>
        <w:t xml:space="preserve">SC-8 is explicitly not a gap</w:t>
      </w:r>
      <w:r>
        <w:t xml:space="preserve"> </w:t>
      </w:r>
      <w:r>
        <w:t xml:space="preserve">—</w:t>
      </w:r>
      <w:r>
        <w:t xml:space="preserve"> </w:t>
      </w:r>
      <w:r>
        <w:t xml:space="preserve">Optimize flows carry TLS and SRTP, and the overlay encrypts the rest.</w:t>
      </w:r>
    </w:p>
    <w:p>
      <w:pPr>
        <w:pStyle w:val="BodyText"/>
      </w:pPr>
      <w:r>
        <w:rPr>
          <w:b/>
          <w:bCs/>
        </w:rPr>
        <w:t xml:space="preserve">Tenant restrictions.</w:t>
      </w:r>
      <w:r>
        <w:t xml:space="preserve"> </w:t>
      </w:r>
      <w:r>
        <w:t xml:space="preserve">Tenant-to-tenant exfiltration over an</w:t>
      </w:r>
      <w:r>
        <w:t xml:space="preserve"> </w:t>
      </w:r>
      <w:r>
        <w:t xml:space="preserve">Optimize-categorized path is the case an assessor will construct. The intuitive</w:t>
      </w:r>
      <w:r>
        <w:t xml:space="preserve"> </w:t>
      </w:r>
      <w:r>
        <w:t xml:space="preserve">answer — that tenant restrictions v2 needs an in-path proxy, so it is lost —</w:t>
      </w:r>
      <w:r>
        <w:t xml:space="preserve"> </w:t>
      </w:r>
      <w:r>
        <w:t xml:space="preserve">is wrong: that is the v1 model. Under v2 the Windows Group Policy path needs no</w:t>
      </w:r>
      <w:r>
        <w:t xml:space="preserve"> </w:t>
      </w:r>
      <w:r>
        <w:t xml:space="preserve">proxy and is the only one reaching the data plane. For a FedRAMP Moderate</w:t>
      </w:r>
      <w:r>
        <w:t xml:space="preserve"> </w:t>
      </w:r>
      <w:r>
        <w:t xml:space="preserve">agency it is also the</w:t>
      </w:r>
      <w:r>
        <w:t xml:space="preserve"> </w:t>
      </w:r>
      <w:r>
        <w:rPr>
          <w:i/>
          <w:iCs/>
        </w:rPr>
        <w:t xml:space="preserve">only</w:t>
      </w:r>
      <w:r>
        <w:t xml:space="preserve"> </w:t>
      </w:r>
      <w:r>
        <w:t xml:space="preserve">available path, since Global Secure Access is</w:t>
      </w:r>
      <w:r>
        <w:t xml:space="preserve"> </w:t>
      </w:r>
      <w:r>
        <w:t xml:space="preserve">non-FIPS in GCC Moderate. So the control moves to the endpoint rather than</w:t>
      </w:r>
      <w:r>
        <w:t xml:space="preserve"> </w:t>
      </w:r>
      <w:r>
        <w:t xml:space="preserve">disappearing — but only if it is configured and verified, which is why it is a</w:t>
      </w:r>
      <w:r>
        <w:t xml:space="preserve"> </w:t>
      </w:r>
      <w:r>
        <w:t xml:space="preserve">precondition to cutover in all three documents.</w:t>
      </w:r>
    </w:p>
    <w:p>
      <w:pPr>
        <w:pStyle w:val="BodyText"/>
      </w:pPr>
      <w:r>
        <w:rPr>
          <w:b/>
          <w:bCs/>
        </w:rPr>
        <w:t xml:space="preserve">The exception record.</w:t>
      </w:r>
      <w:r>
        <w:t xml:space="preserve"> </w:t>
      </w:r>
      <w:r>
        <w:t xml:space="preserve">SC-7(4) requires each exception documented with its</w:t>
      </w:r>
      <w:r>
        <w:t xml:space="preserve"> </w:t>
      </w:r>
      <w:r>
        <w:t xml:space="preserve">mission need and duration, and reviewed on a cadence. Attachment A’s Table A1</w:t>
      </w:r>
      <w:r>
        <w:t xml:space="preserve"> </w:t>
      </w:r>
      <w:r>
        <w:t xml:space="preserve">carries those fields, because a register that lists circuits without recording</w:t>
      </w:r>
      <w:r>
        <w:t xml:space="preserve"> </w:t>
      </w:r>
      <w:r>
        <w:t xml:space="preserve">why each was granted an exception cannot evidence the control the memo claims.</w:t>
      </w:r>
    </w:p>
    <w:p>
      <w:pPr>
        <w:pStyle w:val="BodyText"/>
      </w:pPr>
      <w:r>
        <w:rPr>
          <w:b/>
          <w:bCs/>
        </w:rPr>
        <w:t xml:space="preserve">Policy Enforcement Parity.</w:t>
      </w:r>
      <w:r>
        <w:t xml:space="preserve"> </w:t>
      </w:r>
      <w:r>
        <w:t xml:space="preserve">The TIC 3.0 universal capability requiring</w:t>
      </w:r>
      <w:r>
        <w:t xml:space="preserve"> </w:t>
      </w:r>
      <w:r>
        <w:t xml:space="preserve">protections to apply</w:t>
      </w:r>
      <w:r>
        <w:t xml:space="preserve"> </w:t>
      </w:r>
      <w:r>
        <w:rPr>
          <w:i/>
          <w:iCs/>
        </w:rPr>
        <w:t xml:space="preserve">“independent of the communication mechanism, forwarding</w:t>
      </w:r>
      <w:r>
        <w:rPr>
          <w:i/>
          <w:iCs/>
        </w:rPr>
        <w:t xml:space="preserve"> </w:t>
      </w:r>
      <w:r>
        <w:rPr>
          <w:i/>
          <w:iCs/>
        </w:rPr>
        <w:t xml:space="preserve">path, or endpoints used”</w:t>
      </w:r>
      <w:r>
        <w:t xml:space="preserve"> </w:t>
      </w:r>
      <w:r>
        <w:t xml:space="preserve">is the one this design most strains against.</w:t>
      </w:r>
      <w:r>
        <w:t xml:space="preserve"> </w:t>
      </w:r>
      <w:r>
        <w:t xml:space="preserve">Attachment B records it rather than omitting it; the SC-7(4) exception is the</w:t>
      </w:r>
      <w:r>
        <w:t xml:space="preserve"> </w:t>
      </w:r>
      <w:r>
        <w:t xml:space="preserve">mechanism for documenting a bounded departure rather than denying there is one.</w:t>
      </w:r>
    </w:p>
    <w:bookmarkEnd w:id="536"/>
    <w:bookmarkStart w:id="537" w:name="related-material"/>
    <w:p>
      <w:pPr>
        <w:pStyle w:val="Heading2"/>
      </w:pPr>
      <w:r>
        <w:t xml:space="preserve">Related material</w:t>
      </w:r>
    </w:p>
    <w:p>
      <w:pPr>
        <w:pStyle w:val="Compact"/>
        <w:numPr>
          <w:ilvl w:val="0"/>
          <w:numId w:val="1259"/>
        </w:numPr>
      </w:pPr>
      <w:r>
        <w:t xml:space="preserve">SD-WAN vs. DIA Under TIC 3.0 —</w:t>
      </w:r>
      <w:r>
        <w:t xml:space="preserve"> </w:t>
      </w:r>
      <w:r>
        <w:t xml:space="preserve">§5.5 owns the transport-versus-control argument these instruments implement.</w:t>
      </w:r>
    </w:p>
    <w:p>
      <w:pPr>
        <w:pStyle w:val="Compact"/>
        <w:numPr>
          <w:ilvl w:val="0"/>
          <w:numId w:val="1259"/>
        </w:numPr>
      </w:pPr>
      <w:r>
        <w:t xml:space="preserve">Vol I Book 05 — Network</w:t>
      </w:r>
      <w:r>
        <w:t xml:space="preserve"> </w:t>
      </w:r>
      <w:r>
        <w:t xml:space="preserve">Modernization,</w:t>
      </w:r>
      <w:r>
        <w:t xml:space="preserve"> </w:t>
      </w:r>
      <w:r>
        <w:t xml:space="preserve">Appendix A — owns the Catalyst SD-WAN and M365 build, including the GCC</w:t>
      </w:r>
      <w:r>
        <w:t xml:space="preserve"> </w:t>
      </w:r>
      <w:r>
        <w:t xml:space="preserve">Moderate constraint.</w:t>
      </w:r>
    </w:p>
    <w:p>
      <w:pPr>
        <w:pStyle w:val="Compact"/>
        <w:numPr>
          <w:ilvl w:val="0"/>
          <w:numId w:val="1259"/>
        </w:numPr>
      </w:pPr>
      <w:r>
        <w:t xml:space="preserve">FedRAMP 20x and the Commercial Feature</w:t>
      </w:r>
      <w:r>
        <w:t xml:space="preserve"> </w:t>
      </w:r>
      <w:r>
        <w:t xml:space="preserve">Gap —</w:t>
      </w:r>
      <w:r>
        <w:t xml:space="preserve"> </w:t>
      </w:r>
      <w:r>
        <w:t xml:space="preserve">owns the framework and vendor-documentation argument.</w:t>
      </w:r>
    </w:p>
    <w:bookmarkEnd w:id="537"/>
    <w:bookmarkEnd w:id="538"/>
    <w:bookmarkStart w:id="547" w:name="Xa7bf8886459e01b4d4e8affe29a6bd401633b30"/>
    <w:p>
      <w:pPr>
        <w:pStyle w:val="Heading1"/>
      </w:pPr>
      <w:r>
        <w:t xml:space="preserve">Attachment A — Pilot Site Register and Egress IP Ranges</w:t>
      </w:r>
    </w:p>
    <w:bookmarkStart w:id="539" w:name="X13fed8c0e9d0df6a54456663edaf66673ac2252"/>
    <w:p>
      <w:pPr>
        <w:pStyle w:val="Heading2"/>
      </w:pPr>
      <w:r>
        <w:t xml:space="preserve">Template — example rows use RFC 5737 documentation addresses</w:t>
      </w:r>
    </w:p>
    <w:p>
      <w:pPr>
        <w:pStyle w:val="FirstParagraph"/>
      </w:pPr>
      <w:r>
        <w:t xml:space="preserve">The example rows use</w:t>
      </w:r>
      <w:r>
        <w:t xml:space="preserve"> </w:t>
      </w:r>
      <w:r>
        <w:rPr>
          <w:rStyle w:val="VerbatimChar"/>
        </w:rPr>
        <w:t xml:space="preserve">203.0.113.0/24</w:t>
      </w:r>
      <w:r>
        <w:t xml:space="preserve">,</w:t>
      </w:r>
      <w:r>
        <w:t xml:space="preserve"> </w:t>
      </w:r>
      <w:r>
        <w:rPr>
          <w:rStyle w:val="VerbatimChar"/>
        </w:rPr>
        <w:t xml:space="preserve">198.51.100.0/24</w:t>
      </w:r>
      <w:r>
        <w:t xml:space="preserve"> </w:t>
      </w:r>
      <w:r>
        <w:t xml:space="preserve">and</w:t>
      </w:r>
      <w:r>
        <w:t xml:space="preserve"> </w:t>
      </w:r>
      <w:r>
        <w:rPr>
          <w:rStyle w:val="VerbatimChar"/>
        </w:rPr>
        <w:t xml:space="preserve">192.0.2.0/24</w:t>
      </w:r>
      <w:r>
        <w:t xml:space="preserve">,</w:t>
      </w:r>
      <w:r>
        <w:t xml:space="preserve"> </w:t>
      </w:r>
      <w:r>
        <w:t xml:space="preserve">reserved for documentation under RFC 5737 and safe to publish.</w:t>
      </w:r>
      <w:r>
        <w:t xml:space="preserve"> </w:t>
      </w:r>
      <w:r>
        <w:rPr>
          <w:b/>
          <w:bCs/>
        </w:rPr>
        <w:t xml:space="preserve">Delete them</w:t>
      </w:r>
      <w:r>
        <w:rPr>
          <w:b/>
          <w:bCs/>
        </w:rPr>
        <w:t xml:space="preserve"> </w:t>
      </w:r>
      <w:r>
        <w:rPr>
          <w:b/>
          <w:bCs/>
        </w:rPr>
        <w:t xml:space="preserve">once real rows exist</w:t>
      </w:r>
      <w:r>
        <w:t xml:space="preserve">, so no reader has to work out which is which.</w:t>
      </w:r>
    </w:p>
    <w:bookmarkEnd w:id="539"/>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Attaches to</w:t>
            </w:r>
          </w:p>
        </w:tc>
        <w:tc>
          <w:tcPr/>
          <w:p>
            <w:pPr>
              <w:pStyle w:val="Compact"/>
            </w:pPr>
            <w:r>
              <w:t xml:space="preserve">SC-7(4) traffic-flow exception — M365 Optimize endpoint set at branch DIA</w:t>
            </w:r>
          </w:p>
        </w:tc>
      </w:tr>
      <w:tr>
        <w:tc>
          <w:tcPr/>
          <w:p>
            <w:pPr>
              <w:pStyle w:val="Compact"/>
            </w:pPr>
            <w:r>
              <w:rPr>
                <w:b/>
                <w:bCs/>
              </w:rPr>
              <w:t xml:space="preserve">Prepared by</w:t>
            </w:r>
          </w:p>
        </w:tc>
        <w:tc>
          <w:tcPr/>
          <w:p>
            <w:pPr>
              <w:pStyle w:val="Compact"/>
            </w:pPr>
            <w:r>
              <w:rPr>
                <w:i/>
                <w:iCs/>
              </w:rPr>
              <w:t xml:space="preserve">[Name, title]</w:t>
            </w:r>
          </w:p>
        </w:tc>
      </w:tr>
      <w:tr>
        <w:tc>
          <w:tcPr/>
          <w:p>
            <w:pPr>
              <w:pStyle w:val="Compact"/>
            </w:pPr>
            <w:r>
              <w:rPr>
                <w:b/>
                <w:bCs/>
              </w:rPr>
              <w:t xml:space="preserve">Version</w:t>
            </w:r>
          </w:p>
        </w:tc>
        <w:tc>
          <w:tcPr/>
          <w:p>
            <w:pPr>
              <w:pStyle w:val="Compact"/>
            </w:pPr>
            <w:r>
              <w:rPr>
                <w:i/>
                <w:iCs/>
              </w:rPr>
              <w:t xml:space="preserve">[n]</w:t>
            </w:r>
            <w:r>
              <w:t xml:space="preserve"> </w:t>
            </w:r>
            <w:r>
              <w:t xml:space="preserve">—</w:t>
            </w:r>
            <w:r>
              <w:t xml:space="preserve"> </w:t>
            </w:r>
            <w:r>
              <w:rPr>
                <w:i/>
                <w:iCs/>
              </w:rPr>
              <w:t xml:space="preserve">[date]</w:t>
            </w:r>
          </w:p>
        </w:tc>
      </w:tr>
      <w:tr>
        <w:tc>
          <w:tcPr/>
          <w:p>
            <w:pPr>
              <w:pStyle w:val="Compact"/>
            </w:pPr>
            <w:r>
              <w:rPr>
                <w:b/>
                <w:bCs/>
              </w:rPr>
              <w:t xml:space="preserve">Site count</w:t>
            </w:r>
          </w:p>
        </w:tc>
        <w:tc>
          <w:tcPr/>
          <w:p>
            <w:pPr>
              <w:pStyle w:val="Compact"/>
            </w:pPr>
            <w:r>
              <w:rPr>
                <w:i/>
                <w:iCs/>
              </w:rPr>
              <w:t xml:space="preserve">[N]</w:t>
            </w:r>
            <w:r>
              <w:t xml:space="preserve"> </w:t>
            </w:r>
            <w:r>
              <w:t xml:space="preserve">sites,</w:t>
            </w:r>
            <w:r>
              <w:t xml:space="preserve"> </w:t>
            </w:r>
            <w:r>
              <w:rPr>
                <w:i/>
                <w:iCs/>
              </w:rPr>
              <w:t xml:space="preserve">[N]</w:t>
            </w:r>
            <w:r>
              <w:t xml:space="preserve"> </w:t>
            </w:r>
            <w:r>
              <w:t xml:space="preserve">circuits, approx.</w:t>
            </w:r>
            <w:r>
              <w:t xml:space="preserve"> </w:t>
            </w:r>
            <w:r>
              <w:rPr>
                <w:i/>
                <w:iCs/>
              </w:rPr>
              <w:t xml:space="preserve">[N]</w:t>
            </w:r>
            <w:r>
              <w:t xml:space="preserve"> </w:t>
            </w:r>
            <w:r>
              <w:t xml:space="preserve">users</w:t>
            </w:r>
          </w:p>
        </w:tc>
      </w:tr>
    </w:tbl>
    <w:p>
      <w:pPr>
        <w:pStyle w:val="BodyText"/>
      </w:pPr>
      <w:r>
        <w:t xml:space="preserve">The sites listed here are the entire scope of the exemption. Adding a site is a</w:t>
      </w:r>
      <w:r>
        <w:t xml:space="preserve"> </w:t>
      </w:r>
      <w:r>
        <w:t xml:space="preserve">scope change and requires return to the Authorizing Official — so this register</w:t>
      </w:r>
      <w:r>
        <w:t xml:space="preserve"> </w:t>
      </w:r>
      <w:r>
        <w:t xml:space="preserve">is a controlled document, and its version is the thing the signed memo refers</w:t>
      </w:r>
      <w:r>
        <w:t xml:space="preserve"> </w:t>
      </w:r>
      <w:r>
        <w:t xml:space="preserve">to.</w:t>
      </w:r>
    </w:p>
    <w:p>
      <w:pPr>
        <w:pStyle w:val="BodyText"/>
      </w:pPr>
      <w:r>
        <w:rPr>
          <w:b/>
          <w:bCs/>
        </w:rPr>
        <w:t xml:space="preserve">This register is the SC-7(4) exception record itself, not a supporting annex</w:t>
      </w:r>
      <w:r>
        <w:rPr>
          <w:b/>
          <w:bCs/>
        </w:rPr>
        <w:t xml:space="preserve"> </w:t>
      </w:r>
      <w:r>
        <w:rPr>
          <w:b/>
          <w:bCs/>
        </w:rPr>
        <w:t xml:space="preserve">to it.</w:t>
      </w:r>
      <w:r>
        <w:t xml:space="preserve"> </w:t>
      </w:r>
      <w:r>
        <w:t xml:space="preserve">SC-7(4) requires each exception to the traffic-flow policy to be</w:t>
      </w:r>
      <w:r>
        <w:t xml:space="preserve"> </w:t>
      </w:r>
      <w:r>
        <w:t xml:space="preserve">documented with its supporting mission need and the duration of that need, and</w:t>
      </w:r>
      <w:r>
        <w:t xml:space="preserve"> </w:t>
      </w:r>
      <w:r>
        <w:t xml:space="preserve">requires those exceptions to be reviewed on a stated cadence and removed when</w:t>
      </w:r>
      <w:r>
        <w:t xml:space="preserve"> </w:t>
      </w:r>
      <w:r>
        <w:t xml:space="preserve">the need no longer holds. Table A1 carries those fields; A2 and A3 carry the</w:t>
      </w:r>
      <w:r>
        <w:t xml:space="preserve"> </w:t>
      </w:r>
      <w:r>
        <w:t xml:space="preserve">network and readiness detail beneath them. A register that lists circuits but</w:t>
      </w:r>
      <w:r>
        <w:t xml:space="preserve"> </w:t>
      </w:r>
      <w:r>
        <w:t xml:space="preserve">records no mission need and no expiry cannot evidence the control the memo</w:t>
      </w:r>
      <w:r>
        <w:t xml:space="preserve"> </w:t>
      </w:r>
      <w:r>
        <w:t xml:space="preserve">claims.</w:t>
      </w:r>
    </w:p>
    <w:bookmarkStart w:id="540" w:name="table-a1-exception-record"/>
    <w:p>
      <w:pPr>
        <w:pStyle w:val="Heading2"/>
      </w:pPr>
      <w:r>
        <w:t xml:space="preserve">Table A1 — Exception record</w:t>
      </w:r>
    </w:p>
    <w:p>
      <w:pPr>
        <w:pStyle w:val="FirstParagraph"/>
      </w:pPr>
      <w:r>
        <w:rPr>
          <w:i/>
          <w:iCs/>
        </w:rPr>
        <w:t xml:space="preserve">Per site — the SC-7(4)(c) and (d) fields.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Site ID</w:t>
            </w:r>
          </w:p>
        </w:tc>
        <w:tc>
          <w:tcPr/>
          <w:p>
            <w:pPr>
              <w:pStyle w:val="Compact"/>
            </w:pPr>
            <w:r>
              <w:t xml:space="preserve">Supporting mission need</w:t>
            </w:r>
          </w:p>
        </w:tc>
        <w:tc>
          <w:tcPr/>
          <w:p>
            <w:pPr>
              <w:pStyle w:val="Compact"/>
            </w:pPr>
            <w:r>
              <w:t xml:space="preserve">In force from</w:t>
            </w:r>
          </w:p>
        </w:tc>
        <w:tc>
          <w:tcPr/>
          <w:p>
            <w:pPr>
              <w:pStyle w:val="Compact"/>
            </w:pPr>
            <w:r>
              <w:t xml:space="preserve">Expiry, or the condition that ends it</w:t>
            </w:r>
          </w:p>
        </w:tc>
        <w:tc>
          <w:tcPr/>
          <w:p>
            <w:pPr>
              <w:pStyle w:val="Compact"/>
            </w:pPr>
            <w:r>
              <w:t xml:space="preserve">Last review</w:t>
            </w:r>
          </w:p>
        </w:tc>
      </w:tr>
      <w:tr>
        <w:tc>
          <w:tcPr/>
          <w:p>
            <w:pPr>
              <w:pStyle w:val="Compact"/>
            </w:pPr>
            <w:r>
              <w:t xml:space="preserve">BR-001</w:t>
            </w:r>
          </w:p>
        </w:tc>
        <w:tc>
          <w:tcPr/>
          <w:p>
            <w:pPr>
              <w:pStyle w:val="Compact"/>
            </w:pPr>
            <w:r>
              <w:rPr>
                <w:i/>
                <w:iCs/>
              </w:rPr>
              <w:t xml:space="preserve">[Mission need]</w:t>
            </w:r>
            <w:r>
              <w:t xml:space="preserve"> </w:t>
            </w:r>
            <w:r>
              <w:t xml:space="preserve">—</w:t>
            </w:r>
            <w:r>
              <w:t xml:space="preserve"> </w:t>
            </w:r>
            <w:r>
              <w:rPr>
                <w:b/>
                <w:bCs/>
              </w:rPr>
              <w:t xml:space="preserve">example</w:t>
            </w:r>
          </w:p>
        </w:tc>
        <w:tc>
          <w:tcPr/>
          <w:p>
            <w:pPr>
              <w:pStyle w:val="Compact"/>
            </w:pPr>
            <w:r>
              <w:rPr>
                <w:i/>
                <w:iCs/>
              </w:rPr>
              <w:t xml:space="preserve">[date]</w:t>
            </w:r>
          </w:p>
        </w:tc>
        <w:tc>
          <w:tcPr/>
          <w:p>
            <w:pPr>
              <w:pStyle w:val="Compact"/>
            </w:pPr>
            <w:r>
              <w:rPr>
                <w:i/>
                <w:iCs/>
              </w:rPr>
              <w:t xml:space="preserve">[date or condition]</w:t>
            </w:r>
          </w:p>
        </w:tc>
        <w:tc>
          <w:tcPr/>
          <w:p>
            <w:pPr>
              <w:pStyle w:val="Compact"/>
            </w:pPr>
            <w:r>
              <w:rPr>
                <w:i/>
                <w:iCs/>
              </w:rPr>
              <w:t xml:space="preserve">[date]</w:t>
            </w:r>
          </w:p>
        </w:tc>
      </w:tr>
      <w:tr>
        <w:tc>
          <w:tcPr/>
          <w:p>
            <w:pPr>
              <w:pStyle w:val="Compact"/>
            </w:pPr>
            <w:r>
              <w:rPr>
                <w:i/>
                <w:iCs/>
              </w:rPr>
              <w:t xml:space="preserve">[ID]</w:t>
            </w:r>
          </w:p>
        </w:tc>
        <w:tc>
          <w:tcPr/>
          <w:p>
            <w:pPr>
              <w:pStyle w:val="Compact"/>
            </w:pPr>
            <w:r>
              <w:rPr>
                <w:i/>
                <w:iCs/>
              </w:rPr>
              <w:t xml:space="preserve">[Why this site needs the exemption — specific to the site, not the program]</w:t>
            </w:r>
          </w:p>
        </w:tc>
        <w:tc>
          <w:tcPr/>
          <w:p>
            <w:pPr>
              <w:pStyle w:val="Compact"/>
            </w:pPr>
            <w:r>
              <w:rPr>
                <w:i/>
                <w:iCs/>
              </w:rPr>
              <w:t xml:space="preserve">[date]</w:t>
            </w:r>
          </w:p>
        </w:tc>
        <w:tc>
          <w:tcPr/>
          <w:p>
            <w:pPr>
              <w:pStyle w:val="Compact"/>
            </w:pPr>
            <w:r>
              <w:rPr>
                <w:i/>
                <w:iCs/>
              </w:rPr>
              <w:t xml:space="preserve">[date or condition]</w:t>
            </w:r>
          </w:p>
        </w:tc>
        <w:tc>
          <w:tcPr/>
          <w:p>
            <w:pPr>
              <w:pStyle w:val="Compact"/>
            </w:pPr>
            <w:r>
              <w:rPr>
                <w:i/>
                <w:iCs/>
              </w:rPr>
              <w:t xml:space="preserve">[date]</w:t>
            </w:r>
          </w:p>
        </w:tc>
      </w:tr>
      <w:tr>
        <w:tc>
          <w:tcPr/>
          <w:p>
            <w:pPr>
              <w:pStyle w:val="Compact"/>
            </w:pPr>
            <w:r>
              <w:rPr>
                <w:i/>
                <w:iCs/>
              </w:rPr>
              <w:t xml:space="preserve">[ID]</w:t>
            </w:r>
          </w:p>
        </w:tc>
        <w:tc>
          <w:tcPr/>
          <w:p>
            <w:pPr>
              <w:pStyle w:val="Compact"/>
            </w:pPr>
            <w:r>
              <w:rPr>
                <w:i/>
                <w:iCs/>
              </w:rPr>
              <w:t xml:space="preserve">[Why this site needs the exemption — specific to the site, not the program]</w:t>
            </w:r>
          </w:p>
        </w:tc>
        <w:tc>
          <w:tcPr/>
          <w:p>
            <w:pPr>
              <w:pStyle w:val="Compact"/>
            </w:pPr>
            <w:r>
              <w:rPr>
                <w:i/>
                <w:iCs/>
              </w:rPr>
              <w:t xml:space="preserve">[date]</w:t>
            </w:r>
          </w:p>
        </w:tc>
        <w:tc>
          <w:tcPr/>
          <w:p>
            <w:pPr>
              <w:pStyle w:val="Compact"/>
            </w:pPr>
            <w:r>
              <w:rPr>
                <w:i/>
                <w:iCs/>
              </w:rPr>
              <w:t xml:space="preserve">[date or condition]</w:t>
            </w:r>
          </w:p>
        </w:tc>
        <w:tc>
          <w:tcPr/>
          <w:p>
            <w:pPr>
              <w:pStyle w:val="Compact"/>
            </w:pPr>
            <w:r>
              <w:rPr>
                <w:i/>
                <w:iCs/>
              </w:rPr>
              <w:t xml:space="preserve">[date]</w:t>
            </w:r>
          </w:p>
        </w:tc>
      </w:tr>
    </w:tbl>
    <w:p>
      <w:pPr>
        <w:pStyle w:val="BodyText"/>
      </w:pPr>
      <w:r>
        <w:t xml:space="preserve">One row per site, where A2 is one row per circuit: the mission need is a</w:t>
      </w:r>
      <w:r>
        <w:t xml:space="preserve"> </w:t>
      </w:r>
      <w:r>
        <w:t xml:space="preserve">property of the site, the egress range is a property of the circuit.</w:t>
      </w:r>
    </w:p>
    <w:p>
      <w:pPr>
        <w:pStyle w:val="BodyText"/>
      </w:pPr>
      <w:r>
        <w:t xml:space="preserve">Two fields are worth writing carefully.</w:t>
      </w:r>
      <w:r>
        <w:t xml:space="preserve"> </w:t>
      </w:r>
      <w:r>
        <w:rPr>
          <w:b/>
          <w:bCs/>
        </w:rPr>
        <w:t xml:space="preserve">Mission need</w:t>
      </w:r>
      <w:r>
        <w:t xml:space="preserve"> </w:t>
      </w:r>
      <w:r>
        <w:t xml:space="preserve">restated from the</w:t>
      </w:r>
      <w:r>
        <w:t xml:space="preserve"> </w:t>
      </w:r>
      <w:r>
        <w:t xml:space="preserve">program justification is not a site-level need — if the same sentence would</w:t>
      </w:r>
      <w:r>
        <w:t xml:space="preserve"> </w:t>
      </w:r>
      <w:r>
        <w:t xml:space="preserve">serve every row, none of them is answering the question.</w:t>
      </w:r>
      <w:r>
        <w:t xml:space="preserve"> </w:t>
      </w:r>
      <w:r>
        <w:rPr>
          <w:b/>
          <w:bCs/>
        </w:rPr>
        <w:t xml:space="preserve">Expiry</w:t>
      </w:r>
      <w:r>
        <w:t xml:space="preserve"> </w:t>
      </w:r>
      <w:r>
        <w:t xml:space="preserve">may be a</w:t>
      </w:r>
      <w:r>
        <w:t xml:space="preserve"> </w:t>
      </w:r>
      <w:r>
        <w:t xml:space="preserve">date or a condition (</w:t>
      </w:r>
      <w:r>
        <w:t xml:space="preserve">“until the site is migrated to the SASE fabric”</w:t>
      </w:r>
      <w:r>
        <w:t xml:space="preserve">), but it</w:t>
      </w:r>
      <w:r>
        <w:t xml:space="preserve"> </w:t>
      </w:r>
      <w:r>
        <w:t xml:space="preserve">may not be blank: an exception with no end is a permanent change to the</w:t>
      </w:r>
      <w:r>
        <w:t xml:space="preserve"> </w:t>
      </w:r>
      <w:r>
        <w:t xml:space="preserve">traffic-flow policy, which is a different decision from the one the memo asks</w:t>
      </w:r>
      <w:r>
        <w:t xml:space="preserve"> </w:t>
      </w:r>
      <w:r>
        <w:t xml:space="preserve">for.</w:t>
      </w:r>
    </w:p>
    <w:bookmarkEnd w:id="540"/>
    <w:bookmarkStart w:id="541" w:name="table-a2-scope"/>
    <w:p>
      <w:pPr>
        <w:pStyle w:val="Heading2"/>
      </w:pPr>
      <w:r>
        <w:t xml:space="preserve">Table A2 — Scope</w:t>
      </w:r>
    </w:p>
    <w:p>
      <w:pPr>
        <w:pStyle w:val="FirstParagraph"/>
      </w:pPr>
      <w:r>
        <w:rPr>
          <w:i/>
          <w:iCs/>
        </w:rPr>
        <w:t xml:space="preserve">What the exemption covers.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Site ID</w:t>
            </w:r>
          </w:p>
        </w:tc>
        <w:tc>
          <w:tcPr/>
          <w:p>
            <w:pPr>
              <w:pStyle w:val="Compact"/>
            </w:pPr>
            <w:r>
              <w:t xml:space="preserve">Location</w:t>
            </w:r>
          </w:p>
        </w:tc>
        <w:tc>
          <w:tcPr/>
          <w:p>
            <w:pPr>
              <w:pStyle w:val="Compact"/>
            </w:pPr>
            <w:r>
              <w:t xml:space="preserve">Users</w:t>
            </w:r>
          </w:p>
        </w:tc>
        <w:tc>
          <w:tcPr/>
          <w:p>
            <w:pPr>
              <w:pStyle w:val="Compact"/>
            </w:pPr>
            <w:r>
              <w:t xml:space="preserve">Circuit</w:t>
            </w:r>
          </w:p>
        </w:tc>
        <w:tc>
          <w:tcPr/>
          <w:p>
            <w:pPr>
              <w:pStyle w:val="Compact"/>
            </w:pPr>
            <w:r>
              <w:t xml:space="preserve">Public egress range (post-NAT)</w:t>
            </w:r>
          </w:p>
        </w:tc>
        <w:tc>
          <w:tcPr/>
          <w:p>
            <w:pPr>
              <w:pStyle w:val="Compact"/>
            </w:pPr>
            <w:r>
              <w:t xml:space="preserve">Egress model</w:t>
            </w:r>
          </w:p>
        </w:tc>
      </w:tr>
      <w:tr>
        <w:tc>
          <w:tcPr/>
          <w:p>
            <w:pPr>
              <w:pStyle w:val="Compact"/>
            </w:pPr>
            <w:r>
              <w:t xml:space="preserve">BR-001</w:t>
            </w:r>
          </w:p>
        </w:tc>
        <w:tc>
          <w:tcPr/>
          <w:p>
            <w:pPr>
              <w:pStyle w:val="Compact"/>
            </w:pPr>
            <w:r>
              <w:rPr>
                <w:i/>
                <w:iCs/>
              </w:rPr>
              <w:t xml:space="preserve">[City, ST]</w:t>
            </w:r>
            <w:r>
              <w:t xml:space="preserve"> </w:t>
            </w:r>
            <w:r>
              <w:t xml:space="preserve">—</w:t>
            </w:r>
            <w:r>
              <w:t xml:space="preserve"> </w:t>
            </w:r>
            <w:r>
              <w:rPr>
                <w:b/>
                <w:bCs/>
              </w:rPr>
              <w:t xml:space="preserve">example</w:t>
            </w:r>
          </w:p>
        </w:tc>
        <w:tc>
          <w:tcPr/>
          <w:p>
            <w:pPr>
              <w:pStyle w:val="Compact"/>
            </w:pPr>
            <w:r>
              <w:t xml:space="preserve">140</w:t>
            </w:r>
          </w:p>
        </w:tc>
        <w:tc>
          <w:tcPr/>
          <w:p>
            <w:pPr>
              <w:pStyle w:val="Compact"/>
            </w:pPr>
            <w:r>
              <w:t xml:space="preserve">ISP-A primary</w:t>
            </w:r>
          </w:p>
        </w:tc>
        <w:tc>
          <w:tcPr/>
          <w:p>
            <w:pPr>
              <w:pStyle w:val="Compact"/>
            </w:pPr>
            <w:r>
              <w:rPr>
                <w:rStyle w:val="VerbatimChar"/>
              </w:rPr>
              <w:t xml:space="preserve">203.0.113.16/28</w:t>
            </w:r>
          </w:p>
        </w:tc>
        <w:tc>
          <w:tcPr/>
          <w:p>
            <w:pPr>
              <w:pStyle w:val="Compact"/>
            </w:pPr>
            <w:r>
              <w:t xml:space="preserve">Local DIA</w:t>
            </w:r>
          </w:p>
        </w:tc>
      </w:tr>
      <w:tr>
        <w:tc>
          <w:tcPr/>
          <w:p>
            <w:pPr>
              <w:pStyle w:val="Compact"/>
            </w:pPr>
            <w:r>
              <w:t xml:space="preserve">BR-001</w:t>
            </w:r>
          </w:p>
        </w:tc>
        <w:tc>
          <w:tcPr/>
          <w:p>
            <w:pPr>
              <w:pStyle w:val="Compact"/>
            </w:pPr>
            <w:r>
              <w:rPr>
                <w:i/>
                <w:iCs/>
              </w:rPr>
              <w:t xml:space="preserve">[City, ST]</w:t>
            </w:r>
            <w:r>
              <w:t xml:space="preserve"> </w:t>
            </w:r>
            <w:r>
              <w:t xml:space="preserve">—</w:t>
            </w:r>
            <w:r>
              <w:t xml:space="preserve"> </w:t>
            </w:r>
            <w:r>
              <w:rPr>
                <w:b/>
                <w:bCs/>
              </w:rPr>
              <w:t xml:space="preserve">example</w:t>
            </w:r>
          </w:p>
        </w:tc>
        <w:tc>
          <w:tcPr/>
          <w:p>
            <w:pPr>
              <w:pStyle w:val="Compact"/>
            </w:pPr>
            <w:r>
              <w:t xml:space="preserve">—</w:t>
            </w:r>
          </w:p>
        </w:tc>
        <w:tc>
          <w:tcPr/>
          <w:p>
            <w:pPr>
              <w:pStyle w:val="Compact"/>
            </w:pPr>
            <w:r>
              <w:t xml:space="preserve">ISP-B secondary</w:t>
            </w:r>
          </w:p>
        </w:tc>
        <w:tc>
          <w:tcPr/>
          <w:p>
            <w:pPr>
              <w:pStyle w:val="Compact"/>
            </w:pPr>
            <w:r>
              <w:rPr>
                <w:rStyle w:val="VerbatimChar"/>
              </w:rPr>
              <w:t xml:space="preserve">198.51.100.64/28</w:t>
            </w:r>
          </w:p>
        </w:tc>
        <w:tc>
          <w:tcPr/>
          <w:p>
            <w:pPr>
              <w:pStyle w:val="Compact"/>
            </w:pPr>
            <w:r>
              <w:t xml:space="preserve">Local DIA</w:t>
            </w:r>
          </w:p>
        </w:tc>
      </w:tr>
      <w:tr>
        <w:tc>
          <w:tcPr/>
          <w:p>
            <w:pPr>
              <w:pStyle w:val="Compact"/>
            </w:pPr>
            <w:r>
              <w:t xml:space="preserve">BR-002</w:t>
            </w:r>
          </w:p>
        </w:tc>
        <w:tc>
          <w:tcPr/>
          <w:p>
            <w:pPr>
              <w:pStyle w:val="Compact"/>
            </w:pPr>
            <w:r>
              <w:rPr>
                <w:i/>
                <w:iCs/>
              </w:rPr>
              <w:t xml:space="preserve">[City, ST]</w:t>
            </w:r>
            <w:r>
              <w:t xml:space="preserve"> </w:t>
            </w:r>
            <w:r>
              <w:t xml:space="preserve">—</w:t>
            </w:r>
            <w:r>
              <w:t xml:space="preserve"> </w:t>
            </w:r>
            <w:r>
              <w:rPr>
                <w:b/>
                <w:bCs/>
              </w:rPr>
              <w:t xml:space="preserve">example</w:t>
            </w:r>
          </w:p>
        </w:tc>
        <w:tc>
          <w:tcPr/>
          <w:p>
            <w:pPr>
              <w:pStyle w:val="Compact"/>
            </w:pPr>
            <w:r>
              <w:t xml:space="preserve">62</w:t>
            </w:r>
          </w:p>
        </w:tc>
        <w:tc>
          <w:tcPr/>
          <w:p>
            <w:pPr>
              <w:pStyle w:val="Compact"/>
            </w:pPr>
            <w:r>
              <w:t xml:space="preserve">ISP-A primary</w:t>
            </w:r>
          </w:p>
        </w:tc>
        <w:tc>
          <w:tcPr/>
          <w:p>
            <w:pPr>
              <w:pStyle w:val="Compact"/>
            </w:pPr>
            <w:r>
              <w:rPr>
                <w:rStyle w:val="VerbatimChar"/>
              </w:rPr>
              <w:t xml:space="preserve">192.0.2.128/28</w:t>
            </w:r>
          </w:p>
        </w:tc>
        <w:tc>
          <w:tcPr/>
          <w:p>
            <w:pPr>
              <w:pStyle w:val="Compact"/>
            </w:pPr>
            <w:r>
              <w:t xml:space="preserve">Local DIA, gateway fallback</w:t>
            </w:r>
          </w:p>
        </w:tc>
      </w:tr>
      <w:tr>
        <w:tc>
          <w:tcPr/>
          <w:p>
            <w:pPr>
              <w:pStyle w:val="Compact"/>
            </w:pPr>
            <w:r>
              <w:rPr>
                <w:i/>
                <w:iCs/>
              </w:rPr>
              <w:t xml:space="preserve">[ID]</w:t>
            </w:r>
          </w:p>
        </w:tc>
        <w:tc>
          <w:tcPr/>
          <w:p>
            <w:pPr>
              <w:pStyle w:val="Compact"/>
            </w:pPr>
            <w:r>
              <w:rPr>
                <w:i/>
                <w:iCs/>
              </w:rPr>
              <w:t xml:space="preserve">[Location]</w:t>
            </w:r>
          </w:p>
        </w:tc>
        <w:tc>
          <w:tcPr/>
          <w:p>
            <w:pPr>
              <w:pStyle w:val="Compact"/>
            </w:pPr>
            <w:r>
              <w:rPr>
                <w:i/>
                <w:iCs/>
              </w:rPr>
              <w:t xml:space="preserve">[n]</w:t>
            </w:r>
          </w:p>
        </w:tc>
        <w:tc>
          <w:tcPr/>
          <w:p>
            <w:pPr>
              <w:pStyle w:val="Compact"/>
            </w:pPr>
            <w:r>
              <w:rPr>
                <w:i/>
                <w:iCs/>
              </w:rPr>
              <w:t xml:space="preserve">[Circuit]</w:t>
            </w:r>
          </w:p>
        </w:tc>
        <w:tc>
          <w:tcPr/>
          <w:p>
            <w:pPr>
              <w:pStyle w:val="Compact"/>
            </w:pPr>
            <w:r>
              <w:rPr>
                <w:i/>
                <w:iCs/>
              </w:rPr>
              <w:t xml:space="preserve">[a.b.c.d/nn]</w:t>
            </w:r>
          </w:p>
        </w:tc>
        <w:tc>
          <w:tcPr/>
          <w:p>
            <w:pPr>
              <w:pStyle w:val="Compact"/>
            </w:pPr>
            <w:r>
              <w:rPr>
                <w:i/>
                <w:iCs/>
              </w:rPr>
              <w:t xml:space="preserve">[DIA / gateway]</w:t>
            </w:r>
          </w:p>
        </w:tc>
      </w:tr>
      <w:tr>
        <w:tc>
          <w:tcPr/>
          <w:p>
            <w:pPr>
              <w:pStyle w:val="Compact"/>
            </w:pPr>
            <w:r>
              <w:rPr>
                <w:i/>
                <w:iCs/>
              </w:rPr>
              <w:t xml:space="preserve">[ID]</w:t>
            </w:r>
          </w:p>
        </w:tc>
        <w:tc>
          <w:tcPr/>
          <w:p>
            <w:pPr>
              <w:pStyle w:val="Compact"/>
            </w:pPr>
            <w:r>
              <w:rPr>
                <w:i/>
                <w:iCs/>
              </w:rPr>
              <w:t xml:space="preserve">[Location]</w:t>
            </w:r>
          </w:p>
        </w:tc>
        <w:tc>
          <w:tcPr/>
          <w:p>
            <w:pPr>
              <w:pStyle w:val="Compact"/>
            </w:pPr>
            <w:r>
              <w:rPr>
                <w:i/>
                <w:iCs/>
              </w:rPr>
              <w:t xml:space="preserve">[n]</w:t>
            </w:r>
          </w:p>
        </w:tc>
        <w:tc>
          <w:tcPr/>
          <w:p>
            <w:pPr>
              <w:pStyle w:val="Compact"/>
            </w:pPr>
            <w:r>
              <w:rPr>
                <w:i/>
                <w:iCs/>
              </w:rPr>
              <w:t xml:space="preserve">[Circuit]</w:t>
            </w:r>
          </w:p>
        </w:tc>
        <w:tc>
          <w:tcPr/>
          <w:p>
            <w:pPr>
              <w:pStyle w:val="Compact"/>
            </w:pPr>
            <w:r>
              <w:rPr>
                <w:i/>
                <w:iCs/>
              </w:rPr>
              <w:t xml:space="preserve">[a.b.c.d/nn]</w:t>
            </w:r>
          </w:p>
        </w:tc>
        <w:tc>
          <w:tcPr/>
          <w:p>
            <w:pPr>
              <w:pStyle w:val="Compact"/>
            </w:pPr>
            <w:r>
              <w:rPr>
                <w:i/>
                <w:iCs/>
              </w:rPr>
              <w:t xml:space="preserve">[DIA / gateway]</w:t>
            </w:r>
          </w:p>
        </w:tc>
      </w:tr>
    </w:tbl>
    <w:p>
      <w:pPr>
        <w:pStyle w:val="BodyText"/>
      </w:pPr>
      <w:r>
        <w:t xml:space="preserve">One row per circuit, not per site. A site with two internet circuits occupies</w:t>
      </w:r>
      <w:r>
        <w:t xml:space="preserve"> </w:t>
      </w:r>
      <w:r>
        <w:t xml:space="preserve">two rows sharing a Site ID, because attribution and steering both operate per</w:t>
      </w:r>
      <w:r>
        <w:t xml:space="preserve"> </w:t>
      </w:r>
      <w:r>
        <w:t xml:space="preserve">circuit.</w:t>
      </w:r>
    </w:p>
    <w:bookmarkEnd w:id="541"/>
    <w:bookmarkStart w:id="542" w:name="completion-rules-for-egress-ranges"/>
    <w:p>
      <w:pPr>
        <w:pStyle w:val="Heading2"/>
      </w:pPr>
      <w:r>
        <w:t xml:space="preserve">Completion rules for egress ranges</w:t>
      </w:r>
    </w:p>
    <w:p>
      <w:pPr>
        <w:pStyle w:val="FirstParagraph"/>
      </w:pPr>
      <w:r>
        <w:rPr>
          <w:i/>
          <w:iCs/>
        </w:rPr>
        <w:t xml:space="preserve">R1–R5, referenced by the admission checklist.</w:t>
      </w:r>
    </w:p>
    <w:p>
      <w:pPr>
        <w:pStyle w:val="BodyText"/>
      </w:pPr>
      <w:r>
        <w:t xml:space="preserve">These are the errors that actually occur, in the order they occur. Each one</w:t>
      </w:r>
      <w:r>
        <w:t xml:space="preserve"> </w:t>
      </w:r>
      <w:r>
        <w:t xml:space="preserve">produces a fabric that appears configured and attributes traffic to the wrong</w:t>
      </w:r>
      <w:r>
        <w:t xml:space="preserve"> </w:t>
      </w:r>
      <w:r>
        <w:t xml:space="preserve">place.</w:t>
      </w:r>
    </w:p>
    <w:p>
      <w:pPr>
        <w:pStyle w:val="BodyText"/>
      </w:pPr>
      <w:r>
        <w:rPr>
          <w:b/>
          <w:bCs/>
        </w:rPr>
        <w:t xml:space="preserve">R1.</w:t>
      </w:r>
      <w:r>
        <w:t xml:space="preserve"> </w:t>
      </w:r>
      <w:r>
        <w:t xml:space="preserve">Record the</w:t>
      </w:r>
      <w:r>
        <w:t xml:space="preserve"> </w:t>
      </w:r>
      <w:r>
        <w:rPr>
          <w:b/>
          <w:bCs/>
        </w:rPr>
        <w:t xml:space="preserve">post-NAT public address</w:t>
      </w:r>
      <w:r>
        <w:t xml:space="preserve"> </w:t>
      </w:r>
      <w:r>
        <w:t xml:space="preserve">the branch presents to the</w:t>
      </w:r>
      <w:r>
        <w:t xml:space="preserve"> </w:t>
      </w:r>
      <w:r>
        <w:t xml:space="preserve">internet — not the WAN interface address, and not the inside pool.</w:t>
      </w:r>
      <w:r>
        <w:t xml:space="preserve"> </w:t>
      </w:r>
      <w:r>
        <w:rPr>
          <w:i/>
          <w:iCs/>
        </w:rPr>
        <w:t xml:space="preserve">The address Microsoft and your probe endpoints observe is the one that</w:t>
      </w:r>
      <w:r>
        <w:rPr>
          <w:i/>
          <w:iCs/>
        </w:rPr>
        <w:t xml:space="preserve"> </w:t>
      </w:r>
      <w:r>
        <w:rPr>
          <w:i/>
          <w:iCs/>
        </w:rPr>
        <w:t xml:space="preserve">identifies the circuit. An interface address recorded here silently</w:t>
      </w:r>
      <w:r>
        <w:rPr>
          <w:i/>
          <w:iCs/>
        </w:rPr>
        <w:t xml:space="preserve"> </w:t>
      </w:r>
      <w:r>
        <w:rPr>
          <w:i/>
          <w:iCs/>
        </w:rPr>
        <w:t xml:space="preserve">mis-attributes every measurement from that site.</w:t>
      </w:r>
    </w:p>
    <w:p>
      <w:pPr>
        <w:pStyle w:val="BodyText"/>
      </w:pPr>
      <w:r>
        <w:rPr>
          <w:b/>
          <w:bCs/>
        </w:rPr>
        <w:t xml:space="preserve">R2.</w:t>
      </w:r>
      <w:r>
        <w:t xml:space="preserve"> </w:t>
      </w:r>
      <w:r>
        <w:t xml:space="preserve">Give each circuit a</w:t>
      </w:r>
      <w:r>
        <w:t xml:space="preserve"> </w:t>
      </w:r>
      <w:r>
        <w:rPr>
          <w:b/>
          <w:bCs/>
        </w:rPr>
        <w:t xml:space="preserve">unique</w:t>
      </w:r>
      <w:r>
        <w:t xml:space="preserve"> </w:t>
      </w:r>
      <w:r>
        <w:t xml:space="preserve">range. If two circuits at a site share a</w:t>
      </w:r>
      <w:r>
        <w:t xml:space="preserve"> </w:t>
      </w:r>
      <w:r>
        <w:t xml:space="preserve">NAT pool, per-circuit attribution is not possible.</w:t>
      </w:r>
      <w:r>
        <w:t xml:space="preserve"> </w:t>
      </w:r>
      <w:r>
        <w:rPr>
          <w:i/>
          <w:iCs/>
        </w:rPr>
        <w:t xml:space="preserve">Fix the NAT design before listing the site, or accept that path comparison at</w:t>
      </w:r>
      <w:r>
        <w:rPr>
          <w:i/>
          <w:iCs/>
        </w:rPr>
        <w:t xml:space="preserve"> </w:t>
      </w:r>
      <w:r>
        <w:rPr>
          <w:i/>
          <w:iCs/>
        </w:rPr>
        <w:t xml:space="preserve">that site is meaningless and record why.</w:t>
      </w:r>
    </w:p>
    <w:p>
      <w:pPr>
        <w:pStyle w:val="BodyText"/>
      </w:pPr>
      <w:r>
        <w:rPr>
          <w:b/>
          <w:bCs/>
        </w:rPr>
        <w:t xml:space="preserve">R3.</w:t>
      </w:r>
      <w:r>
        <w:t xml:space="preserve"> </w:t>
      </w:r>
      <w:r>
        <w:t xml:space="preserve">Ranges must be</w:t>
      </w:r>
      <w:r>
        <w:t xml:space="preserve"> </w:t>
      </w:r>
      <w:r>
        <w:rPr>
          <w:b/>
          <w:bCs/>
        </w:rPr>
        <w:t xml:space="preserve">static and assigned to the agency</w:t>
      </w:r>
      <w:r>
        <w:t xml:space="preserve"> </w:t>
      </w:r>
      <w:r>
        <w:t xml:space="preserve">for the life of</w:t>
      </w:r>
      <w:r>
        <w:t xml:space="preserve"> </w:t>
      </w:r>
      <w:r>
        <w:t xml:space="preserve">the exemption. Dynamically assigned or ISP-rotated addresses do not qualify.</w:t>
      </w:r>
      <w:r>
        <w:t xml:space="preserve"> </w:t>
      </w:r>
      <w:r>
        <w:rPr>
          <w:i/>
          <w:iCs/>
        </w:rPr>
        <w:t xml:space="preserve">A changed egress address moves the site outside the approved scope without</w:t>
      </w:r>
      <w:r>
        <w:rPr>
          <w:i/>
          <w:iCs/>
        </w:rPr>
        <w:t xml:space="preserve"> </w:t>
      </w:r>
      <w:r>
        <w:rPr>
          <w:i/>
          <w:iCs/>
        </w:rPr>
        <w:t xml:space="preserve">anyone making a decision to move it.</w:t>
      </w:r>
    </w:p>
    <w:p>
      <w:pPr>
        <w:pStyle w:val="BodyText"/>
      </w:pPr>
      <w:r>
        <w:rPr>
          <w:b/>
          <w:bCs/>
        </w:rPr>
        <w:t xml:space="preserve">R4.</w:t>
      </w:r>
      <w:r>
        <w:t xml:space="preserve"> </w:t>
      </w:r>
      <w:r>
        <w:t xml:space="preserve">Verify each range</w:t>
      </w:r>
      <w:r>
        <w:t xml:space="preserve"> </w:t>
      </w:r>
      <w:r>
        <w:rPr>
          <w:b/>
          <w:bCs/>
        </w:rPr>
        <w:t xml:space="preserve">from the branch itself</w:t>
      </w:r>
      <w:r>
        <w:t xml:space="preserve"> </w:t>
      </w:r>
      <w:r>
        <w:t xml:space="preserve">before listing it, not</w:t>
      </w:r>
      <w:r>
        <w:t xml:space="preserve"> </w:t>
      </w:r>
      <w:r>
        <w:t xml:space="preserve">from documentation or the ISP order.</w:t>
      </w:r>
      <w:r>
        <w:t xml:space="preserve"> </w:t>
      </w:r>
      <w:r>
        <w:rPr>
          <w:i/>
          <w:iCs/>
        </w:rPr>
        <w:t xml:space="preserve">Recorded ranges and deployed ranges diverge over time. The site is the</w:t>
      </w:r>
      <w:r>
        <w:rPr>
          <w:i/>
          <w:iCs/>
        </w:rPr>
        <w:t xml:space="preserve"> </w:t>
      </w:r>
      <w:r>
        <w:rPr>
          <w:i/>
          <w:iCs/>
        </w:rPr>
        <w:t xml:space="preserve">authority; the record is not.</w:t>
      </w:r>
    </w:p>
    <w:p>
      <w:pPr>
        <w:pStyle w:val="BodyText"/>
      </w:pPr>
      <w:r>
        <w:rPr>
          <w:b/>
          <w:bCs/>
        </w:rPr>
        <w:t xml:space="preserve">R5.</w:t>
      </w:r>
      <w:r>
        <w:t xml:space="preserve"> </w:t>
      </w:r>
      <w:r>
        <w:t xml:space="preserve">Where IPv6 is enabled on the circuit,</w:t>
      </w:r>
      <w:r>
        <w:t xml:space="preserve"> </w:t>
      </w:r>
      <w:r>
        <w:rPr>
          <w:b/>
          <w:bCs/>
        </w:rPr>
        <w:t xml:space="preserve">list the IPv6 range too</w:t>
      </w:r>
      <w:r>
        <w:t xml:space="preserve">.</w:t>
      </w:r>
      <w:r>
        <w:t xml:space="preserve"> </w:t>
      </w:r>
      <w:r>
        <w:rPr>
          <w:i/>
          <w:iCs/>
        </w:rPr>
        <w:t xml:space="preserve">An IPv6-capable client egressing on an unlisted range is outside the recorded</w:t>
      </w:r>
      <w:r>
        <w:rPr>
          <w:i/>
          <w:iCs/>
        </w:rPr>
        <w:t xml:space="preserve"> </w:t>
      </w:r>
      <w:r>
        <w:rPr>
          <w:i/>
          <w:iCs/>
        </w:rPr>
        <w:t xml:space="preserve">scope even though the site is listed.</w:t>
      </w:r>
    </w:p>
    <w:bookmarkEnd w:id="542"/>
    <w:bookmarkStart w:id="543" w:name="table-a3-readiness"/>
    <w:p>
      <w:pPr>
        <w:pStyle w:val="Heading2"/>
      </w:pPr>
      <w:r>
        <w:t xml:space="preserve">Table A3 — Readiness</w:t>
      </w:r>
    </w:p>
    <w:p>
      <w:pPr>
        <w:pStyle w:val="FirstParagraph"/>
      </w:pPr>
      <w:r>
        <w:rPr>
          <w:i/>
          <w:iCs/>
        </w:rPr>
        <w:t xml:space="preserve">Per site, before cutover.</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Site ID</w:t>
            </w:r>
          </w:p>
        </w:tc>
        <w:tc>
          <w:tcPr/>
          <w:p>
            <w:pPr>
              <w:pStyle w:val="Compact"/>
            </w:pPr>
            <w:r>
              <w:t xml:space="preserve">Router / DRAM</w:t>
            </w:r>
          </w:p>
        </w:tc>
        <w:tc>
          <w:tcPr/>
          <w:p>
            <w:pPr>
              <w:pStyle w:val="Compact"/>
            </w:pPr>
            <w:r>
              <w:t xml:space="preserve">UTD co-resident</w:t>
            </w:r>
          </w:p>
        </w:tc>
        <w:tc>
          <w:tcPr/>
          <w:p>
            <w:pPr>
              <w:pStyle w:val="Compact"/>
            </w:pPr>
            <w:r>
              <w:t xml:space="preserve">TE agent</w:t>
            </w:r>
          </w:p>
        </w:tc>
        <w:tc>
          <w:tcPr/>
          <w:p>
            <w:pPr>
              <w:pStyle w:val="Compact"/>
            </w:pPr>
            <w:r>
              <w:t xml:space="preserve">Gov instance confirmed</w:t>
            </w:r>
          </w:p>
        </w:tc>
        <w:tc>
          <w:tcPr/>
          <w:p>
            <w:pPr>
              <w:pStyle w:val="Compact"/>
            </w:pPr>
            <w:r>
              <w:t xml:space="preserve">TRv2 device signaling</w:t>
            </w:r>
          </w:p>
        </w:tc>
        <w:tc>
          <w:tcPr/>
          <w:p>
            <w:pPr>
              <w:pStyle w:val="Compact"/>
            </w:pPr>
            <w:r>
              <w:t xml:space="preserve">Baseline captured</w:t>
            </w:r>
          </w:p>
        </w:tc>
        <w:tc>
          <w:tcPr/>
          <w:p>
            <w:pPr>
              <w:pStyle w:val="Compact"/>
            </w:pPr>
            <w:r>
              <w:t xml:space="preserve">Probe verified</w:t>
            </w:r>
          </w:p>
        </w:tc>
        <w:tc>
          <w:tcPr/>
          <w:p>
            <w:pPr>
              <w:pStyle w:val="Compact"/>
            </w:pPr>
            <w:r>
              <w:t xml:space="preserve">Cutover</w:t>
            </w:r>
          </w:p>
        </w:tc>
        <w:tc>
          <w:tcPr/>
          <w:p>
            <w:pPr>
              <w:pStyle w:val="Compact"/>
            </w:pPr>
            <w:r>
              <w:t xml:space="preserve">Revert owner</w:t>
            </w:r>
          </w:p>
        </w:tc>
      </w:tr>
      <w:tr>
        <w:tc>
          <w:tcPr/>
          <w:p>
            <w:pPr>
              <w:pStyle w:val="Compact"/>
            </w:pPr>
            <w:r>
              <w:t xml:space="preserve">BR-001</w:t>
            </w:r>
          </w:p>
        </w:tc>
        <w:tc>
          <w:tcPr/>
          <w:p>
            <w:pPr>
              <w:pStyle w:val="Compact"/>
            </w:pPr>
            <w:r>
              <w:rPr>
                <w:i/>
                <w:iCs/>
              </w:rPr>
              <w:t xml:space="preserve">[Platform]</w:t>
            </w:r>
            <w:r>
              <w:t xml:space="preserve"> </w:t>
            </w:r>
            <w:r>
              <w:t xml:space="preserve">/ 16 GB</w:t>
            </w:r>
          </w:p>
        </w:tc>
        <w:tc>
          <w:tcPr/>
          <w:p>
            <w:pPr>
              <w:pStyle w:val="Compact"/>
            </w:pPr>
            <w:r>
              <w:t xml:space="preserve">Yes</w:t>
            </w:r>
          </w:p>
        </w:tc>
        <w:tc>
          <w:tcPr/>
          <w:p>
            <w:pPr>
              <w:pStyle w:val="Compact"/>
            </w:pPr>
            <w:r>
              <w:t xml:space="preserve">Embedded</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[team]</w:t>
            </w:r>
          </w:p>
        </w:tc>
      </w:tr>
      <w:tr>
        <w:tc>
          <w:tcPr/>
          <w:p>
            <w:pPr>
              <w:pStyle w:val="Compact"/>
            </w:pPr>
            <w:r>
              <w:rPr>
                <w:i/>
                <w:iCs/>
              </w:rPr>
              <w:t xml:space="preserve">[ID]</w:t>
            </w:r>
          </w:p>
        </w:tc>
        <w:tc>
          <w:tcPr/>
          <w:p>
            <w:pPr>
              <w:pStyle w:val="Compact"/>
            </w:pPr>
            <w:r>
              <w:rPr>
                <w:i/>
                <w:iCs/>
              </w:rPr>
              <w:t xml:space="preserve">[Platform]</w:t>
            </w:r>
            <w:r>
              <w:t xml:space="preserve"> </w:t>
            </w:r>
            <w:r>
              <w:t xml:space="preserve">/</w:t>
            </w:r>
            <w:r>
              <w:t xml:space="preserve"> </w:t>
            </w:r>
            <w:r>
              <w:rPr>
                <w:i/>
                <w:iCs/>
              </w:rPr>
              <w:t xml:space="preserve">[n]</w:t>
            </w:r>
            <w:r>
              <w:t xml:space="preserve"> </w:t>
            </w:r>
            <w:r>
              <w:t xml:space="preserve">GB</w:t>
            </w:r>
          </w:p>
        </w:tc>
        <w:tc>
          <w:tcPr/>
          <w:p>
            <w:pPr>
              <w:pStyle w:val="Compact"/>
            </w:pPr>
            <w:r>
              <w:rPr>
                <w:i/>
                <w:iCs/>
              </w:rPr>
              <w:t xml:space="preserve">[Y/N]</w:t>
            </w:r>
          </w:p>
        </w:tc>
        <w:tc>
          <w:tcPr/>
          <w:p>
            <w:pPr>
              <w:pStyle w:val="Compact"/>
            </w:pPr>
            <w:r>
              <w:rPr>
                <w:i/>
                <w:iCs/>
              </w:rPr>
              <w:t xml:space="preserve">[Embedded / standalone]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[date]</w:t>
            </w:r>
          </w:p>
        </w:tc>
        <w:tc>
          <w:tcPr/>
          <w:p>
            <w:pPr>
              <w:pStyle w:val="Compact"/>
            </w:pPr>
            <w:r>
              <w:rPr>
                <w:i/>
                <w:iCs/>
              </w:rPr>
              <w:t xml:space="preserve">[team]</w:t>
            </w:r>
          </w:p>
        </w:tc>
      </w:tr>
    </w:tbl>
    <w:p>
      <w:pPr>
        <w:pStyle w:val="BodyText"/>
      </w:pPr>
      <w:r>
        <w:t xml:space="preserve">Dates rather than ticks throughout. A tick records an intention; a date records</w:t>
      </w:r>
      <w:r>
        <w:t xml:space="preserve"> </w:t>
      </w:r>
      <w:r>
        <w:t xml:space="preserve">an event, and a reviewer can check it.</w:t>
      </w:r>
    </w:p>
    <w:p>
      <w:pPr>
        <w:pStyle w:val="BodyText"/>
      </w:pPr>
      <w:r>
        <w:rPr>
          <w:b/>
          <w:bCs/>
        </w:rPr>
        <w:t xml:space="preserve">TRv2 device signaling</w:t>
      </w:r>
      <w:r>
        <w:t xml:space="preserve"> </w:t>
      </w:r>
      <w:r>
        <w:t xml:space="preserve">is the date tenant restrictions v2 was confirmed in</w:t>
      </w:r>
      <w:r>
        <w:t xml:space="preserve"> </w:t>
      </w:r>
      <w:r>
        <w:t xml:space="preserve">force at the site</w:t>
      </w:r>
      <w:r>
        <w:t xml:space="preserve"> </w:t>
      </w:r>
      <w:r>
        <w:rPr>
          <w:i/>
          <w:iCs/>
        </w:rPr>
        <w:t xml:space="preserve">from the endpoint</w:t>
      </w:r>
      <w:r>
        <w:t xml:space="preserve"> </w:t>
      </w:r>
      <w:r>
        <w:t xml:space="preserve">rather than the proxy. Bypassing the</w:t>
      </w:r>
      <w:r>
        <w:t xml:space="preserve"> </w:t>
      </w:r>
      <w:r>
        <w:t xml:space="preserve">proxy removes the header-injection path, so unless the device-side path is</w:t>
      </w:r>
      <w:r>
        <w:t xml:space="preserve"> </w:t>
      </w:r>
      <w:r>
        <w:t xml:space="preserve">configured and verified, the site is cut over with tenant restrictions silently</w:t>
      </w:r>
      <w:r>
        <w:t xml:space="preserve"> </w:t>
      </w:r>
      <w:r>
        <w:t xml:space="preserve">unenforced. Record alongside it the device and browser population the Group</w:t>
      </w:r>
      <w:r>
        <w:t xml:space="preserve"> </w:t>
      </w:r>
      <w:r>
        <w:t xml:space="preserve">Policy path does not cover — it reaches Office applications, Universal Windows</w:t>
      </w:r>
      <w:r>
        <w:t xml:space="preserve"> </w:t>
      </w:r>
      <w:r>
        <w:t xml:space="preserve">Platform .NET applications and Microsoft Edge, and nothing else.</w:t>
      </w:r>
    </w:p>
    <w:bookmarkEnd w:id="543"/>
    <w:bookmarkStart w:id="544" w:name="admission-checklist"/>
    <w:p>
      <w:pPr>
        <w:pStyle w:val="Heading2"/>
      </w:pPr>
      <w:r>
        <w:t xml:space="preserve">Admission checklist</w:t>
      </w:r>
    </w:p>
    <w:p>
      <w:pPr>
        <w:pStyle w:val="FirstParagraph"/>
      </w:pPr>
      <w:r>
        <w:t xml:space="preserve">All of the following must be true before a site is listed in Table A2. A site</w:t>
      </w:r>
      <w:r>
        <w:t xml:space="preserve"> </w:t>
      </w:r>
      <w:r>
        <w:t xml:space="preserve">that fails any line is not ready to be in scope, and adding it later is a scope</w:t>
      </w:r>
      <w:r>
        <w:t xml:space="preserve"> </w:t>
      </w:r>
      <w:r>
        <w:t xml:space="preserve">change.</w:t>
      </w:r>
    </w:p>
    <w:p>
      <w:pPr>
        <w:pStyle w:val="Compact"/>
        <w:numPr>
          <w:ilvl w:val="0"/>
          <w:numId w:val="1260"/>
        </w:numPr>
      </w:pPr>
      <w:r>
        <w:t xml:space="preserve">Egress ranges verified</w:t>
      </w:r>
      <w:r>
        <w:t xml:space="preserve"> </w:t>
      </w:r>
      <w:r>
        <w:rPr>
          <w:b/>
          <w:bCs/>
        </w:rPr>
        <w:t xml:space="preserve">from the site</w:t>
      </w:r>
      <w:r>
        <w:t xml:space="preserve"> </w:t>
      </w:r>
      <w:r>
        <w:t xml:space="preserve">and satisfying completion rules</w:t>
      </w:r>
      <w:r>
        <w:t xml:space="preserve"> </w:t>
      </w:r>
      <w:r>
        <w:rPr>
          <w:b/>
          <w:bCs/>
        </w:rPr>
        <w:t xml:space="preserve">R1–R5</w:t>
      </w:r>
      <w:r>
        <w:t xml:space="preserve">.</w:t>
      </w:r>
    </w:p>
    <w:p>
      <w:pPr>
        <w:pStyle w:val="Compact"/>
        <w:numPr>
          <w:ilvl w:val="0"/>
          <w:numId w:val="1261"/>
        </w:numPr>
      </w:pPr>
      <w:r>
        <w:t xml:space="preserve">Table A1 complete for this site: a</w:t>
      </w:r>
      <w:r>
        <w:t xml:space="preserve"> </w:t>
      </w:r>
      <w:r>
        <w:rPr>
          <w:b/>
          <w:bCs/>
        </w:rPr>
        <w:t xml:space="preserve">site-specific mission need</w:t>
      </w:r>
      <w:r>
        <w:t xml:space="preserve">, a start</w:t>
      </w:r>
      <w:r>
        <w:t xml:space="preserve"> </w:t>
      </w:r>
      <w:r>
        <w:t xml:space="preserve">date, and an</w:t>
      </w:r>
      <w:r>
        <w:t xml:space="preserve"> </w:t>
      </w:r>
      <w:r>
        <w:rPr>
          <w:b/>
          <w:bCs/>
        </w:rPr>
        <w:t xml:space="preserve">expiry or ending condition</w:t>
      </w:r>
      <w:r>
        <w:t xml:space="preserve"> </w:t>
      </w:r>
      <w:r>
        <w:t xml:space="preserve">that is not blank.</w:t>
      </w:r>
    </w:p>
    <w:p>
      <w:pPr>
        <w:pStyle w:val="Compact"/>
        <w:numPr>
          <w:ilvl w:val="0"/>
          <w:numId w:val="1262"/>
        </w:numPr>
      </w:pPr>
      <w:r>
        <w:t xml:space="preserve">Endpoint feed confirmed as</w:t>
      </w:r>
      <w:r>
        <w:t xml:space="preserve"> </w:t>
      </w:r>
      <w:r>
        <w:rPr>
          <w:b/>
          <w:bCs/>
        </w:rPr>
        <w:t xml:space="preserve">Worldwide (+GCC)</w:t>
      </w:r>
      <w:r>
        <w:t xml:space="preserve"> </w:t>
      </w:r>
      <w:r>
        <w:t xml:space="preserve">— not the DoD or GCC High</w:t>
      </w:r>
      <w:r>
        <w:t xml:space="preserve"> </w:t>
      </w:r>
      <w:r>
        <w:t xml:space="preserve">instance.</w:t>
      </w:r>
    </w:p>
    <w:p>
      <w:pPr>
        <w:pStyle w:val="Compact"/>
        <w:numPr>
          <w:ilvl w:val="0"/>
          <w:numId w:val="1263"/>
        </w:numPr>
      </w:pPr>
      <w:r>
        <w:t xml:space="preserve">Probe endpoint resolves and responds</w:t>
      </w:r>
      <w:r>
        <w:t xml:space="preserve"> </w:t>
      </w:r>
      <w:r>
        <w:rPr>
          <w:b/>
          <w:bCs/>
        </w:rPr>
        <w:t xml:space="preserve">from this branch</w:t>
      </w:r>
      <w:r>
        <w:t xml:space="preserve">, not only from</w:t>
      </w:r>
      <w:r>
        <w:t xml:space="preserve"> </w:t>
      </w:r>
      <w:r>
        <w:t xml:space="preserve">the datacenter.</w:t>
      </w:r>
    </w:p>
    <w:p>
      <w:pPr>
        <w:pStyle w:val="Compact"/>
        <w:numPr>
          <w:ilvl w:val="0"/>
          <w:numId w:val="1264"/>
        </w:numPr>
      </w:pPr>
      <w:r>
        <w:t xml:space="preserve">Name resolution for Microsoft 365 occurs</w:t>
      </w:r>
      <w:r>
        <w:t xml:space="preserve"> </w:t>
      </w:r>
      <w:r>
        <w:rPr>
          <w:b/>
          <w:bCs/>
        </w:rPr>
        <w:t xml:space="preserve">local to this branch’s egress</w:t>
      </w:r>
      <w:r>
        <w:t xml:space="preserve"> </w:t>
      </w:r>
      <w:r>
        <w:t xml:space="preserve">—</w:t>
      </w:r>
      <w:r>
        <w:t xml:space="preserve"> </w:t>
      </w:r>
      <w:r>
        <w:t xml:space="preserve">no conditional forwarder returns these queries to a core resolver. Central</w:t>
      </w:r>
      <w:r>
        <w:t xml:space="preserve"> </w:t>
      </w:r>
      <w:r>
        <w:t xml:space="preserve">resolution defeats local egress silently and the probes will not report it.</w:t>
      </w:r>
    </w:p>
    <w:p>
      <w:pPr>
        <w:pStyle w:val="Compact"/>
        <w:numPr>
          <w:ilvl w:val="0"/>
          <w:numId w:val="1265"/>
        </w:numPr>
      </w:pPr>
      <w:r>
        <w:t xml:space="preserve">ThousandEyes agent registered to the</w:t>
      </w:r>
      <w:r>
        <w:t xml:space="preserve"> </w:t>
      </w:r>
      <w:r>
        <w:rPr>
          <w:b/>
          <w:bCs/>
        </w:rPr>
        <w:t xml:space="preserve">government instance</w:t>
      </w:r>
      <w:r>
        <w:t xml:space="preserve">, and absent</w:t>
      </w:r>
      <w:r>
        <w:t xml:space="preserve"> </w:t>
      </w:r>
      <w:r>
        <w:t xml:space="preserve">from the commercial console.</w:t>
      </w:r>
    </w:p>
    <w:p>
      <w:pPr>
        <w:pStyle w:val="Compact"/>
        <w:numPr>
          <w:ilvl w:val="0"/>
          <w:numId w:val="1266"/>
        </w:numPr>
      </w:pPr>
      <w:r>
        <w:rPr>
          <w:b/>
          <w:bCs/>
        </w:rPr>
        <w:t xml:space="preserve">Tenant restrictions v2 signaled from the endpoint</w:t>
      </w:r>
      <w:r>
        <w:t xml:space="preserve"> </w:t>
      </w:r>
      <w:r>
        <w:t xml:space="preserve">and verified in</w:t>
      </w:r>
      <w:r>
        <w:t xml:space="preserve"> </w:t>
      </w:r>
      <w:r>
        <w:t xml:space="preserve">force, since the proxy path goes with the bypass — with the device and</w:t>
      </w:r>
      <w:r>
        <w:t xml:space="preserve"> </w:t>
      </w:r>
      <w:r>
        <w:t xml:space="preserve">browser population it does not cover enumerated rather than assumed empty.</w:t>
      </w:r>
    </w:p>
    <w:p>
      <w:pPr>
        <w:pStyle w:val="Compact"/>
        <w:numPr>
          <w:ilvl w:val="0"/>
          <w:numId w:val="1267"/>
        </w:numPr>
      </w:pPr>
      <w:r>
        <w:t xml:space="preserve">Pre-cutover baseline captured and retained — the one step that cannot be</w:t>
      </w:r>
      <w:r>
        <w:t xml:space="preserve"> </w:t>
      </w:r>
      <w:r>
        <w:t xml:space="preserve">recovered afterward.</w:t>
      </w:r>
    </w:p>
    <w:p>
      <w:pPr>
        <w:pStyle w:val="Compact"/>
        <w:numPr>
          <w:ilvl w:val="0"/>
          <w:numId w:val="1268"/>
        </w:numPr>
      </w:pPr>
      <w:r>
        <w:t xml:space="preserve">Branch telemetry reaching CLAW under the reporting pattern named in the</w:t>
      </w:r>
      <w:r>
        <w:t xml:space="preserve"> </w:t>
      </w:r>
      <w:r>
        <w:t xml:space="preserve">memo.</w:t>
      </w:r>
    </w:p>
    <w:p>
      <w:pPr>
        <w:pStyle w:val="Compact"/>
        <w:numPr>
          <w:ilvl w:val="0"/>
          <w:numId w:val="1269"/>
        </w:numPr>
      </w:pPr>
      <w:r>
        <w:t xml:space="preserve">Router sized for the finished architecture, including UTD if the capability</w:t>
      </w:r>
      <w:r>
        <w:t xml:space="preserve"> </w:t>
      </w:r>
      <w:r>
        <w:t xml:space="preserve">transfer places it here.</w:t>
      </w:r>
    </w:p>
    <w:p>
      <w:pPr>
        <w:pStyle w:val="Compact"/>
        <w:numPr>
          <w:ilvl w:val="0"/>
          <w:numId w:val="1270"/>
        </w:numPr>
      </w:pPr>
      <w:r>
        <w:t xml:space="preserve">Revert owner named, reachable, and able to act within one shift without an</w:t>
      </w:r>
      <w:r>
        <w:t xml:space="preserve"> </w:t>
      </w:r>
      <w:r>
        <w:t xml:space="preserve">approval cycle.</w:t>
      </w:r>
    </w:p>
    <w:bookmarkEnd w:id="544"/>
    <w:bookmarkStart w:id="545" w:name="handling"/>
    <w:p>
      <w:pPr>
        <w:pStyle w:val="Heading2"/>
      </w:pPr>
      <w:r>
        <w:t xml:space="preserve">Handling</w:t>
      </w:r>
    </w:p>
    <w:p>
      <w:pPr>
        <w:pStyle w:val="FirstParagraph"/>
      </w:pPr>
      <w:r>
        <w:t xml:space="preserve">Completed, this register is a map of the agency’s branch egress: public</w:t>
      </w:r>
      <w:r>
        <w:t xml:space="preserve"> </w:t>
      </w:r>
      <w:r>
        <w:t xml:space="preserve">addresses, circuit topology, per-site user counts and which sites have reduced</w:t>
      </w:r>
      <w:r>
        <w:t xml:space="preserve"> </w:t>
      </w:r>
      <w:r>
        <w:t xml:space="preserve">inline inspection — and, with Table A1, why each one was granted it. Handle and</w:t>
      </w:r>
      <w:r>
        <w:t xml:space="preserve"> </w:t>
      </w:r>
      <w:r>
        <w:t xml:space="preserve">mark it under the agency’s own rules for network architecture information, and</w:t>
      </w:r>
      <w:r>
        <w:t xml:space="preserve"> </w:t>
      </w:r>
      <w:r>
        <w:t xml:space="preserve">check before circulating it more widely than the signature chain.</w:t>
      </w:r>
    </w:p>
    <w:bookmarkEnd w:id="545"/>
    <w:bookmarkStart w:id="546" w:name="change-log"/>
    <w:p>
      <w:pPr>
        <w:pStyle w:val="Heading2"/>
      </w:pPr>
      <w:r>
        <w:t xml:space="preserve">Change log</w:t>
      </w:r>
    </w:p>
    <w:p>
      <w:pPr>
        <w:pStyle w:val="FirstParagraph"/>
      </w:pPr>
      <w:r>
        <w:t xml:space="preserve">Record every scope change here with its date and the AO decision that</w:t>
      </w:r>
      <w:r>
        <w:t xml:space="preserve"> </w:t>
      </w:r>
      <w:r>
        <w:t xml:space="preserve">authorized it. The register version cited in the signed memo is the</w:t>
      </w:r>
      <w:r>
        <w:t xml:space="preserve"> </w:t>
      </w:r>
      <w:r>
        <w:t xml:space="preserve">authoritative scope; a later version without a corresponding decision is a</w:t>
      </w:r>
      <w:r>
        <w:t xml:space="preserve"> </w:t>
      </w:r>
      <w:r>
        <w:t xml:space="preserve">finding, not an update.</w:t>
      </w:r>
    </w:p>
    <w:p>
      <w:pPr>
        <w:pStyle w:val="BodyText"/>
      </w:pPr>
      <w:r>
        <w:t xml:space="preserve">Record the</w:t>
      </w:r>
      <w:r>
        <w:t xml:space="preserve"> </w:t>
      </w:r>
      <w:r>
        <w:rPr>
          <w:b/>
          <w:bCs/>
        </w:rPr>
        <w:t xml:space="preserve">SC-7(4) reviews</w:t>
      </w:r>
      <w:r>
        <w:t xml:space="preserve"> </w:t>
      </w:r>
      <w:r>
        <w:t xml:space="preserve">here too, on the cadence the memo states,</w:t>
      </w:r>
      <w:r>
        <w:t xml:space="preserve"> </w:t>
      </w:r>
      <w:r>
        <w:t xml:space="preserve">including the reviews that change nothing. The control requires exceptions to</w:t>
      </w:r>
      <w:r>
        <w:t xml:space="preserve"> </w:t>
      </w:r>
      <w:r>
        <w:t xml:space="preserve">be reviewed and removed when the supporting need lapses; a register showing no</w:t>
      </w:r>
      <w:r>
        <w:t xml:space="preserve"> </w:t>
      </w:r>
      <w:r>
        <w:t xml:space="preserve">reviews evidences no reviews, whatever happened in practice.</w:t>
      </w:r>
    </w:p>
    <w:p>
      <w:pPr>
        <w:pStyle w:val="BlockText"/>
      </w:pPr>
      <w:r>
        <w:rPr>
          <w:i/>
          <w:iCs/>
        </w:rPr>
        <w:t xml:space="preserve">[v1 — date — initial scope, N sites — approved DD MMM YYYY]</w:t>
      </w:r>
    </w:p>
    <w:bookmarkEnd w:id="546"/>
    <w:bookmarkEnd w:id="547"/>
    <w:bookmarkStart w:id="560" w:name="Xf5d536acff7028eb970ca05a675e1140124d521"/>
    <w:p>
      <w:pPr>
        <w:pStyle w:val="Heading1"/>
      </w:pPr>
      <w:r>
        <w:t xml:space="preserve">Attachment B — Architecture Review Determination</w:t>
      </w:r>
    </w:p>
    <w:bookmarkStart w:id="548" w:name="Xcd4adbd1ff5ed69c4710f10850e52832d9baa13"/>
    <w:p>
      <w:pPr>
        <w:pStyle w:val="Heading2"/>
      </w:pPr>
      <w:r>
        <w:t xml:space="preserve">Template — complete against the current SCC and Reference Architecture before the review convenes</w:t>
      </w:r>
    </w:p>
    <w:bookmarkEnd w:id="548"/>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Attaches to</w:t>
            </w:r>
          </w:p>
        </w:tc>
        <w:tc>
          <w:tcPr/>
          <w:p>
            <w:pPr>
              <w:pStyle w:val="Compact"/>
            </w:pPr>
            <w:r>
              <w:t xml:space="preserve">SC-7(4) traffic-flow exception — M365 Optimize endpoint set at branch DIA</w:t>
            </w:r>
          </w:p>
        </w:tc>
      </w:tr>
      <w:tr>
        <w:tc>
          <w:tcPr/>
          <w:p>
            <w:pPr>
              <w:pStyle w:val="Compact"/>
            </w:pPr>
            <w:r>
              <w:rPr>
                <w:b/>
                <w:bCs/>
              </w:rPr>
              <w:t xml:space="preserve">Scope</w:t>
            </w:r>
          </w:p>
        </w:tc>
        <w:tc>
          <w:tcPr/>
          <w:p>
            <w:pPr>
              <w:pStyle w:val="Compact"/>
            </w:pPr>
            <w:r>
              <w:t xml:space="preserve">Sites listed at Attachment A, version</w:t>
            </w:r>
            <w:r>
              <w:t xml:space="preserve"> </w:t>
            </w:r>
            <w:r>
              <w:rPr>
                <w:i/>
                <w:iCs/>
              </w:rPr>
              <w:t xml:space="preserve">[n]</w:t>
            </w:r>
          </w:p>
        </w:tc>
      </w:tr>
      <w:tr>
        <w:tc>
          <w:tcPr/>
          <w:p>
            <w:pPr>
              <w:pStyle w:val="Compact"/>
            </w:pPr>
            <w:r>
              <w:rPr>
                <w:b/>
                <w:bCs/>
              </w:rPr>
              <w:t xml:space="preserve">Prepared by</w:t>
            </w:r>
          </w:p>
        </w:tc>
        <w:tc>
          <w:tcPr/>
          <w:p>
            <w:pPr>
              <w:pStyle w:val="Compact"/>
            </w:pPr>
            <w:r>
              <w:rPr>
                <w:i/>
                <w:iCs/>
              </w:rPr>
              <w:t xml:space="preserve">[Name, title]</w:t>
            </w:r>
          </w:p>
        </w:tc>
      </w:tr>
      <w:tr>
        <w:tc>
          <w:tcPr/>
          <w:p>
            <w:pPr>
              <w:pStyle w:val="Compact"/>
            </w:pPr>
            <w:r>
              <w:rPr>
                <w:b/>
                <w:bCs/>
              </w:rPr>
              <w:t xml:space="preserve">Reviewed by</w:t>
            </w:r>
          </w:p>
        </w:tc>
        <w:tc>
          <w:tcPr/>
          <w:p>
            <w:pPr>
              <w:pStyle w:val="Compact"/>
            </w:pPr>
            <w:r>
              <w:rPr>
                <w:i/>
                <w:iCs/>
              </w:rPr>
              <w:t xml:space="preserve">[Architecture review board / date convened]</w:t>
            </w:r>
          </w:p>
        </w:tc>
      </w:tr>
      <w:tr>
        <w:tc>
          <w:tcPr/>
          <w:p>
            <w:pPr>
              <w:pStyle w:val="Compact"/>
            </w:pPr>
            <w:r>
              <w:rPr>
                <w:b/>
                <w:bCs/>
              </w:rPr>
              <w:t xml:space="preserve">Guidance used</w:t>
            </w:r>
          </w:p>
        </w:tc>
        <w:tc>
          <w:tcPr/>
          <w:p>
            <w:pPr>
              <w:pStyle w:val="Compact"/>
            </w:pPr>
            <w:r>
              <w:t xml:space="preserve">TIC 3.0 Security Capabilities Catalog</w:t>
            </w:r>
            <w:r>
              <w:t xml:space="preserve"> </w:t>
            </w:r>
            <w:r>
              <w:rPr>
                <w:b/>
                <w:bCs/>
              </w:rPr>
              <w:t xml:space="preserve">v3.3 (July 2025)</w:t>
            </w:r>
            <w:r>
              <w:t xml:space="preserve">; Reference Architecture</w:t>
            </w:r>
            <w:r>
              <w:t xml:space="preserve"> </w:t>
            </w:r>
            <w:r>
              <w:rPr>
                <w:i/>
                <w:iCs/>
              </w:rPr>
              <w:t xml:space="preserve">[version]</w:t>
            </w:r>
            <w:r>
              <w:t xml:space="preserve">; Branch Office Use Case</w:t>
            </w:r>
          </w:p>
        </w:tc>
      </w:tr>
    </w:tbl>
    <w:bookmarkStart w:id="549" w:name="X6e1167f4dbfea90c372e3fe3b966a564a817015"/>
    <w:p>
      <w:pPr>
        <w:pStyle w:val="Heading2"/>
      </w:pPr>
      <w:r>
        <w:t xml:space="preserve">Sourcing of the catalog facts in this document</w:t>
      </w:r>
    </w:p>
    <w:p>
      <w:pPr>
        <w:pStyle w:val="FirstParagraph"/>
      </w:pPr>
      <w:r>
        <w:t xml:space="preserve">The catalog</w:t>
      </w:r>
      <w:r>
        <w:t xml:space="preserve"> </w:t>
      </w:r>
      <w:r>
        <w:rPr>
          <w:b/>
          <w:bCs/>
        </w:rPr>
        <w:t xml:space="preserve">has been read from source</w:t>
      </w:r>
      <w:r>
        <w:t xml:space="preserve">:</w:t>
      </w:r>
      <w:r>
        <w:t xml:space="preserve"> </w:t>
      </w:r>
      <w:r>
        <w:rPr>
          <w:i/>
          <w:iCs/>
        </w:rPr>
        <w:t xml:space="preserve">CISA TIC 3.0 Security Capabilities</w:t>
      </w:r>
      <w:r>
        <w:rPr>
          <w:i/>
          <w:iCs/>
        </w:rPr>
        <w:t xml:space="preserve"> </w:t>
      </w:r>
      <w:r>
        <w:rPr>
          <w:i/>
          <w:iCs/>
        </w:rPr>
        <w:t xml:space="preserve">Catalog, Volume 3, v3.3, July 2025</w:t>
      </w:r>
      <w:r>
        <w:t xml:space="preserve">. The twelve PEP capability groups below are</w:t>
      </w:r>
      <w:r>
        <w:t xml:space="preserve"> </w:t>
      </w:r>
      <w:r>
        <w:t xml:space="preserve">Tables 4 through 15 of that document and match its own bulleted list in §4.2.</w:t>
      </w:r>
      <w:r>
        <w:t xml:space="preserve"> </w:t>
      </w:r>
      <w:r>
        <w:t xml:space="preserve">The Universal Security Capabilities in the separate table are Table 3, §4.1,</w:t>
      </w:r>
      <w:r>
        <w:t xml:space="preserve"> </w:t>
      </w:r>
      <w:r>
        <w:t xml:space="preserve">with their capability identifiers. Group names, ordering and the</w:t>
      </w:r>
      <w:r>
        <w:t xml:space="preserve"> </w:t>
      </w:r>
      <w:r>
        <w:t xml:space="preserve">universal-versus-PEP distinction are verified, not inferred.</w:t>
      </w:r>
    </w:p>
    <w:p>
      <w:pPr>
        <w:pStyle w:val="BodyText"/>
      </w:pPr>
      <w:r>
        <w:t xml:space="preserve">The catalog states that</w:t>
      </w:r>
      <w:r>
        <w:t xml:space="preserve"> </w:t>
      </w:r>
      <w:r>
        <w:rPr>
          <w:i/>
          <w:iCs/>
        </w:rPr>
        <w:t xml:space="preserve">“the PEP security capability groups listing is not</w:t>
      </w:r>
      <w:r>
        <w:rPr>
          <w:i/>
          <w:iCs/>
        </w:rPr>
        <w:t xml:space="preserve"> </w:t>
      </w:r>
      <w:r>
        <w:rPr>
          <w:i/>
          <w:iCs/>
        </w:rPr>
        <w:t xml:space="preserve">exhaustive”</w:t>
      </w:r>
      <w:r>
        <w:t xml:space="preserve"> </w:t>
      </w:r>
      <w:r>
        <w:t xml:space="preserve">and that additional groups may be developed for new use cases, so</w:t>
      </w:r>
      <w:r>
        <w:t xml:space="preserve"> </w:t>
      </w:r>
      <w:r>
        <w:t xml:space="preserve">the count remains a property of the revision. Confirm the revision in the</w:t>
      </w:r>
      <w:r>
        <w:t xml:space="preserve"> </w:t>
      </w:r>
      <w:r>
        <w:t xml:space="preserve">header against the current one before the review convenes.</w:t>
      </w:r>
    </w:p>
    <w:p>
      <w:pPr>
        <w:pStyle w:val="BodyText"/>
      </w:pPr>
      <w:r>
        <w:rPr>
          <w:b/>
          <w:bCs/>
        </w:rPr>
        <w:t xml:space="preserve">The NIST control references at B2 remain this document’s own proposal and</w:t>
      </w:r>
      <w:r>
        <w:rPr>
          <w:b/>
          <w:bCs/>
        </w:rPr>
        <w:t xml:space="preserve"> </w:t>
      </w:r>
      <w:r>
        <w:rPr>
          <w:b/>
          <w:bCs/>
        </w:rPr>
        <w:t xml:space="preserve">carry no external authority.</w:t>
      </w:r>
      <w:r>
        <w:t xml:space="preserve"> </w:t>
      </w:r>
      <w:r>
        <w:t xml:space="preserve">The catalog maps PEP capabilities to NIST CSF</w:t>
      </w:r>
      <w:r>
        <w:t xml:space="preserve"> </w:t>
      </w:r>
      <w:r>
        <w:t xml:space="preserve">categories, not to SP 800-53 controls. That column is the review board’s work</w:t>
      </w:r>
      <w:r>
        <w:t xml:space="preserve"> </w:t>
      </w:r>
      <w:r>
        <w:t xml:space="preserve">product and still needs confirming.</w:t>
      </w:r>
    </w:p>
    <w:bookmarkEnd w:id="549"/>
    <w:bookmarkStart w:id="550" w:name="what-this-determination-is-and-is-not"/>
    <w:p>
      <w:pPr>
        <w:pStyle w:val="Heading2"/>
      </w:pPr>
      <w:r>
        <w:t xml:space="preserve">What this determination is, and is not</w:t>
      </w:r>
    </w:p>
    <w:p>
      <w:pPr>
        <w:pStyle w:val="FirstParagraph"/>
      </w:pPr>
      <w:r>
        <w:t xml:space="preserve">This document records the architecture review’s finding that the design is TIC</w:t>
      </w:r>
      <w:r>
        <w:t xml:space="preserve"> </w:t>
      </w:r>
      <w:r>
        <w:t xml:space="preserve">3.0 conformant and that campus policy enforcement point capabilities have been</w:t>
      </w:r>
      <w:r>
        <w:t xml:space="preserve"> </w:t>
      </w:r>
      <w:r>
        <w:t xml:space="preserve">accounted for at the branch.</w:t>
      </w:r>
      <w:r>
        <w:t xml:space="preserve"> </w:t>
      </w:r>
      <w:r>
        <w:rPr>
          <w:b/>
          <w:bCs/>
        </w:rPr>
        <w:t xml:space="preserve">It does not accept risk.</w:t>
      </w:r>
      <w:r>
        <w:t xml:space="preserve"> </w:t>
      </w:r>
      <w:r>
        <w:t xml:space="preserve">The single item</w:t>
      </w:r>
      <w:r>
        <w:t xml:space="preserve"> </w:t>
      </w:r>
      <w:r>
        <w:t xml:space="preserve">requiring the Authorizing Official’s decision — the Optimize-category</w:t>
      </w:r>
      <w:r>
        <w:t xml:space="preserve"> </w:t>
      </w:r>
      <w:r>
        <w:t xml:space="preserve">inspection exemption, sought as a documented</w:t>
      </w:r>
      <w:r>
        <w:t xml:space="preserve"> </w:t>
      </w:r>
      <w:r>
        <w:rPr>
          <w:b/>
          <w:bCs/>
        </w:rPr>
        <w:t xml:space="preserve">SC-7(4)</w:t>
      </w:r>
      <w:r>
        <w:t xml:space="preserve"> </w:t>
      </w:r>
      <w:r>
        <w:t xml:space="preserve">traffic-flow</w:t>
      </w:r>
      <w:r>
        <w:t xml:space="preserve"> </w:t>
      </w:r>
      <w:r>
        <w:t xml:space="preserve">exception — is referred to them in the covering memo. Keeping those two</w:t>
      </w:r>
      <w:r>
        <w:t xml:space="preserve"> </w:t>
      </w:r>
      <w:r>
        <w:t xml:space="preserve">decisions separate is what allows each signer to answer a question that is</w:t>
      </w:r>
      <w:r>
        <w:t xml:space="preserve"> </w:t>
      </w:r>
      <w:r>
        <w:t xml:space="preserve">actually theirs.</w:t>
      </w:r>
    </w:p>
    <w:bookmarkEnd w:id="550"/>
    <w:bookmarkStart w:id="552" w:name="b1-security-pattern-classification"/>
    <w:p>
      <w:pPr>
        <w:pStyle w:val="Heading2"/>
      </w:pPr>
      <w:r>
        <w:t xml:space="preserve">B1 — Security pattern classification</w:t>
      </w:r>
    </w:p>
    <w:p>
      <w:pPr>
        <w:pStyle w:val="FirstParagraph"/>
      </w:pPr>
      <w:r>
        <w:t xml:space="preserve">The Branch Office Use Case defines three patterns. An agency may implement a</w:t>
      </w:r>
      <w:r>
        <w:t xml:space="preserve"> </w:t>
      </w:r>
      <w:r>
        <w:t xml:space="preserve">subset. Classification is not bookkeeping: it determines which policy</w:t>
      </w:r>
      <w:r>
        <w:t xml:space="preserve"> </w:t>
      </w:r>
      <w:r>
        <w:t xml:space="preserve">enforcement point capabilities apply, and a misclassification here propagates</w:t>
      </w:r>
      <w:r>
        <w:t xml:space="preserve"> </w:t>
      </w:r>
      <w:r>
        <w:t xml:space="preserve">into every row of B2.</w:t>
      </w:r>
    </w:p>
    <w:p>
      <w:pPr>
        <w:pStyle w:val="Compact"/>
        <w:numPr>
          <w:ilvl w:val="0"/>
          <w:numId w:val="1271"/>
        </w:numPr>
      </w:pPr>
      <w:r>
        <w:rPr>
          <w:b/>
          <w:bCs/>
        </w:rPr>
        <w:t xml:space="preserve">Branch Office to Cloud Service Provider</w:t>
      </w:r>
      <w:r>
        <w:t xml:space="preserve"> </w:t>
      </w:r>
      <w:r>
        <w:t xml:space="preserve">—</w:t>
      </w:r>
      <w:r>
        <w:t xml:space="preserve"> </w:t>
      </w:r>
      <w:r>
        <w:rPr>
          <w:i/>
          <w:iCs/>
        </w:rPr>
        <w:t xml:space="preserve">proposed.</w:t>
      </w:r>
      <w:r>
        <w:t xml:space="preserve"> </w:t>
      </w:r>
      <w:r>
        <w:t xml:space="preserve">Branch users</w:t>
      </w:r>
      <w:r>
        <w:t xml:space="preserve"> </w:t>
      </w:r>
      <w:r>
        <w:t xml:space="preserve">reaching an agency-sanctioned CSP. Microsoft 365 is a sanctioned service</w:t>
      </w:r>
      <w:r>
        <w:t xml:space="preserve"> </w:t>
      </w:r>
      <w:r>
        <w:t xml:space="preserve">under</w:t>
      </w:r>
      <w:r>
        <w:t xml:space="preserve"> </w:t>
      </w:r>
      <w:r>
        <w:rPr>
          <w:i/>
          <w:iCs/>
        </w:rPr>
        <w:t xml:space="preserve">[reference]</w:t>
      </w:r>
      <w:r>
        <w:t xml:space="preserve">, which places locally egressing Optimize traffic in this</w:t>
      </w:r>
      <w:r>
        <w:t xml:space="preserve"> </w:t>
      </w:r>
      <w:r>
        <w:t xml:space="preserve">pattern.</w:t>
      </w:r>
    </w:p>
    <w:p>
      <w:pPr>
        <w:pStyle w:val="Compact"/>
        <w:numPr>
          <w:ilvl w:val="0"/>
          <w:numId w:val="1272"/>
        </w:numPr>
      </w:pPr>
      <w:r>
        <w:rPr>
          <w:b/>
          <w:bCs/>
        </w:rPr>
        <w:t xml:space="preserve">Branch Office to Web</w:t>
      </w:r>
      <w:r>
        <w:t xml:space="preserve"> </w:t>
      </w:r>
      <w:r>
        <w:t xml:space="preserve">— generic internet destinations. Selecting this</w:t>
      </w:r>
      <w:r>
        <w:t xml:space="preserve"> </w:t>
      </w:r>
      <w:r>
        <w:t xml:space="preserve">pattern for Microsoft 365 pulls in a general web-proxy capability set whose</w:t>
      </w:r>
      <w:r>
        <w:t xml:space="preserve"> </w:t>
      </w:r>
      <w:r>
        <w:t xml:space="preserve">inspection expectations are incompatible with the Optimize category’s</w:t>
      </w:r>
      <w:r>
        <w:t xml:space="preserve"> </w:t>
      </w:r>
      <w:r>
        <w:t xml:space="preserve">purpose.</w:t>
      </w:r>
    </w:p>
    <w:p>
      <w:pPr>
        <w:pStyle w:val="Compact"/>
        <w:numPr>
          <w:ilvl w:val="0"/>
          <w:numId w:val="1273"/>
        </w:numPr>
      </w:pPr>
      <w:r>
        <w:rPr>
          <w:b/>
          <w:bCs/>
        </w:rPr>
        <w:t xml:space="preserve">Branch Office to Agency Campus</w:t>
      </w:r>
      <w:r>
        <w:t xml:space="preserve"> </w:t>
      </w:r>
      <w:r>
        <w:t xml:space="preserve">— branch access to internal resources.</w:t>
      </w:r>
      <w:r>
        <w:t xml:space="preserve"> </w:t>
      </w:r>
      <w:r>
        <w:t xml:space="preserve">Applies to the site’s other traffic and is unchanged by this design; recorded</w:t>
      </w:r>
      <w:r>
        <w:t xml:space="preserve"> </w:t>
      </w:r>
      <w:r>
        <w:t xml:space="preserve">here for completeness.</w:t>
      </w:r>
    </w:p>
    <w:p>
      <w:pPr>
        <w:pStyle w:val="FirstParagraph"/>
      </w:pPr>
      <w:r>
        <w:rPr>
          <w:b/>
          <w:bCs/>
        </w:rPr>
        <w:t xml:space="preserve">Board rationale where the determination differs from the proposal:</w:t>
      </w:r>
      <w:r>
        <w:t xml:space="preserve"> </w:t>
      </w:r>
      <w:r>
        <w:rPr>
          <w:i/>
          <w:iCs/>
        </w:rPr>
        <w:t xml:space="preserve">[record here]</w:t>
      </w:r>
    </w:p>
    <w:bookmarkStart w:id="551" w:name="trust-zone-and-enforcement-point"/>
    <w:p>
      <w:pPr>
        <w:pStyle w:val="Heading3"/>
      </w:pPr>
      <w:r>
        <w:t xml:space="preserve">Trust zone and enforcement point</w:t>
      </w:r>
    </w:p>
    <w:p>
      <w:pPr>
        <w:pStyle w:val="FirstParagraph"/>
      </w:pPr>
      <w:r>
        <w:t xml:space="preserve">TIC 3.0 permits policy enforcement points to sit between, before, or within a</w:t>
      </w:r>
      <w:r>
        <w:t xml:space="preserve"> </w:t>
      </w:r>
      <w:r>
        <w:t xml:space="preserve">trust zone. Record the definition this design adopts: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Trust zone</w:t>
            </w:r>
          </w:p>
        </w:tc>
        <w:tc>
          <w:tcPr/>
          <w:p>
            <w:pPr>
              <w:pStyle w:val="Compact"/>
            </w:pPr>
            <w:r>
              <w:rPr>
                <w:i/>
                <w:iCs/>
              </w:rPr>
              <w:t xml:space="preserve">[Branch site as defined — scope and boundary]</w:t>
            </w:r>
          </w:p>
        </w:tc>
      </w:tr>
      <w:tr>
        <w:tc>
          <w:tcPr/>
          <w:p>
            <w:pPr>
              <w:pStyle w:val="Compact"/>
            </w:pPr>
            <w:r>
              <w:rPr>
                <w:b/>
                <w:bCs/>
              </w:rPr>
              <w:t xml:space="preserve">PEP location</w:t>
            </w:r>
          </w:p>
        </w:tc>
        <w:tc>
          <w:tcPr/>
          <w:p>
            <w:pPr>
              <w:pStyle w:val="Compact"/>
            </w:pPr>
            <w:r>
              <w:rPr>
                <w:i/>
                <w:iCs/>
              </w:rPr>
              <w:t xml:space="preserve">[Device and position relative to the zone]</w:t>
            </w:r>
          </w:p>
        </w:tc>
      </w:tr>
      <w:tr>
        <w:tc>
          <w:tcPr/>
          <w:p>
            <w:pPr>
              <w:pStyle w:val="Compact"/>
            </w:pPr>
            <w:r>
              <w:rPr>
                <w:b/>
                <w:bCs/>
              </w:rPr>
              <w:t xml:space="preserve">Prior state</w:t>
            </w:r>
          </w:p>
        </w:tc>
        <w:tc>
          <w:tcPr/>
          <w:p>
            <w:pPr>
              <w:pStyle w:val="Compact"/>
            </w:pPr>
            <w:r>
              <w:t xml:space="preserve">Enforcement at the campus PEP, reached by backhaul</w:t>
            </w:r>
          </w:p>
        </w:tc>
      </w:tr>
      <w:tr>
        <w:tc>
          <w:tcPr/>
          <w:p>
            <w:pPr>
              <w:pStyle w:val="Compact"/>
            </w:pPr>
            <w:r>
              <w:rPr>
                <w:b/>
                <w:bCs/>
              </w:rPr>
              <w:t xml:space="preserve">Reversion</w:t>
            </w:r>
          </w:p>
        </w:tc>
        <w:tc>
          <w:tcPr/>
          <w:p>
            <w:pPr>
              <w:pStyle w:val="Compact"/>
            </w:pPr>
            <w:r>
              <w:t xml:space="preserve">Returns enforcement to the campus PEP — the prior posture is restored, not degraded</w:t>
            </w:r>
          </w:p>
        </w:tc>
      </w:tr>
    </w:tbl>
    <w:bookmarkEnd w:id="551"/>
    <w:bookmarkEnd w:id="552"/>
    <w:bookmarkStart w:id="553" w:name="b2-capability-transfer-register"/>
    <w:p>
      <w:pPr>
        <w:pStyle w:val="Heading2"/>
      </w:pPr>
      <w:r>
        <w:t xml:space="preserve">B2 — Capability transfer register</w:t>
      </w:r>
    </w:p>
    <w:p>
      <w:pPr>
        <w:pStyle w:val="FirstParagraph"/>
      </w:pPr>
      <w:r>
        <w:t xml:space="preserve">One row per PEP capability group in the catalog —</w:t>
      </w:r>
      <w:r>
        <w:t xml:space="preserve"> </w:t>
      </w:r>
      <w:r>
        <w:rPr>
          <w:b/>
          <w:bCs/>
        </w:rPr>
        <w:t xml:space="preserve">twelve in v3.3</w:t>
      </w:r>
      <w:r>
        <w:t xml:space="preserve">. Complete</w:t>
      </w:r>
      <w:r>
        <w:t xml:space="preserve"> </w:t>
      </w:r>
      <w:r>
        <w:t xml:space="preserve">every row: a blank row is a gap, not an omission, and is treated as such by</w:t>
      </w:r>
      <w:r>
        <w:t xml:space="preserve"> </w:t>
      </w:r>
      <w:r>
        <w:t xml:space="preserve">this review.</w:t>
      </w:r>
    </w:p>
    <w:p>
      <w:pPr>
        <w:pStyle w:val="BodyText"/>
      </w:pPr>
      <w:r>
        <w:t xml:space="preserve">The</w:t>
      </w:r>
      <w:r>
        <w:t xml:space="preserve"> </w:t>
      </w:r>
      <w:r>
        <w:rPr>
          <w:b/>
          <w:bCs/>
        </w:rPr>
        <w:t xml:space="preserve">control reference</w:t>
      </w:r>
      <w:r>
        <w:t xml:space="preserve"> </w:t>
      </w:r>
      <w:r>
        <w:t xml:space="preserve">column is the agency’s own NIST SP 800-53 mapping.</w:t>
      </w:r>
      <w:r>
        <w:t xml:space="preserve"> </w:t>
      </w:r>
      <w:r>
        <w:t xml:space="preserve">The catalog itself maps PEP capabilities to NIST CSF categories, not to 800-53</w:t>
      </w:r>
      <w:r>
        <w:t xml:space="preserve"> </w:t>
      </w:r>
      <w:r>
        <w:t xml:space="preserve">controls, so this column is the review board’s work product rather than a</w:t>
      </w:r>
      <w:r>
        <w:t xml:space="preserve"> </w:t>
      </w:r>
      <w:r>
        <w:t xml:space="preserve">catalog citation. The entries shown are proposed; confirm or replace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PEP capability group</w:t>
            </w:r>
          </w:p>
        </w:tc>
        <w:tc>
          <w:tcPr/>
          <w:p>
            <w:pPr>
              <w:pStyle w:val="Compact"/>
            </w:pPr>
            <w:r>
              <w:t xml:space="preserve">What branch DIA changes</w:t>
            </w:r>
          </w:p>
        </w:tc>
        <w:tc>
          <w:tcPr/>
          <w:p>
            <w:pPr>
              <w:pStyle w:val="Compact"/>
            </w:pPr>
            <w:r>
              <w:t xml:space="preserve">Where enforcement now sits</w:t>
            </w:r>
          </w:p>
        </w:tc>
        <w:tc>
          <w:tcPr/>
          <w:p>
            <w:pPr>
              <w:pStyle w:val="Compact"/>
            </w:pPr>
            <w:r>
              <w:t xml:space="preserve">Control reference</w:t>
            </w:r>
          </w:p>
        </w:tc>
        <w:tc>
          <w:tcPr/>
          <w:p>
            <w:pPr>
              <w:pStyle w:val="Compact"/>
            </w:pPr>
            <w:r>
              <w:t xml:space="preserve">Status</w:t>
            </w:r>
          </w:p>
        </w:tc>
      </w:tr>
      <w:tr>
        <w:tc>
          <w:tcPr/>
          <w:p>
            <w:pPr>
              <w:pStyle w:val="Compact"/>
            </w:pPr>
            <w:r>
              <w:rPr>
                <w:b/>
                <w:bCs/>
              </w:rPr>
              <w:t xml:space="preserve">Files</w:t>
            </w:r>
          </w:p>
        </w:tc>
        <w:tc>
          <w:tcPr/>
          <w:p>
            <w:pPr>
              <w:pStyle w:val="Compact"/>
            </w:pPr>
            <w:r>
              <w:t xml:space="preserve">SharePoint and OneDrive transfers bypass campus file inspection when steered locally.</w:t>
            </w:r>
          </w:p>
        </w:tc>
        <w:tc>
          <w:tcPr/>
          <w:p>
            <w:pPr>
              <w:pStyle w:val="Compact"/>
            </w:pPr>
            <w:r>
              <w:rPr>
                <w:i/>
                <w:iCs/>
              </w:rPr>
              <w:t xml:space="preserve">[Defender for Office 365 safe attachments; Purview DLP; endpoint DLP]</w:t>
            </w:r>
          </w:p>
        </w:tc>
        <w:tc>
          <w:tcPr/>
          <w:p>
            <w:pPr>
              <w:pStyle w:val="Compact"/>
            </w:pPr>
            <w:r>
              <w:t xml:space="preserve">SI-3, AC-4</w:t>
            </w:r>
          </w:p>
        </w:tc>
        <w:tc>
          <w:tcPr/>
          <w:p>
            <w:pPr>
              <w:pStyle w:val="Compact"/>
            </w:pPr>
            <w:r>
              <w:t xml:space="preserve">Enforced tenant-side</w:t>
            </w:r>
          </w:p>
        </w:tc>
      </w:tr>
      <w:tr>
        <w:tc>
          <w:tcPr/>
          <w:p>
            <w:pPr>
              <w:pStyle w:val="Compact"/>
            </w:pPr>
            <w:r>
              <w:rPr>
                <w:b/>
                <w:bCs/>
              </w:rPr>
              <w:t xml:space="preserve">Email</w:t>
            </w:r>
          </w:p>
        </w:tc>
        <w:tc>
          <w:tcPr/>
          <w:p>
            <w:pPr>
              <w:pStyle w:val="Compact"/>
            </w:pPr>
            <w:r>
              <w:t xml:space="preserve">Exchange Online traffic steered locally no longer passes campus email inspection on that path.</w:t>
            </w:r>
          </w:p>
        </w:tc>
        <w:tc>
          <w:tcPr/>
          <w:p>
            <w:pPr>
              <w:pStyle w:val="Compact"/>
            </w:pPr>
            <w:r>
              <w:rPr>
                <w:i/>
                <w:iCs/>
              </w:rPr>
              <w:t xml:space="preserve">[Exchange Online Protection; Defender for Office 365 policies in force]</w:t>
            </w:r>
          </w:p>
        </w:tc>
        <w:tc>
          <w:tcPr/>
          <w:p>
            <w:pPr>
              <w:pStyle w:val="Compact"/>
            </w:pPr>
            <w:r>
              <w:t xml:space="preserve">SI-3, SI-8, AC-4</w:t>
            </w:r>
          </w:p>
        </w:tc>
        <w:tc>
          <w:tcPr/>
          <w:p>
            <w:pPr>
              <w:pStyle w:val="Compact"/>
            </w:pPr>
            <w:r>
              <w:t xml:space="preserve">Enforced tenant-side</w:t>
            </w:r>
          </w:p>
        </w:tc>
      </w:tr>
      <w:tr>
        <w:tc>
          <w:tcPr/>
          <w:p>
            <w:pPr>
              <w:pStyle w:val="Compact"/>
            </w:pPr>
            <w:r>
              <w:rPr>
                <w:b/>
                <w:bCs/>
              </w:rPr>
              <w:t xml:space="preserve">Web</w:t>
            </w:r>
          </w:p>
        </w:tc>
        <w:tc>
          <w:tcPr/>
          <w:p>
            <w:pPr>
              <w:pStyle w:val="Compact"/>
            </w:pPr>
            <w:r>
              <w:t xml:space="preserve">Optimize-category traffic no longer traverses the campus web PEP. What that punctures, named rather than described as inspection forgone: no SWG inline malicious-code inspection (</w:t>
            </w:r>
            <w:r>
              <w:rPr>
                <w:b/>
                <w:bCs/>
              </w:rPr>
              <w:t xml:space="preserve">SI-3</w:t>
            </w:r>
            <w:r>
              <w:t xml:space="preserve">), no visibility into the content of encrypted communications (</w:t>
            </w:r>
            <w:r>
              <w:rPr>
                <w:b/>
                <w:bCs/>
              </w:rPr>
              <w:t xml:space="preserve">SI-4(10)</w:t>
            </w:r>
            <w:r>
              <w:t xml:space="preserve">), no CASB information-flow enforcement (</w:t>
            </w:r>
            <w:r>
              <w:rPr>
                <w:b/>
                <w:bCs/>
              </w:rPr>
              <w:t xml:space="preserve">AC-4</w:t>
            </w:r>
            <w:r>
              <w:t xml:space="preserve">), and audit records whose content is five-tuple plus steering metadata rather than user, device, application, action and data type (</w:t>
            </w:r>
            <w:r>
              <w:rPr>
                <w:b/>
                <w:bCs/>
              </w:rPr>
              <w:t xml:space="preserve">AU-3</w:t>
            </w:r>
            <w:r>
              <w:t xml:space="preserve">).</w:t>
            </w:r>
            <w:r>
              <w:t xml:space="preserve"> </w:t>
            </w:r>
            <w:r>
              <w:rPr>
                <w:b/>
                <w:bCs/>
              </w:rPr>
              <w:t xml:space="preserve">SC-8 is not punctured</w:t>
            </w:r>
            <w:r>
              <w:t xml:space="preserve"> </w:t>
            </w:r>
            <w:r>
              <w:t xml:space="preserve">— Optimize flows carry TLS and SRTP, and the overlay encrypts the rest.</w:t>
            </w:r>
          </w:p>
        </w:tc>
        <w:tc>
          <w:tcPr/>
          <w:p>
            <w:pPr>
              <w:pStyle w:val="Compact"/>
            </w:pPr>
            <w:r>
              <w:rPr>
                <w:i/>
                <w:iCs/>
              </w:rPr>
              <w:t xml:space="preserve">[Identity, service and endpoint controls per memo clause 6]</w:t>
            </w:r>
          </w:p>
        </w:tc>
        <w:tc>
          <w:tcPr/>
          <w:p>
            <w:pPr>
              <w:pStyle w:val="Compact"/>
            </w:pPr>
            <w:r>
              <w:t xml:space="preserve">SI-3, SI-4(10), AC-4, AU-3/AU-12; sought under SC-7(4)</w:t>
            </w:r>
          </w:p>
        </w:tc>
        <w:tc>
          <w:tcPr/>
          <w:p>
            <w:pPr>
              <w:pStyle w:val="Compact"/>
            </w:pPr>
            <w:r>
              <w:rPr>
                <w:b/>
                <w:bCs/>
              </w:rPr>
              <w:t xml:space="preserve">Referred to AO</w:t>
            </w:r>
          </w:p>
        </w:tc>
      </w:tr>
      <w:tr>
        <w:tc>
          <w:tcPr/>
          <w:p>
            <w:pPr>
              <w:pStyle w:val="Compact"/>
            </w:pPr>
            <w:r>
              <w:rPr>
                <w:b/>
                <w:bCs/>
              </w:rPr>
              <w:t xml:space="preserve">Networking</w:t>
            </w:r>
          </w:p>
        </w:tc>
        <w:tc>
          <w:tcPr/>
          <w:p>
            <w:pPr>
              <w:pStyle w:val="Compact"/>
            </w:pPr>
            <w:r>
              <w:t xml:space="preserve">Enforcement moves to the branch edge — DIA NAT, ACLs, and the SD-WAN policy governing local egress. The steering log is the SC-7(4) enforcement evidence for the exception above.</w:t>
            </w:r>
          </w:p>
        </w:tc>
        <w:tc>
          <w:tcPr/>
          <w:p>
            <w:pPr>
              <w:pStyle w:val="Compact"/>
            </w:pPr>
            <w:r>
              <w:rPr>
                <w:i/>
                <w:iCs/>
              </w:rPr>
              <w:t xml:space="preserve">[Branch device and policy; steering log retention and location]</w:t>
            </w:r>
          </w:p>
        </w:tc>
        <w:tc>
          <w:tcPr/>
          <w:p>
            <w:pPr>
              <w:pStyle w:val="Compact"/>
            </w:pPr>
            <w:r>
              <w:t xml:space="preserve">SC-7, SC-7(4), AC-4</w:t>
            </w:r>
          </w:p>
        </w:tc>
        <w:tc>
          <w:tcPr/>
          <w:p>
            <w:pPr>
              <w:pStyle w:val="Compact"/>
            </w:pPr>
            <w:r>
              <w:t xml:space="preserve">Enforced at branch</w:t>
            </w:r>
          </w:p>
        </w:tc>
      </w:tr>
      <w:tr>
        <w:tc>
          <w:tcPr/>
          <w:p>
            <w:pPr>
              <w:pStyle w:val="Compact"/>
            </w:pPr>
            <w:r>
              <w:rPr>
                <w:b/>
                <w:bCs/>
              </w:rPr>
              <w:t xml:space="preserve">Resiliency</w:t>
            </w:r>
          </w:p>
        </w:tc>
        <w:tc>
          <w:tcPr/>
          <w:p>
            <w:pPr>
              <w:pStyle w:val="Compact"/>
            </w:pPr>
            <w:r>
              <w:t xml:space="preserve">Microsoft 365 reachability at the site now depends on the local circuit. Failure behavior must be defined, not incidental.</w:t>
            </w:r>
          </w:p>
        </w:tc>
        <w:tc>
          <w:tcPr/>
          <w:p>
            <w:pPr>
              <w:pStyle w:val="Compact"/>
            </w:pPr>
            <w:r>
              <w:rPr>
                <w:i/>
                <w:iCs/>
              </w:rPr>
              <w:t xml:space="preserve">[Failback to backhaul on DIA loss — state trigger and timing]</w:t>
            </w:r>
          </w:p>
        </w:tc>
        <w:tc>
          <w:tcPr/>
          <w:p>
            <w:pPr>
              <w:pStyle w:val="Compact"/>
            </w:pPr>
            <w:r>
              <w:t xml:space="preserve">SC-5, SC-6, CP-8</w:t>
            </w:r>
          </w:p>
        </w:tc>
        <w:tc>
          <w:tcPr/>
          <w:p>
            <w:pPr>
              <w:pStyle w:val="Compact"/>
            </w:pPr>
            <w:r>
              <w:rPr>
                <w:i/>
                <w:iCs/>
              </w:rPr>
              <w:t xml:space="preserve">[status]</w:t>
            </w:r>
          </w:p>
        </w:tc>
      </w:tr>
      <w:tr>
        <w:tc>
          <w:tcPr/>
          <w:p>
            <w:pPr>
              <w:pStyle w:val="Compact"/>
            </w:pPr>
            <w:r>
              <w:rPr>
                <w:b/>
                <w:bCs/>
              </w:rPr>
              <w:t xml:space="preserve">Domain Name System</w:t>
            </w:r>
          </w:p>
        </w:tc>
        <w:tc>
          <w:tcPr/>
          <w:p>
            <w:pPr>
              <w:pStyle w:val="Compact"/>
            </w:pPr>
            <w:r>
              <w:t xml:space="preserve">Resolution moves local. DNS security enforcement that sat on the campus path does not follow automatically, and resolver location also determines which Microsoft front door the site reaches.</w:t>
            </w:r>
          </w:p>
        </w:tc>
        <w:tc>
          <w:tcPr/>
          <w:p>
            <w:pPr>
              <w:pStyle w:val="Compact"/>
            </w:pPr>
            <w:r>
              <w:rPr>
                <w:i/>
                <w:iCs/>
              </w:rPr>
              <w:t xml:space="preserve">[Protective DNS / branch resolver policy; FedRAMP-authorized DNS security service]</w:t>
            </w:r>
          </w:p>
        </w:tc>
        <w:tc>
          <w:tcPr/>
          <w:p>
            <w:pPr>
              <w:pStyle w:val="Compact"/>
            </w:pPr>
            <w:r>
              <w:t xml:space="preserve">SC-20, SC-21, SC-22</w:t>
            </w:r>
          </w:p>
        </w:tc>
        <w:tc>
          <w:tcPr/>
          <w:p>
            <w:pPr>
              <w:pStyle w:val="Compact"/>
            </w:pPr>
            <w:r>
              <w:rPr>
                <w:i/>
                <w:iCs/>
              </w:rPr>
              <w:t xml:space="preserve">[status]</w:t>
            </w:r>
          </w:p>
        </w:tc>
      </w:tr>
      <w:tr>
        <w:tc>
          <w:tcPr/>
          <w:p>
            <w:pPr>
              <w:pStyle w:val="Compact"/>
            </w:pPr>
            <w:r>
              <w:rPr>
                <w:b/>
                <w:bCs/>
              </w:rPr>
              <w:t xml:space="preserve">Intrusion Detection</w:t>
            </w:r>
          </w:p>
        </w:tc>
        <w:tc>
          <w:tcPr/>
          <w:p>
            <w:pPr>
              <w:pStyle w:val="Compact"/>
            </w:pPr>
            <w:r>
              <w:t xml:space="preserve">Branch egress is not observed by the sensors covering campus egress.</w:t>
            </w:r>
          </w:p>
        </w:tc>
        <w:tc>
          <w:tcPr/>
          <w:p>
            <w:pPr>
              <w:pStyle w:val="Compact"/>
            </w:pPr>
            <w:r>
              <w:rPr>
                <w:i/>
                <w:iCs/>
              </w:rPr>
              <w:t xml:space="preserve">[Branch UTD or equivalent — or state the coverage gap plainly]</w:t>
            </w:r>
          </w:p>
        </w:tc>
        <w:tc>
          <w:tcPr/>
          <w:p>
            <w:pPr>
              <w:pStyle w:val="Compact"/>
            </w:pPr>
            <w:r>
              <w:t xml:space="preserve">SI-4, SI-4(4)</w:t>
            </w:r>
          </w:p>
        </w:tc>
        <w:tc>
          <w:tcPr/>
          <w:p>
            <w:pPr>
              <w:pStyle w:val="Compact"/>
            </w:pPr>
            <w:r>
              <w:rPr>
                <w:i/>
                <w:iCs/>
              </w:rPr>
              <w:t xml:space="preserve">[status]</w:t>
            </w:r>
          </w:p>
        </w:tc>
      </w:tr>
      <w:tr>
        <w:tc>
          <w:tcPr/>
          <w:p>
            <w:pPr>
              <w:pStyle w:val="Compact"/>
            </w:pPr>
            <w:r>
              <w:rPr>
                <w:b/>
                <w:bCs/>
              </w:rPr>
              <w:t xml:space="preserve">Enterprise</w:t>
            </w:r>
          </w:p>
        </w:tc>
        <w:tc>
          <w:tcPr/>
          <w:p>
            <w:pPr>
              <w:pStyle w:val="Compact"/>
            </w:pPr>
            <w:r>
              <w:t xml:space="preserve">Identity enforcement is unchanged by routing but becomes the primary control on a less-inspected path.</w:t>
            </w:r>
            <w:r>
              <w:t xml:space="preserve"> </w:t>
            </w:r>
            <w:r>
              <w:rPr>
                <w:b/>
                <w:bCs/>
              </w:rPr>
              <w:t xml:space="preserve">Tenant restrictions v2 signaling moves here</w:t>
            </w:r>
            <w:r>
              <w:t xml:space="preserve">: proxy header injection is lost with the bypass, so the cross-tenant access policy must be signaled from the endpoint.</w:t>
            </w:r>
            <w:r>
              <w:t xml:space="preserve"> </w:t>
            </w:r>
            <w:r>
              <w:rPr>
                <w:b/>
                <w:bCs/>
              </w:rPr>
              <w:t xml:space="preserve">Windows Group Policy is the only available path</w:t>
            </w:r>
            <w:r>
              <w:t xml:space="preserve"> </w:t>
            </w:r>
            <w:r>
              <w:t xml:space="preserve">— it alone reaches the data plane, and Global Secure Access, which would otherwise serve, is non-FIPS in GCC Moderate and unavailable in GCC High and DoD. See memo clause 4.</w:t>
            </w:r>
          </w:p>
        </w:tc>
        <w:tc>
          <w:tcPr/>
          <w:p>
            <w:pPr>
              <w:pStyle w:val="Compact"/>
            </w:pPr>
            <w:r>
              <w:rPr>
                <w:i/>
                <w:iCs/>
              </w:rPr>
              <w:t xml:space="preserve">[Conditional Access policies; cross-tenant access policy; device-side TRv2 configuration and the population it does not cover]</w:t>
            </w:r>
          </w:p>
        </w:tc>
        <w:tc>
          <w:tcPr/>
          <w:p>
            <w:pPr>
              <w:pStyle w:val="Compact"/>
            </w:pPr>
            <w:r>
              <w:t xml:space="preserve">IA-2, AC-2, AC-6, AC-4</w:t>
            </w:r>
          </w:p>
        </w:tc>
        <w:tc>
          <w:tcPr/>
          <w:p>
            <w:pPr>
              <w:pStyle w:val="Compact"/>
            </w:pPr>
            <w:r>
              <w:t xml:space="preserve">Enforced tenant-side</w:t>
            </w:r>
          </w:p>
        </w:tc>
      </w:tr>
      <w:tr>
        <w:tc>
          <w:tcPr/>
          <w:p>
            <w:pPr>
              <w:pStyle w:val="Compact"/>
            </w:pPr>
            <w:r>
              <w:rPr>
                <w:b/>
                <w:bCs/>
              </w:rPr>
              <w:t xml:space="preserve">Unified Communications and Collaboration</w:t>
            </w:r>
          </w:p>
        </w:tc>
        <w:tc>
          <w:tcPr/>
          <w:p>
            <w:pPr>
              <w:pStyle w:val="Compact"/>
            </w:pPr>
            <w:r>
              <w:t xml:space="preserve">Teams media egresses locally — one of the workloads this design exists to improve, and squarely in scope.</w:t>
            </w:r>
          </w:p>
        </w:tc>
        <w:tc>
          <w:tcPr/>
          <w:p>
            <w:pPr>
              <w:pStyle w:val="Compact"/>
            </w:pPr>
            <w:r>
              <w:rPr>
                <w:i/>
                <w:iCs/>
              </w:rPr>
              <w:t xml:space="preserve">[UCC controls applying to Teams media at branch]</w:t>
            </w:r>
          </w:p>
        </w:tc>
        <w:tc>
          <w:tcPr/>
          <w:p>
            <w:pPr>
              <w:pStyle w:val="Compact"/>
            </w:pPr>
            <w:r>
              <w:t xml:space="preserve">SC-8, SC-8(1), AC-4</w:t>
            </w:r>
          </w:p>
        </w:tc>
        <w:tc>
          <w:tcPr/>
          <w:p>
            <w:pPr>
              <w:pStyle w:val="Compact"/>
            </w:pPr>
            <w:r>
              <w:rPr>
                <w:i/>
                <w:iCs/>
              </w:rPr>
              <w:t xml:space="preserve">[status]</w:t>
            </w:r>
          </w:p>
        </w:tc>
      </w:tr>
      <w:tr>
        <w:tc>
          <w:tcPr/>
          <w:p>
            <w:pPr>
              <w:pStyle w:val="Compact"/>
            </w:pPr>
            <w:r>
              <w:rPr>
                <w:b/>
                <w:bCs/>
              </w:rPr>
              <w:t xml:space="preserve">Data Protection</w:t>
            </w:r>
          </w:p>
        </w:tc>
        <w:tc>
          <w:tcPr/>
          <w:p>
            <w:pPr>
              <w:pStyle w:val="Compact"/>
            </w:pPr>
            <w:r>
              <w:t xml:space="preserve">Content leaving via branch egress is outside campus data-protection enforcement on that path.</w:t>
            </w:r>
          </w:p>
        </w:tc>
        <w:tc>
          <w:tcPr/>
          <w:p>
            <w:pPr>
              <w:pStyle w:val="Compact"/>
            </w:pPr>
            <w:r>
              <w:rPr>
                <w:i/>
                <w:iCs/>
              </w:rPr>
              <w:t xml:space="preserve">[Purview DLP coverage; sensitivity labeling; endpoint DLP]</w:t>
            </w:r>
          </w:p>
        </w:tc>
        <w:tc>
          <w:tcPr/>
          <w:p>
            <w:pPr>
              <w:pStyle w:val="Compact"/>
            </w:pPr>
            <w:r>
              <w:t xml:space="preserve">SC-28, SC-8, AC-4</w:t>
            </w:r>
          </w:p>
        </w:tc>
        <w:tc>
          <w:tcPr/>
          <w:p>
            <w:pPr>
              <w:pStyle w:val="Compact"/>
            </w:pPr>
            <w:r>
              <w:rPr>
                <w:i/>
                <w:iCs/>
              </w:rPr>
              <w:t xml:space="preserve">[status]</w:t>
            </w:r>
          </w:p>
        </w:tc>
      </w:tr>
      <w:tr>
        <w:tc>
          <w:tcPr/>
          <w:p>
            <w:pPr>
              <w:pStyle w:val="Compact"/>
            </w:pPr>
            <w:r>
              <w:rPr>
                <w:b/>
                <w:bCs/>
              </w:rPr>
              <w:t xml:space="preserve">Services</w:t>
            </w:r>
          </w:p>
        </w:tc>
        <w:tc>
          <w:tcPr/>
          <w:p>
            <w:pPr>
              <w:pStyle w:val="Compact"/>
            </w:pPr>
            <w:r>
              <w:t xml:space="preserve">Catalog Table 14: Active Content Mitigation, Data Loss Prevention, Protocol Compliance Enforcement, Malicious Content Filtering, Access Control. Several restate at the service layer what the Web row gives up at the network layer, so this row is where the exemption is answered rather than repeated.</w:t>
            </w:r>
          </w:p>
        </w:tc>
        <w:tc>
          <w:tcPr/>
          <w:p>
            <w:pPr>
              <w:pStyle w:val="Compact"/>
            </w:pPr>
            <w:r>
              <w:rPr>
                <w:i/>
                <w:iCs/>
              </w:rPr>
              <w:t xml:space="preserve">[Assess each against the design]</w:t>
            </w:r>
          </w:p>
        </w:tc>
        <w:tc>
          <w:tcPr/>
          <w:p>
            <w:pPr>
              <w:pStyle w:val="Compact"/>
            </w:pPr>
            <w:r>
              <w:rPr>
                <w:i/>
                <w:iCs/>
              </w:rPr>
              <w:t xml:space="preserve">[map from catalog]</w:t>
            </w:r>
          </w:p>
        </w:tc>
        <w:tc>
          <w:tcPr/>
          <w:p>
            <w:pPr>
              <w:pStyle w:val="Compact"/>
            </w:pPr>
            <w:r>
              <w:rPr>
                <w:i/>
                <w:iCs/>
              </w:rPr>
              <w:t xml:space="preserve">[status]</w:t>
            </w:r>
          </w:p>
        </w:tc>
      </w:tr>
      <w:tr>
        <w:tc>
          <w:tcPr/>
          <w:p>
            <w:pPr>
              <w:pStyle w:val="Compact"/>
            </w:pPr>
            <w:r>
              <w:rPr>
                <w:b/>
                <w:bCs/>
              </w:rPr>
              <w:t xml:space="preserve">Identity</w:t>
            </w:r>
          </w:p>
        </w:tc>
        <w:tc>
          <w:tcPr/>
          <w:p>
            <w:pPr>
              <w:pStyle w:val="Compact"/>
            </w:pPr>
            <w:r>
              <w:t xml:space="preserve">Catalog Table 15: Adaptive Authentication, Service Identity, Entitlement Inventory, Secrets Management, Behavioral Baselining. Overlaps Enterprise, so record the split your agency uses.</w:t>
            </w:r>
          </w:p>
        </w:tc>
        <w:tc>
          <w:tcPr/>
          <w:p>
            <w:pPr>
              <w:pStyle w:val="Compact"/>
            </w:pPr>
            <w:r>
              <w:rPr>
                <w:i/>
                <w:iCs/>
              </w:rPr>
              <w:t xml:space="preserve">[Assess each; note which carry the tenant-restrictions signaling from the Enterprise row]</w:t>
            </w:r>
          </w:p>
        </w:tc>
        <w:tc>
          <w:tcPr/>
          <w:p>
            <w:pPr>
              <w:pStyle w:val="Compact"/>
            </w:pPr>
            <w:r>
              <w:rPr>
                <w:i/>
                <w:iCs/>
              </w:rPr>
              <w:t xml:space="preserve">[map from catalog]</w:t>
            </w:r>
          </w:p>
        </w:tc>
        <w:tc>
          <w:tcPr/>
          <w:p>
            <w:pPr>
              <w:pStyle w:val="Compact"/>
            </w:pPr>
            <w:r>
              <w:rPr>
                <w:i/>
                <w:iCs/>
              </w:rPr>
              <w:t xml:space="preserve">[status]</w:t>
            </w:r>
          </w:p>
        </w:tc>
      </w:tr>
    </w:tbl>
    <w:bookmarkEnd w:id="553"/>
    <w:bookmarkStart w:id="554" w:name="X900f737b7adbea76b56da6d654494d9cf0b3b2a"/>
    <w:p>
      <w:pPr>
        <w:pStyle w:val="Heading2"/>
      </w:pPr>
      <w:r>
        <w:t xml:space="preserve">The group list is a property of the catalog version, not of TIC 3.0</w:t>
      </w:r>
    </w:p>
    <w:p>
      <w:pPr>
        <w:pStyle w:val="FirstParagraph"/>
      </w:pPr>
      <w:r>
        <w:rPr>
          <w:b/>
          <w:bCs/>
        </w:rPr>
        <w:t xml:space="preserve">The list has grown, and not in the revision you might assume.</w:t>
      </w:r>
      <w:r>
        <w:t xml:space="preserve"> </w:t>
      </w:r>
      <w:r>
        <w:t xml:space="preserve">Per the</w:t>
      </w:r>
      <w:r>
        <w:t xml:space="preserve"> </w:t>
      </w:r>
      <w:r>
        <w:t xml:space="preserve">catalog’s own revision history,</w:t>
      </w:r>
      <w:r>
        <w:t xml:space="preserve"> </w:t>
      </w:r>
      <w:r>
        <w:rPr>
          <w:b/>
          <w:bCs/>
        </w:rPr>
        <w:t xml:space="preserve">Services and Identity were added as groups in</w:t>
      </w:r>
      <w:r>
        <w:rPr>
          <w:b/>
          <w:bCs/>
        </w:rPr>
        <w:t xml:space="preserve"> </w:t>
      </w:r>
      <w:r>
        <w:rPr>
          <w:b/>
          <w:bCs/>
        </w:rPr>
        <w:t xml:space="preserve">v3.0 (April 2023)</w:t>
      </w:r>
      <w:r>
        <w:t xml:space="preserve">, bringing the total to twelve.</w:t>
      </w:r>
      <w:r>
        <w:t xml:space="preserve"> </w:t>
      </w:r>
      <w:r>
        <w:rPr>
          <w:b/>
          <w:bCs/>
        </w:rPr>
        <w:t xml:space="preserve">v3.3 (July 2025) added no</w:t>
      </w:r>
      <w:r>
        <w:rPr>
          <w:b/>
          <w:bCs/>
        </w:rPr>
        <w:t xml:space="preserve"> </w:t>
      </w:r>
      <w:r>
        <w:rPr>
          <w:b/>
          <w:bCs/>
        </w:rPr>
        <w:t xml:space="preserve">groups at all</w:t>
      </w:r>
      <w:r>
        <w:t xml:space="preserve"> </w:t>
      </w:r>
      <w:r>
        <w:t xml:space="preserve">— its sole recorded change is the removal of an NCPS reference</w:t>
      </w:r>
      <w:r>
        <w:t xml:space="preserve"> </w:t>
      </w:r>
      <w:r>
        <w:t xml:space="preserve">in Appendix A. A table copied forward from a pre-v3.0 revision will be short by</w:t>
      </w:r>
      <w:r>
        <w:t xml:space="preserve"> </w:t>
      </w:r>
      <w:r>
        <w:t xml:space="preserve">two groups and will read as complete, which is why the revision must be named</w:t>
      </w:r>
      <w:r>
        <w:t xml:space="preserve"> </w:t>
      </w:r>
      <w:r>
        <w:t xml:space="preserve">wherever the list is used.</w:t>
      </w:r>
    </w:p>
    <w:bookmarkEnd w:id="554"/>
    <w:bookmarkStart w:id="555" w:name="universal-security-capabilities"/>
    <w:p>
      <w:pPr>
        <w:pStyle w:val="Heading3"/>
      </w:pPr>
      <w:r>
        <w:t xml:space="preserve">Universal Security Capabilities</w:t>
      </w:r>
    </w:p>
    <w:p>
      <w:pPr>
        <w:pStyle w:val="FirstParagraph"/>
      </w:pPr>
      <w:r>
        <w:rPr>
          <w:b/>
          <w:bCs/>
        </w:rPr>
        <w:t xml:space="preserve">These are not PEP capability groups and do not belong in the table above.</w:t>
      </w:r>
      <w:r>
        <w:t xml:space="preserve"> </w:t>
      </w:r>
      <w:r>
        <w:t xml:space="preserve">The catalog treats universal capabilities as enterprise-level and expected in</w:t>
      </w:r>
      <w:r>
        <w:t xml:space="preserve"> </w:t>
      </w:r>
      <w:r>
        <w:t xml:space="preserve">every use case, whereas PEP capabilities apply or not according to the use case</w:t>
      </w:r>
      <w:r>
        <w:t xml:space="preserve"> </w:t>
      </w:r>
      <w:r>
        <w:t xml:space="preserve">scope. Conflating the two is a common way for a capability-transfer register to</w:t>
      </w:r>
      <w:r>
        <w:t xml:space="preserve"> </w:t>
      </w:r>
      <w:r>
        <w:t xml:space="preserve">look complete while leaving the enterprise layer unexamined.</w:t>
      </w:r>
    </w:p>
    <w:p>
      <w:pPr>
        <w:pStyle w:val="BodyText"/>
      </w:pPr>
      <w:r>
        <w:t xml:space="preserve">Most are unchanged by a routing decision. Three are not, and this review should</w:t>
      </w:r>
      <w:r>
        <w:t xml:space="preserve"> </w:t>
      </w:r>
      <w:r>
        <w:t xml:space="preserve">record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Universal capability</w:t>
            </w:r>
          </w:p>
        </w:tc>
        <w:tc>
          <w:tcPr/>
          <w:p>
            <w:pPr>
              <w:pStyle w:val="Compact"/>
            </w:pPr>
            <w:r>
              <w:t xml:space="preserve">What branch DIA changes</w:t>
            </w:r>
          </w:p>
        </w:tc>
        <w:tc>
          <w:tcPr/>
          <w:p>
            <w:pPr>
              <w:pStyle w:val="Compact"/>
            </w:pPr>
            <w:r>
              <w:t xml:space="preserve">Where enforcement now sits</w:t>
            </w:r>
          </w:p>
        </w:tc>
        <w:tc>
          <w:tcPr/>
          <w:p>
            <w:pPr>
              <w:pStyle w:val="Compact"/>
            </w:pPr>
            <w:r>
              <w:t xml:space="preserve">Status</w:t>
            </w:r>
          </w:p>
        </w:tc>
      </w:tr>
      <w:tr>
        <w:tc>
          <w:tcPr/>
          <w:p>
            <w:pPr>
              <w:pStyle w:val="Compact"/>
            </w:pPr>
            <w:r>
              <w:rPr>
                <w:b/>
                <w:bCs/>
              </w:rPr>
              <w:t xml:space="preserve">Central Log Management with Analysis</w:t>
            </w:r>
            <w:r>
              <w:t xml:space="preserve"> </w:t>
            </w:r>
            <w:r>
              <w:t xml:space="preserve">(</w:t>
            </w:r>
            <w:r>
              <w:rPr>
                <w:rStyle w:val="VerbatimChar"/>
              </w:rPr>
              <w:t xml:space="preserve">3.UNI.CLMAN</w:t>
            </w:r>
            <w:r>
              <w:t xml:space="preserve">)</w:t>
            </w:r>
          </w:p>
        </w:tc>
        <w:tc>
          <w:tcPr/>
          <w:p>
            <w:pPr>
              <w:pStyle w:val="Compact"/>
            </w:pPr>
            <w:r>
              <w:t xml:space="preserve">Branch egress does not traverse the sensors that observed campus egress, so the log sources feeding central analysis change.</w:t>
            </w:r>
          </w:p>
        </w:tc>
        <w:tc>
          <w:tcPr/>
          <w:p>
            <w:pPr>
              <w:pStyle w:val="Compact"/>
            </w:pPr>
            <w:r>
              <w:rPr>
                <w:i/>
                <w:iCs/>
              </w:rPr>
              <w:t xml:space="preserve">[Branch PEP log sources; collection path; retention]</w:t>
            </w:r>
          </w:p>
        </w:tc>
        <w:tc>
          <w:tcPr/>
          <w:p>
            <w:pPr>
              <w:pStyle w:val="Compact"/>
            </w:pPr>
            <w:r>
              <w:rPr>
                <w:i/>
                <w:iCs/>
              </w:rPr>
              <w:t xml:space="preserve">[status]</w:t>
            </w:r>
          </w:p>
        </w:tc>
      </w:tr>
      <w:tr>
        <w:tc>
          <w:tcPr/>
          <w:p>
            <w:pPr>
              <w:pStyle w:val="Compact"/>
            </w:pPr>
            <w:r>
              <w:rPr>
                <w:b/>
                <w:bCs/>
              </w:rPr>
              <w:t xml:space="preserve">Auditing and Accounting</w:t>
            </w:r>
            <w:r>
              <w:t xml:space="preserve"> </w:t>
            </w:r>
            <w:r>
              <w:t xml:space="preserve">(</w:t>
            </w:r>
            <w:r>
              <w:rPr>
                <w:rStyle w:val="VerbatimChar"/>
              </w:rPr>
              <w:t xml:space="preserve">3.UNI.AACCO</w:t>
            </w:r>
            <w:r>
              <w:t xml:space="preserve">)</w:t>
            </w:r>
          </w:p>
        </w:tc>
        <w:tc>
          <w:tcPr/>
          <w:p>
            <w:pPr>
              <w:pStyle w:val="Compact"/>
            </w:pPr>
            <w:r>
              <w:t xml:space="preserve">Audit record content thins on the bypassed flows, as recorded in the Web row above.</w:t>
            </w:r>
          </w:p>
        </w:tc>
        <w:tc>
          <w:tcPr/>
          <w:p>
            <w:pPr>
              <w:pStyle w:val="Compact"/>
            </w:pPr>
            <w:r>
              <w:rPr>
                <w:i/>
                <w:iCs/>
              </w:rPr>
              <w:t xml:space="preserve">[AU-3 content actually captured at the branch; CLAW reporting pattern reference]</w:t>
            </w:r>
          </w:p>
        </w:tc>
        <w:tc>
          <w:tcPr/>
          <w:p>
            <w:pPr>
              <w:pStyle w:val="Compact"/>
            </w:pPr>
            <w:r>
              <w:rPr>
                <w:i/>
                <w:iCs/>
              </w:rPr>
              <w:t xml:space="preserve">[status]</w:t>
            </w:r>
          </w:p>
        </w:tc>
      </w:tr>
      <w:tr>
        <w:tc>
          <w:tcPr/>
          <w:p>
            <w:pPr>
              <w:pStyle w:val="Compact"/>
            </w:pPr>
            <w:r>
              <w:rPr>
                <w:b/>
                <w:bCs/>
              </w:rPr>
              <w:t xml:space="preserve">Policy Enforcement Parity</w:t>
            </w:r>
            <w:r>
              <w:t xml:space="preserve"> </w:t>
            </w:r>
            <w:r>
              <w:t xml:space="preserve">(</w:t>
            </w:r>
            <w:r>
              <w:rPr>
                <w:rStyle w:val="VerbatimChar"/>
              </w:rPr>
              <w:t xml:space="preserve">3.UNI.PEPAR</w:t>
            </w:r>
            <w:r>
              <w:t xml:space="preserve">)</w:t>
            </w:r>
          </w:p>
        </w:tc>
        <w:tc>
          <w:tcPr/>
          <w:p>
            <w:pPr>
              <w:pStyle w:val="Compact"/>
            </w:pPr>
            <w:r>
              <w:rPr>
                <w:b/>
                <w:bCs/>
              </w:rPr>
              <w:t xml:space="preserve">The capability this design is most in tension with.</w:t>
            </w:r>
            <w:r>
              <w:t xml:space="preserve"> </w:t>
            </w:r>
            <w:r>
              <w:t xml:space="preserve">The catalog defines it as</w:t>
            </w:r>
            <w:r>
              <w:t xml:space="preserve"> </w:t>
            </w:r>
            <w:r>
              <w:rPr>
                <w:i/>
                <w:iCs/>
              </w:rPr>
              <w:t xml:space="preserve">“consistently applying security protections and other policies, independent of the communication mechanism, forwarding path, or endpoints used”</w:t>
            </w:r>
            <w:r>
              <w:t xml:space="preserve"> </w:t>
            </w:r>
            <w:r>
              <w:t xml:space="preserve">— and a per-category exemption at one set of sites is, on its face, a departure from that. The SC-7(4) exception is the mechanism for recording the departure rather than denying it.</w:t>
            </w:r>
          </w:p>
        </w:tc>
        <w:tc>
          <w:tcPr/>
          <w:p>
            <w:pPr>
              <w:pStyle w:val="Compact"/>
            </w:pPr>
            <w:r>
              <w:rPr>
                <w:i/>
                <w:iCs/>
              </w:rPr>
              <w:t xml:space="preserve">[Statement of how parity is maintained, or the bounded departure and its review cadence]</w:t>
            </w:r>
          </w:p>
        </w:tc>
        <w:tc>
          <w:tcPr/>
          <w:p>
            <w:pPr>
              <w:pStyle w:val="Compact"/>
            </w:pPr>
            <w:r>
              <w:rPr>
                <w:i/>
                <w:iCs/>
              </w:rPr>
              <w:t xml:space="preserve">[status]</w:t>
            </w:r>
          </w:p>
        </w:tc>
      </w:tr>
    </w:tbl>
    <w:p>
      <w:pPr>
        <w:pStyle w:val="BodyText"/>
      </w:pPr>
      <w:r>
        <w:t xml:space="preserve">Enumerate the remaining universal capabilities from the catalog and confirm</w:t>
      </w:r>
      <w:r>
        <w:t xml:space="preserve"> </w:t>
      </w:r>
      <w:r>
        <w:t xml:space="preserve">each is genuinely unaffected before signing.</w:t>
      </w:r>
      <w:r>
        <w:t xml:space="preserve"> </w:t>
      </w:r>
      <w:r>
        <w:rPr>
          <w:i/>
          <w:iCs/>
        </w:rPr>
        <w:t xml:space="preserve">“Unchanged by routing”</w:t>
      </w:r>
      <w:r>
        <w:t xml:space="preserve"> </w:t>
      </w:r>
      <w:r>
        <w:t xml:space="preserve">is an</w:t>
      </w:r>
      <w:r>
        <w:t xml:space="preserve"> </w:t>
      </w:r>
      <w:r>
        <w:t xml:space="preserve">assertion this review makes, not a default.</w:t>
      </w:r>
    </w:p>
    <w:bookmarkEnd w:id="555"/>
    <w:bookmarkStart w:id="556" w:name="status-values"/>
    <w:p>
      <w:pPr>
        <w:pStyle w:val="Heading3"/>
      </w:pPr>
      <w:r>
        <w:t xml:space="preserve">Status values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b/>
                <w:bCs/>
              </w:rPr>
              <w:t xml:space="preserve">Enforced at branch</w:t>
            </w:r>
          </w:p>
        </w:tc>
        <w:tc>
          <w:tcPr/>
          <w:p>
            <w:pPr>
              <w:pStyle w:val="Compact"/>
            </w:pPr>
            <w:r>
              <w:t xml:space="preserve">The capability is delivered by a device or policy at the branch trust zone boundary.</w:t>
            </w:r>
          </w:p>
        </w:tc>
      </w:tr>
      <w:tr>
        <w:tc>
          <w:tcPr/>
          <w:p>
            <w:pPr>
              <w:pStyle w:val="Compact"/>
            </w:pPr>
            <w:r>
              <w:rPr>
                <w:b/>
                <w:bCs/>
              </w:rPr>
              <w:t xml:space="preserve">Enforced tenant-side</w:t>
            </w:r>
          </w:p>
        </w:tc>
        <w:tc>
          <w:tcPr/>
          <w:p>
            <w:pPr>
              <w:pStyle w:val="Compact"/>
            </w:pPr>
            <w:r>
              <w:t xml:space="preserve">Delivered by a service-side or endpoint control rather than a network device. A legitimate answer where the control is named and verifiable.</w:t>
            </w:r>
          </w:p>
        </w:tc>
      </w:tr>
      <w:tr>
        <w:tc>
          <w:tcPr/>
          <w:p>
            <w:pPr>
              <w:pStyle w:val="Compact"/>
            </w:pPr>
            <w:r>
              <w:rPr>
                <w:b/>
                <w:bCs/>
              </w:rPr>
              <w:t xml:space="preserve">Referred to AO</w:t>
            </w:r>
          </w:p>
        </w:tc>
        <w:tc>
          <w:tcPr/>
          <w:p>
            <w:pPr>
              <w:pStyle w:val="Compact"/>
            </w:pPr>
            <w:r>
              <w:t xml:space="preserve">Not transferred; a decision is sought in the covering memo. Permitted only for the item the memo actually covers.</w:t>
            </w:r>
          </w:p>
        </w:tc>
      </w:tr>
      <w:tr>
        <w:tc>
          <w:tcPr/>
          <w:p>
            <w:pPr>
              <w:pStyle w:val="Compact"/>
            </w:pPr>
            <w:r>
              <w:rPr>
                <w:b/>
                <w:bCs/>
              </w:rPr>
              <w:t xml:space="preserve">Gap</w:t>
            </w:r>
          </w:p>
        </w:tc>
        <w:tc>
          <w:tcPr/>
          <w:p>
            <w:pPr>
              <w:pStyle w:val="Compact"/>
            </w:pPr>
            <w:r>
              <w:t xml:space="preserve">Neither transferred nor referred.</w:t>
            </w:r>
            <w:r>
              <w:t xml:space="preserve"> </w:t>
            </w:r>
            <w:r>
              <w:rPr>
                <w:b/>
                <w:bCs/>
              </w:rPr>
              <w:t xml:space="preserve">A gap blocks sign-off.</w:t>
            </w:r>
            <w:r>
              <w:t xml:space="preserve"> </w:t>
            </w:r>
            <w:r>
              <w:t xml:space="preserve">Resolve it or convert it to an explicit referral before this determination is signed.</w:t>
            </w:r>
          </w:p>
        </w:tc>
      </w:tr>
    </w:tbl>
    <w:bookmarkEnd w:id="556"/>
    <w:bookmarkStart w:id="557" w:name="b3-telemetry"/>
    <w:p>
      <w:pPr>
        <w:pStyle w:val="Heading2"/>
      </w:pPr>
      <w:r>
        <w:t xml:space="preserve">B3 — Telemetry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rPr>
                <w:b/>
                <w:bCs/>
              </w:rPr>
              <w:t xml:space="preserve">Reporting pattern</w:t>
            </w:r>
          </w:p>
        </w:tc>
        <w:tc>
          <w:tcPr/>
          <w:p>
            <w:pPr>
              <w:pStyle w:val="Compact"/>
            </w:pPr>
            <w:r>
              <w:rPr>
                <w:i/>
                <w:iCs/>
              </w:rPr>
              <w:t xml:space="preserve">[NCPS Cloud Interface RA pattern reference]</w:t>
            </w:r>
          </w:p>
        </w:tc>
      </w:tr>
      <w:tr>
        <w:tc>
          <w:tcPr/>
          <w:p>
            <w:pPr>
              <w:pStyle w:val="Compact"/>
            </w:pPr>
            <w:r>
              <w:rPr>
                <w:b/>
                <w:bCs/>
              </w:rPr>
              <w:t xml:space="preserve">Sources</w:t>
            </w:r>
          </w:p>
        </w:tc>
        <w:tc>
          <w:tcPr/>
          <w:p>
            <w:pPr>
              <w:pStyle w:val="Compact"/>
            </w:pPr>
            <w:r>
              <w:rPr>
                <w:i/>
                <w:iCs/>
              </w:rPr>
              <w:t xml:space="preserve">[Branch PEP log sources feeding the pattern]</w:t>
            </w:r>
          </w:p>
        </w:tc>
      </w:tr>
      <w:tr>
        <w:tc>
          <w:tcPr/>
          <w:p>
            <w:pPr>
              <w:pStyle w:val="Compact"/>
            </w:pPr>
            <w:r>
              <w:rPr>
                <w:b/>
                <w:bCs/>
              </w:rPr>
              <w:t xml:space="preserve">Verified</w:t>
            </w:r>
          </w:p>
        </w:tc>
        <w:tc>
          <w:tcPr/>
          <w:p>
            <w:pPr>
              <w:pStyle w:val="Compact"/>
            </w:pPr>
            <w:r>
              <w:rPr>
                <w:i/>
                <w:iCs/>
              </w:rPr>
              <w:t xml:space="preserve">[Date telemetry confirmed arriving, per site or per pattern]</w:t>
            </w:r>
          </w:p>
        </w:tc>
      </w:tr>
      <w:tr>
        <w:tc>
          <w:tcPr/>
          <w:p>
            <w:pPr>
              <w:pStyle w:val="Compact"/>
            </w:pPr>
            <w:r>
              <w:rPr>
                <w:b/>
                <w:bCs/>
              </w:rPr>
              <w:t xml:space="preserve">Gap during pilot</w:t>
            </w:r>
          </w:p>
        </w:tc>
        <w:tc>
          <w:tcPr/>
          <w:p>
            <w:pPr>
              <w:pStyle w:val="Compact"/>
            </w:pPr>
            <w:r>
              <w:rPr>
                <w:i/>
                <w:iCs/>
              </w:rPr>
              <w:t xml:space="preserve">[If any — state it, do not leave blank]</w:t>
            </w:r>
          </w:p>
        </w:tc>
      </w:tr>
    </w:tbl>
    <w:p>
      <w:pPr>
        <w:pStyle w:val="BodyText"/>
      </w:pPr>
      <w:r>
        <w:t xml:space="preserve">Telemetry reaching CISA is a condition of fleet rollout, not of pilot cutover —</w:t>
      </w:r>
      <w:r>
        <w:t xml:space="preserve"> </w:t>
      </w:r>
      <w:r>
        <w:t xml:space="preserve">but a pilot that runs without it should say so here rather than leave the</w:t>
      </w:r>
      <w:r>
        <w:t xml:space="preserve"> </w:t>
      </w:r>
      <w:r>
        <w:t xml:space="preserve">reviewer to infer it.</w:t>
      </w:r>
    </w:p>
    <w:bookmarkEnd w:id="557"/>
    <w:bookmarkStart w:id="558" w:name="architecture-review-determination"/>
    <w:p>
      <w:pPr>
        <w:pStyle w:val="Heading2"/>
      </w:pPr>
      <w:r>
        <w:t xml:space="preserve">Architecture review determination</w:t>
      </w:r>
    </w:p>
    <w:p>
      <w:pPr>
        <w:pStyle w:val="Compact"/>
        <w:numPr>
          <w:ilvl w:val="0"/>
          <w:numId w:val="1274"/>
        </w:numPr>
      </w:pPr>
      <w:r>
        <w:rPr>
          <w:b/>
          <w:bCs/>
        </w:rPr>
        <w:t xml:space="preserve">Conformant</w:t>
      </w:r>
      <w:r>
        <w:t xml:space="preserve"> </w:t>
      </w:r>
      <w:r>
        <w:t xml:space="preserve">— classification at B1 confirmed; capability transfer at B2</w:t>
      </w:r>
      <w:r>
        <w:t xml:space="preserve"> </w:t>
      </w:r>
      <w:r>
        <w:t xml:space="preserve">complete with no gaps.</w:t>
      </w:r>
    </w:p>
    <w:p>
      <w:pPr>
        <w:pStyle w:val="Compact"/>
        <w:numPr>
          <w:ilvl w:val="0"/>
          <w:numId w:val="1275"/>
        </w:numPr>
      </w:pPr>
      <w:r>
        <w:rPr>
          <w:b/>
          <w:bCs/>
        </w:rPr>
        <w:t xml:space="preserve">Conformant with conditions</w:t>
      </w:r>
      <w:r>
        <w:t xml:space="preserve"> </w:t>
      </w:r>
      <w:r>
        <w:t xml:space="preserve">— conditions stated below; each must close</w:t>
      </w:r>
      <w:r>
        <w:t xml:space="preserve"> </w:t>
      </w:r>
      <w:r>
        <w:t xml:space="preserve">before the site enters scope.</w:t>
      </w:r>
    </w:p>
    <w:p>
      <w:pPr>
        <w:pStyle w:val="Compact"/>
        <w:numPr>
          <w:ilvl w:val="0"/>
          <w:numId w:val="1276"/>
        </w:numPr>
      </w:pPr>
      <w:r>
        <w:rPr>
          <w:b/>
          <w:bCs/>
        </w:rPr>
        <w:t xml:space="preserve">Not conformant</w:t>
      </w:r>
      <w:r>
        <w:t xml:space="preserve"> </w:t>
      </w:r>
      <w:r>
        <w:t xml:space="preserve">— basis stated below. Design returns for rework before</w:t>
      </w:r>
      <w:r>
        <w:t xml:space="preserve"> </w:t>
      </w:r>
      <w:r>
        <w:t xml:space="preserve">AO routing.</w:t>
      </w:r>
    </w:p>
    <w:p>
      <w:pPr>
        <w:pStyle w:val="FirstParagraph"/>
      </w:pPr>
      <w:r>
        <w:rPr>
          <w:b/>
          <w:bCs/>
        </w:rPr>
        <w:t xml:space="preserve">Conditions or basis</w:t>
      </w:r>
    </w:p>
    <w:p>
      <w:pPr>
        <w:pStyle w:val="BlockText"/>
      </w:pPr>
      <w:r>
        <w:rPr>
          <w:i/>
          <w:iCs/>
        </w:rPr>
        <w:t xml:space="preserve">[Record here]</w:t>
      </w:r>
    </w:p>
    <w:p>
      <w:pPr>
        <w:pStyle w:val="FirstParagraph"/>
      </w:pPr>
      <w:r>
        <w:t xml:space="preserve">By signing, the review asserts that the classification at B1 is correct for</w:t>
      </w:r>
      <w:r>
        <w:t xml:space="preserve"> </w:t>
      </w:r>
      <w:r>
        <w:t xml:space="preserve">this traffic; that every PEP capability group in the catalog revision named in</w:t>
      </w:r>
      <w:r>
        <w:t xml:space="preserve"> </w:t>
      </w:r>
      <w:r>
        <w:t xml:space="preserve">the header has been assessed and recorded at B2, and the universal capabilities</w:t>
      </w:r>
      <w:r>
        <w:t xml:space="preserve"> </w:t>
      </w:r>
      <w:r>
        <w:t xml:space="preserve">with it; that the control references at B2 are the agency’s considered mapping</w:t>
      </w:r>
      <w:r>
        <w:t xml:space="preserve"> </w:t>
      </w:r>
      <w:r>
        <w:t xml:space="preserve">rather than placeholders; and that the only capability forgone is the one</w:t>
      </w:r>
      <w:r>
        <w:t xml:space="preserve"> </w:t>
      </w:r>
      <w:r>
        <w:t xml:space="preserve">referred to the Authorizing Official as an SC-7(4) exception. It asserts</w:t>
      </w:r>
      <w:r>
        <w:t xml:space="preserve"> </w:t>
      </w:r>
      <w:r>
        <w:t xml:space="preserve">nothing about whether that exception should be granted.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Signature block</w:t>
            </w:r>
          </w:p>
        </w:tc>
        <w:tc>
          <w:tcPr/>
          <w:p>
            <w:pPr>
              <w:pStyle w:val="Compact"/>
            </w:pPr>
          </w:p>
        </w:tc>
      </w:tr>
      <w:tr>
        <w:tc>
          <w:tcPr/>
          <w:p>
            <w:pPr>
              <w:pStyle w:val="Compact"/>
            </w:pPr>
            <w:r>
              <w:t xml:space="preserve">Architecture review chair — signature</w:t>
            </w:r>
          </w:p>
        </w:tc>
        <w:tc>
          <w:tcPr/>
          <w:p>
            <w:pPr>
              <w:pStyle w:val="Compact"/>
            </w:pPr>
          </w:p>
        </w:tc>
      </w:tr>
      <w:tr>
        <w:tc>
          <w:tcPr/>
          <w:p>
            <w:pPr>
              <w:pStyle w:val="Compact"/>
            </w:pPr>
            <w:r>
              <w:t xml:space="preserve">Date</w:t>
            </w:r>
          </w:p>
        </w:tc>
        <w:tc>
          <w:tcPr/>
          <w:p>
            <w:pPr>
              <w:pStyle w:val="Compact"/>
            </w:pPr>
          </w:p>
        </w:tc>
      </w:tr>
      <w:tr>
        <w:tc>
          <w:tcPr/>
          <w:p>
            <w:pPr>
              <w:pStyle w:val="Compact"/>
            </w:pPr>
            <w:r>
              <w:t xml:space="preserve">Concurrence — ISSO</w:t>
            </w:r>
          </w:p>
        </w:tc>
        <w:tc>
          <w:tcPr/>
          <w:p>
            <w:pPr>
              <w:pStyle w:val="Compact"/>
            </w:pPr>
          </w:p>
        </w:tc>
      </w:tr>
      <w:tr>
        <w:tc>
          <w:tcPr/>
          <w:p>
            <w:pPr>
              <w:pStyle w:val="Compact"/>
            </w:pPr>
            <w:r>
              <w:t xml:space="preserve">Next review or re-assessment trigger</w:t>
            </w:r>
          </w:p>
        </w:tc>
        <w:tc>
          <w:tcPr/>
          <w:p>
            <w:pPr>
              <w:pStyle w:val="Compact"/>
            </w:pPr>
          </w:p>
        </w:tc>
      </w:tr>
    </w:tbl>
    <w:bookmarkEnd w:id="558"/>
    <w:bookmarkStart w:id="559" w:name="re-assessment-triggers"/>
    <w:p>
      <w:pPr>
        <w:pStyle w:val="Heading2"/>
      </w:pPr>
      <w:r>
        <w:t xml:space="preserve">Re-assessment triggers</w:t>
      </w:r>
    </w:p>
    <w:p>
      <w:pPr>
        <w:pStyle w:val="FirstParagraph"/>
      </w:pPr>
      <w:r>
        <w:t xml:space="preserve">This determination is bound to Attachment A at the version cited above.</w:t>
      </w:r>
      <w:r>
        <w:t xml:space="preserve"> </w:t>
      </w:r>
      <w:r>
        <w:t xml:space="preserve">Re-assess if: sites are added; the exemption scope widens beyond the Optimize</w:t>
      </w:r>
      <w:r>
        <w:t xml:space="preserve"> </w:t>
      </w:r>
      <w:r>
        <w:t xml:space="preserve">category; a control named at B2 changes or lapses — including device-side</w:t>
      </w:r>
      <w:r>
        <w:t xml:space="preserve"> </w:t>
      </w:r>
      <w:r>
        <w:t xml:space="preserve">tenant restrictions signaling, or the arrival of a device or browser population</w:t>
      </w:r>
      <w:r>
        <w:t xml:space="preserve"> </w:t>
      </w:r>
      <w:r>
        <w:t xml:space="preserve">it does not cover; the catalog is revised in a way that alters the group list;</w:t>
      </w:r>
      <w:r>
        <w:t xml:space="preserve"> </w:t>
      </w:r>
      <w:r>
        <w:t xml:space="preserve">or the telemetry pattern at B3 changes.</w:t>
      </w:r>
    </w:p>
    <w:bookmarkEnd w:id="559"/>
    <w:bookmarkEnd w:id="560"/>
    <w:bookmarkStart w:id="562" w:name="g.-network-transformation"/>
    <w:p>
      <w:pPr>
        <w:pStyle w:val="Heading1"/>
      </w:pPr>
      <w:r>
        <w:t xml:space="preserve">G. Network Transformation</w:t>
      </w:r>
    </w:p>
    <w:p>
      <w:pPr>
        <w:pStyle w:val="FirstParagraph"/>
      </w:pPr>
      <w:r>
        <w:t xml:space="preserve">Network services that AD silently governed — DNS, DHCP, RADIUS/802.1X,</w:t>
      </w:r>
      <w:r>
        <w:t xml:space="preserve"> </w:t>
      </w:r>
      <w:r>
        <w:t xml:space="preserve">and the network-perimeter model itself — must be re-anchored to the</w:t>
      </w:r>
      <w:r>
        <w:t xml:space="preserve"> </w:t>
      </w:r>
      <w:r>
        <w:t xml:space="preserve">Hybrid-Cloud access plane. This sub-category covers the network-side</w:t>
      </w:r>
      <w:r>
        <w:t xml:space="preserve"> </w:t>
      </w:r>
      <w:r>
        <w:t xml:space="preserve">transformation; identity is covered in C, and access enforcement in F.</w:t>
      </w:r>
    </w:p>
    <w:bookmarkStart w:id="561" w:name="leaves-2"/>
    <w:p>
      <w:pPr>
        <w:pStyle w:val="Heading2"/>
      </w:pPr>
      <w:r>
        <w:t xml:space="preserve">Leaves</w:t>
      </w:r>
    </w:p>
    <w:p>
      <w:pPr>
        <w:pStyle w:val="Compact"/>
        <w:numPr>
          <w:ilvl w:val="0"/>
          <w:numId w:val="1277"/>
        </w:numPr>
      </w:pPr>
      <w:r>
        <w:rPr>
          <w:b/>
          <w:bCs/>
        </w:rPr>
        <w:t xml:space="preserve">G.1</w:t>
      </w:r>
      <w:r>
        <w:t xml:space="preserve"> </w:t>
      </w:r>
      <w:r>
        <w:t xml:space="preserve">SD-WAN — modernization-specs/sdwan</w:t>
      </w:r>
    </w:p>
    <w:p>
      <w:pPr>
        <w:pStyle w:val="Compact"/>
        <w:numPr>
          <w:ilvl w:val="0"/>
          <w:numId w:val="1277"/>
        </w:numPr>
      </w:pPr>
      <w:r>
        <w:rPr>
          <w:b/>
          <w:bCs/>
        </w:rPr>
        <w:t xml:space="preserve">G.2</w:t>
      </w:r>
      <w:r>
        <w:t xml:space="preserve"> </w:t>
      </w:r>
      <w:r>
        <w:t xml:space="preserve">IPAM (hybrid address governance) — see DM_010 (§D.1)</w:t>
      </w:r>
    </w:p>
    <w:p>
      <w:pPr>
        <w:pStyle w:val="Compact"/>
        <w:numPr>
          <w:ilvl w:val="0"/>
          <w:numId w:val="1277"/>
        </w:numPr>
      </w:pPr>
      <w:r>
        <w:rPr>
          <w:b/>
          <w:bCs/>
        </w:rPr>
        <w:t xml:space="preserve">G.3</w:t>
      </w:r>
      <w:r>
        <w:t xml:space="preserve"> </w:t>
      </w:r>
      <w:r>
        <w:t xml:space="preserve">DNS (hybrid resolution) — see DM_015 (§D.2, gap)</w:t>
      </w:r>
    </w:p>
    <w:p>
      <w:pPr>
        <w:pStyle w:val="Compact"/>
        <w:numPr>
          <w:ilvl w:val="0"/>
          <w:numId w:val="1277"/>
        </w:numPr>
      </w:pPr>
      <w:r>
        <w:rPr>
          <w:b/>
          <w:bCs/>
        </w:rPr>
        <w:t xml:space="preserve">G.4</w:t>
      </w:r>
      <w:r>
        <w:t xml:space="preserve"> </w:t>
      </w:r>
      <w:r>
        <w:t xml:space="preserve">DHCP (scoped, governed) — see DM_016 (§D.3, gap)</w:t>
      </w:r>
    </w:p>
    <w:p>
      <w:pPr>
        <w:pStyle w:val="Compact"/>
        <w:numPr>
          <w:ilvl w:val="0"/>
          <w:numId w:val="1277"/>
        </w:numPr>
      </w:pPr>
      <w:r>
        <w:rPr>
          <w:b/>
          <w:bCs/>
        </w:rPr>
        <w:t xml:space="preserve">G.5</w:t>
      </w:r>
      <w:r>
        <w:t xml:space="preserve"> </w:t>
      </w:r>
      <w:r>
        <w:t xml:space="preserve">Palo Alto (firewall / edge) — adapter</w:t>
      </w:r>
    </w:p>
    <w:p>
      <w:pPr>
        <w:pStyle w:val="Compact"/>
        <w:numPr>
          <w:ilvl w:val="0"/>
          <w:numId w:val="1277"/>
        </w:numPr>
      </w:pPr>
      <w:r>
        <w:rPr>
          <w:b/>
          <w:bCs/>
        </w:rPr>
        <w:t xml:space="preserve">G.6</w:t>
      </w:r>
      <w:r>
        <w:t xml:space="preserve"> </w:t>
      </w:r>
      <w:r>
        <w:t xml:space="preserve">RADIUS / 802.1X modernization — scaffold; see DM_030 (§D.5)</w:t>
      </w:r>
    </w:p>
    <w:bookmarkEnd w:id="561"/>
    <w:bookmarkEnd w:id="562"/>
    <w:bookmarkStart w:id="564" w:name="Xf61014cdf201771f190941075e3938167210caa"/>
    <w:p>
      <w:pPr>
        <w:pStyle w:val="Heading1"/>
      </w:pPr>
      <w:r>
        <w:t xml:space="preserve">The Federal Modernization Program DNS Modernization Guide</w:t>
      </w:r>
    </w:p>
    <w:p>
      <w:pPr>
        <w:pStyle w:val="FirstParagraph"/>
      </w:pPr>
      <w:r>
        <w:rPr>
          <w:b/>
          <w:bCs/>
        </w:rPr>
        <w:t xml:space="preserve">CONTROLLED — GCC-MODERATE BOUNDARY — the Federal Modernization Program CANON COMPANION DOCUMENT</w:t>
      </w:r>
    </w:p>
    <w:p>
      <w:pPr>
        <w:pStyle w:val="BodyText"/>
      </w:pPr>
      <w:r>
        <w:t xml:space="preserve">The Federal Modernization Program DNS Modernization Guide</w:t>
      </w:r>
    </w:p>
    <w:p>
      <w:pPr>
        <w:pStyle w:val="BodyText"/>
      </w:pPr>
      <w:r>
        <w:rPr>
          <w:b/>
          <w:bCs/>
        </w:rPr>
        <w:t xml:space="preserve">AD-Integrated DNS to Azure Hybrid Resolution</w:t>
      </w:r>
    </w:p>
    <w:p>
      <w:pPr>
        <w:pStyle w:val="BodyText"/>
      </w:pPr>
      <w:r>
        <w:t xml:space="preserve">The Federal Modernization Program Canon — Companion Document</w:t>
      </w:r>
    </w:p>
    <w:p>
      <w:pPr>
        <w:pStyle w:val="BodyText"/>
      </w:pPr>
      <w:r>
        <w:t xml:space="preserve">Classification: Controlled | Boundary: GCC-Moderate</w:t>
      </w:r>
    </w:p>
    <w:p>
      <w:pPr>
        <w:pStyle w:val="BodyText"/>
      </w:pPr>
      <w:r>
        <w:t xml:space="preserve">Version 1.0 | April 20, 2026</w:t>
      </w:r>
    </w:p>
    <w:tbl>
      <w:tblPr>
        <w:tblStyle w:val="Table"/>
        <w:tblW w:type="pct" w:w="3611"/>
        <w:tblLayout w:type="fixed"/>
        <w:tblLook w:firstRow="1" w:lastRow="0" w:firstColumn="0" w:lastColumn="0" w:noHBand="0" w:noVBand="0" w:val="0020"/>
      </w:tblPr>
      <w:tblGrid>
        <w:gridCol w:w="2310"/>
        <w:gridCol w:w="3410"/>
      </w:tblGrid>
      <w:tr>
        <w:trPr>
          <w:tblHeader w:val="on"/>
        </w:trPr>
        <w:tc>
          <w:tcPr/>
          <w:p>
            <w:pPr>
              <w:pStyle w:val="Compact"/>
              <w:jc w:val="left"/>
            </w:pPr>
            <w:r>
              <w:rPr>
                <w:b/>
                <w:bCs/>
              </w:rPr>
              <w:t xml:space="preserve">Property</w:t>
            </w:r>
          </w:p>
        </w:tc>
        <w:tc>
          <w:tcPr/>
          <w:p>
            <w:pPr>
              <w:pStyle w:val="Compact"/>
              <w:jc w:val="left"/>
            </w:pPr>
            <w:r>
              <w:rPr>
                <w:b/>
                <w:bCs/>
              </w:rPr>
              <w:t xml:space="preserve">Value</w:t>
            </w:r>
          </w:p>
        </w:tc>
      </w:tr>
      <w:tr>
        <w:tc>
          <w:tcPr/>
          <w:p>
            <w:pPr>
              <w:pStyle w:val="Compact"/>
              <w:jc w:val="left"/>
            </w:pPr>
            <w:r>
              <w:rPr>
                <w:b/>
                <w:bCs/>
              </w:rPr>
              <w:t xml:space="preserve">Document ID</w:t>
            </w:r>
          </w:p>
        </w:tc>
        <w:tc>
          <w:tcPr/>
          <w:p>
            <w:pPr>
              <w:pStyle w:val="Compact"/>
              <w:jc w:val="left"/>
            </w:pPr>
            <w:r>
              <w:t xml:space="preserve">FMP-DNS-MOD-001</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Canon Series</w:t>
            </w:r>
          </w:p>
        </w:tc>
        <w:tc>
          <w:tcPr/>
          <w:p>
            <w:pPr>
              <w:pStyle w:val="Compact"/>
              <w:jc w:val="left"/>
            </w:pPr>
            <w:r>
              <w:t xml:space="preserve">Infrastructure Modernization</w:t>
            </w:r>
          </w:p>
        </w:tc>
      </w:tr>
      <w:tr>
        <w:tc>
          <w:tcPr/>
          <w:p>
            <w:pPr>
              <w:pStyle w:val="Compact"/>
              <w:jc w:val="left"/>
            </w:pPr>
            <w:r>
              <w:rPr>
                <w:b/>
                <w:bCs/>
              </w:rPr>
              <w:t xml:space="preserve">Version</w:t>
            </w:r>
          </w:p>
        </w:tc>
        <w:tc>
          <w:tcPr/>
          <w:p>
            <w:pPr>
              <w:pStyle w:val="Compact"/>
              <w:jc w:val="left"/>
            </w:pPr>
            <w:r>
              <w:t xml:space="preserve">1.0</w:t>
            </w:r>
          </w:p>
        </w:tc>
      </w:tr>
      <w:tr>
        <w:tc>
          <w:tcPr/>
          <w:p>
            <w:pPr>
              <w:pStyle w:val="Compact"/>
              <w:jc w:val="left"/>
            </w:pPr>
            <w:r>
              <w:rPr>
                <w:b/>
                <w:bCs/>
              </w:rPr>
              <w:t xml:space="preserve">Effective Date</w:t>
            </w:r>
          </w:p>
        </w:tc>
        <w:tc>
          <w:tcPr/>
          <w:p>
            <w:pPr>
              <w:pStyle w:val="Compact"/>
              <w:jc w:val="left"/>
            </w:pPr>
            <w:r>
              <w:t xml:space="preserve">April 20, 2026</w:t>
            </w:r>
          </w:p>
        </w:tc>
      </w:tr>
      <w:tr>
        <w:tc>
          <w:tcPr/>
          <w:p>
            <w:pPr>
              <w:pStyle w:val="Compact"/>
              <w:jc w:val="left"/>
            </w:pPr>
            <w:r>
              <w:rPr>
                <w:b/>
                <w:bCs/>
              </w:rPr>
              <w:t xml:space="preserve">Review Cycle</w:t>
            </w:r>
          </w:p>
        </w:tc>
        <w:tc>
          <w:tcPr/>
          <w:p>
            <w:pPr>
              <w:pStyle w:val="Compact"/>
              <w:jc w:val="left"/>
            </w:pPr>
            <w:r>
              <w:t xml:space="preserve">Quarterly</w:t>
            </w:r>
          </w:p>
        </w:tc>
      </w:tr>
      <w:tr>
        <w:tc>
          <w:tcPr/>
          <w:p>
            <w:pPr>
              <w:pStyle w:val="Compact"/>
              <w:jc w:val="left"/>
            </w:pPr>
            <w:r>
              <w:rPr>
                <w:b/>
                <w:bCs/>
              </w:rPr>
              <w:t xml:space="preserve">Owner</w:t>
            </w:r>
          </w:p>
        </w:tc>
        <w:tc>
          <w:tcPr/>
          <w:p>
            <w:pPr>
              <w:pStyle w:val="Compact"/>
              <w:jc w:val="left"/>
            </w:pPr>
            <w:r>
              <w:t xml:space="preserve">The Federal Modernization Program Platform Engineering</w:t>
            </w:r>
          </w:p>
        </w:tc>
      </w:tr>
    </w:tbl>
    <w:bookmarkStart w:id="563" w:name="Xf9d95c20c918eebb9f17cf7f0d7841e46df1692"/>
    <w:p>
      <w:pPr>
        <w:pStyle w:val="Heading2"/>
      </w:pPr>
      <w:r>
        <w:t xml:space="preserve">Canon Phase Mapping (the program decision)</w:t>
      </w:r>
    </w:p>
    <w:p>
      <w:pPr>
        <w:pStyle w:val="FirstParagraph"/>
      </w:pPr>
      <w:r>
        <w:t xml:space="preserve">This guide’s 11 operational phases refine the canonical six-phase Directory Migration model published in</w:t>
      </w:r>
      <w:r>
        <w:t xml:space="preserve"> </w:t>
      </w:r>
      <w:r>
        <w:rPr>
          <w:rStyle w:val="VerbatimChar"/>
        </w:rPr>
        <w:t xml:space="preserve">docs/customer-documents/reference-architecture/directory-migration.qmd</w:t>
      </w:r>
      <w:r>
        <w:t xml:space="preserve">. The mapping below shows which canon phase each DNS phase executes. Per [the program decision], the customer-side detail (operational sequencing, gates, runbook material) is preserved unchanged; the mapping is purely a navigational anchor so readers can trace customer phases back to canon scaffold.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Customer phase (this guide)</w:t>
            </w:r>
          </w:p>
        </w:tc>
        <w:tc>
          <w:tcPr/>
          <w:p>
            <w:pPr>
              <w:pStyle w:val="Compact"/>
            </w:pPr>
            <w:r>
              <w:t xml:space="preserve">Canon phase (the program decision)</w:t>
            </w:r>
          </w:p>
        </w:tc>
      </w:tr>
      <w:tr>
        <w:tc>
          <w:tcPr/>
          <w:p>
            <w:pPr>
              <w:pStyle w:val="Compact"/>
            </w:pPr>
            <w:r>
              <w:t xml:space="preserve">Phase 0 — Assessment</w:t>
            </w:r>
          </w:p>
        </w:tc>
        <w:tc>
          <w:tcPr/>
          <w:p>
            <w:pPr>
              <w:pStyle w:val="Compact"/>
            </w:pPr>
            <w:r>
              <w:t xml:space="preserve">1. Discover</w:t>
            </w:r>
          </w:p>
        </w:tc>
      </w:tr>
      <w:tr>
        <w:tc>
          <w:tcPr/>
          <w:p>
            <w:pPr>
              <w:pStyle w:val="Compact"/>
            </w:pPr>
            <w:r>
              <w:t xml:space="preserve">Phase 1 — Deploy Azure DNS Private Resolver</w:t>
            </w:r>
          </w:p>
        </w:tc>
        <w:tc>
          <w:tcPr/>
          <w:p>
            <w:pPr>
              <w:pStyle w:val="Compact"/>
            </w:pPr>
            <w:r>
              <w:t xml:space="preserve">4. Migrate</w:t>
            </w:r>
            <w:r>
              <w:t xml:space="preserve"> </w:t>
            </w:r>
            <w:r>
              <w:rPr>
                <w:i/>
                <w:iCs/>
              </w:rPr>
              <w:t xml:space="preserve">(infrastructure prerequisite)</w:t>
            </w:r>
          </w:p>
        </w:tc>
      </w:tr>
      <w:tr>
        <w:tc>
          <w:tcPr/>
          <w:p>
            <w:pPr>
              <w:pStyle w:val="Compact"/>
            </w:pPr>
            <w:r>
              <w:t xml:space="preserve">Phase 2 — Create Private DNS Zones / Import non-AD zones</w:t>
            </w:r>
          </w:p>
        </w:tc>
        <w:tc>
          <w:tcPr/>
          <w:p>
            <w:pPr>
              <w:pStyle w:val="Compact"/>
            </w:pPr>
            <w:r>
              <w:t xml:space="preserve">3. Map + 4. Migrate</w:t>
            </w:r>
          </w:p>
        </w:tc>
      </w:tr>
      <w:tr>
        <w:tc>
          <w:tcPr/>
          <w:p>
            <w:pPr>
              <w:pStyle w:val="Compact"/>
            </w:pPr>
            <w:r>
              <w:t xml:space="preserve">Phase 3 — Configure DNS Forwarding Rulesets</w:t>
            </w:r>
          </w:p>
        </w:tc>
        <w:tc>
          <w:tcPr/>
          <w:p>
            <w:pPr>
              <w:pStyle w:val="Compact"/>
            </w:pPr>
            <w:r>
              <w:t xml:space="preserve">3. Map + 4. Migrate</w:t>
            </w:r>
          </w:p>
        </w:tc>
      </w:tr>
      <w:tr>
        <w:tc>
          <w:tcPr/>
          <w:p>
            <w:pPr>
              <w:pStyle w:val="Compact"/>
            </w:pPr>
            <w:r>
              <w:t xml:space="preserve">Phase 4 — Migrate Conditional Forwarders</w:t>
            </w:r>
          </w:p>
        </w:tc>
        <w:tc>
          <w:tcPr/>
          <w:p>
            <w:pPr>
              <w:pStyle w:val="Compact"/>
            </w:pPr>
            <w:r>
              <w:t xml:space="preserve">4. Migrate</w:t>
            </w:r>
          </w:p>
        </w:tc>
      </w:tr>
      <w:tr>
        <w:tc>
          <w:tcPr/>
          <w:p>
            <w:pPr>
              <w:pStyle w:val="Compact"/>
            </w:pPr>
            <w:r>
              <w:t xml:space="preserve">Phase 5 — Migrate GlobalNames Zone</w:t>
            </w:r>
          </w:p>
        </w:tc>
        <w:tc>
          <w:tcPr/>
          <w:p>
            <w:pPr>
              <w:pStyle w:val="Compact"/>
            </w:pPr>
            <w:r>
              <w:t xml:space="preserve">4. Migrate</w:t>
            </w:r>
          </w:p>
        </w:tc>
      </w:tr>
      <w:tr>
        <w:tc>
          <w:tcPr/>
          <w:p>
            <w:pPr>
              <w:pStyle w:val="Compact"/>
            </w:pPr>
            <w:r>
              <w:t xml:space="preserve">Phase 6 — Configure Private Endpoint DNS Zones</w:t>
            </w:r>
          </w:p>
        </w:tc>
        <w:tc>
          <w:tcPr/>
          <w:p>
            <w:pPr>
              <w:pStyle w:val="Compact"/>
            </w:pPr>
            <w:r>
              <w:t xml:space="preserve">4. Migrate</w:t>
            </w:r>
          </w:p>
        </w:tc>
      </w:tr>
      <w:tr>
        <w:tc>
          <w:tcPr/>
          <w:p>
            <w:pPr>
              <w:pStyle w:val="Compact"/>
            </w:pPr>
            <w:r>
              <w:t xml:space="preserve">Phase 7 — Migrate Reverse Lookup Zones</w:t>
            </w:r>
          </w:p>
        </w:tc>
        <w:tc>
          <w:tcPr/>
          <w:p>
            <w:pPr>
              <w:pStyle w:val="Compact"/>
            </w:pPr>
            <w:r>
              <w:t xml:space="preserve">4. Migrate</w:t>
            </w:r>
          </w:p>
        </w:tc>
      </w:tr>
      <w:tr>
        <w:tc>
          <w:tcPr/>
          <w:p>
            <w:pPr>
              <w:pStyle w:val="Compact"/>
            </w:pPr>
            <w:r>
              <w:t xml:space="preserve">Phase 8 — Gradual Client DNS Server Migration</w:t>
            </w:r>
          </w:p>
        </w:tc>
        <w:tc>
          <w:tcPr/>
          <w:p>
            <w:pPr>
              <w:pStyle w:val="Compact"/>
            </w:pPr>
            <w:r>
              <w:t xml:space="preserve">4. Migrate + 5. Validate</w:t>
            </w:r>
          </w:p>
        </w:tc>
      </w:tr>
      <w:tr>
        <w:tc>
          <w:tcPr/>
          <w:p>
            <w:pPr>
              <w:pStyle w:val="Compact"/>
            </w:pPr>
            <w:r>
              <w:t xml:space="preserve">Phase 9 — AD SRV Record Validation and Monitoring</w:t>
            </w:r>
          </w:p>
        </w:tc>
        <w:tc>
          <w:tcPr/>
          <w:p>
            <w:pPr>
              <w:pStyle w:val="Compact"/>
            </w:pPr>
            <w:r>
              <w:t xml:space="preserve">5. Validate</w:t>
            </w:r>
          </w:p>
        </w:tc>
      </w:tr>
      <w:tr>
        <w:tc>
          <w:tcPr/>
          <w:p>
            <w:pPr>
              <w:pStyle w:val="Compact"/>
            </w:pPr>
            <w:r>
              <w:t xml:space="preserve">Phase 10 — Decommission Legacy DNS Servers</w:t>
            </w:r>
          </w:p>
        </w:tc>
        <w:tc>
          <w:tcPr/>
          <w:p>
            <w:pPr>
              <w:pStyle w:val="Compact"/>
            </w:pPr>
            <w:r>
              <w:t xml:space="preserve">6. Decommission</w:t>
            </w:r>
          </w:p>
        </w:tc>
      </w:tr>
    </w:tbl>
    <w:p>
      <w:pPr>
        <w:pStyle w:val="BodyText"/>
      </w:pPr>
      <w:r>
        <w:t xml:space="preserve">Most DNS phases map to canon Phase 4 (Migrate) because the adapter-specific execution work — zone creation, forwarder configuration, endpoint wiring, reverse-lookup mechanics — is where DNS modernization actually happens. The 30-day validation gate (Phase 9) and 90-day parallel-operation window before Decommission (Phase 10) are DNS-specific operational gates that refine canon Phases 5 and 6.</w:t>
      </w:r>
    </w:p>
    <w:p>
      <w:pPr>
        <w:pStyle w:val="BodyText"/>
      </w:pPr>
      <w:r>
        <w:t xml:space="preserve">Table of Contents</w:t>
      </w:r>
    </w:p>
    <w:p>
      <w:pPr>
        <w:numPr>
          <w:ilvl w:val="0"/>
          <w:numId w:val="1278"/>
        </w:numPr>
      </w:pPr>
      <w:r>
        <w:t xml:space="preserve">Purpose and Scope</w:t>
      </w:r>
    </w:p>
    <w:p>
      <w:pPr>
        <w:numPr>
          <w:ilvl w:val="0"/>
          <w:numId w:val="1278"/>
        </w:numPr>
      </w:pPr>
      <w:r>
        <w:t xml:space="preserve">AD-Integrated DNS Landscape Decomposition</w:t>
      </w:r>
    </w:p>
    <w:p>
      <w:pPr>
        <w:numPr>
          <w:ilvl w:val="0"/>
          <w:numId w:val="1278"/>
        </w:numPr>
      </w:pPr>
      <w:r>
        <w:t xml:space="preserve">Target State Architecture</w:t>
      </w:r>
    </w:p>
    <w:p>
      <w:pPr>
        <w:numPr>
          <w:ilvl w:val="0"/>
          <w:numId w:val="1278"/>
        </w:numPr>
      </w:pPr>
      <w:r>
        <w:t xml:space="preserve">DNS Assessment Pipeline</w:t>
      </w:r>
    </w:p>
    <w:p>
      <w:pPr>
        <w:numPr>
          <w:ilvl w:val="0"/>
          <w:numId w:val="1278"/>
        </w:numPr>
      </w:pPr>
      <w:r>
        <w:t xml:space="preserve">Zone Migration Strategy</w:t>
      </w:r>
    </w:p>
    <w:p>
      <w:pPr>
        <w:numPr>
          <w:ilvl w:val="0"/>
          <w:numId w:val="1278"/>
        </w:numPr>
      </w:pPr>
      <w:r>
        <w:t xml:space="preserve">Azure DNS Private Resolver Deployment</w:t>
      </w:r>
    </w:p>
    <w:p>
      <w:pPr>
        <w:numPr>
          <w:ilvl w:val="0"/>
          <w:numId w:val="1278"/>
        </w:numPr>
      </w:pPr>
      <w:r>
        <w:t xml:space="preserve">SRV Record Governance</w:t>
      </w:r>
    </w:p>
    <w:p>
      <w:pPr>
        <w:numPr>
          <w:ilvl w:val="0"/>
          <w:numId w:val="1278"/>
        </w:numPr>
      </w:pPr>
      <w:r>
        <w:t xml:space="preserve">DNSSEC Modernization</w:t>
      </w:r>
    </w:p>
    <w:p>
      <w:pPr>
        <w:numPr>
          <w:ilvl w:val="0"/>
          <w:numId w:val="1278"/>
        </w:numPr>
      </w:pPr>
      <w:r>
        <w:t xml:space="preserve">Split-Brain and Hybrid Resolution Patterns</w:t>
      </w:r>
    </w:p>
    <w:p>
      <w:pPr>
        <w:numPr>
          <w:ilvl w:val="0"/>
          <w:numId w:val="1278"/>
        </w:numPr>
      </w:pPr>
      <w:r>
        <w:t xml:space="preserve">Private Endpoint DNS Integration</w:t>
      </w:r>
    </w:p>
    <w:p>
      <w:pPr>
        <w:numPr>
          <w:ilvl w:val="0"/>
          <w:numId w:val="1278"/>
        </w:numPr>
      </w:pPr>
      <w:r>
        <w:t xml:space="preserve">DHCP and Dynamic DNS Modernization</w:t>
      </w:r>
    </w:p>
    <w:p>
      <w:pPr>
        <w:numPr>
          <w:ilvl w:val="0"/>
          <w:numId w:val="1278"/>
        </w:numPr>
      </w:pPr>
      <w:r>
        <w:t xml:space="preserve">Monitoring and Drift Detection</w:t>
      </w:r>
    </w:p>
    <w:p>
      <w:pPr>
        <w:numPr>
          <w:ilvl w:val="0"/>
          <w:numId w:val="1278"/>
        </w:numPr>
      </w:pPr>
      <w:r>
        <w:t xml:space="preserve">Migration Execution Playbook</w:t>
      </w:r>
    </w:p>
    <w:p>
      <w:pPr>
        <w:numPr>
          <w:ilvl w:val="0"/>
          <w:numId w:val="1278"/>
        </w:numPr>
      </w:pPr>
      <w:r>
        <w:t xml:space="preserve">Troubleshooting Reference</w:t>
      </w:r>
    </w:p>
    <w:p>
      <w:pPr>
        <w:numPr>
          <w:ilvl w:val="0"/>
          <w:numId w:val="1278"/>
        </w:numPr>
      </w:pPr>
      <w:r>
        <w:t xml:space="preserve">Appendix A — DNS Record Type Migration Reference</w:t>
      </w:r>
    </w:p>
    <w:p>
      <w:pPr>
        <w:numPr>
          <w:ilvl w:val="0"/>
          <w:numId w:val="1278"/>
        </w:numPr>
      </w:pPr>
      <w:r>
        <w:t xml:space="preserve">Appendix B — Azure DNS Private Resolver Cost Calculator</w:t>
      </w:r>
    </w:p>
    <w:p>
      <w:pPr>
        <w:numPr>
          <w:ilvl w:val="0"/>
          <w:numId w:val="1278"/>
        </w:numPr>
      </w:pPr>
      <w:r>
        <w:t xml:space="preserve">Appendix C — PowerShell Module: FMPDNSAssessment</w:t>
      </w:r>
    </w:p>
    <w:p>
      <w:pPr>
        <w:numPr>
          <w:ilvl w:val="0"/>
          <w:numId w:val="1278"/>
        </w:numPr>
      </w:pPr>
      <w:r>
        <w:t xml:space="preserve">Appendix D — Companion Document Cross-Reference</w:t>
      </w:r>
    </w:p>
    <w:p>
      <w:pPr>
        <w:pStyle w:val="FirstParagraph"/>
      </w:pPr>
      <w:r>
        <w:t xml:space="preserve">1. Purpose and Scope</w:t>
      </w:r>
    </w:p>
    <w:p>
      <w:pPr>
        <w:pStyle w:val="BodyText"/>
      </w:pPr>
      <w:r>
        <w:t xml:space="preserve">1.1 Purpose</w:t>
      </w:r>
    </w:p>
    <w:p>
      <w:pPr>
        <w:pStyle w:val="BodyText"/>
      </w:pPr>
      <w:r>
        <w:t xml:space="preserve">This guide provides the authoritative, deterministic methodology for modernizing Domain Name System (DNS) infrastructure from Active Directory-Integrated DNS to a hybrid resolution architecture leveraging Azure DNS Private Zones and Azure DNS Private Resolver. It is a companion document within the Federal Modernization Program Canon and is designed for platform engineers, identity architects, and infrastructure operators executing DNS modernization within GCC-Moderate boundaries.</w:t>
      </w:r>
    </w:p>
    <w:p>
      <w:pPr>
        <w:pStyle w:val="BodyText"/>
      </w:pPr>
      <w:r>
        <w:t xml:space="preserve">1.2 Scope</w:t>
      </w:r>
    </w:p>
    <w:p>
      <w:pPr>
        <w:pStyle w:val="BodyText"/>
      </w:pPr>
      <w:r>
        <w:t xml:space="preserve">This document covers the complete lifecycle of DNS modernization across the following domains:</w:t>
      </w:r>
    </w:p>
    <w:p>
      <w:pPr>
        <w:numPr>
          <w:ilvl w:val="0"/>
          <w:numId w:val="1279"/>
        </w:numPr>
      </w:pPr>
      <w:r>
        <w:rPr>
          <w:b/>
          <w:bCs/>
        </w:rPr>
        <w:t xml:space="preserve">Forward Lookup Zones</w:t>
      </w:r>
      <w:r>
        <w:t xml:space="preserve"> </w:t>
      </w:r>
      <w:r>
        <w:t xml:space="preserve">— migration from AD-integrated and file-backed zones to Azure DNS Private Zones and Public Zones</w:t>
      </w:r>
    </w:p>
    <w:p>
      <w:pPr>
        <w:numPr>
          <w:ilvl w:val="0"/>
          <w:numId w:val="1279"/>
        </w:numPr>
      </w:pPr>
      <w:r>
        <w:rPr>
          <w:b/>
          <w:bCs/>
        </w:rPr>
        <w:t xml:space="preserve">Reverse Lookup Zones</w:t>
      </w:r>
      <w:r>
        <w:t xml:space="preserve"> </w:t>
      </w:r>
      <w:r>
        <w:t xml:space="preserve">— PTR record management and delegation in hybrid environments</w:t>
      </w:r>
    </w:p>
    <w:p>
      <w:pPr>
        <w:numPr>
          <w:ilvl w:val="0"/>
          <w:numId w:val="1279"/>
        </w:numPr>
      </w:pPr>
      <w:r>
        <w:rPr>
          <w:b/>
          <w:bCs/>
        </w:rPr>
        <w:t xml:space="preserve">Conditional Forwarders</w:t>
      </w:r>
      <w:r>
        <w:t xml:space="preserve"> </w:t>
      </w:r>
      <w:r>
        <w:t xml:space="preserve">— replacement with Azure DNS Forwarding Rulesets</w:t>
      </w:r>
    </w:p>
    <w:p>
      <w:pPr>
        <w:numPr>
          <w:ilvl w:val="0"/>
          <w:numId w:val="1279"/>
        </w:numPr>
      </w:pPr>
      <w:r>
        <w:rPr>
          <w:b/>
          <w:bCs/>
        </w:rPr>
        <w:t xml:space="preserve">SRV Records</w:t>
      </w:r>
      <w:r>
        <w:t xml:space="preserve"> </w:t>
      </w:r>
      <w:r>
        <w:t xml:space="preserve">— governance of Active Directory locator records during and after migration</w:t>
      </w:r>
    </w:p>
    <w:p>
      <w:pPr>
        <w:numPr>
          <w:ilvl w:val="0"/>
          <w:numId w:val="1279"/>
        </w:numPr>
      </w:pPr>
      <w:r>
        <w:rPr>
          <w:b/>
          <w:bCs/>
        </w:rPr>
        <w:t xml:space="preserve">DNSSEC</w:t>
      </w:r>
      <w:r>
        <w:t xml:space="preserve"> </w:t>
      </w:r>
      <w:r>
        <w:t xml:space="preserve">— trust anchor management, key rollover, and security trade-offs during transition</w:t>
      </w:r>
    </w:p>
    <w:p>
      <w:pPr>
        <w:numPr>
          <w:ilvl w:val="0"/>
          <w:numId w:val="1279"/>
        </w:numPr>
      </w:pPr>
      <w:r>
        <w:rPr>
          <w:b/>
          <w:bCs/>
        </w:rPr>
        <w:t xml:space="preserve">Split-Brain DNS</w:t>
      </w:r>
      <w:r>
        <w:t xml:space="preserve"> </w:t>
      </w:r>
      <w:r>
        <w:t xml:space="preserve">— patterns for same-namespace resolution across internal and external boundaries</w:t>
      </w:r>
    </w:p>
    <w:p>
      <w:pPr>
        <w:numPr>
          <w:ilvl w:val="0"/>
          <w:numId w:val="1279"/>
        </w:numPr>
      </w:pPr>
      <w:r>
        <w:rPr>
          <w:b/>
          <w:bCs/>
        </w:rPr>
        <w:t xml:space="preserve">Hybrid Resolution Architecture</w:t>
      </w:r>
      <w:r>
        <w:t xml:space="preserve"> </w:t>
      </w:r>
      <w:r>
        <w:t xml:space="preserve">— bidirectional DNS resolution between on-premises and Azure via DNS Private Resolver</w:t>
      </w:r>
    </w:p>
    <w:p>
      <w:pPr>
        <w:numPr>
          <w:ilvl w:val="0"/>
          <w:numId w:val="1279"/>
        </w:numPr>
      </w:pPr>
      <w:r>
        <w:rPr>
          <w:b/>
          <w:bCs/>
        </w:rPr>
        <w:t xml:space="preserve">Private Endpoint DNS</w:t>
      </w:r>
      <w:r>
        <w:t xml:space="preserve"> </w:t>
      </w:r>
      <w:r>
        <w:t xml:space="preserve">— privatelink zone management for Azure PaaS services</w:t>
      </w:r>
    </w:p>
    <w:p>
      <w:pPr>
        <w:numPr>
          <w:ilvl w:val="0"/>
          <w:numId w:val="1279"/>
        </w:numPr>
      </w:pPr>
      <w:r>
        <w:rPr>
          <w:b/>
          <w:bCs/>
        </w:rPr>
        <w:t xml:space="preserve">Dynamic DNS and DHCP</w:t>
      </w:r>
      <w:r>
        <w:t xml:space="preserve"> </w:t>
      </w:r>
      <w:r>
        <w:t xml:space="preserve">— modernization of dynamic update and address management</w:t>
      </w:r>
    </w:p>
    <w:p>
      <w:pPr>
        <w:pStyle w:val="FirstParagraph"/>
      </w:pPr>
      <w:r>
        <w:t xml:space="preserve">1.3 Companion Document Cross-References</w:t>
      </w:r>
    </w:p>
    <w:tbl>
      <w:tblPr>
        <w:tblStyle w:val="Table"/>
        <w:tblW w:type="pct" w:w="4924"/>
        <w:tblLayout w:type="fixed"/>
        <w:tblLook w:firstRow="1" w:lastRow="0" w:firstColumn="0" w:lastColumn="0" w:noHBand="0" w:noVBand="0" w:val="0020"/>
      </w:tblPr>
      <w:tblGrid>
        <w:gridCol w:w="1860"/>
        <w:gridCol w:w="2880"/>
        <w:gridCol w:w="3060"/>
      </w:tblGrid>
      <w:tr>
        <w:trPr>
          <w:tblHeader w:val="on"/>
        </w:trPr>
        <w:tc>
          <w:tcPr/>
          <w:p>
            <w:pPr>
              <w:pStyle w:val="Compact"/>
              <w:jc w:val="left"/>
            </w:pPr>
            <w:r>
              <w:rPr>
                <w:b/>
                <w:bCs/>
              </w:rPr>
              <w:t xml:space="preserve">Document</w:t>
            </w:r>
          </w:p>
        </w:tc>
        <w:tc>
          <w:tcPr/>
          <w:p>
            <w:pPr>
              <w:pStyle w:val="Compact"/>
              <w:jc w:val="left"/>
            </w:pPr>
            <w:r>
              <w:rPr>
                <w:b/>
                <w:bCs/>
              </w:rPr>
              <w:t xml:space="preserve">Relationship</w:t>
            </w:r>
          </w:p>
        </w:tc>
        <w:tc>
          <w:tcPr/>
          <w:p>
            <w:pPr>
              <w:pStyle w:val="Compact"/>
              <w:jc w:val="left"/>
            </w:pPr>
            <w:r>
              <w:rPr>
                <w:b/>
                <w:bCs/>
              </w:rPr>
              <w:t xml:space="preserve">Key Dependency</w:t>
            </w:r>
          </w:p>
        </w:tc>
      </w:tr>
      <w:tr>
        <w:tc>
          <w:tcPr/>
          <w:p>
            <w:pPr>
              <w:pStyle w:val="Compact"/>
              <w:jc w:val="left"/>
            </w:pPr>
            <w:r>
              <w:t xml:space="preserve">AD Interaction Guide</w:t>
            </w:r>
          </w:p>
        </w:tc>
        <w:tc>
          <w:tcPr/>
          <w:p>
            <w:pPr>
              <w:pStyle w:val="Compact"/>
              <w:jc w:val="left"/>
            </w:pPr>
            <w:r>
              <w:t xml:space="preserve">Upstream — provides DNS Assessment output</w:t>
            </w:r>
          </w:p>
        </w:tc>
        <w:tc>
          <w:tcPr/>
          <w:p>
            <w:pPr>
              <w:pStyle w:val="Compact"/>
              <w:jc w:val="left"/>
            </w:pPr>
            <w:r>
              <w:t xml:space="preserve">Invoke-FMPADAssessment DNS module output</w:t>
            </w:r>
          </w:p>
        </w:tc>
      </w:tr>
      <w:tr>
        <w:tc>
          <w:tcPr/>
          <w:p>
            <w:pPr>
              <w:pStyle w:val="Compact"/>
              <w:jc w:val="left"/>
            </w:pPr>
            <w:r>
              <w:t xml:space="preserve">Identity Modernization Guide</w:t>
            </w:r>
          </w:p>
        </w:tc>
        <w:tc>
          <w:tcPr/>
          <w:p>
            <w:pPr>
              <w:pStyle w:val="Compact"/>
              <w:jc w:val="left"/>
            </w:pPr>
            <w:r>
              <w:t xml:space="preserve">Parallel — DNS supports identity resolution</w:t>
            </w:r>
          </w:p>
        </w:tc>
        <w:tc>
          <w:tcPr/>
          <w:p>
            <w:pPr>
              <w:pStyle w:val="Compact"/>
              <w:jc w:val="left"/>
            </w:pPr>
            <w:r>
              <w:t xml:space="preserve">SRV record availability for Entra ID hybrid join</w:t>
            </w:r>
          </w:p>
        </w:tc>
      </w:tr>
      <w:tr>
        <w:tc>
          <w:tcPr/>
          <w:p>
            <w:pPr>
              <w:pStyle w:val="Compact"/>
              <w:jc w:val="left"/>
            </w:pPr>
            <w:r>
              <w:t xml:space="preserve">PKI Modernization Guide</w:t>
            </w:r>
          </w:p>
        </w:tc>
        <w:tc>
          <w:tcPr/>
          <w:p>
            <w:pPr>
              <w:pStyle w:val="Compact"/>
              <w:jc w:val="left"/>
            </w:pPr>
            <w:r>
              <w:t xml:space="preserve">Parallel — CRL/OCSP DNS records</w:t>
            </w:r>
          </w:p>
        </w:tc>
        <w:tc>
          <w:tcPr/>
          <w:p>
            <w:pPr>
              <w:pStyle w:val="Compact"/>
              <w:jc w:val="left"/>
            </w:pPr>
            <w:r>
              <w:t xml:space="preserve">Certificate revocation endpoint resolution</w:t>
            </w:r>
          </w:p>
        </w:tc>
      </w:tr>
      <w:tr>
        <w:tc>
          <w:tcPr/>
          <w:p>
            <w:pPr>
              <w:pStyle w:val="Compact"/>
              <w:jc w:val="left"/>
            </w:pPr>
            <w:r>
              <w:t xml:space="preserve">Platform Server Build Guide</w:t>
            </w:r>
          </w:p>
        </w:tc>
        <w:tc>
          <w:tcPr/>
          <w:p>
            <w:pPr>
              <w:pStyle w:val="Compact"/>
              <w:jc w:val="left"/>
            </w:pPr>
            <w:r>
              <w:t xml:space="preserve">Downstream — servers consume DNS</w:t>
            </w:r>
          </w:p>
        </w:tc>
        <w:tc>
          <w:tcPr/>
          <w:p>
            <w:pPr>
              <w:pStyle w:val="Compact"/>
              <w:jc w:val="left"/>
            </w:pPr>
            <w:r>
              <w:t xml:space="preserve">VNet DNS settings, resolver endpoint IPs</w:t>
            </w:r>
          </w:p>
        </w:tc>
      </w:tr>
    </w:tbl>
    <w:p>
      <w:pPr>
        <w:pStyle w:val="BodyText"/>
      </w:pPr>
      <w:r>
        <w:t xml:space="preserve">1.4 Classification and Handling</w:t>
      </w:r>
    </w:p>
    <w:tbl>
      <w:tblPr>
        <w:tblStyle w:val="Table"/>
        <w:tblW w:type="pct" w:w="5017"/>
        <w:tblLayout w:type="fixed"/>
        <w:tblLook w:firstRow="0" w:lastRow="0" w:firstColumn="0" w:lastColumn="0" w:noHBand="0" w:noVBand="0" w:val="0000"/>
      </w:tblPr>
      <w:tblGrid>
        <w:gridCol w:w="7946"/>
      </w:tblGrid>
      <w:tr>
        <w:tc>
          <w:tcPr/>
          <w:p>
            <w:pPr>
              <w:pStyle w:val="Compact"/>
            </w:pPr>
            <w:r>
              <w:rPr>
                <w:b/>
                <w:bCs/>
              </w:rPr>
              <w:t xml:space="preserve">❗ Important</w:t>
            </w:r>
            <w:r>
              <w:t xml:space="preserve"> </w:t>
            </w:r>
            <w:r>
              <w:t xml:space="preserve">|</w:t>
            </w:r>
            <w:r>
              <w:t xml:space="preserve"> </w:t>
            </w:r>
            <w:r>
              <w:t xml:space="preserve">|</w:t>
            </w:r>
            <w:r>
              <w:t xml:space="preserve"> </w:t>
            </w:r>
            <w:r>
              <w:t xml:space="preserve">This document is classified</w:t>
            </w:r>
            <w:r>
              <w:t xml:space="preserve"> </w:t>
            </w:r>
            <w:r>
              <w:rPr>
                <w:b/>
                <w:bCs/>
              </w:rPr>
              <w:t xml:space="preserve">Controlled</w:t>
            </w:r>
            <w:r>
              <w:t xml:space="preserve"> </w:t>
            </w:r>
            <w:r>
              <w:t xml:space="preserve">(not FOUO). It may be shared within the organization and with authorized partners operating within the GCC-Moderate boundary. Do not distribute outside the boundary without written authorization from the Federal Modernization Program Document Control Board.</w:t>
            </w:r>
          </w:p>
        </w:tc>
      </w:tr>
    </w:tbl>
    <w:p>
      <w:pPr>
        <w:pStyle w:val="BodyText"/>
      </w:pPr>
      <w:r>
        <w:t xml:space="preserve">2. AD-Integrated DNS Landscape Decomposition</w:t>
      </w:r>
    </w:p>
    <w:p>
      <w:pPr>
        <w:pStyle w:val="BodyText"/>
      </w:pPr>
      <w:r>
        <w:t xml:space="preserve">Before migration can proceed, the existing AD DNS landscape must be broken down into its separate components. Each component has distinct migration characteristics, risk profiles, and target-state equivalents.</w:t>
      </w:r>
    </w:p>
    <w:p>
      <w:pPr>
        <w:pStyle w:val="BodyText"/>
      </w:pPr>
      <w:r>
        <w:t xml:space="preserve">2.1 AD-Integrated Zones</w:t>
      </w:r>
    </w:p>
    <w:p>
      <w:pPr>
        <w:pStyle w:val="BodyText"/>
      </w:pPr>
      <w:r>
        <w:t xml:space="preserve">AD-Integrated Zones are primary DNS zones stored within Active Directory partitions. Zone data replicates alongside AD replication, providing fault tolerance without requiring zone transfers. Two primary partitions exist:</w:t>
      </w:r>
    </w:p>
    <w:p>
      <w:pPr>
        <w:numPr>
          <w:ilvl w:val="0"/>
          <w:numId w:val="1280"/>
        </w:numPr>
      </w:pPr>
      <w:r>
        <w:rPr>
          <w:b/>
          <w:bCs/>
        </w:rPr>
        <w:t xml:space="preserve">ForestDnsZones</w:t>
      </w:r>
      <w:r>
        <w:t xml:space="preserve"> </w:t>
      </w:r>
      <w:r>
        <w:t xml:space="preserve">— replicates to all DNS servers in the forest</w:t>
      </w:r>
    </w:p>
    <w:p>
      <w:pPr>
        <w:numPr>
          <w:ilvl w:val="0"/>
          <w:numId w:val="1280"/>
        </w:numPr>
      </w:pPr>
      <w:r>
        <w:rPr>
          <w:b/>
          <w:bCs/>
        </w:rPr>
        <w:t xml:space="preserve">DomainDnsZones</w:t>
      </w:r>
      <w:r>
        <w:t xml:space="preserve"> </w:t>
      </w:r>
      <w:r>
        <w:t xml:space="preserve">— replicates to all DNS servers in the domain</w:t>
      </w:r>
    </w:p>
    <w:p>
      <w:pPr>
        <w:pStyle w:val="FirstParagraph"/>
      </w:pPr>
      <w:r>
        <w:t xml:space="preserve">Replication scope governs which domain controllers hold zone data. Custom application partitions may also host zone data for granular replication control.</w:t>
      </w:r>
    </w:p>
    <w:p>
      <w:pPr>
        <w:pStyle w:val="BodyText"/>
      </w:pPr>
      <w:r>
        <w:t xml:space="preserve">2.2 Standard Primary/Secondary Zones</w:t>
      </w:r>
    </w:p>
    <w:p>
      <w:pPr>
        <w:pStyle w:val="BodyText"/>
      </w:pPr>
      <w:r>
        <w:t xml:space="preserve">File-backed zones stored in %systemroot%\system32\dns on the primary server. Secondary zones receive read-only copies via zone transfers (AXFR for full transfer, IXFR for incremental). These zones are not tied to AD replication and can be migrated independently.</w:t>
      </w:r>
    </w:p>
    <w:p>
      <w:pPr>
        <w:pStyle w:val="BodyText"/>
      </w:pPr>
      <w:r>
        <w:t xml:space="preserve">2.3 Stub Zones</w:t>
      </w:r>
    </w:p>
    <w:p>
      <w:pPr>
        <w:pStyle w:val="BodyText"/>
      </w:pPr>
      <w:r>
        <w:t xml:space="preserve">Stub zones contain only the SOA record, NS records, and glue A records for delegated subdomains. They function as delegation pointers, keeping the parent zone aware of authoritative servers for child zones without maintaining full zone copies.</w:t>
      </w:r>
    </w:p>
    <w:p>
      <w:pPr>
        <w:pStyle w:val="BodyText"/>
      </w:pPr>
      <w:r>
        <w:t xml:space="preserve">2.4 Conditional Forwarders</w:t>
      </w:r>
    </w:p>
    <w:p>
      <w:pPr>
        <w:pStyle w:val="BodyText"/>
      </w:pPr>
      <w:r>
        <w:t xml:space="preserve">Conditional forwarders direct queries for specific DNS namespaces to designated DNS servers. Common use cases include cross-forest resolution (e.g., queries for partner.local forwarded to partner domain controllers) and external service resolution.</w:t>
      </w:r>
    </w:p>
    <w:p>
      <w:pPr>
        <w:pStyle w:val="BodyText"/>
      </w:pPr>
      <w:r>
        <w:t xml:space="preserve">2.5 GlobalNames Zone</w:t>
      </w:r>
    </w:p>
    <w:p>
      <w:pPr>
        <w:pStyle w:val="BodyText"/>
      </w:pPr>
      <w:r>
        <w:t xml:space="preserve">The GlobalNames Zone (GNZ) provides single-label name resolution as a WINS replacement. It is an AD-integrated zone named GlobalNames containing CNAME records that map single-label names to fully qualified domain names.</w:t>
      </w:r>
    </w:p>
    <w:p>
      <w:pPr>
        <w:pStyle w:val="BodyText"/>
      </w:pPr>
      <w:r>
        <w:t xml:space="preserve">2.6 SRV Records</w:t>
      </w:r>
    </w:p>
    <w:p>
      <w:pPr>
        <w:pStyle w:val="BodyText"/>
      </w:pPr>
      <w:r>
        <w:t xml:space="preserve">Active Directory relies on SRV (Service Locator) records for domain controller discovery. These records are dynamically registered by the Netlogon service and are critical for domain join, authentication, Group Policy processing, and replication. Key SRV record families include:</w:t>
      </w:r>
    </w:p>
    <w:p>
      <w:pPr>
        <w:numPr>
          <w:ilvl w:val="0"/>
          <w:numId w:val="1281"/>
        </w:numPr>
      </w:pPr>
      <w:r>
        <w:t xml:space="preserve">_ldap._tcp.dc._msdcs.{domain} — LDAP service on domain controllers</w:t>
      </w:r>
    </w:p>
    <w:p>
      <w:pPr>
        <w:numPr>
          <w:ilvl w:val="0"/>
          <w:numId w:val="1281"/>
        </w:numPr>
      </w:pPr>
      <w:r>
        <w:t xml:space="preserve">_kerberos._tcp.dc._msdcs.{domain} — Kerberos authentication service</w:t>
      </w:r>
    </w:p>
    <w:p>
      <w:pPr>
        <w:numPr>
          <w:ilvl w:val="0"/>
          <w:numId w:val="1281"/>
        </w:numPr>
      </w:pPr>
      <w:r>
        <w:t xml:space="preserve">_gc._tcp.{forest} — Global Catalog service</w:t>
      </w:r>
    </w:p>
    <w:p>
      <w:pPr>
        <w:numPr>
          <w:ilvl w:val="0"/>
          <w:numId w:val="1281"/>
        </w:numPr>
      </w:pPr>
      <w:r>
        <w:t xml:space="preserve">_ldap._tcp.{site}._sites.dc._msdcs.{domain} — Site-specific DC locator</w:t>
      </w:r>
    </w:p>
    <w:p>
      <w:pPr>
        <w:numPr>
          <w:ilvl w:val="0"/>
          <w:numId w:val="1281"/>
        </w:numPr>
      </w:pPr>
      <w:r>
        <w:t xml:space="preserve">_kpasswd._tcp.{domain} — Kerberos password change service</w:t>
      </w:r>
    </w:p>
    <w:p>
      <w:pPr>
        <w:pStyle w:val="FirstParagraph"/>
      </w:pPr>
      <w:r>
        <w:t xml:space="preserve">2.7 Dynamic DNS Updates</w:t>
      </w:r>
    </w:p>
    <w:p>
      <w:pPr>
        <w:pStyle w:val="BodyText"/>
      </w:pPr>
      <w:r>
        <w:t xml:space="preserve">AD-Integrated zones support secure dynamic updates, where only authenticated machines can register or modify records. DHCP servers can perform dynamic updates on behalf of clients. Scavenging removes stale records based on no-refresh and refresh intervals.</w:t>
      </w:r>
    </w:p>
    <w:p>
      <w:pPr>
        <w:pStyle w:val="BodyText"/>
      </w:pPr>
      <w:r>
        <w:t xml:space="preserve">2.8 Reverse Lookup Zones</w:t>
      </w:r>
    </w:p>
    <w:p>
      <w:pPr>
        <w:pStyle w:val="BodyText"/>
      </w:pPr>
      <w:r>
        <w:t xml:space="preserve">Reverse lookup zones map IP addresses to hostnames via PTR records. In enterprise environments, zones are typically segmented by subnet (e.g., 10.in-addr.arpa, 168.192.in-addr.arpa). ISP delegation may be required for public IP reverse DNS.</w:t>
      </w:r>
    </w:p>
    <w:p>
      <w:pPr>
        <w:pStyle w:val="BodyText"/>
      </w:pPr>
      <w:r>
        <w:t xml:space="preserve">2.9 DNSSEC</w:t>
      </w:r>
    </w:p>
    <w:p>
      <w:pPr>
        <w:pStyle w:val="BodyText"/>
      </w:pPr>
      <w:r>
        <w:t xml:space="preserve">DNS Security Extensions (DNSSEC) provide authentication of DNS responses through digital signatures. AD-integrated DNSSEC uses a Key Master domain controller role for key generation and management. Trust anchors are distributed via AD, and key rollover follows defined schedules for Zone Signing Keys (ZSK) and Key Signing Keys (KSK).</w:t>
      </w:r>
    </w:p>
    <w:p>
      <w:pPr>
        <w:pStyle w:val="BodyText"/>
      </w:pPr>
      <w:r>
        <w:t xml:space="preserve">2.10 Component Migration Matrix</w:t>
      </w:r>
    </w:p>
    <w:tbl>
      <w:tblPr>
        <w:tblStyle w:val="Table"/>
        <w:tblW w:type="pct" w:w="4948"/>
        <w:tblLayout w:type="fixed"/>
        <w:tblLook w:firstRow="1" w:lastRow="0" w:firstColumn="0" w:lastColumn="0" w:noHBand="0" w:noVBand="0" w:val="0020"/>
      </w:tblPr>
      <w:tblGrid>
        <w:gridCol w:w="1326"/>
        <w:gridCol w:w="2819"/>
        <w:gridCol w:w="2985"/>
        <w:gridCol w:w="704"/>
      </w:tblGrid>
      <w:tr>
        <w:trPr>
          <w:tblHeader w:val="on"/>
        </w:trPr>
        <w:tc>
          <w:tcPr/>
          <w:p>
            <w:pPr>
              <w:pStyle w:val="Compact"/>
              <w:jc w:val="left"/>
            </w:pPr>
            <w:r>
              <w:rPr>
                <w:b/>
                <w:bCs/>
              </w:rPr>
              <w:t xml:space="preserve">AD DNS Component</w:t>
            </w:r>
          </w:p>
        </w:tc>
        <w:tc>
          <w:tcPr/>
          <w:p>
            <w:pPr>
              <w:pStyle w:val="Compact"/>
              <w:jc w:val="left"/>
            </w:pPr>
            <w:r>
              <w:rPr>
                <w:b/>
                <w:bCs/>
              </w:rPr>
              <w:t xml:space="preserve">Azure/Hybrid Equivalent</w:t>
            </w:r>
          </w:p>
        </w:tc>
        <w:tc>
          <w:tcPr/>
          <w:p>
            <w:pPr>
              <w:pStyle w:val="Compact"/>
              <w:jc w:val="left"/>
            </w:pPr>
            <w:r>
              <w:rPr>
                <w:b/>
                <w:bCs/>
              </w:rPr>
              <w:t xml:space="preserve">Migration Approach</w:t>
            </w:r>
          </w:p>
        </w:tc>
        <w:tc>
          <w:tcPr/>
          <w:p>
            <w:pPr>
              <w:pStyle w:val="Compact"/>
              <w:jc w:val="left"/>
            </w:pPr>
            <w:r>
              <w:rPr>
                <w:b/>
                <w:bCs/>
              </w:rPr>
              <w:t xml:space="preserve">Risk Level</w:t>
            </w:r>
          </w:p>
        </w:tc>
      </w:tr>
      <w:tr>
        <w:tc>
          <w:tcPr/>
          <w:p>
            <w:pPr>
              <w:pStyle w:val="Compact"/>
              <w:jc w:val="left"/>
            </w:pPr>
            <w:r>
              <w:t xml:space="preserve">AD-Integrated Zone (Internal)</w:t>
            </w:r>
          </w:p>
        </w:tc>
        <w:tc>
          <w:tcPr/>
          <w:p>
            <w:pPr>
              <w:pStyle w:val="Compact"/>
              <w:jc w:val="left"/>
            </w:pPr>
            <w:r>
              <w:t xml:space="preserve">Azure DNS Private Zone</w:t>
            </w:r>
          </w:p>
        </w:tc>
        <w:tc>
          <w:tcPr/>
          <w:p>
            <w:pPr>
              <w:pStyle w:val="Compact"/>
              <w:jc w:val="left"/>
            </w:pPr>
            <w:r>
              <w:t xml:space="preserve">Export records, create Private Zone, import, link to VNets</w:t>
            </w:r>
          </w:p>
        </w:tc>
        <w:tc>
          <w:tcPr/>
          <w:p>
            <w:pPr>
              <w:pStyle w:val="Compact"/>
              <w:jc w:val="left"/>
            </w:pPr>
            <w:r>
              <w:rPr>
                <w:b/>
                <w:bCs/>
              </w:rPr>
              <w:t xml:space="preserve">Medium</w:t>
            </w:r>
          </w:p>
        </w:tc>
      </w:tr>
      <w:tr>
        <w:tc>
          <w:tcPr/>
          <w:p>
            <w:pPr>
              <w:pStyle w:val="Compact"/>
              <w:jc w:val="left"/>
            </w:pPr>
            <w:r>
              <w:t xml:space="preserve">AD-Integrated Zone (External)</w:t>
            </w:r>
          </w:p>
        </w:tc>
        <w:tc>
          <w:tcPr/>
          <w:p>
            <w:pPr>
              <w:pStyle w:val="Compact"/>
              <w:jc w:val="left"/>
            </w:pPr>
            <w:r>
              <w:t xml:space="preserve">Azure DNS Public Zone</w:t>
            </w:r>
          </w:p>
        </w:tc>
        <w:tc>
          <w:tcPr/>
          <w:p>
            <w:pPr>
              <w:pStyle w:val="Compact"/>
              <w:jc w:val="left"/>
            </w:pPr>
            <w:r>
              <w:t xml:space="preserve">Export records, create Public Zone, import, update NS delegation</w:t>
            </w:r>
          </w:p>
        </w:tc>
        <w:tc>
          <w:tcPr/>
          <w:p>
            <w:pPr>
              <w:pStyle w:val="Compact"/>
              <w:jc w:val="left"/>
            </w:pPr>
            <w:r>
              <w:rPr>
                <w:b/>
                <w:bCs/>
              </w:rPr>
              <w:t xml:space="preserve">High</w:t>
            </w:r>
          </w:p>
        </w:tc>
      </w:tr>
      <w:tr>
        <w:tc>
          <w:tcPr/>
          <w:p>
            <w:pPr>
              <w:pStyle w:val="Compact"/>
              <w:jc w:val="left"/>
            </w:pPr>
            <w:r>
              <w:t xml:space="preserve">Standard Primary/Secondary</w:t>
            </w:r>
          </w:p>
        </w:tc>
        <w:tc>
          <w:tcPr/>
          <w:p>
            <w:pPr>
              <w:pStyle w:val="Compact"/>
              <w:jc w:val="left"/>
            </w:pPr>
            <w:r>
              <w:t xml:space="preserve">Azure DNS Public/Private Zone</w:t>
            </w:r>
          </w:p>
        </w:tc>
        <w:tc>
          <w:tcPr/>
          <w:p>
            <w:pPr>
              <w:pStyle w:val="Compact"/>
              <w:jc w:val="left"/>
            </w:pPr>
            <w:r>
              <w:t xml:space="preserve">Export zone file, transform records, import via Az module</w:t>
            </w:r>
          </w:p>
        </w:tc>
        <w:tc>
          <w:tcPr/>
          <w:p>
            <w:pPr>
              <w:pStyle w:val="Compact"/>
              <w:jc w:val="left"/>
            </w:pPr>
            <w:r>
              <w:rPr>
                <w:b/>
                <w:bCs/>
              </w:rPr>
              <w:t xml:space="preserve">Low</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target namespace</w:t>
            </w:r>
          </w:p>
        </w:tc>
        <w:tc>
          <w:tcPr/>
          <w:p>
            <w:pPr>
              <w:pStyle w:val="Compact"/>
              <w:jc w:val="left"/>
            </w:pPr>
            <w:r>
              <w:rPr>
                <w:b/>
                <w:bCs/>
              </w:rPr>
              <w:t xml:space="preserve">Low</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DNS IPs</w:t>
            </w:r>
          </w:p>
        </w:tc>
        <w:tc>
          <w:tcPr/>
          <w:p>
            <w:pPr>
              <w:pStyle w:val="Compact"/>
              <w:jc w:val="left"/>
            </w:pPr>
            <w:r>
              <w:rPr>
                <w:b/>
                <w:bCs/>
              </w:rPr>
              <w:t xml:space="preserve">Low</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with CNAME records, link to all VNets</w:t>
            </w:r>
          </w:p>
        </w:tc>
        <w:tc>
          <w:tcPr/>
          <w:p>
            <w:pPr>
              <w:pStyle w:val="Compact"/>
              <w:jc w:val="left"/>
            </w:pPr>
            <w:r>
              <w:rPr>
                <w:b/>
                <w:bCs/>
              </w:rPr>
              <w:t xml:space="preserve">Medium</w:t>
            </w:r>
          </w:p>
        </w:tc>
      </w:tr>
      <w:tr>
        <w:tc>
          <w:tcPr/>
          <w:p>
            <w:pPr>
              <w:pStyle w:val="Compact"/>
              <w:jc w:val="left"/>
            </w:pPr>
            <w:r>
              <w:t xml:space="preserve">SRV Records (AD Locator)</w:t>
            </w:r>
          </w:p>
        </w:tc>
        <w:tc>
          <w:tcPr/>
          <w:p>
            <w:pPr>
              <w:pStyle w:val="Compact"/>
              <w:jc w:val="left"/>
            </w:pPr>
            <w:r>
              <w:t xml:space="preserve">Remain on AD DNS during hybrid period</w:t>
            </w:r>
          </w:p>
        </w:tc>
        <w:tc>
          <w:tcPr/>
          <w:p>
            <w:pPr>
              <w:pStyle w:val="Compact"/>
              <w:jc w:val="left"/>
            </w:pPr>
            <w:r>
              <w:t xml:space="preserve">No migration — monitored, forwarded via DNS Private Resolver</w:t>
            </w:r>
          </w:p>
        </w:tc>
        <w:tc>
          <w:tcPr/>
          <w:p>
            <w:pPr>
              <w:pStyle w:val="Compact"/>
              <w:jc w:val="left"/>
            </w:pPr>
            <w:r>
              <w:rPr>
                <w:b/>
                <w:bCs/>
              </w:rPr>
              <w:t xml:space="preserve">High</w:t>
            </w:r>
          </w:p>
        </w:tc>
      </w:tr>
      <w:tr>
        <w:tc>
          <w:tcPr/>
          <w:p>
            <w:pPr>
              <w:pStyle w:val="Compact"/>
              <w:jc w:val="left"/>
            </w:pPr>
            <w:r>
              <w:t xml:space="preserve">Dynamic DNS (Secure Updates)</w:t>
            </w:r>
          </w:p>
        </w:tc>
        <w:tc>
          <w:tcPr/>
          <w:p>
            <w:pPr>
              <w:pStyle w:val="Compact"/>
              <w:jc w:val="left"/>
            </w:pPr>
            <w:r>
              <w:t xml:space="preserve">Azure DNS Auto-Registration / Manual</w:t>
            </w:r>
          </w:p>
        </w:tc>
        <w:tc>
          <w:tcPr/>
          <w:p>
            <w:pPr>
              <w:pStyle w:val="Compact"/>
              <w:jc w:val="left"/>
            </w:pPr>
            <w:r>
              <w:t xml:space="preserve">Enable auto-registration on Private Zones for Azure VMs</w:t>
            </w:r>
          </w:p>
        </w:tc>
        <w:tc>
          <w:tcPr/>
          <w:p>
            <w:pPr>
              <w:pStyle w:val="Compact"/>
              <w:jc w:val="left"/>
            </w:pPr>
            <w:r>
              <w:rPr>
                <w:b/>
                <w:bCs/>
              </w:rPr>
              <w:t xml:space="preserve">Medium</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subnet, import PTR records</w:t>
            </w:r>
          </w:p>
        </w:tc>
        <w:tc>
          <w:tcPr/>
          <w:p>
            <w:pPr>
              <w:pStyle w:val="Compact"/>
              <w:jc w:val="left"/>
            </w:pPr>
            <w:r>
              <w:rPr>
                <w:b/>
                <w:bCs/>
              </w:rPr>
              <w:t xml:space="preserve">Medium</w:t>
            </w:r>
          </w:p>
        </w:tc>
      </w:tr>
      <w:tr>
        <w:tc>
          <w:tcPr/>
          <w:p>
            <w:pPr>
              <w:pStyle w:val="Compact"/>
              <w:jc w:val="left"/>
            </w:pPr>
            <w:r>
              <w:t xml:space="preserve">DNSSEC</w:t>
            </w:r>
          </w:p>
        </w:tc>
        <w:tc>
          <w:tcPr/>
          <w:p>
            <w:pPr>
              <w:pStyle w:val="Compact"/>
              <w:jc w:val="left"/>
            </w:pPr>
            <w:r>
              <w:t xml:space="preserve">Azure DNS Public Zones (limited); Not available for Private Zones</w:t>
            </w:r>
          </w:p>
        </w:tc>
        <w:tc>
          <w:tcPr/>
          <w:p>
            <w:pPr>
              <w:pStyle w:val="Compact"/>
              <w:jc w:val="left"/>
            </w:pPr>
            <w:r>
              <w:t xml:space="preserve">Maintain on-prem for signed zones; accept trade-off for Private Zones</w:t>
            </w:r>
          </w:p>
        </w:tc>
        <w:tc>
          <w:tcPr/>
          <w:p>
            <w:pPr>
              <w:pStyle w:val="Compact"/>
              <w:jc w:val="left"/>
            </w:pPr>
            <w:r>
              <w:rPr>
                <w:b/>
                <w:bCs/>
              </w:rPr>
              <w:t xml:space="preserve">High</w:t>
            </w:r>
          </w:p>
        </w:tc>
      </w:tr>
    </w:tbl>
    <w:p>
      <w:pPr>
        <w:pStyle w:val="BodyText"/>
      </w:pPr>
      <w:r>
        <w:t xml:space="preserve">3. Target State Architecture</w:t>
      </w:r>
    </w:p>
    <w:p>
      <w:pPr>
        <w:pStyle w:val="BodyText"/>
      </w:pPr>
      <w:r>
        <w:t xml:space="preserve">3.1 Azure DNS Public Zones</w:t>
      </w:r>
    </w:p>
    <w:p>
      <w:pPr>
        <w:pStyle w:val="BodyText"/>
      </w:pPr>
      <w:r>
        <w:t xml:space="preserve">Azure DNS Public Zones host internet-facing DNS records. They are globally distributed across Azure's anycast network, providing high availability and low-latency resolution for external clients. Public Zones replace externally-facing AD DNS zones and standard primary zones serving public namespaces.</w:t>
      </w:r>
    </w:p>
    <w:p>
      <w:pPr>
        <w:pStyle w:val="BodyText"/>
      </w:pPr>
      <w:r>
        <w:t xml:space="preserve">3.2 Azure DNS Private Zones</w:t>
      </w:r>
    </w:p>
    <w:p>
      <w:pPr>
        <w:pStyle w:val="BodyText"/>
      </w:pPr>
      <w:r>
        <w:t xml:space="preserve">Azure DNS Private Zones provide name resolution within Azure Virtual Networks without exposing records to the public internet. Private Zones support:</w:t>
      </w:r>
    </w:p>
    <w:p>
      <w:pPr>
        <w:numPr>
          <w:ilvl w:val="0"/>
          <w:numId w:val="1282"/>
        </w:numPr>
      </w:pPr>
      <w:r>
        <w:rPr>
          <w:b/>
          <w:bCs/>
        </w:rPr>
        <w:t xml:space="preserve">VNet Linking</w:t>
      </w:r>
      <w:r>
        <w:t xml:space="preserve"> </w:t>
      </w:r>
      <w:r>
        <w:t xml:space="preserve">— associating the zone with one or more VNets for resolution</w:t>
      </w:r>
    </w:p>
    <w:p>
      <w:pPr>
        <w:numPr>
          <w:ilvl w:val="0"/>
          <w:numId w:val="1282"/>
        </w:numPr>
      </w:pPr>
      <w:r>
        <w:rPr>
          <w:b/>
          <w:bCs/>
        </w:rPr>
        <w:t xml:space="preserve">Auto-Registration</w:t>
      </w:r>
      <w:r>
        <w:t xml:space="preserve"> </w:t>
      </w:r>
      <w:r>
        <w:t xml:space="preserve">— automatic DNS record creation/deletion for VMs in linked VNets</w:t>
      </w:r>
    </w:p>
    <w:p>
      <w:pPr>
        <w:numPr>
          <w:ilvl w:val="0"/>
          <w:numId w:val="1282"/>
        </w:numPr>
      </w:pPr>
      <w:r>
        <w:rPr>
          <w:b/>
          <w:bCs/>
        </w:rPr>
        <w:t xml:space="preserve">Cross-VNet Resolution</w:t>
      </w:r>
      <w:r>
        <w:t xml:space="preserve"> </w:t>
      </w:r>
      <w:r>
        <w:t xml:space="preserve">— resources in peered VNets can resolve records from linked Private Zones</w:t>
      </w:r>
    </w:p>
    <w:p>
      <w:pPr>
        <w:pStyle w:val="FirstParagraph"/>
      </w:pPr>
      <w:r>
        <w:t xml:space="preserve">3.3 Azure DNS Private Resolver</w:t>
      </w:r>
    </w:p>
    <w:p>
      <w:pPr>
        <w:pStyle w:val="BodyText"/>
      </w:pPr>
      <w:r>
        <w:t xml:space="preserve">The Azure DNS Private Resolver is the critical hybrid component enabling bidirectional DNS resolution between on-premises networks and Azure Virtual Networks. It consists of:</w:t>
      </w:r>
    </w:p>
    <w:p>
      <w:pPr>
        <w:numPr>
          <w:ilvl w:val="0"/>
          <w:numId w:val="1283"/>
        </w:numPr>
      </w:pPr>
      <w:r>
        <w:rPr>
          <w:b/>
          <w:bCs/>
        </w:rPr>
        <w:t xml:space="preserve">Inbound Endpoints</w:t>
      </w:r>
      <w:r>
        <w:t xml:space="preserve"> </w:t>
      </w:r>
      <w:r>
        <w:t xml:space="preserve">— receive DNS queries from on-premises networks (via ExpressRoute or VPN) and resolve them against Azure DNS Private Zones. On-premises DNS servers use these endpoints as conditional forwarders.</w:t>
      </w:r>
    </w:p>
    <w:p>
      <w:pPr>
        <w:numPr>
          <w:ilvl w:val="0"/>
          <w:numId w:val="1283"/>
        </w:numPr>
      </w:pPr>
      <w:r>
        <w:rPr>
          <w:b/>
          <w:bCs/>
        </w:rPr>
        <w:t xml:space="preserve">Outbound Endpoints</w:t>
      </w:r>
      <w:r>
        <w:t xml:space="preserve"> </w:t>
      </w:r>
      <w:r>
        <w:t xml:space="preserve">— forward DNS queries from Azure to on-premises DNS servers. Used for resolving on-premises namespaces from within Azure.</w:t>
      </w:r>
    </w:p>
    <w:p>
      <w:pPr>
        <w:numPr>
          <w:ilvl w:val="0"/>
          <w:numId w:val="1283"/>
        </w:numPr>
      </w:pPr>
      <w:r>
        <w:rPr>
          <w:b/>
          <w:bCs/>
        </w:rPr>
        <w:t xml:space="preserve">DNS Forwarding Rulesets</w:t>
      </w:r>
      <w:r>
        <w:t xml:space="preserve"> </w:t>
      </w:r>
      <w:r>
        <w:t xml:space="preserve">— define granular forwarding rules per namespace, specifying which queries are forwarded to which target DNS servers. Rulesets are linked to VNets for enforcement.</w:t>
      </w:r>
    </w:p>
    <w:p>
      <w:pPr>
        <w:pStyle w:val="FirstParagraph"/>
      </w:pPr>
      <w:r>
        <w:t xml:space="preserve">3.4 Architecture Overview</w:t>
      </w:r>
    </w:p>
    <w:tbl>
      <w:tblPr>
        <w:tblStyle w:val="Table"/>
        <w:tblW w:type="pct" w:w="5009"/>
        <w:tblLayout w:type="fixed"/>
        <w:tblLook w:firstRow="0" w:lastRow="0" w:firstColumn="0" w:lastColumn="0" w:noHBand="0" w:noVBand="0" w:val="0000"/>
      </w:tblPr>
      <w:tblGrid>
        <w:gridCol w:w="7933"/>
      </w:tblGrid>
      <w:tr>
        <w:tc>
          <w:tcPr/>
          <w:p>
            <w:pPr>
              <w:jc w:val="center"/>
            </w:pPr>
            <w:r>
              <w:rPr>
                <w:b/>
                <w:bCs/>
              </w:rPr>
              <w:t xml:space="preserve">[Placeholder — Diagram 1: Hybrid DNS Resolution Architecture — 900x600px]</w:t>
            </w:r>
          </w:p>
          <w:p>
            <w:pPr>
              <w:jc w:val="center"/>
            </w:pPr>
            <w:r>
              <w:t xml:space="preserve">Shows on-premises AD DNS servers connected via ExpressRoute/VPN to Azure. Azure DNS Private Resolver with inbound endpoints (receiving on-prem queries) and outbound endpoints (forwarding to on-prem). Azure DNS Private Zones linked to hub and spoke VNets. Client resolution flow depicted with numbered arrows: (1) On-prem client queries on-prem DNS, (2) on-prem DNS conditionally forwards to inbound endpoint, (3) resolver queries Azure DNS Private Zone, (4) response returned. Reverse flow for Azure-to-on-prem resolution via outbound endpoint and forwarding rulesets.</w:t>
            </w:r>
          </w:p>
        </w:tc>
      </w:tr>
    </w:tbl>
    <w:p>
      <w:pPr>
        <w:pStyle w:val="BodyText"/>
      </w:pPr>
      <w:r>
        <w:t xml:space="preserve">3.5 Split-Brain DNS</w:t>
      </w:r>
    </w:p>
    <w:p>
      <w:pPr>
        <w:pStyle w:val="BodyText"/>
      </w:pPr>
      <w:r>
        <w:t xml:space="preserve">Split-brain DNS enables the same namespace (e.g., contoso.com) to resolve differently depending on the query origin. Internal clients resolving via Azure DNS Private Zones receive private IP addresses, while external clients resolving via Azure DNS Public Zones (or external DNS) receive public IP addresses. This is achieved by maintaining separate zone instances — a Private Zone and a Public Zone — with different record sets for the same domain name.</w:t>
      </w:r>
    </w:p>
    <w:p>
      <w:pPr>
        <w:pStyle w:val="BodyText"/>
      </w:pPr>
      <w:r>
        <w:t xml:space="preserve">3.6 VNet DNS Settings</w:t>
      </w:r>
    </w:p>
    <w:p>
      <w:pPr>
        <w:pStyle w:val="BodyText"/>
      </w:pPr>
      <w:r>
        <w:t xml:space="preserve">Each Azure VNet can be configured with custom DNS server settings. During hybrid operation, VNets should be configured to use:</w:t>
      </w:r>
    </w:p>
    <w:p>
      <w:pPr>
        <w:numPr>
          <w:ilvl w:val="0"/>
          <w:numId w:val="1284"/>
        </w:numPr>
      </w:pPr>
      <w:r>
        <w:t xml:space="preserve">The DNS Private Resolver inbound endpoint IP as the primary DNS server</w:t>
      </w:r>
    </w:p>
    <w:p>
      <w:pPr>
        <w:numPr>
          <w:ilvl w:val="0"/>
          <w:numId w:val="1284"/>
        </w:numPr>
      </w:pPr>
      <w:r>
        <w:t xml:space="preserve">Azure-provided DNS (168.63.129.16) as the fallback for Azure service resolution</w:t>
      </w:r>
    </w:p>
    <w:p>
      <w:pPr>
        <w:pStyle w:val="FirstParagraph"/>
      </w:pPr>
      <w:r>
        <w:t xml:space="preserve">Post-migration, VNets transition to Azure-provided DNS with Private Zone links handling internal resolution.</w:t>
      </w:r>
    </w:p>
    <w:p>
      <w:pPr>
        <w:pStyle w:val="BodyText"/>
      </w:pPr>
      <w:r>
        <w:t xml:space="preserve">3.7 Hub-Spoke DNS Topology</w:t>
      </w:r>
    </w:p>
    <w:p>
      <w:pPr>
        <w:pStyle w:val="BodyText"/>
      </w:pPr>
      <w:r>
        <w:t xml:space="preserve">In hub-spoke network architectures, the DNS Private Resolver is deployed in the hub VNet. Spoke VNets link to DNS Forwarding Rulesets for outbound resolution and use VNet peering to reach the resolver. Private DNS Zones are linked to both hub and spoke VNets. This centralized model provides:</w:t>
      </w:r>
    </w:p>
    <w:p>
      <w:pPr>
        <w:numPr>
          <w:ilvl w:val="0"/>
          <w:numId w:val="1285"/>
        </w:numPr>
      </w:pPr>
      <w:r>
        <w:t xml:space="preserve">Single point of management for forwarding rules</w:t>
      </w:r>
    </w:p>
    <w:p>
      <w:pPr>
        <w:numPr>
          <w:ilvl w:val="0"/>
          <w:numId w:val="1285"/>
        </w:numPr>
      </w:pPr>
      <w:r>
        <w:t xml:space="preserve">Consistent resolution behavior across all spokes</w:t>
      </w:r>
    </w:p>
    <w:p>
      <w:pPr>
        <w:numPr>
          <w:ilvl w:val="0"/>
          <w:numId w:val="1285"/>
        </w:numPr>
      </w:pPr>
      <w:r>
        <w:t xml:space="preserve">Reduced resolver instance count and cost</w:t>
      </w:r>
    </w:p>
    <w:p>
      <w:pPr>
        <w:numPr>
          <w:ilvl w:val="0"/>
          <w:numId w:val="1285"/>
        </w:numPr>
      </w:pPr>
      <w:r>
        <w:t xml:space="preserve">Simplified monitoring and logging</w:t>
      </w:r>
    </w:p>
    <w:p>
      <w:pPr>
        <w:pStyle w:val="FirstParagraph"/>
      </w:pPr>
      <w:r>
        <w:t xml:space="preserve">4. DNS Assessment Pipeline</w:t>
      </w:r>
    </w:p>
    <w:p>
      <w:pPr>
        <w:pStyle w:val="BodyText"/>
      </w:pPr>
      <w:r>
        <w:t xml:space="preserve">The DNS assessment pipeline provides automated discovery and validation of the existing AD DNS infrastructure. All functions are part of the FMPDNSAssessment PowerShell module and produce JSON output committed to the Gitea assessments branch.</w:t>
      </w:r>
    </w:p>
    <w:tbl>
      <w:tblPr>
        <w:tblStyle w:val="Table"/>
        <w:tblW w:type="pct" w:w="5027"/>
        <w:tblLayout w:type="fixed"/>
        <w:tblLook w:firstRow="0" w:lastRow="0" w:firstColumn="0" w:lastColumn="0" w:noHBand="0" w:noVBand="0" w:val="0000"/>
      </w:tblPr>
      <w:tblGrid>
        <w:gridCol w:w="7963"/>
      </w:tblGrid>
      <w:tr>
        <w:tc>
          <w:tcPr/>
          <w:p>
            <w:pPr>
              <w:pStyle w:val="FirstParagraph"/>
            </w:pPr>
            <w:r>
              <w:rPr>
                <w:b/>
                <w:bCs/>
              </w:rPr>
              <w:t xml:space="preserve">Note</w:t>
            </w:r>
          </w:p>
          <w:p>
            <w:pPr>
              <w:pStyle w:val="BodyText"/>
            </w:pPr>
            <w:r>
              <w:t xml:space="preserve">This pipeline cross-references the Invoke-FMPADAssessment DNS module from the AD Interaction Guide. The functions below extend that module with DNS-specific deep-dive capabilities. |</w:t>
            </w:r>
          </w:p>
        </w:tc>
      </w:tr>
    </w:tbl>
    <w:p>
      <w:pPr>
        <w:pStyle w:val="BodyText"/>
      </w:pPr>
      <w:r>
        <w:t xml:space="preserve">4.1 Get-FMPDNSZoneInventory</w:t>
      </w:r>
    </w:p>
    <w:p>
      <w:pPr>
        <w:pStyle w:val="BodyText"/>
      </w:pPr>
      <w:r>
        <w:t xml:space="preserve">Discovers all DNS zones across all DNS servers in the domain, capturing zone type, replication scope, dynamic update configuration, and record counts.</w:t>
      </w:r>
    </w:p>
    <w:p>
      <w:pPr>
        <w:pStyle w:val="BodyText"/>
      </w:pPr>
      <w:r>
        <w:t xml:space="preserve">function Get-FMPDNSZoneInventory { [CmdletBinding] param( [Parameter(Mandatory = $false)] [string[]]$DnsServerName = ( Get-DnsServer -ComputerName ( Get-ADDomainController -Filter * ).HostName | Select-Object -ExpandProperty HostName ), [Parameter(Mandatory = $false)] [string]$OutputPath = ".\assessments\dns" ) $results = @ foreach ($server in $DnsServerName) { try { $zones = Get-DnsServerZone -ComputerName $server -ErrorAction Stop foreach ($zone in $zones) { $recordCount = ( Get-DnsServerResourceRecord -ZoneName $zone.ZoneName ` -ComputerName $server -ErrorAction SilentlyContinue ).Count $results += [PSCustomObject]@{ ServerName = $server ZoneName = $zone.ZoneName ZoneType = $zone.ZoneType IsADIntegrated = $zone.IsDsIntegrated ReplicationScope = $zone.DirectoryPartitionName DynamicUpdate = $zone.DynamicUpdate IsReverseLookup = $zone.IsReverseLookupZone IsSigned = $zone.IsSigned RecordCount = $recordCount ZoneFile = $zone.ZoneFile NotifyServers = ($zone.NotifyServers -join "; ") SecondaryServers = ($zone.SecondaryServers -join "; ") AssessmentTimestamp = (Get-Date -Format "o") } } } catch { Write-Warning "Failed to query DNS server $server : $_" } } if (-not (Test-Path $OutputPath)) { New-Item -ItemType Directory -Path $OutputPath -Force | Out-Null } $outputFile = Join-Path $OutputPath "dns-zone-inventory.json" $results | ConvertTo-Json -Depth 5 | Out-File -FilePath $outputFile -Encoding UTF8 Write-Host "Zone inventory exported: $outputFile ($($results.Count) zones)" return $results }</w:t>
      </w:r>
    </w:p>
    <w:p>
      <w:pPr>
        <w:pStyle w:val="BodyText"/>
      </w:pPr>
      <w:r>
        <w:t xml:space="preserve">4.2 Get-FMPDNSRecordExport</w:t>
      </w:r>
    </w:p>
    <w:p>
      <w:pPr>
        <w:pStyle w:val="BodyText"/>
      </w:pPr>
      <w:r>
        <w:t xml:space="preserve">Performs a full record dump per zone, exporting all record types (A, AAAA, CNAME, MX, SRV, TXT, PTR, NS, SOA) with full record data.</w:t>
      </w:r>
    </w:p>
    <w:p>
      <w:pPr>
        <w:pStyle w:val="BodyText"/>
      </w:pPr>
      <w:r>
        <w:t xml:space="preserve">function Get-FMPDNSRecordExport { [CmdletBinding] param( [Parameter(Mandatory = $true)] [string]$ZoneName, [Parameter(Mandatory = $false)] [string]$DnsServerName = (Get-ADDomainController -Discover).HostName, [Parameter(Mandatory = $false)] [string]$OutputPath = ".\assessments\dns\records" ) $records = Get-DnsServerResourceRecord -ZoneName $ZoneName ` -ComputerName $DnsServerName -ErrorAction Stop $export = foreach ($record in $records) { $recordData = switch ($record.RecordType) { 'A' { $record.RecordData.IPv4Address.IPAddressToString } 'AAAA' { $record.RecordData.IPv6Address.IPAddressToString } 'CNAME' { $record.RecordData.HostNameAlias } 'MX' { "$($record.RecordData.Preference) $($record.RecordData.MailExchange)" } 'SRV' { "$($record.RecordData.Priority) $($record.RecordData.Weight) $($record.RecordData.Port) $($record.RecordData.DomainName)" } 'TXT' { $record.RecordData.DescriptiveText -join "; " } 'PTR' { $record.RecordData.PtrDomainName } 'NS' { $record.RecordData.NameServer } 'SOA' { "$($record.RecordData.PrimaryServer) $($record.RecordData.ResponsiblePerson)" } default { $record.RecordData | ConvertTo-Json -Compress } } [PSCustomObject]@{ HostName = $record.HostName RecordType = $record.RecordType TTL = $record.TimeToLive.ToString Timestamp = $record.Timestamp RecordData = $recordData IsStale = if ($record.Timestamp -and $record.Timestamp -lt (Get-Date).AddDays(-14)) { $true } else { $false } } } if (-not (Test-Path $OutputPath)) { New-Item -ItemType Directory -Path $OutputPath -Force | Out-Null } $safeZoneName = $ZoneName -replace '[\\/:*?"&lt; data-id="274"&gt;|]', '_' $outputFile = Join-Path $OutputPath "$safeZoneName-records.json" $export | ConvertTo-Json -Depth 5 | Out-File -FilePath $outputFile -Encoding UTF8 Write-Host "Record export for '$ZoneName': $outputFile ($($export.Count) records)" return $export }</w:t>
      </w:r>
    </w:p>
    <w:p>
      <w:pPr>
        <w:pStyle w:val="BodyText"/>
      </w:pPr>
      <w:r>
        <w:t xml:space="preserve">4.3 Get-FMPDNSHealthCheck</w:t>
      </w:r>
    </w:p>
    <w:p>
      <w:pPr>
        <w:pStyle w:val="BodyText"/>
      </w:pPr>
      <w:r>
        <w:t xml:space="preserve">Evaluates zone health including scavenging status, stale record counts, duplicate records, and orphaned PTR records.</w:t>
      </w:r>
    </w:p>
    <w:p>
      <w:pPr>
        <w:pStyle w:val="BodyText"/>
      </w:pPr>
      <w:r>
        <w:t xml:space="preserve">function Get-FMPDNSHealthCheck { [CmdletBinding] param( [Parameter(Mandatory = $false)] [string]$DnsServerName = (Get-ADDomainController -Discover).HostName, [Parameter(Mandatory = $false)] [string]$OutputPath = ".\assessments\dns" ) $zones = Get-DnsServerZone -ComputerName $DnsServerName | Where-Object { -not $_.IsAutoCreated -and $_.ZoneName -ne 'TrustAnchors' } $healthReport = foreach ($zone in $zones) { $records = Get-DnsServerResourceRecord -ZoneName $zone.ZoneName ` -ComputerName $DnsServerName -ErrorAction SilentlyContinue # Scavenging status $scavenging = Get-DnsServerScavenging -ComputerName $DnsServerName # Stale records (timestamp older than 14 days) $staleRecords = $records | Where-Object { $_.Timestamp -and $_.Timestamp -lt (Get-Date).AddDays(-14) } # Duplicate A records (same hostname, same IP) $aRecords = $records | Where-Object { $_.RecordType -eq 'A' } $duplicates = $aRecords | Group-Object HostName | Where-Object { $_.Count -gt 1 } # Orphaned PTR records (PTR with no matching A record) $orphanedPTR = @ if ($zone.IsReverseLookupZone) { foreach ($ptr in ($records | Where-Object { $_.RecordType -eq 'PTR' })) { $fqdn = $ptr.RecordData.PtrDomainName $resolved = Resolve-DnsName -Name $fqdn -ErrorAction SilentlyContinue if (-not $resolved) { $orphanedPTR += $ptr.HostName } } } [PSCustomObject]@{ ZoneName = $zone.ZoneName ZoneType = $zone.ZoneType TotalRecords = $records.Count StaleRecordCount = $staleRecords.Count DuplicateHostnames = $duplicates.Count OrphanedPTRCount = $orphanedPTR.Count ScavengingEnabled = $scavenging.ScavengingState ScavengingInterval = $scavenging.ScavengingInterval.ToString NoRefreshInterval = $zone.NoRefreshInterval.ToString RefreshInterval = $zone.RefreshInterval.ToString HealthStatus = if ($staleRecords.Count -gt 50 -or $orphanedPTR.Count -gt 20) { "WARNING" } else { "HEALTHY" } } } $outputFile = Join-Path $OutputPath "dns-health-check.json" $healthReport | ConvertTo-Json -Depth 5 | Out-File -FilePath $outputFile -Encoding UTF8 Write-Host "Health check exported: $outputFile" return $healthReport }</w:t>
      </w:r>
    </w:p>
    <w:p>
      <w:pPr>
        <w:pStyle w:val="BodyText"/>
      </w:pPr>
      <w:r>
        <w:t xml:space="preserve">4.4 Get-FMPDNSSRVValidation</w:t>
      </w:r>
    </w:p>
    <w:p>
      <w:pPr>
        <w:pStyle w:val="BodyText"/>
      </w:pPr>
      <w:r>
        <w:t xml:space="preserve">Validates that all critical Active Directory SRV records resolve correctly from each DNS server.</w:t>
      </w:r>
    </w:p>
    <w:p>
      <w:pPr>
        <w:pStyle w:val="BodyText"/>
      </w:pPr>
      <w:r>
        <w:t xml:space="preserve">function Get-FMPDNSSRVValidation { [CmdletBinding] param( [Parameter(Mandatory = $false)] [string]$DomainName = (Get-ADDomain).DNSRoot, [Parameter(Mandatory = $false)] [string]$ForestName = (Get-ADForest).Name, [Parameter(Mandatory = $false)] [string]$OutputPath = ".\assessments\dns" ) $srvRecords = @( "_ldap._tcp.dc._msdcs.$DomainName" "_kerberos._tcp.dc._msdcs.$DomainName" "_gc._tcp.$ForestName" "_kpasswd._tcp.$DomainName" "_ldap._tcp.$DomainName" "_kerberos._tcp.$DomainName" ) # Add site-specific SRV records $sites = Get-ADReplicationSite -Filter * foreach ($site in $sites) { $srvRecords += "_ldap._tcp.$($site.Name)._sites.dc._msdcs.$DomainName" $srvRecords += "_kerberos._tcp.$($site.Name)._sites.dc._msdcs.$DomainName" } $results = foreach ($srv in $srvRecords) { try { $resolved = Resolve-DnsName -Name $srv -Type SRV -ErrorAction Stop [PSCustomObject]@{ SRVRecord = $srv Status = "RESOLVED" TargetCount = $resolved.Count Targets = ($resolved | ForEach-Object { "$($_.NameTarget):$($_.Port)" }) -join "; " TTL = ($resolved | Select-Object -First 1).TTL ErrorMessage = $null } } catch { [PSCustomObject]@{ SRVRecord = $srv Status = "FAILED" TargetCount = 0 Targets = $null TTL = $null ErrorMessage = $_.Exception.Message } } } $outputFile = Join-Path $OutputPath "dns-srv-validation.json" $results | ConvertTo-Json -Depth 5 | Out-File -FilePath $outputFile -Encoding UTF8 $failedCount = ($results | Where-Object { $_.Status -eq 'FAILED' }).Count if ($failedCount -gt 0) { Write-Warning "$failedCount SRV record(s) failed validation!" } Write-Host "SRV validation exported: $outputFile ($($results.Count) records tested)" return $results }</w:t>
      </w:r>
    </w:p>
    <w:p>
      <w:pPr>
        <w:pStyle w:val="BodyText"/>
      </w:pPr>
      <w:r>
        <w:t xml:space="preserve">4.5 Get-FMPDNSForwarderAudit</w:t>
      </w:r>
    </w:p>
    <w:p>
      <w:pPr>
        <w:pStyle w:val="BodyText"/>
      </w:pPr>
      <w:r>
        <w:t xml:space="preserve">Audits all conditional forwarder configurations and tests reachability of target DNS servers.</w:t>
      </w:r>
    </w:p>
    <w:p>
      <w:pPr>
        <w:pStyle w:val="BodyText"/>
      </w:pPr>
      <w:r>
        <w:t xml:space="preserve">function Get-FMPDNSForwarderAudit { [CmdletBinding] param( [Parameter(Mandatory = $false)] [string]$DnsServerName = (Get-ADDomainController -Discover).HostName, [Parameter(Mandatory = $false)] [string]$OutputPath = ".\assessments\dns" ) $forwarders = Get-DnsServerZone -ComputerName $DnsServerName | Where-Object { $_.ZoneType -eq 'Forwarder' } $serverForwarders = (Get-DnsServerForwarder -ComputerName $DnsServerName).IPAddress $results = @ # Conditional forwarders foreach ($fwd in $forwarders) { foreach ($ip in $fwd.MasterServers) { $reachable = Test-Connection -ComputerName $ip.IPAddressToString ` -Count 1 -Quiet -ErrorAction SilentlyContinue $dnsReachable = $false try { $testResolve = Resolve-DnsName -Name $fwd.ZoneName ` -Server $ip.IPAddressToString -ErrorAction Stop $dnsReachable = $true } catch { } $results += [PSCustomObject]@{ ForwarderType = "Conditional" Namespace = $fwd.ZoneName TargetIP = $ip.IPAddressToString ICMPReachable = $reachable DNSReachable = $dnsReachable IsADIntegrated = $fwd.IsDsIntegrated ReplicationScope = $fwd.DirectoryPartitionName } } } # Server-level forwarders foreach ($ip in $serverForwarders) { $reachable = Test-Connection -ComputerName $ip.IPAddressToString ` -Count 1 -Quiet -ErrorAction SilentlyContinue $results += [PSCustomObject]@{ ForwarderType = "ServerLevel" Namespace = "*" TargetIP = $ip.IPAddressToString ICMPReachable = $reachable DNSReachable = $null IsADIntegrated = $false ReplicationScope = "N/A" } } $outputFile = Join-Path $OutputPath "dns-forwarder-audit.json" $results | ConvertTo-Json -Depth 5 | Out-File -FilePath $outputFile -Encoding UTF8 Write-Host "Forwarder audit exported: $outputFile ($($results.Count) entries)" return $results }</w:t>
      </w:r>
    </w:p>
    <w:p>
      <w:pPr>
        <w:pStyle w:val="BodyText"/>
      </w:pPr>
      <w:r>
        <w:t xml:space="preserve">4.6 Get-FMPDNSSECStatus</w:t>
      </w:r>
    </w:p>
    <w:p>
      <w:pPr>
        <w:pStyle w:val="BodyText"/>
      </w:pPr>
      <w:r>
        <w:t xml:space="preserve">Assesses DNSSEC signing status, trust anchor inventory, and signing algorithm review across all zones.</w:t>
      </w:r>
    </w:p>
    <w:p>
      <w:pPr>
        <w:pStyle w:val="BodyText"/>
      </w:pPr>
      <w:r>
        <w:t xml:space="preserve">function Get-FMPDNSSECStatus { [CmdletBinding] param( [Parameter(Mandatory = $false)] [string]$DnsServerName = (Get-ADDomainController -Discover).HostName, [Parameter(Mandatory = $false)] [string]$OutputPath = ".\assessments\dns" ) $zones = Get-DnsServerZone -ComputerName $DnsServerName | Where-Object { -not $_.IsAutoCreated } $results = foreach ($zone in $zones) { $signingInfo = $null $keyInfo = @ if ($zone.IsSigned) { try { $signingInfo = Get-DnsServerDnssecZoneSetting ` -ZoneName $zone.ZoneName -ComputerName $DnsServerName $keyInfo = Get-DnsServerSigningKey ` -ZoneName $zone.ZoneName -ComputerName $DnsServerName } catch { Write-Warning "Could not retrieve DNSSEC info for $($zone.ZoneName): $_" } } [PSCustomObject]@{ ZoneName = $zone.ZoneName IsSigned = $zone.IsSigned DenialOfExistence = if ($signingInfo) { $signingInfo.DenialOfExistence } else { "N/A" } IsKeyMasterServer = if ($signingInfo) { $signingInfo.IsKeyMasterServer } else { $false } KeyMasterServer = if ($signingInfo) { $signingInfo.KeyMasterServer } else { "N/A" } SigningKeyCount = $keyInfo.Count SigningKeys = ($keyInfo | ForEach-Object { [PSCustomObject]@{ KeyType = $_.KeyType CryptoAlgorithm = $_.CryptoAlgorithm KeyLength = $_.KeyLength ActiveDate = $_.ActiveDate RolloverPeriod = $_.RolloverPeriod.ToString NextRolloverAction = $_.NextRolloverAction } }) } } # Trust Anchors $trustAnchors = @ try { $taZone = Get-DnsServerZone -Name "TrustAnchors" ` -ComputerName $DnsServerName -ErrorAction Stop $taRecords = Get-DnsServerResourceRecord -ZoneName "TrustAnchors" ` -ComputerName $DnsServerName -ErrorAction SilentlyContinue $trustAnchors = $taRecords | ForEach-Object { [PSCustomObject]@{ Name = $_.HostName RecordType = $_.RecordType Data = $_.RecordData | ConvertTo-Json -Compress } } } catch { Write-Warning "No TrustAnchors zone found." } $report = [PSCustomObject]@{ AssessmentTimestamp = (Get-Date -Format "o") Server = $DnsServerName Zones = $results TrustAnchors = $trustAnchors } $outputFile = Join-Path $OutputPath "dns-dnssec-status.json" $report | ConvertTo-Json -Depth 10 | Out-File -FilePath $outputFile -Encoding UTF8 Write-Host "DNSSEC status exported: $outputFile" return $report }</w:t>
      </w:r>
    </w:p>
    <w:p>
      <w:pPr>
        <w:pStyle w:val="BodyText"/>
      </w:pPr>
      <w:r>
        <w:t xml:space="preserve">4.7 Output Format</w:t>
      </w:r>
    </w:p>
    <w:p>
      <w:pPr>
        <w:pStyle w:val="BodyText"/>
      </w:pPr>
      <w:r>
        <w:t xml:space="preserve">All assessment functions produce JSON files following the Federal Modernization Program Canon output convention:</w:t>
      </w:r>
    </w:p>
    <w:tbl>
      <w:tblPr>
        <w:tblStyle w:val="Table"/>
        <w:tblW w:type="pct" w:w="4881"/>
        <w:tblLayout w:type="fixed"/>
        <w:tblLook w:firstRow="1" w:lastRow="0" w:firstColumn="0" w:lastColumn="0" w:noHBand="0" w:noVBand="0" w:val="0020"/>
      </w:tblPr>
      <w:tblGrid>
        <w:gridCol w:w="2640"/>
        <w:gridCol w:w="2545"/>
        <w:gridCol w:w="2545"/>
      </w:tblGrid>
      <w:tr>
        <w:trPr>
          <w:tblHeader w:val="on"/>
        </w:trPr>
        <w:tc>
          <w:tcPr/>
          <w:p>
            <w:pPr>
              <w:pStyle w:val="Compact"/>
              <w:jc w:val="left"/>
            </w:pPr>
            <w:r>
              <w:rPr>
                <w:b/>
                <w:bCs/>
              </w:rPr>
              <w:t xml:space="preserve">Function</w:t>
            </w:r>
          </w:p>
        </w:tc>
        <w:tc>
          <w:tcPr/>
          <w:p>
            <w:pPr>
              <w:pStyle w:val="Compact"/>
              <w:jc w:val="left"/>
            </w:pPr>
            <w:r>
              <w:rPr>
                <w:b/>
                <w:bCs/>
              </w:rPr>
              <w:t xml:space="preserve">Output File</w:t>
            </w:r>
          </w:p>
        </w:tc>
        <w:tc>
          <w:tcPr/>
          <w:p>
            <w:pPr>
              <w:pStyle w:val="Compact"/>
              <w:jc w:val="left"/>
            </w:pPr>
            <w:r>
              <w:rPr>
                <w:b/>
                <w:bCs/>
              </w:rPr>
              <w:t xml:space="preserve">Gitea Branch</w:t>
            </w:r>
          </w:p>
        </w:tc>
      </w:tr>
      <w:tr>
        <w:tc>
          <w:tcPr/>
          <w:p>
            <w:pPr>
              <w:pStyle w:val="Compact"/>
              <w:jc w:val="left"/>
            </w:pPr>
            <w:r>
              <w:t xml:space="preserve">Get-FMPDNSZoneInventory d</w:t>
            </w:r>
          </w:p>
        </w:tc>
        <w:tc>
          <w:tcPr/>
          <w:p>
            <w:pPr>
              <w:pStyle w:val="Compact"/>
              <w:jc w:val="left"/>
            </w:pPr>
            <w:r>
              <w:t xml:space="preserve">ns-zone-inventory.json a</w:t>
            </w:r>
          </w:p>
        </w:tc>
        <w:tc>
          <w:tcPr/>
          <w:p>
            <w:pPr>
              <w:pStyle w:val="Compact"/>
              <w:jc w:val="left"/>
            </w:pPr>
            <w:r>
              <w:t xml:space="preserve">ssessments/dns</w:t>
            </w:r>
          </w:p>
        </w:tc>
      </w:tr>
      <w:tr>
        <w:tc>
          <w:tcPr/>
          <w:p>
            <w:pPr>
              <w:pStyle w:val="Compact"/>
              <w:jc w:val="left"/>
            </w:pPr>
            <w:r>
              <w:t xml:space="preserve">Get-FMPDNSRecordExport {</w:t>
            </w:r>
          </w:p>
        </w:tc>
        <w:tc>
          <w:tcPr/>
          <w:p>
            <w:pPr>
              <w:pStyle w:val="Compact"/>
              <w:jc w:val="left"/>
            </w:pPr>
            <w:r>
              <w:t xml:space="preserve">zonename}-records.json a</w:t>
            </w:r>
          </w:p>
        </w:tc>
        <w:tc>
          <w:tcPr/>
          <w:p>
            <w:pPr>
              <w:pStyle w:val="Compact"/>
              <w:jc w:val="left"/>
            </w:pPr>
            <w:r>
              <w:t xml:space="preserve">ssessments/dns/records</w:t>
            </w:r>
          </w:p>
        </w:tc>
      </w:tr>
      <w:tr>
        <w:tc>
          <w:tcPr/>
          <w:p>
            <w:pPr>
              <w:pStyle w:val="Compact"/>
              <w:jc w:val="left"/>
            </w:pPr>
            <w:r>
              <w:t xml:space="preserve">Get-FMPDNSHealthCheck d</w:t>
            </w:r>
          </w:p>
        </w:tc>
        <w:tc>
          <w:tcPr/>
          <w:p>
            <w:pPr>
              <w:pStyle w:val="Compact"/>
              <w:jc w:val="left"/>
            </w:pPr>
            <w:r>
              <w:t xml:space="preserve">ns-health-check.json a</w:t>
            </w:r>
          </w:p>
        </w:tc>
        <w:tc>
          <w:tcPr/>
          <w:p>
            <w:pPr>
              <w:pStyle w:val="Compact"/>
              <w:jc w:val="left"/>
            </w:pPr>
            <w:r>
              <w:t xml:space="preserve">ssessments/dns</w:t>
            </w:r>
          </w:p>
        </w:tc>
      </w:tr>
      <w:tr>
        <w:tc>
          <w:tcPr/>
          <w:p>
            <w:pPr>
              <w:pStyle w:val="Compact"/>
              <w:jc w:val="left"/>
            </w:pPr>
            <w:r>
              <w:t xml:space="preserve">Get-FMPDNSSRVValidation d</w:t>
            </w:r>
          </w:p>
        </w:tc>
        <w:tc>
          <w:tcPr/>
          <w:p>
            <w:pPr>
              <w:pStyle w:val="Compact"/>
              <w:jc w:val="left"/>
            </w:pPr>
            <w:r>
              <w:t xml:space="preserve">ns-srv-validation.json a</w:t>
            </w:r>
          </w:p>
        </w:tc>
        <w:tc>
          <w:tcPr/>
          <w:p>
            <w:pPr>
              <w:pStyle w:val="Compact"/>
              <w:jc w:val="left"/>
            </w:pPr>
            <w:r>
              <w:t xml:space="preserve">ssessments/dns</w:t>
            </w:r>
          </w:p>
        </w:tc>
      </w:tr>
      <w:tr>
        <w:tc>
          <w:tcPr/>
          <w:p>
            <w:pPr>
              <w:pStyle w:val="Compact"/>
              <w:jc w:val="left"/>
            </w:pPr>
            <w:r>
              <w:t xml:space="preserve">Get-FMPDNSForwarderAudit d</w:t>
            </w:r>
          </w:p>
        </w:tc>
        <w:tc>
          <w:tcPr/>
          <w:p>
            <w:pPr>
              <w:pStyle w:val="Compact"/>
              <w:jc w:val="left"/>
            </w:pPr>
            <w:r>
              <w:t xml:space="preserve">ns-forwarder-audit.json a</w:t>
            </w:r>
          </w:p>
        </w:tc>
        <w:tc>
          <w:tcPr/>
          <w:p>
            <w:pPr>
              <w:pStyle w:val="Compact"/>
              <w:jc w:val="left"/>
            </w:pPr>
            <w:r>
              <w:t xml:space="preserve">ssessments/dns</w:t>
            </w:r>
          </w:p>
        </w:tc>
      </w:tr>
      <w:tr>
        <w:tc>
          <w:tcPr/>
          <w:p>
            <w:pPr>
              <w:pStyle w:val="Compact"/>
              <w:jc w:val="left"/>
            </w:pPr>
            <w:r>
              <w:t xml:space="preserve">Get-FMPDNSSECStatus d</w:t>
            </w:r>
          </w:p>
        </w:tc>
        <w:tc>
          <w:tcPr/>
          <w:p>
            <w:pPr>
              <w:pStyle w:val="Compact"/>
              <w:jc w:val="left"/>
            </w:pPr>
            <w:r>
              <w:t xml:space="preserve">ns-dnssec-status.json a</w:t>
            </w:r>
          </w:p>
        </w:tc>
        <w:tc>
          <w:tcPr/>
          <w:p>
            <w:pPr>
              <w:pStyle w:val="Compact"/>
              <w:jc w:val="left"/>
            </w:pPr>
            <w:r>
              <w:t xml:space="preserve">ssessments/dns</w:t>
            </w:r>
          </w:p>
        </w:tc>
      </w:tr>
    </w:tbl>
    <w:p>
      <w:pPr>
        <w:pStyle w:val="BodyText"/>
      </w:pPr>
      <w:r>
        <w:t xml:space="preserve">5. Zone Migration Strategy</w:t>
      </w:r>
    </w:p>
    <w:p>
      <w:pPr>
        <w:pStyle w:val="BodyText"/>
      </w:pPr>
      <w:r>
        <w:t xml:space="preserve">5.1 Zone Type Decision Matrix</w:t>
      </w:r>
    </w:p>
    <w:tbl>
      <w:tblPr>
        <w:tblStyle w:val="Table"/>
        <w:tblW w:type="pct" w:w="4958"/>
        <w:tblLayout w:type="fixed"/>
        <w:tblLook w:firstRow="1" w:lastRow="0" w:firstColumn="0" w:lastColumn="0" w:noHBand="0" w:noVBand="0" w:val="0020"/>
      </w:tblPr>
      <w:tblGrid>
        <w:gridCol w:w="1159"/>
        <w:gridCol w:w="1424"/>
        <w:gridCol w:w="2187"/>
        <w:gridCol w:w="3081"/>
      </w:tblGrid>
      <w:tr>
        <w:trPr>
          <w:tblHeader w:val="on"/>
        </w:trPr>
        <w:tc>
          <w:tcPr/>
          <w:p>
            <w:pPr>
              <w:pStyle w:val="Compact"/>
              <w:jc w:val="left"/>
            </w:pPr>
            <w:r>
              <w:rPr>
                <w:b/>
                <w:bCs/>
              </w:rPr>
              <w:t xml:space="preserve">Zone Type</w:t>
            </w:r>
          </w:p>
        </w:tc>
        <w:tc>
          <w:tcPr/>
          <w:p>
            <w:pPr>
              <w:pStyle w:val="Compact"/>
              <w:jc w:val="left"/>
            </w:pPr>
            <w:r>
              <w:rPr>
                <w:b/>
                <w:bCs/>
              </w:rPr>
              <w:t xml:space="preserve">Target</w:t>
            </w:r>
          </w:p>
        </w:tc>
        <w:tc>
          <w:tcPr/>
          <w:p>
            <w:pPr>
              <w:pStyle w:val="Compact"/>
              <w:jc w:val="left"/>
            </w:pPr>
            <w:r>
              <w:rPr>
                <w:b/>
                <w:bCs/>
              </w:rPr>
              <w:t xml:space="preserve">Method</w:t>
            </w:r>
          </w:p>
        </w:tc>
        <w:tc>
          <w:tcPr/>
          <w:p>
            <w:pPr>
              <w:pStyle w:val="Compact"/>
              <w:jc w:val="left"/>
            </w:pPr>
            <w:r>
              <w:rPr>
                <w:b/>
                <w:bCs/>
              </w:rPr>
              <w:t xml:space="preserve">Considerations</w:t>
            </w:r>
          </w:p>
        </w:tc>
      </w:tr>
      <w:tr>
        <w:tc>
          <w:tcPr/>
          <w:p>
            <w:pPr>
              <w:pStyle w:val="Compact"/>
              <w:jc w:val="left"/>
            </w:pPr>
            <w:r>
              <w:t xml:space="preserve">AD-Integrated Primary (Internal)</w:t>
            </w:r>
          </w:p>
        </w:tc>
        <w:tc>
          <w:tcPr/>
          <w:p>
            <w:pPr>
              <w:pStyle w:val="Compact"/>
              <w:jc w:val="left"/>
            </w:pPr>
            <w:r>
              <w:t xml:space="preserve">Azure DNS Private Zone</w:t>
            </w:r>
          </w:p>
        </w:tc>
        <w:tc>
          <w:tcPr/>
          <w:p>
            <w:pPr>
              <w:pStyle w:val="Compact"/>
              <w:jc w:val="left"/>
            </w:pPr>
            <w:r>
              <w:t xml:space="preserve">Export via PowerShell, import via Az.Dns</w:t>
            </w:r>
          </w:p>
        </w:tc>
        <w:tc>
          <w:tcPr/>
          <w:p>
            <w:pPr>
              <w:pStyle w:val="Compact"/>
              <w:jc w:val="left"/>
            </w:pPr>
            <w:r>
              <w:t xml:space="preserve">SRV records must remain on AD DNS until full decommission; auto-registration for Azure VMs</w:t>
            </w:r>
          </w:p>
        </w:tc>
      </w:tr>
      <w:tr>
        <w:tc>
          <w:tcPr/>
          <w:p>
            <w:pPr>
              <w:pStyle w:val="Compact"/>
              <w:jc w:val="left"/>
            </w:pPr>
            <w:r>
              <w:t xml:space="preserve">AD-Integrated Primary (External)</w:t>
            </w:r>
          </w:p>
        </w:tc>
        <w:tc>
          <w:tcPr/>
          <w:p>
            <w:pPr>
              <w:pStyle w:val="Compact"/>
              <w:jc w:val="left"/>
            </w:pPr>
            <w:r>
              <w:t xml:space="preserve">Azure DNS Public Zone</w:t>
            </w:r>
          </w:p>
        </w:tc>
        <w:tc>
          <w:tcPr/>
          <w:p>
            <w:pPr>
              <w:pStyle w:val="Compact"/>
              <w:jc w:val="left"/>
            </w:pPr>
            <w:r>
              <w:t xml:space="preserve">Export records, create Public Zone, update registrar NS records</w:t>
            </w:r>
          </w:p>
        </w:tc>
        <w:tc>
          <w:tcPr/>
          <w:p>
            <w:pPr>
              <w:pStyle w:val="Compact"/>
              <w:jc w:val="left"/>
            </w:pPr>
            <w:r>
              <w:t xml:space="preserve">NS record propagation delay (24-48 hours); validate SPF/DKIM/DMARC records</w:t>
            </w:r>
          </w:p>
        </w:tc>
      </w:tr>
      <w:tr>
        <w:tc>
          <w:tcPr/>
          <w:p>
            <w:pPr>
              <w:pStyle w:val="Compact"/>
              <w:jc w:val="left"/>
            </w:pPr>
            <w:r>
              <w:t xml:space="preserve">Standard Primary</w:t>
            </w:r>
          </w:p>
        </w:tc>
        <w:tc>
          <w:tcPr/>
          <w:p>
            <w:pPr>
              <w:pStyle w:val="Compact"/>
              <w:jc w:val="left"/>
            </w:pPr>
            <w:r>
              <w:t xml:space="preserve">Azure DNS Public/Private Zone</w:t>
            </w:r>
          </w:p>
        </w:tc>
        <w:tc>
          <w:tcPr/>
          <w:p>
            <w:pPr>
              <w:pStyle w:val="Compact"/>
              <w:jc w:val="left"/>
            </w:pPr>
            <w:r>
              <w:t xml:space="preserve">Export zone file, transform records, import</w:t>
            </w:r>
          </w:p>
        </w:tc>
        <w:tc>
          <w:tcPr/>
          <w:p>
            <w:pPr>
              <w:pStyle w:val="Compact"/>
              <w:jc w:val="left"/>
            </w:pPr>
            <w:r>
              <w:t xml:space="preserve">No AD dependency — straightforward migration; verify secondary zone consumers</w:t>
            </w:r>
          </w:p>
        </w:tc>
      </w:tr>
      <w:tr>
        <w:tc>
          <w:tcPr/>
          <w:p>
            <w:pPr>
              <w:pStyle w:val="Compact"/>
              <w:jc w:val="left"/>
            </w:pPr>
            <w:r>
              <w:t xml:space="preserve">Standard Secondary</w:t>
            </w:r>
          </w:p>
        </w:tc>
        <w:tc>
          <w:tcPr/>
          <w:p>
            <w:pPr>
              <w:pStyle w:val="Compact"/>
              <w:jc w:val="left"/>
            </w:pPr>
            <w:r>
              <w:t xml:space="preserve">Decommission (primary migrated to Azure)</w:t>
            </w:r>
          </w:p>
        </w:tc>
        <w:tc>
          <w:tcPr/>
          <w:p>
            <w:pPr>
              <w:pStyle w:val="Compact"/>
              <w:jc w:val="left"/>
            </w:pPr>
            <w:r>
              <w:t xml:space="preserve">Remove after primary is migrated</w:t>
            </w:r>
          </w:p>
        </w:tc>
        <w:tc>
          <w:tcPr/>
          <w:p>
            <w:pPr>
              <w:pStyle w:val="Compact"/>
              <w:jc w:val="left"/>
            </w:pPr>
            <w:r>
              <w:t xml:space="preserve">Verify no clients use secondary directly as DNS server</w:t>
            </w:r>
          </w:p>
        </w:tc>
      </w:tr>
      <w:tr>
        <w:tc>
          <w:tcPr/>
          <w:p>
            <w:pPr>
              <w:pStyle w:val="Compact"/>
              <w:jc w:val="left"/>
            </w:pPr>
            <w:r>
              <w:t xml:space="preserve">Stub Zones</w:t>
            </w:r>
          </w:p>
        </w:tc>
        <w:tc>
          <w:tcPr/>
          <w:p>
            <w:pPr>
              <w:pStyle w:val="Compact"/>
              <w:jc w:val="left"/>
            </w:pPr>
            <w:r>
              <w:t xml:space="preserve">DNS Forwarding Ruleset Rule</w:t>
            </w:r>
          </w:p>
        </w:tc>
        <w:tc>
          <w:tcPr/>
          <w:p>
            <w:pPr>
              <w:pStyle w:val="Compact"/>
              <w:jc w:val="left"/>
            </w:pPr>
            <w:r>
              <w:t xml:space="preserve">Create forwarding rule for stub zone namespace</w:t>
            </w:r>
          </w:p>
        </w:tc>
        <w:tc>
          <w:tcPr/>
          <w:p>
            <w:pPr>
              <w:pStyle w:val="Compact"/>
              <w:jc w:val="left"/>
            </w:pPr>
            <w:r>
              <w:t xml:space="preserve">Simpler than zone transfer — rule-based forwarding</w:t>
            </w:r>
          </w:p>
        </w:tc>
      </w:tr>
      <w:tr>
        <w:tc>
          <w:tcPr/>
          <w:p>
            <w:pPr>
              <w:pStyle w:val="Compact"/>
              <w:jc w:val="left"/>
            </w:pPr>
            <w:r>
              <w:t xml:space="preserve">Conditional Forwarders</w:t>
            </w:r>
          </w:p>
        </w:tc>
        <w:tc>
          <w:tcPr/>
          <w:p>
            <w:pPr>
              <w:pStyle w:val="Compact"/>
              <w:jc w:val="left"/>
            </w:pPr>
            <w:r>
              <w:t xml:space="preserve">DNS Forwarding Ruleset Rule</w:t>
            </w:r>
          </w:p>
        </w:tc>
        <w:tc>
          <w:tcPr/>
          <w:p>
            <w:pPr>
              <w:pStyle w:val="Compact"/>
              <w:jc w:val="left"/>
            </w:pPr>
            <w:r>
              <w:t xml:space="preserve">Create forwarding rule with target IPs</w:t>
            </w:r>
          </w:p>
        </w:tc>
        <w:tc>
          <w:tcPr/>
          <w:p>
            <w:pPr>
              <w:pStyle w:val="Compact"/>
              <w:jc w:val="left"/>
            </w:pPr>
            <w:r>
              <w:t xml:space="preserve">Test reachability of target IPs from Azure; ensure ExpressRoute/VPN routing</w:t>
            </w:r>
          </w:p>
        </w:tc>
      </w:tr>
      <w:tr>
        <w:tc>
          <w:tcPr/>
          <w:p>
            <w:pPr>
              <w:pStyle w:val="Compact"/>
              <w:jc w:val="left"/>
            </w:pPr>
            <w:r>
              <w:t xml:space="preserve">GlobalNames Zone</w:t>
            </w:r>
          </w:p>
        </w:tc>
        <w:tc>
          <w:tcPr/>
          <w:p>
            <w:pPr>
              <w:pStyle w:val="Compact"/>
              <w:jc w:val="left"/>
            </w:pPr>
            <w:r>
              <w:t xml:space="preserve">Azure DNS Private Zone + VNet Link</w:t>
            </w:r>
          </w:p>
        </w:tc>
        <w:tc>
          <w:tcPr/>
          <w:p>
            <w:pPr>
              <w:pStyle w:val="Compact"/>
              <w:jc w:val="left"/>
            </w:pPr>
            <w:r>
              <w:t xml:space="preserve">Create Private Zone, import CNAME records, link to all VNets</w:t>
            </w:r>
          </w:p>
        </w:tc>
        <w:tc>
          <w:tcPr/>
          <w:p>
            <w:pPr>
              <w:pStyle w:val="Compact"/>
              <w:jc w:val="left"/>
            </w:pPr>
            <w:r>
              <w:t xml:space="preserve">Single-label resolution requires DNS suffix search list on clients</w:t>
            </w:r>
          </w:p>
        </w:tc>
      </w:tr>
      <w:tr>
        <w:tc>
          <w:tcPr/>
          <w:p>
            <w:pPr>
              <w:pStyle w:val="Compact"/>
              <w:jc w:val="left"/>
            </w:pPr>
            <w:r>
              <w:t xml:space="preserve">Reverse Lookup Zones</w:t>
            </w:r>
          </w:p>
        </w:tc>
        <w:tc>
          <w:tcPr/>
          <w:p>
            <w:pPr>
              <w:pStyle w:val="Compact"/>
              <w:jc w:val="left"/>
            </w:pPr>
            <w:r>
              <w:t xml:space="preserve">Azure DNS Private Zone (*.in-addr.arpa)</w:t>
            </w:r>
          </w:p>
        </w:tc>
        <w:tc>
          <w:tcPr/>
          <w:p>
            <w:pPr>
              <w:pStyle w:val="Compact"/>
              <w:jc w:val="left"/>
            </w:pPr>
            <w:r>
              <w:t xml:space="preserve">Create Private Zone per reverse zone, import PTR records</w:t>
            </w:r>
          </w:p>
        </w:tc>
        <w:tc>
          <w:tcPr/>
          <w:p>
            <w:pPr>
              <w:pStyle w:val="Compact"/>
              <w:jc w:val="left"/>
            </w:pPr>
            <w:r>
              <w:t xml:space="preserve">Ensure subnet boundaries align; coordinate with IPAM</w:t>
            </w:r>
          </w:p>
        </w:tc>
      </w:tr>
    </w:tbl>
    <w:p>
      <w:pPr>
        <w:pStyle w:val="BodyText"/>
      </w:pPr>
      <w:r>
        <w:t xml:space="preserve">5.2 Record Migration Methodology</w:t>
      </w:r>
    </w:p>
    <w:p>
      <w:pPr>
        <w:numPr>
          <w:ilvl w:val="0"/>
          <w:numId w:val="1286"/>
        </w:numPr>
      </w:pPr>
      <w:r>
        <w:rPr>
          <w:b/>
          <w:bCs/>
        </w:rPr>
        <w:t xml:space="preserve">Export all records via PowerShell</w:t>
      </w:r>
      <w:r>
        <w:t xml:space="preserve"> </w:t>
      </w:r>
      <w:r>
        <w:t xml:space="preserve">— Use Get-DnsServerResourceRecord to extract all records from each zone into structured JSON</w:t>
      </w:r>
    </w:p>
    <w:p>
      <w:pPr>
        <w:numPr>
          <w:ilvl w:val="0"/>
          <w:numId w:val="1286"/>
        </w:numPr>
      </w:pPr>
      <w:r>
        <w:rPr>
          <w:b/>
          <w:bCs/>
        </w:rPr>
        <w:t xml:space="preserve">Transform to Azure DNS record format</w:t>
      </w:r>
      <w:r>
        <w:t xml:space="preserve"> </w:t>
      </w:r>
      <w:r>
        <w:t xml:space="preserve">— Map AD DNS record properties to Az.Dns parameter sets; handle record-type-specific transformations</w:t>
      </w:r>
    </w:p>
    <w:p>
      <w:pPr>
        <w:numPr>
          <w:ilvl w:val="0"/>
          <w:numId w:val="1286"/>
        </w:numPr>
      </w:pPr>
      <w:r>
        <w:rPr>
          <w:b/>
          <w:bCs/>
        </w:rPr>
        <w:t xml:space="preserve">Import via Az.Dns PowerShell module or Azure CLI</w:t>
      </w:r>
      <w:r>
        <w:t xml:space="preserve"> </w:t>
      </w:r>
      <w:r>
        <w:t xml:space="preserve">— Create record sets in target Azure DNS zones using New-AzDnsRecordSet or New-AzPrivateDnsRecordSet</w:t>
      </w:r>
    </w:p>
    <w:p>
      <w:pPr>
        <w:numPr>
          <w:ilvl w:val="0"/>
          <w:numId w:val="1286"/>
        </w:numPr>
      </w:pPr>
      <w:r>
        <w:rPr>
          <w:b/>
          <w:bCs/>
        </w:rPr>
        <w:t xml:space="preserve">Validate resolution from both on-premises and Azure</w:t>
      </w:r>
      <w:r>
        <w:t xml:space="preserve"> </w:t>
      </w:r>
      <w:r>
        <w:t xml:space="preserve">— Test forward and reverse resolution from multiple vantage points</w:t>
      </w:r>
    </w:p>
    <w:p>
      <w:pPr>
        <w:numPr>
          <w:ilvl w:val="0"/>
          <w:numId w:val="1286"/>
        </w:numPr>
      </w:pPr>
      <w:r>
        <w:rPr>
          <w:b/>
          <w:bCs/>
        </w:rPr>
        <w:t xml:space="preserve">Update zone delegation/forwarders</w:t>
      </w:r>
      <w:r>
        <w:t xml:space="preserve"> </w:t>
      </w:r>
      <w:r>
        <w:t xml:space="preserve">— Point conditional forwarders, NS delegations, and client DNS settings to Azure endpoints</w:t>
      </w:r>
    </w:p>
    <w:p>
      <w:pPr>
        <w:numPr>
          <w:ilvl w:val="0"/>
          <w:numId w:val="1286"/>
        </w:numPr>
      </w:pPr>
      <w:r>
        <w:rPr>
          <w:b/>
          <w:bCs/>
        </w:rPr>
        <w:t xml:space="preserve">Monitor for 30 days before decommission</w:t>
      </w:r>
      <w:r>
        <w:t xml:space="preserve"> </w:t>
      </w:r>
      <w:r>
        <w:t xml:space="preserve">— Run parallel resolution, log query volumes, and validate no resolution failures</w:t>
      </w:r>
    </w:p>
    <w:p>
      <w:pPr>
        <w:pStyle w:val="FirstParagraph"/>
      </w:pPr>
      <w:r>
        <w:t xml:space="preserve">5.3 Export-FMPDNSToAzure Function</w:t>
      </w:r>
    </w:p>
    <w:p>
      <w:pPr>
        <w:pStyle w:val="BodyText"/>
      </w:pPr>
      <w:r>
        <w:t xml:space="preserve">function Export-FMPDNSToAzure { [CmdletBinding] param( [Parameter(Mandatory = $true)] [string]$ZoneName, [Parameter(Mandatory = $true)] [string]$ResourceGroupName, [Parameter(Mandatory = $false)] [string]$DnsServerName = (Get-ADDomainController -Discover).HostName, [Parameter(Mandatory = $false)] [ValidateSet("Private", "Public")] [string]$TargetZoneType = "Private", [Parameter(Mandatory = $false)] [string[]]$ExcludeRecordTypes = @("SOA", "NS"), [Parameter(Mandatory = $false)] [switch]$WhatIf ) Write-Host "=== the Federal Modernization Program DNS Zone Export to Azure ===" -ForegroundColor Cyan Write-Host "Source Zone: $ZoneName (Server: $DnsServerName)" Write-Host "Target: Azure DNS $TargetZoneType Zone in RG: $ResourceGroupName" # Step 1: Export records from AD DNS Write-Host "`n[Step 1] Exporting records from AD DNS..." $records = Get-DnsServerResourceRecord -ZoneName $ZoneName ` -ComputerName $DnsServerName -ErrorAction Stop | Where-Object { $_.RecordType -notin $ExcludeRecordTypes } Write-Host " Found $($records.Count) records (excluding $($ExcludeRecordTypes -join ', '))" # Step 2: Create Azure DNS Zone (if not exists) Write-Host "`n[Step 2] Creating Azure DNS $TargetZoneType Zone..." if (-not $WhatIf) { if ($TargetZoneType -eq "Private") { $azZone = Get-AzPrivateDnsZone -ResourceGroupName $ResourceGroupName ` -Name $ZoneName -ErrorAction SilentlyContinue if (-not $azZone) { $azZone = New-AzPrivateDnsZone -ResourceGroupName $ResourceGroupName ` -Name $ZoneName Write-Host " Created Private DNS Zone: $ZoneName" } else { Write-Host " Private DNS Zone already exists: $ZoneName" } } else { $azZone = Get-AzDnsZone -ResourceGroupName $ResourceGroupName ` -Name $ZoneName -ErrorAction SilentlyContinue if (-not $azZone) { $azZone = New-AzDnsZone -ResourceGroupName $ResourceGroupName ` -Name $ZoneName Write-Host " Created Public DNS Zone: $ZoneName" } else { Write-Host " Public DNS Zone already exists: $ZoneName" } } } # Step 3: Transform and import records Write-Host "`n[Step 3] Importing records to Azure DNS..." $successCount = 0 $failCount = 0 $groupedRecords = $records | Group-Object -Property HostName, RecordType foreach ($group in $groupedRecords) { $hostName = $group.Group[0].HostName $recordType = $group.Group[0].RecordType $ttl = $group.Group[0].TimeToLive.TotalSeconds if ($ttl -lt 1) { $ttl = 3600 } try { if (-not $WhatIf) { if ($TargetZoneType -eq "Private") { $recordSet = New-AzPrivateDnsRecordSet ` -ResourceGroupName $ResourceGroupName ` -ZoneName $ZoneName ` -Name $hostName ` -RecordType $recordType ` -Ttl $ttl ` -ErrorAction Stop foreach ($rec in $group.Group) { switch ($recordType) { 'A' { Add-AzPrivateDnsRecordConfig -RecordSet $recordSet ` -Ipv4Address $rec.RecordData.IPv4Address.IPAddressToString } 'AAAA' { Add-AzPrivateDnsRecordConfig -RecordSet $recordSet ` -Ipv6Address $rec.RecordData.IPv6Address.IPAddressToString } 'CNAME' { Add-AzPrivateDnsRecordConfig -RecordSet $recordSet ` -Cname $rec.RecordData.HostNameAlias } 'MX' { Add-AzPrivateDnsRecordConfig -RecordSet $recordSet ` -Exchange $rec.RecordData.MailExchange ` -Preference $rec.RecordData.Preference } 'PTR' { Add-AzPrivateDnsRecordConfig -RecordSet $recordSet ` -Ptrdname $rec.RecordData.PtrDomainName } 'SRV' { Add-AzPrivateDnsRecordConfig -RecordSet $recordSet ` -Priority $rec.RecordData.Priority ` -Weight $rec.RecordData.Weight ` -Port $rec.RecordData.Port ` -Target $rec.RecordData.DomainName } 'TXT' { Add-AzPrivateDnsRecordConfig -RecordSet $recordSet ` -Value ($rec.RecordData.DescriptiveText -join "") } } } Set-AzPrivateDnsRecordSet -RecordSet $recordSet | Out-Null } } $successCount++ Write-Host " [OK] $hostName ($recordType)" -ForegroundColor Green } catch { $failCount++ Write-Warning " [FAIL] $hostName ($recordType): $_" } } # Step 4: Summary Write-Host "`n=== Migration Summary ===" -ForegroundColor Cyan Write-Host " Total record sets processed: $($groupedRecords.Count)" Write-Host " Successful: $successCount" Write-Host " Failed: $failCount" if ($WhatIf) { Write-Host "`n [WhatIf mode] No changes were made." -ForegroundColor Yellow } return [PSCustomObject]@{ ZoneName = $ZoneName TargetType = $TargetZoneType TotalRecordSets = $groupedRecords.Count Successful = $successCount Failed = $failCount Timestamp = (Get-Date -Format "o") } }</w:t>
      </w:r>
    </w:p>
    <w:tbl>
      <w:tblPr>
        <w:tblStyle w:val="Table"/>
        <w:tblW w:type="pct" w:w="5028"/>
        <w:tblLayout w:type="fixed"/>
        <w:tblLook w:firstRow="0" w:lastRow="0" w:firstColumn="0" w:lastColumn="0" w:noHBand="0" w:noVBand="0" w:val="0000"/>
      </w:tblPr>
      <w:tblGrid>
        <w:gridCol w:w="7964"/>
      </w:tblGrid>
      <w:tr>
        <w:tc>
          <w:tcPr/>
          <w:p>
            <w:pPr>
              <w:pStyle w:val="FirstParagraph"/>
            </w:pPr>
            <w:r>
              <w:rPr>
                <w:b/>
                <w:bCs/>
              </w:rPr>
              <w:t xml:space="preserve">⚠ Warning</w:t>
            </w:r>
          </w:p>
          <w:p>
            <w:pPr>
              <w:pStyle w:val="BodyText"/>
            </w:pPr>
            <w:r>
              <w:t xml:space="preserve">Always run Export-FMPDNSToAzure with the -WhatIf switch first in production environments. Validate the transformation output before committing record imports to Azure DNS zones. |</w:t>
            </w:r>
          </w:p>
        </w:tc>
      </w:tr>
    </w:tbl>
    <w:p>
      <w:pPr>
        <w:pStyle w:val="BodyText"/>
      </w:pPr>
      <w:r>
        <w:t xml:space="preserve">6. Azure DNS Private Resolver Deployment</w:t>
      </w:r>
    </w:p>
    <w:p>
      <w:pPr>
        <w:pStyle w:val="BodyText"/>
      </w:pPr>
      <w:r>
        <w:t xml:space="preserve">6.1 Step-by-Step Deployment</w:t>
      </w:r>
    </w:p>
    <w:p>
      <w:pPr>
        <w:pStyle w:val="BodyText"/>
      </w:pPr>
      <w:r>
        <w:rPr>
          <w:b/>
          <w:bCs/>
        </w:rPr>
        <w:t xml:space="preserve">Step 1: Create the DNS Private Resolver resource in the hub VNet.</w:t>
      </w:r>
    </w:p>
    <w:p>
      <w:pPr>
        <w:pStyle w:val="BodyText"/>
      </w:pPr>
      <w:r>
        <w:t xml:space="preserve"># Azure PowerShell — Create DNS Private Resolver $hubVNet = Get-AzVirtualNetwork -ResourceGroupName "rg-hub-networking" ` -Name "vnet-hub-eastus" New-AzDnsResolver -ResourceGroupName "rg-hub-networking" ` -Name "dnspr-hub-eastus-001" ` -Location "eastus" ` -VirtualNetworkId $hubVNet.Id ` -Tag @{ Environment = "Production"; ManagedBy = "FMP" }</w:t>
      </w:r>
    </w:p>
    <w:p>
      <w:pPr>
        <w:pStyle w:val="BodyText"/>
      </w:pPr>
      <w:r>
        <w:t xml:space="preserve"># Azure CLI equivalent az dns-resolver create \ --resource-group rg-hub-networking \ --name dnspr-hub-eastus-001 \ --location eastus \ --id /subscriptions/{sub-id}/resourceGroups/rg-hub-networking/providers/Microsoft.Network/virtualNetworks/vnet-hub-eastus \ --tags Environment=Production ManagedBy=the Federal Modernization Program</w:t>
      </w:r>
    </w:p>
    <w:p>
      <w:pPr>
        <w:pStyle w:val="BodyText"/>
      </w:pPr>
      <w:r>
        <w:rPr>
          <w:b/>
          <w:bCs/>
        </w:rPr>
        <w:t xml:space="preserve">Step 2: Create dedicated subnets (/28 minimum) for inbound and outbound endpoints.</w:t>
      </w:r>
    </w:p>
    <w:p>
      <w:pPr>
        <w:pStyle w:val="BodyText"/>
      </w:pPr>
      <w:r>
        <w:t xml:space="preserve"># Create inbound endpoint subnet Add-AzVirtualNetworkSubnetConfig -VirtualNetwork $hubVNet ` -Name "snet-dnspr-inbound" ` -AddressPrefix "10.0.4.0/28" ` -Delegation @( New-AzDelegation -Name "dns-resolver-delegation" ` -ServiceName "Microsoft.Network/dnsResolvers" ) # Create outbound endpoint subnet Add-AzVirtualNetworkSubnetConfig -VirtualNetwork $hubVNet ` -Name "snet-dnspr-outbound" ` -AddressPrefix "10.0.4.16/28" ` -Delegation @( New-AzDelegation -Name "dns-resolver-delegation" ` -ServiceName "Microsoft.Network/dnsResolvers" ) $hubVNet | Set-AzVirtualNetwork</w:t>
      </w:r>
    </w:p>
    <w:p>
      <w:pPr>
        <w:pStyle w:val="BodyText"/>
      </w:pPr>
      <w:r>
        <w:rPr>
          <w:b/>
          <w:bCs/>
        </w:rPr>
        <w:t xml:space="preserve">Step 3: Deploy the inbound endpoint and record the assigned IP address.</w:t>
      </w:r>
    </w:p>
    <w:p>
      <w:pPr>
        <w:pStyle w:val="BodyText"/>
      </w:pPr>
      <w:r>
        <w:t xml:space="preserve">$inboundSubnet = Get-AzVirtualNetworkSubnetConfig ` -VirtualNetwork $hubVNet -Name "snet-dnspr-inbound" $inboundEP = New-AzDnsResolverInboundEndpoint ` -ResourceGroupName "rg-hub-networking" ` -DnsResolverName "dnspr-hub-eastus-001" ` -Name "ep-inbound-001" ` -Location "eastus" ` -IPConfiguration @( @{ PrivateIPAllocationMethod = "Dynamic"; SubnetId = $inboundSubnet.Id } ) # Record the assigned IP for on-premises conditional forwarder configuration $inboundIP = $inboundEP.IPConfiguration[0].PrivateIPAddress Write-Host "Inbound Endpoint IP: $inboundIP" -ForegroundColor Green</w:t>
      </w:r>
    </w:p>
    <w:p>
      <w:pPr>
        <w:pStyle w:val="BodyText"/>
      </w:pPr>
      <w:r>
        <w:rPr>
          <w:b/>
          <w:bCs/>
        </w:rPr>
        <w:t xml:space="preserve">Step 4: Deploy the outbound endpoint.</w:t>
      </w:r>
    </w:p>
    <w:p>
      <w:pPr>
        <w:pStyle w:val="BodyText"/>
      </w:pPr>
      <w:r>
        <w:t xml:space="preserve">$outboundSubnet = Get-AzVirtualNetworkSubnetConfig ` -VirtualNetwork $hubVNet -Name "snet-dnspr-outbound" New-AzDnsResolverOutboundEndpoint ` -ResourceGroupName "rg-hub-networking" ` -DnsResolverName "dnspr-hub-eastus-001" ` -Name "ep-outbound-001" ` -Location "eastus" ` -SubnetId $outboundSubnet.Id</w:t>
      </w:r>
    </w:p>
    <w:p>
      <w:pPr>
        <w:pStyle w:val="BodyText"/>
      </w:pPr>
      <w:r>
        <w:rPr>
          <w:b/>
          <w:bCs/>
        </w:rPr>
        <w:t xml:space="preserve">Step 5: Create a DNS Forwarding Ruleset.</w:t>
      </w:r>
    </w:p>
    <w:p>
      <w:pPr>
        <w:pStyle w:val="BodyText"/>
      </w:pPr>
      <w:r>
        <w:t xml:space="preserve">$outboundEP = Get-AzDnsResolverOutboundEndpoint ` -ResourceGroupName "rg-hub-networking" ` -DnsResolverName "dnspr-hub-eastus-001" ` -Name "ep-outbound-001" $ruleset = New-AzDnsForwardingRuleset ` -ResourceGroupName "rg-hub-networking" ` -Name "fwdrs-hub-eastus-001" ` -Location "eastus" ` -DnsResolverOutboundEndpoint @(@{ Id = $outboundEP.Id })</w:t>
      </w:r>
    </w:p>
    <w:p>
      <w:pPr>
        <w:pStyle w:val="BodyText"/>
      </w:pPr>
      <w:r>
        <w:rPr>
          <w:b/>
          <w:bCs/>
        </w:rPr>
        <w:t xml:space="preserve">Step 6: Link the ruleset to spoke VNets.</w:t>
      </w:r>
    </w:p>
    <w:p>
      <w:pPr>
        <w:pStyle w:val="BodyText"/>
      </w:pPr>
      <w:r>
        <w:t xml:space="preserve"># Link to each spoke VNet $spokeVNets = @("vnet-spoke-workload-001", "vnet-spoke-workload-002") foreach ($spokeName in $spokeVNets) { $spoke = Get-AzVirtualNetwork -ResourceGroupName "rg-spoke-networking" ` -Name $spokeName New-AzDnsForwardingRulesetVirtualNetworkLink ` -ResourceGroupName "rg-hub-networking" ` -DnsForwardingRulesetName "fwdrs-hub-eastus-001" ` -Name "link-$spokeName" ` -VirtualNetworkId $spoke.Id }</w:t>
      </w:r>
    </w:p>
    <w:p>
      <w:pPr>
        <w:pStyle w:val="BodyText"/>
      </w:pPr>
      <w:r>
        <w:rPr>
          <w:b/>
          <w:bCs/>
        </w:rPr>
        <w:t xml:space="preserve">Step 7: Add forwarding rules for on-premises domains.</w:t>
      </w:r>
    </w:p>
    <w:p>
      <w:pPr>
        <w:pStyle w:val="BodyText"/>
      </w:pPr>
      <w:r>
        <w:t xml:space="preserve"># Forward corp.contoso.com to on-premises DNS servers New-AzDnsForwardingRulesetForwardingRule ` -ResourceGroupName "rg-hub-networking" ` -DnsForwardingRulesetName "fwdrs-hub-eastus-001" ` -Name "rule-corp-contoso-com" ` -DomainName "corp.contoso.com." ` -ForwardingRuleState "Enabled" ` -TargetDnsServer @( @{ IPAddress = "10.1.0.10"; Port = 53 }, @{ IPAddress = "10.1.0.11"; Port = 53 } ) # Forward additional on-premises namespaces as needed New-AzDnsForwardingRulesetForwardingRule ` -ResourceGroupName "rg-hub-networking" ` -DnsForwardingRulesetName "fwdrs-hub-eastus-001" ` -Name "rule-legacy-internal" ` -DomainName "legacy.internal." ` -ForwardingRuleState "Enabled" ` -TargetDnsServer @( @{ IPAddress = "10.1.0.10"; Port = 53 } )</w:t>
      </w:r>
    </w:p>
    <w:p>
      <w:pPr>
        <w:pStyle w:val="BodyText"/>
      </w:pPr>
      <w:r>
        <w:rPr>
          <w:b/>
          <w:bCs/>
        </w:rPr>
        <w:t xml:space="preserve">Step 8: Configure on-premises conditional forwarders pointing to inbound endpoint IP.</w:t>
      </w:r>
    </w:p>
    <w:p>
      <w:pPr>
        <w:pStyle w:val="BodyText"/>
      </w:pPr>
      <w:r>
        <w:t xml:space="preserve"># Run on each on-premises DNS server # $inboundIP is the IP recorded in Step 3 Add-DnsServerConditionalForwarderZone ` -Name "privatelink.blob.core.windows.net" ` -MasterServers $inboundIP ` -ReplicationScope "Forest" Add-DnsServerConditionalForwarderZone ` -Name "azure.contoso.com" ` -MasterServers $inboundIP ` -ReplicationScope "Forest"</w:t>
      </w:r>
    </w:p>
    <w:p>
      <w:pPr>
        <w:pStyle w:val="BodyText"/>
      </w:pPr>
      <w:r>
        <w:rPr>
          <w:b/>
          <w:bCs/>
        </w:rPr>
        <w:t xml:space="preserve">Step 9: Update VNet DNS settings.</w:t>
      </w:r>
    </w:p>
    <w:p>
      <w:pPr>
        <w:pStyle w:val="BodyText"/>
      </w:pPr>
      <w:r>
        <w:t xml:space="preserve"># Point VNet DNS to resolver inbound endpoint $hubVNet = Get-AzVirtualNetwork -ResourceGroupName "rg-hub-networking" ` -Name "vnet-hub-eastus" $hubVNet.DhcpOptions = @{ DnsServers = @($inboundIP) } $hubVNet | Set-AzVirtualNetwork</w:t>
      </w:r>
    </w:p>
    <w:p>
      <w:pPr>
        <w:pStyle w:val="BodyText"/>
      </w:pPr>
      <w:r>
        <w:rPr>
          <w:b/>
          <w:bCs/>
        </w:rPr>
        <w:t xml:space="preserve">Step 10: Validate bidirectional resolution.</w:t>
      </w:r>
    </w:p>
    <w:p>
      <w:pPr>
        <w:pStyle w:val="BodyText"/>
      </w:pPr>
      <w:r>
        <w:t xml:space="preserve"># From Azure VM — resolve on-premises name Resolve-DnsName -Name "dc01.corp.contoso.com" -Type A # From Azure VM — resolve Azure Private DNS name Resolve-DnsName -Name "webapp01.azure.contoso.com" -Type A # From on-premises — resolve Azure Private DNS name Resolve-DnsName -Name "storageacct.privatelink.blob.core.windows.net" -Type A # From on-premises — resolve Azure VM auto-registered name Resolve-DnsName -Name "azvm01.azure.contoso.com" -Type A</w:t>
      </w:r>
    </w:p>
    <w:p>
      <w:pPr>
        <w:pStyle w:val="BodyText"/>
      </w:pPr>
      <w:r>
        <w:t xml:space="preserve">6.2 High Availability</w:t>
      </w:r>
    </w:p>
    <w:p>
      <w:pPr>
        <w:numPr>
          <w:ilvl w:val="0"/>
          <w:numId w:val="1287"/>
        </w:numPr>
      </w:pPr>
      <w:r>
        <w:rPr>
          <w:b/>
          <w:bCs/>
        </w:rPr>
        <w:t xml:space="preserve">Zone-redundant deployment</w:t>
      </w:r>
      <w:r>
        <w:t xml:space="preserve"> </w:t>
      </w:r>
      <w:r>
        <w:t xml:space="preserve">— DNS Private Resolver is zone-redundant by default within a region. Endpoints are distributed across availability zones.</w:t>
      </w:r>
    </w:p>
    <w:p>
      <w:pPr>
        <w:numPr>
          <w:ilvl w:val="0"/>
          <w:numId w:val="1287"/>
        </w:numPr>
      </w:pPr>
      <w:r>
        <w:rPr>
          <w:b/>
          <w:bCs/>
        </w:rPr>
        <w:t xml:space="preserve">Multi-region considerations</w:t>
      </w:r>
      <w:r>
        <w:t xml:space="preserve"> </w:t>
      </w:r>
      <w:r>
        <w:t xml:space="preserve">— For disaster recovery, deploy a second resolver in a paired region with identical forwarding rulesets. Use Azure Traffic Manager or DNS-level failover for cross-region resolution.</w:t>
      </w:r>
    </w:p>
    <w:p>
      <w:pPr>
        <w:numPr>
          <w:ilvl w:val="0"/>
          <w:numId w:val="1287"/>
        </w:numPr>
      </w:pPr>
      <w:r>
        <w:rPr>
          <w:b/>
          <w:bCs/>
        </w:rPr>
        <w:t xml:space="preserve">Endpoint scaling</w:t>
      </w:r>
      <w:r>
        <w:t xml:space="preserve"> </w:t>
      </w:r>
      <w:r>
        <w:t xml:space="preserve">— Each resolver supports up to 5 inbound and 5 outbound endpoints. Size subnets accordingly (/28 per endpoint minimum).</w:t>
      </w:r>
    </w:p>
    <w:p>
      <w:pPr>
        <w:pStyle w:val="FirstParagraph"/>
      </w:pPr>
      <w:r>
        <w:t xml:space="preserve">6.3 Cost Estimation Guidance</w:t>
      </w:r>
    </w:p>
    <w:p>
      <w:pPr>
        <w:pStyle w:val="BodyText"/>
      </w:pPr>
      <w:r>
        <w:t xml:space="preserve">Refer to Appendix B for detailed cost calculations. Key cost drivers are: resolver instance hours, endpoint hours, and DNS queries processed per month.</w:t>
      </w:r>
    </w:p>
    <w:p>
      <w:pPr>
        <w:pStyle w:val="BodyText"/>
      </w:pPr>
      <w:r>
        <w:t xml:space="preserve">7. SRV Record Governance</w:t>
      </w:r>
    </w:p>
    <w:p>
      <w:pPr>
        <w:pStyle w:val="BodyText"/>
      </w:pPr>
      <w:r>
        <w:t xml:space="preserve">7.1 Critical AD SRV Records</w:t>
      </w:r>
    </w:p>
    <w:p>
      <w:pPr>
        <w:pStyle w:val="BodyText"/>
      </w:pPr>
      <w:r>
        <w:t xml:space="preserve">The following SRV records are critical to Active Directory operations and must remain resolvable throughout the hybrid migration period. Loss of any of these records causes immediate operational impact.</w:t>
      </w:r>
    </w:p>
    <w:tbl>
      <w:tblPr>
        <w:tblStyle w:val="Table"/>
        <w:tblW w:type="pct" w:w="4950"/>
        <w:tblLayout w:type="fixed"/>
        <w:tblLook w:firstRow="1" w:lastRow="0" w:firstColumn="0" w:lastColumn="0" w:noHBand="0" w:noVBand="0" w:val="0020"/>
      </w:tblPr>
      <w:tblGrid>
        <w:gridCol w:w="1980"/>
        <w:gridCol w:w="1306"/>
        <w:gridCol w:w="4554"/>
      </w:tblGrid>
      <w:tr>
        <w:trPr>
          <w:tblHeader w:val="on"/>
        </w:trPr>
        <w:tc>
          <w:tcPr/>
          <w:p>
            <w:pPr>
              <w:pStyle w:val="Compact"/>
              <w:jc w:val="left"/>
            </w:pPr>
            <w:r>
              <w:rPr>
                <w:b/>
                <w:bCs/>
              </w:rPr>
              <w:t xml:space="preserve">SRV Record</w:t>
            </w:r>
          </w:p>
        </w:tc>
        <w:tc>
          <w:tcPr/>
          <w:p>
            <w:pPr>
              <w:pStyle w:val="Compact"/>
              <w:jc w:val="left"/>
            </w:pPr>
            <w:r>
              <w:rPr>
                <w:b/>
                <w:bCs/>
              </w:rPr>
              <w:t xml:space="preserve">Service</w:t>
            </w:r>
          </w:p>
        </w:tc>
        <w:tc>
          <w:tcPr/>
          <w:p>
            <w:pPr>
              <w:pStyle w:val="Compact"/>
              <w:jc w:val="left"/>
            </w:pPr>
            <w:r>
              <w:rPr>
                <w:b/>
                <w:bCs/>
              </w:rPr>
              <w:t xml:space="preserve">Failure Impact</w:t>
            </w:r>
          </w:p>
        </w:tc>
      </w:tr>
      <w:tr>
        <w:tc>
          <w:tcPr/>
          <w:p>
            <w:pPr>
              <w:pStyle w:val="Compact"/>
              <w:jc w:val="left"/>
            </w:pPr>
            <w:r>
              <w:t xml:space="preserve">_ldap._tcp.dc._msdcs.{domain}</w:t>
            </w:r>
          </w:p>
        </w:tc>
        <w:tc>
          <w:tcPr/>
          <w:p>
            <w:pPr>
              <w:pStyle w:val="Compact"/>
              <w:jc w:val="left"/>
            </w:pPr>
            <w:r>
              <w:t xml:space="preserve">LDAP domain controller locator</w:t>
            </w:r>
          </w:p>
        </w:tc>
        <w:tc>
          <w:tcPr/>
          <w:p>
            <w:pPr>
              <w:pStyle w:val="Compact"/>
              <w:jc w:val="left"/>
            </w:pPr>
            <w:r>
              <w:t xml:space="preserve">Domain join failure, authentication failure, GPO processing stops</w:t>
            </w:r>
          </w:p>
        </w:tc>
      </w:tr>
      <w:tr>
        <w:tc>
          <w:tcPr/>
          <w:p>
            <w:pPr>
              <w:pStyle w:val="Compact"/>
              <w:jc w:val="left"/>
            </w:pPr>
            <w:r>
              <w:t xml:space="preserve">_kerberos._tcp.dc._msdcs.{domain}</w:t>
            </w:r>
          </w:p>
        </w:tc>
        <w:tc>
          <w:tcPr/>
          <w:p>
            <w:pPr>
              <w:pStyle w:val="Compact"/>
              <w:jc w:val="left"/>
            </w:pPr>
            <w:r>
              <w:t xml:space="preserve">Kerberos KDC locator</w:t>
            </w:r>
          </w:p>
        </w:tc>
        <w:tc>
          <w:tcPr/>
          <w:p>
            <w:pPr>
              <w:pStyle w:val="Compact"/>
              <w:jc w:val="left"/>
            </w:pPr>
            <w:r>
              <w:t xml:space="preserve">Kerberos authentication failure, NTLM fallback (if allowed), service ticket acquisition failure</w:t>
            </w:r>
          </w:p>
        </w:tc>
      </w:tr>
      <w:tr>
        <w:tc>
          <w:tcPr/>
          <w:p>
            <w:pPr>
              <w:pStyle w:val="Compact"/>
              <w:jc w:val="left"/>
            </w:pPr>
            <w:r>
              <w:t xml:space="preserve">_gc._tcp.{forest}</w:t>
            </w:r>
          </w:p>
        </w:tc>
        <w:tc>
          <w:tcPr/>
          <w:p>
            <w:pPr>
              <w:pStyle w:val="Compact"/>
              <w:jc w:val="left"/>
            </w:pPr>
            <w:r>
              <w:t xml:space="preserve">Global Catalog locator</w:t>
            </w:r>
          </w:p>
        </w:tc>
        <w:tc>
          <w:tcPr/>
          <w:p>
            <w:pPr>
              <w:pStyle w:val="Compact"/>
              <w:jc w:val="left"/>
            </w:pPr>
            <w:r>
              <w:t xml:space="preserve">Universal group membership resolution failure, Exchange address book failure, cross-domain authentication issues</w:t>
            </w:r>
          </w:p>
        </w:tc>
      </w:tr>
      <w:tr>
        <w:tc>
          <w:tcPr/>
          <w:p>
            <w:pPr>
              <w:pStyle w:val="Compact"/>
              <w:jc w:val="left"/>
            </w:pPr>
            <w:r>
              <w:t xml:space="preserve">_ldap._tcp.{site}._sites.dc._msdcs.{domain}</w:t>
            </w:r>
          </w:p>
        </w:tc>
        <w:tc>
          <w:tcPr/>
          <w:p>
            <w:pPr>
              <w:pStyle w:val="Compact"/>
              <w:jc w:val="left"/>
            </w:pPr>
            <w:r>
              <w:t xml:space="preserve">Site-specific DC locator</w:t>
            </w:r>
          </w:p>
        </w:tc>
        <w:tc>
          <w:tcPr/>
          <w:p>
            <w:pPr>
              <w:pStyle w:val="Compact"/>
              <w:jc w:val="left"/>
            </w:pPr>
            <w:r>
              <w:t xml:space="preserve">Clients contact remote DCs instead of local — increased latency, WAN saturation</w:t>
            </w:r>
          </w:p>
        </w:tc>
      </w:tr>
      <w:tr>
        <w:tc>
          <w:tcPr/>
          <w:p>
            <w:pPr>
              <w:pStyle w:val="Compact"/>
              <w:jc w:val="left"/>
            </w:pPr>
            <w:r>
              <w:t xml:space="preserve">_kpasswd._tcp.{domain}</w:t>
            </w:r>
          </w:p>
        </w:tc>
        <w:tc>
          <w:tcPr/>
          <w:p>
            <w:pPr>
              <w:pStyle w:val="Compact"/>
              <w:jc w:val="left"/>
            </w:pPr>
            <w:r>
              <w:t xml:space="preserve">Kerberos password change</w:t>
            </w:r>
          </w:p>
        </w:tc>
        <w:tc>
          <w:tcPr/>
          <w:p>
            <w:pPr>
              <w:pStyle w:val="Compact"/>
              <w:jc w:val="left"/>
            </w:pPr>
            <w:r>
              <w:t xml:space="preserve">Password change/reset failure for Kerberos clients</w:t>
            </w:r>
          </w:p>
        </w:tc>
      </w:tr>
    </w:tbl>
    <w:p>
      <w:pPr>
        <w:pStyle w:val="BodyText"/>
      </w:pPr>
      <w:r>
        <w:t xml:space="preserve">7.2 SRV Record Monitoring</w:t>
      </w:r>
    </w:p>
    <w:p>
      <w:pPr>
        <w:pStyle w:val="BodyText"/>
      </w:pPr>
      <w:r>
        <w:t xml:space="preserve">Deploy the Test-FMPSRVRecords function as a scheduled task running every 15 minutes on a monitoring server. The function validates resolution of all critical SRV records and reports failures to Gitea via API.</w:t>
      </w:r>
    </w:p>
    <w:p>
      <w:pPr>
        <w:pStyle w:val="BodyText"/>
      </w:pPr>
      <w:r>
        <w:t xml:space="preserve">function Test-FMPSRVRecords { [CmdletBinding] param( [Parameter(Mandatory = $false)] [string]$DomainName = (Get-ADDomain).DNSRoot, [Parameter(Mandatory = $false)] [string]$ForestName = (Get-ADForest).Name, [Parameter(Mandatory = $false)] [string]$GiteaBaseUrl = "https://gitea.internal.contoso.com", [Parameter(Mandatory = $false)] [string]$GiteaRepo = "fmp/dns-monitoring", [Parameter(Mandatory = $false)] [string]$GiteaToken ) $srvRecords = @( @{ Name = "_ldap._tcp.dc._msdcs.$DomainName"; Service = "LDAP DC Locator" } @{ Name = "_kerberos._tcp.dc._msdcs.$DomainName"; Service = "Kerberos KDC" } @{ Name = "_gc._tcp.$ForestName"; Service = "Global Catalog" } @{ Name = "_kpasswd._tcp.$DomainName"; Service = "Kerberos Password Change" } @{ Name = "_ldap._tcp.$DomainName"; Service = "LDAP (non-MSDCS)" } @{ Name = "_kerberos._tcp.$DomainName"; Service = "Kerberos (non-MSDCS)" } ) $results = @ $failures = @ foreach ($srv in $srvRecords) { try { $resolved = Resolve-DnsName -Name $srv.Name -Type SRV -ErrorAction Stop $results += [PSCustomObject]@{ SRVRecord = $srv.Name Service = $srv.Service Status = "OK" TargetCount = $resolved.Count Timestamp = (Get-Date -Format "o") } } catch { $results += [PSCustomObject]@{ SRVRecord = $srv.Name Service = $srv.Service Status = "FAILED" TargetCount = 0 Timestamp = (Get-Date -Format "o") } $failures += $srv } } # Alert on failures via Gitea Issue API if ($failures.Count -gt 0 -and $GiteaToken) { $issueTitle = "DNS SRV Alert: $($failures.Count) record(s) unresolvable — $(Get-Date -Format 'yyyy-MM-dd HH:mm')" $issueBody = "## SRV Record Resolution Failure`n`n" $issueBody += "| SRV Record | Service |`n|---|---|`n" foreach ($f in $failures) { $issueBody += "| ``$($f.Name)`` | $($f.Service) |`n" } $issueBody += "`n**Immediate investigation required.** SRV record loss causes AD authentication and domain join failures." $headers = @{ "Authorization" = "token $GiteaToken" "Content-Type" = "application/json" } $body = @{ title = $issueTitle body = $issueBody labels = @(1, 2) # Adjust label IDs for "critical", "dns" } | ConvertTo-Json try { Invoke-RestMethod -Uri "$GiteaBaseUrl/api/v1/repos/$GiteaRepo/issues" ` -Method POST -Headers $headers -Body $body Write-Host "Gitea issue created for SRV failures." -ForegroundColor Red } catch { Write-Warning "Failed to create Gitea issue: $_" } } Write-Host "SRV Validation: $($results.Count) tested, $($failures.Count) failed." return $results }</w:t>
      </w:r>
    </w:p>
    <w:tbl>
      <w:tblPr>
        <w:tblStyle w:val="Table"/>
        <w:tblW w:type="pct" w:w="5020"/>
        <w:tblLayout w:type="fixed"/>
        <w:tblLook w:firstRow="0" w:lastRow="0" w:firstColumn="0" w:lastColumn="0" w:noHBand="0" w:noVBand="0" w:val="0000"/>
      </w:tblPr>
      <w:tblGrid>
        <w:gridCol w:w="7951"/>
      </w:tblGrid>
      <w:tr>
        <w:tc>
          <w:tcPr/>
          <w:p>
            <w:pPr>
              <w:pStyle w:val="FirstParagraph"/>
            </w:pPr>
            <w:r>
              <w:rPr>
                <w:b/>
                <w:bCs/>
              </w:rPr>
              <w:t xml:space="preserve">❗ Important</w:t>
            </w:r>
          </w:p>
          <w:p>
            <w:pPr>
              <w:pStyle w:val="BodyText"/>
            </w:pPr>
            <w:r>
              <w:t xml:space="preserve">Schedule Test-FMPSRVRecords as a Windows Scheduled Task running every 15 minutes under a service account with DNS read access and Gitea API write permissions. Use Register-ScheduledTask with a -RepetitionInterval (New-TimeSpan -Minutes 15) trigger. |</w:t>
            </w:r>
          </w:p>
        </w:tc>
      </w:tr>
    </w:tbl>
    <w:p>
      <w:pPr>
        <w:pStyle w:val="BodyText"/>
      </w:pPr>
      <w:r>
        <w:t xml:space="preserve">8. DNSSEC Modernization</w:t>
      </w:r>
    </w:p>
    <w:p>
      <w:pPr>
        <w:pStyle w:val="BodyText"/>
      </w:pPr>
      <w:r>
        <w:t xml:space="preserve">8.1 Current State Assessment</w:t>
      </w:r>
    </w:p>
    <w:p>
      <w:pPr>
        <w:pStyle w:val="BodyText"/>
      </w:pPr>
      <w:r>
        <w:t xml:space="preserve">AD-Integrated DNSSEC uses a Key Master domain controller role responsible for key generation, signing, and rollover. The assessment pipeline (Section 4.6) captures the current DNSSEC posture including signed zones, key algorithms, rollover periods, and trust anchor distribution.</w:t>
      </w:r>
    </w:p>
    <w:p>
      <w:pPr>
        <w:pStyle w:val="BodyText"/>
      </w:pPr>
      <w:r>
        <w:t xml:space="preserve">8.2 Azure DNS DNSSEC Support</w:t>
      </w:r>
    </w:p>
    <w:tbl>
      <w:tblPr>
        <w:tblStyle w:val="Table"/>
        <w:tblW w:type="pct" w:w="4950"/>
        <w:tblLayout w:type="fixed"/>
        <w:tblLook w:firstRow="1" w:lastRow="0" w:firstColumn="0" w:lastColumn="0" w:noHBand="0" w:noVBand="0" w:val="0020"/>
      </w:tblPr>
      <w:tblGrid>
        <w:gridCol w:w="1024"/>
        <w:gridCol w:w="827"/>
        <w:gridCol w:w="5989"/>
      </w:tblGrid>
      <w:tr>
        <w:trPr>
          <w:tblHeader w:val="on"/>
        </w:trPr>
        <w:tc>
          <w:tcPr/>
          <w:p>
            <w:pPr>
              <w:pStyle w:val="Compact"/>
              <w:jc w:val="left"/>
            </w:pPr>
            <w:r>
              <w:rPr>
                <w:b/>
                <w:bCs/>
              </w:rPr>
              <w:t xml:space="preserve">Zone Type</w:t>
            </w:r>
          </w:p>
        </w:tc>
        <w:tc>
          <w:tcPr/>
          <w:p>
            <w:pPr>
              <w:pStyle w:val="Compact"/>
              <w:jc w:val="left"/>
            </w:pPr>
            <w:r>
              <w:rPr>
                <w:b/>
                <w:bCs/>
              </w:rPr>
              <w:t xml:space="preserve">DNSSEC Support</w:t>
            </w:r>
          </w:p>
        </w:tc>
        <w:tc>
          <w:tcPr/>
          <w:p>
            <w:pPr>
              <w:pStyle w:val="Compact"/>
              <w:jc w:val="left"/>
            </w:pPr>
            <w:r>
              <w:rPr>
                <w:b/>
                <w:bCs/>
              </w:rPr>
              <w:t xml:space="preserve">Notes</w:t>
            </w:r>
          </w:p>
        </w:tc>
      </w:tr>
      <w:tr>
        <w:tc>
          <w:tcPr/>
          <w:p>
            <w:pPr>
              <w:pStyle w:val="Compact"/>
              <w:jc w:val="left"/>
            </w:pPr>
            <w:r>
              <w:t xml:space="preserve">Azure DNS Public Zones</w:t>
            </w:r>
          </w:p>
        </w:tc>
        <w:tc>
          <w:tcPr/>
          <w:p>
            <w:pPr>
              <w:pStyle w:val="Compact"/>
              <w:jc w:val="left"/>
            </w:pPr>
            <w:r>
              <w:t xml:space="preserve">Supported (GA)</w:t>
            </w:r>
          </w:p>
        </w:tc>
        <w:tc>
          <w:tcPr/>
          <w:p>
            <w:pPr>
              <w:pStyle w:val="Compact"/>
              <w:jc w:val="left"/>
            </w:pPr>
            <w:r>
              <w:t xml:space="preserve">Azure manages key generation and signing; supports DS record registration with registrar</w:t>
            </w:r>
          </w:p>
        </w:tc>
      </w:tr>
      <w:tr>
        <w:tc>
          <w:tcPr/>
          <w:p>
            <w:pPr>
              <w:pStyle w:val="Compact"/>
              <w:jc w:val="left"/>
            </w:pPr>
            <w:r>
              <w:t xml:space="preserve">Azure DNS Private Zones</w:t>
            </w:r>
          </w:p>
        </w:tc>
        <w:tc>
          <w:tcPr/>
          <w:p>
            <w:pPr>
              <w:pStyle w:val="Compact"/>
              <w:jc w:val="left"/>
            </w:pPr>
            <w:r>
              <w:t xml:space="preserve">Not Supported</w:t>
            </w:r>
          </w:p>
        </w:tc>
        <w:tc>
          <w:tcPr/>
          <w:p>
            <w:pPr>
              <w:pStyle w:val="Compact"/>
              <w:jc w:val="left"/>
            </w:pPr>
            <w:r>
              <w:t xml:space="preserve">Private Zones rely on network-level security (VNet isolation, Private Link); DNSSEC is not applicable for internal resolution within trusted networks</w:t>
            </w:r>
          </w:p>
        </w:tc>
      </w:tr>
    </w:tbl>
    <w:p>
      <w:pPr>
        <w:pStyle w:val="BodyText"/>
      </w:pPr>
      <w:r>
        <w:t xml:space="preserve">8.3 Security Trade-Off Documentation</w:t>
      </w:r>
    </w:p>
    <w:p>
      <w:pPr>
        <w:pStyle w:val="BodyText"/>
      </w:pPr>
      <w:r>
        <w:t xml:space="preserve">The absence of DNSSEC for Azure DNS Private Zones is mitigated by the following controls:</w:t>
      </w:r>
    </w:p>
    <w:p>
      <w:pPr>
        <w:numPr>
          <w:ilvl w:val="0"/>
          <w:numId w:val="1288"/>
        </w:numPr>
      </w:pPr>
      <w:r>
        <w:rPr>
          <w:b/>
          <w:bCs/>
        </w:rPr>
        <w:t xml:space="preserve">Network isolation</w:t>
      </w:r>
      <w:r>
        <w:t xml:space="preserve"> </w:t>
      </w:r>
      <w:r>
        <w:t xml:space="preserve">— Private Zones resolve only within linked VNets; no external query path exists</w:t>
      </w:r>
    </w:p>
    <w:p>
      <w:pPr>
        <w:numPr>
          <w:ilvl w:val="0"/>
          <w:numId w:val="1288"/>
        </w:numPr>
      </w:pPr>
      <w:r>
        <w:rPr>
          <w:b/>
          <w:bCs/>
        </w:rPr>
        <w:t xml:space="preserve">Azure Private Link</w:t>
      </w:r>
      <w:r>
        <w:t xml:space="preserve"> </w:t>
      </w:r>
      <w:r>
        <w:t xml:space="preserve">— PaaS service endpoints are accessed via private IP addresses within the VNet, eliminating DNS spoofing attack vectors from the public internet</w:t>
      </w:r>
    </w:p>
    <w:p>
      <w:pPr>
        <w:numPr>
          <w:ilvl w:val="0"/>
          <w:numId w:val="1288"/>
        </w:numPr>
      </w:pPr>
      <w:r>
        <w:rPr>
          <w:b/>
          <w:bCs/>
        </w:rPr>
        <w:t xml:space="preserve">VNet encryption</w:t>
      </w:r>
      <w:r>
        <w:t xml:space="preserve"> </w:t>
      </w:r>
      <w:r>
        <w:t xml:space="preserve">— VNet traffic is encrypted at the infrastructure layer</w:t>
      </w:r>
    </w:p>
    <w:p>
      <w:pPr>
        <w:numPr>
          <w:ilvl w:val="0"/>
          <w:numId w:val="1288"/>
        </w:numPr>
      </w:pPr>
      <w:r>
        <w:rPr>
          <w:b/>
          <w:bCs/>
        </w:rPr>
        <w:t xml:space="preserve">NSG and firewall controls</w:t>
      </w:r>
      <w:r>
        <w:t xml:space="preserve"> </w:t>
      </w:r>
      <w:r>
        <w:t xml:space="preserve">— DNS traffic is restricted to authorized resolver endpoints</w:t>
      </w:r>
    </w:p>
    <w:p>
      <w:pPr>
        <w:pStyle w:val="FirstParagraph"/>
      </w:pPr>
      <w:r>
        <w:t xml:space="preserve">8.4 Transition Plan</w:t>
      </w:r>
    </w:p>
    <w:p>
      <w:pPr>
        <w:numPr>
          <w:ilvl w:val="0"/>
          <w:numId w:val="1289"/>
        </w:numPr>
      </w:pPr>
      <w:r>
        <w:t xml:space="preserve">Maintain DNSSEC signing on all remaining on-premises zones until decommission</w:t>
      </w:r>
    </w:p>
    <w:p>
      <w:pPr>
        <w:numPr>
          <w:ilvl w:val="0"/>
          <w:numId w:val="1289"/>
        </w:numPr>
      </w:pPr>
      <w:r>
        <w:t xml:space="preserve">Enable DNSSEC on Azure DNS Public Zones after record migration and validation</w:t>
      </w:r>
    </w:p>
    <w:p>
      <w:pPr>
        <w:numPr>
          <w:ilvl w:val="0"/>
          <w:numId w:val="1289"/>
        </w:numPr>
      </w:pPr>
      <w:r>
        <w:t xml:space="preserve">Register DS records with the domain registrar for public zones</w:t>
      </w:r>
    </w:p>
    <w:p>
      <w:pPr>
        <w:numPr>
          <w:ilvl w:val="0"/>
          <w:numId w:val="1289"/>
        </w:numPr>
      </w:pPr>
      <w:r>
        <w:t xml:space="preserve">Accept the security trade-off for Private Zones with documented compensating controls</w:t>
      </w:r>
    </w:p>
    <w:p>
      <w:pPr>
        <w:numPr>
          <w:ilvl w:val="0"/>
          <w:numId w:val="1289"/>
        </w:numPr>
      </w:pPr>
      <w:r>
        <w:t xml:space="preserve">Remove trust anchors for decommissioned zones from AD after 90-day validation period</w:t>
      </w:r>
    </w:p>
    <w:p>
      <w:pPr>
        <w:pStyle w:val="FirstParagraph"/>
      </w:pPr>
      <w:r>
        <w:t xml:space="preserve">8.5 Key Rollover During Migration</w:t>
      </w:r>
    </w:p>
    <w:p>
      <w:pPr>
        <w:numPr>
          <w:ilvl w:val="0"/>
          <w:numId w:val="1290"/>
        </w:numPr>
      </w:pPr>
      <w:r>
        <w:t xml:space="preserve">Complete any in-progress ZSK or KSK rollovers before beginning zone migration</w:t>
      </w:r>
    </w:p>
    <w:p>
      <w:pPr>
        <w:numPr>
          <w:ilvl w:val="0"/>
          <w:numId w:val="1290"/>
        </w:numPr>
      </w:pPr>
      <w:r>
        <w:t xml:space="preserve">Do not initiate new key rollovers during active migration phases</w:t>
      </w:r>
    </w:p>
    <w:p>
      <w:pPr>
        <w:numPr>
          <w:ilvl w:val="0"/>
          <w:numId w:val="1290"/>
        </w:numPr>
      </w:pPr>
      <w:r>
        <w:t xml:space="preserve">After migrating a signed zone to Azure DNS Public Zone, verify the new DNSSEC chain of trust before removing on-premises signing</w:t>
      </w:r>
    </w:p>
    <w:p>
      <w:pPr>
        <w:numPr>
          <w:ilvl w:val="0"/>
          <w:numId w:val="1290"/>
        </w:numPr>
      </w:pPr>
      <w:r>
        <w:t xml:space="preserve">Monitor DNSSEC validation failures via DNS Analytics during the transition</w:t>
      </w:r>
    </w:p>
    <w:p>
      <w:pPr>
        <w:pStyle w:val="FirstParagraph"/>
      </w:pPr>
      <w:r>
        <w:t xml:space="preserve">9. Split-Brain and Hybrid Resolution Patterns</w:t>
      </w:r>
    </w:p>
    <w:p>
      <w:pPr>
        <w:pStyle w:val="BodyText"/>
      </w:pPr>
      <w:r>
        <w:t xml:space="preserve">9.1 Pattern 1: Same Namespace, Different Answers</w:t>
      </w:r>
    </w:p>
    <w:p>
      <w:pPr>
        <w:pStyle w:val="BodyText"/>
      </w:pPr>
      <w:r>
        <w:rPr>
          <w:b/>
          <w:bCs/>
        </w:rPr>
        <w:t xml:space="preserve">Scenario:</w:t>
      </w:r>
      <w:r>
        <w:t xml:space="preserve"> </w:t>
      </w:r>
      <w:r>
        <w:t xml:space="preserve">app.contoso.com resolves to an internal IP (10.0.1.50) when queried from within the VNet, and to a public IP (203.0.113.50) when queried from the internet.</w:t>
      </w:r>
    </w:p>
    <w:p>
      <w:pPr>
        <w:pStyle w:val="BodyText"/>
      </w:pPr>
      <w:r>
        <w:rPr>
          <w:b/>
          <w:bCs/>
        </w:rPr>
        <w:t xml:space="preserve">Configuration Steps:</w:t>
      </w:r>
    </w:p>
    <w:p>
      <w:pPr>
        <w:numPr>
          <w:ilvl w:val="0"/>
          <w:numId w:val="1291"/>
        </w:numPr>
      </w:pPr>
      <w:r>
        <w:t xml:space="preserve">Create Azure DNS Public Zone for contoso.com with A record app → 203.0.113.50</w:t>
      </w:r>
    </w:p>
    <w:p>
      <w:pPr>
        <w:numPr>
          <w:ilvl w:val="0"/>
          <w:numId w:val="1291"/>
        </w:numPr>
      </w:pPr>
      <w:r>
        <w:t xml:space="preserve">Create Azure DNS Private Zone for contoso.com with A record app → 10.0.1.50</w:t>
      </w:r>
    </w:p>
    <w:p>
      <w:pPr>
        <w:numPr>
          <w:ilvl w:val="0"/>
          <w:numId w:val="1291"/>
        </w:numPr>
      </w:pPr>
      <w:r>
        <w:t xml:space="preserve">Link Private Zone to all VNets requiring internal resolution</w:t>
      </w:r>
    </w:p>
    <w:p>
      <w:pPr>
        <w:numPr>
          <w:ilvl w:val="0"/>
          <w:numId w:val="1291"/>
        </w:numPr>
      </w:pPr>
      <w:r>
        <w:t xml:space="preserve">Ensure VNet DNS settings use Azure-provided DNS or the Private Resolver inbound endpoint</w:t>
      </w:r>
    </w:p>
    <w:p>
      <w:pPr>
        <w:pStyle w:val="FirstParagraph"/>
      </w:pPr>
      <w:r>
        <w:rPr>
          <w:b/>
          <w:bCs/>
        </w:rPr>
        <w:t xml:space="preserve">Validation:</w:t>
      </w:r>
    </w:p>
    <w:p>
      <w:pPr>
        <w:numPr>
          <w:ilvl w:val="0"/>
          <w:numId w:val="1292"/>
        </w:numPr>
      </w:pPr>
      <w:r>
        <w:t xml:space="preserve">From Azure VM in linked VNet: Resolve-DnsName app.contoso.com should return 10.0.1.50</w:t>
      </w:r>
    </w:p>
    <w:p>
      <w:pPr>
        <w:numPr>
          <w:ilvl w:val="0"/>
          <w:numId w:val="1292"/>
        </w:numPr>
      </w:pPr>
      <w:r>
        <w:t xml:space="preserve">From external client: nslookup app.contoso.com 8.8.8.8 should return 203.0.113.50</w:t>
      </w:r>
    </w:p>
    <w:p>
      <w:pPr>
        <w:pStyle w:val="FirstParagraph"/>
      </w:pPr>
      <w:r>
        <w:rPr>
          <w:b/>
          <w:bCs/>
        </w:rPr>
        <w:t xml:space="preserve">Rollback:</w:t>
      </w:r>
      <w:r>
        <w:t xml:space="preserve"> </w:t>
      </w:r>
      <w:r>
        <w:t xml:space="preserve">Remove Private Zone VNet link; internal clients fall through to public resolution.</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2: Split-Brain DNS — Same Namespace Pattern — 800x500px]</w:t>
            </w:r>
          </w:p>
          <w:p>
            <w:pPr>
              <w:jc w:val="center"/>
            </w:pPr>
            <w:r>
              <w:t xml:space="preserve">Shows Azure DNS Public Zone and Private Zone for the same domain. Internal clients (within VNet) resolve via Private Zone returning private IP. External clients resolve via Public Zone returning public IP. Resolution paths depicted with separate arrows.</w:t>
            </w:r>
          </w:p>
        </w:tc>
      </w:tr>
    </w:tbl>
    <w:p>
      <w:pPr>
        <w:pStyle w:val="BodyText"/>
      </w:pPr>
      <w:r>
        <w:t xml:space="preserve">9.2 Pattern 2: Subdomain Delegation</w:t>
      </w:r>
    </w:p>
    <w:p>
      <w:pPr>
        <w:pStyle w:val="BodyText"/>
      </w:pPr>
      <w:r>
        <w:rPr>
          <w:b/>
          <w:bCs/>
        </w:rPr>
        <w:t xml:space="preserve">Scenario:</w:t>
      </w:r>
      <w:r>
        <w:t xml:space="preserve"> </w:t>
      </w:r>
      <w:r>
        <w:t xml:space="preserve">azure.contoso.com is delegated to Azure DNS, while contoso.com and other subdomains remain on-premises.</w:t>
      </w:r>
    </w:p>
    <w:p>
      <w:pPr>
        <w:pStyle w:val="BodyText"/>
      </w:pPr>
      <w:r>
        <w:rPr>
          <w:b/>
          <w:bCs/>
        </w:rPr>
        <w:t xml:space="preserve">Configuration Steps:</w:t>
      </w:r>
    </w:p>
    <w:p>
      <w:pPr>
        <w:numPr>
          <w:ilvl w:val="0"/>
          <w:numId w:val="1293"/>
        </w:numPr>
      </w:pPr>
      <w:r>
        <w:t xml:space="preserve">Create Azure DNS Public Zone for azure.contoso.com</w:t>
      </w:r>
    </w:p>
    <w:p>
      <w:pPr>
        <w:numPr>
          <w:ilvl w:val="0"/>
          <w:numId w:val="1293"/>
        </w:numPr>
      </w:pPr>
      <w:r>
        <w:t xml:space="preserve">Note the Azure DNS nameservers assigned to the zone</w:t>
      </w:r>
    </w:p>
    <w:p>
      <w:pPr>
        <w:numPr>
          <w:ilvl w:val="0"/>
          <w:numId w:val="1293"/>
        </w:numPr>
      </w:pPr>
      <w:r>
        <w:t xml:space="preserve">On the on-premises contoso.com zone, create NS records for azure pointing to Azure DNS nameservers</w:t>
      </w:r>
    </w:p>
    <w:p>
      <w:pPr>
        <w:numPr>
          <w:ilvl w:val="0"/>
          <w:numId w:val="1293"/>
        </w:numPr>
      </w:pPr>
      <w:r>
        <w:t xml:space="preserve">Create corresponding glue A records if required by the parent zone</w:t>
      </w:r>
    </w:p>
    <w:p>
      <w:pPr>
        <w:numPr>
          <w:ilvl w:val="0"/>
          <w:numId w:val="1293"/>
        </w:numPr>
      </w:pPr>
      <w:r>
        <w:t xml:space="preserve">For internal resolution, create an Azure DNS Private Zone for azure.contoso.com and link to VNets</w:t>
      </w:r>
    </w:p>
    <w:p>
      <w:pPr>
        <w:pStyle w:val="FirstParagraph"/>
      </w:pPr>
      <w:r>
        <w:rPr>
          <w:b/>
          <w:bCs/>
        </w:rPr>
        <w:t xml:space="preserve">Validation:</w:t>
      </w:r>
    </w:p>
    <w:p>
      <w:pPr>
        <w:numPr>
          <w:ilvl w:val="0"/>
          <w:numId w:val="1294"/>
        </w:numPr>
      </w:pPr>
      <w:r>
        <w:t xml:space="preserve">Resolve test.azure.contoso.com from on-premises — should follow delegation to Azure DNS</w:t>
      </w:r>
    </w:p>
    <w:p>
      <w:pPr>
        <w:numPr>
          <w:ilvl w:val="0"/>
          <w:numId w:val="1294"/>
        </w:numPr>
      </w:pPr>
      <w:r>
        <w:t xml:space="preserve">Resolve dc01.contoso.com from Azure — should follow forwarding rule to on-premises DNS</w:t>
      </w:r>
    </w:p>
    <w:p>
      <w:pPr>
        <w:pStyle w:val="FirstParagraph"/>
      </w:pPr>
      <w:r>
        <w:rPr>
          <w:b/>
          <w:bCs/>
        </w:rPr>
        <w:t xml:space="preserve">Rollback:</w:t>
      </w:r>
      <w:r>
        <w:t xml:space="preserve"> </w:t>
      </w:r>
      <w:r>
        <w:t xml:space="preserve">Remove NS delegation records from on-premises zone; remove Azure DNS zone.</w:t>
      </w:r>
    </w:p>
    <w:tbl>
      <w:tblPr>
        <w:tblStyle w:val="Table"/>
        <w:tblW w:type="pct" w:w="5020"/>
        <w:tblLayout w:type="fixed"/>
        <w:tblLook w:firstRow="0" w:lastRow="0" w:firstColumn="0" w:lastColumn="0" w:noHBand="0" w:noVBand="0" w:val="0000"/>
      </w:tblPr>
      <w:tblGrid>
        <w:gridCol w:w="7952"/>
      </w:tblGrid>
      <w:tr>
        <w:tc>
          <w:tcPr/>
          <w:p>
            <w:pPr>
              <w:jc w:val="center"/>
            </w:pPr>
            <w:r>
              <w:rPr>
                <w:b/>
                <w:bCs/>
              </w:rPr>
              <w:t xml:space="preserve">[Placeholder — Diagram 3: Subdomain Delegation Pattern — 800x500px]</w:t>
            </w:r>
          </w:p>
          <w:p>
            <w:pPr>
              <w:jc w:val="center"/>
            </w:pPr>
            <w:r>
              <w:t xml:space="preserve">Shows on-premises DNS hosting contoso.com with NS records delegating azure.contoso.com to Azure DNS nameservers. Resolution flow: query for test.azure.contoso.com hits on-prem DNS, follows NS delegation to Azure DNS, returns Azure-hosted answer.</w:t>
            </w:r>
          </w:p>
        </w:tc>
      </w:tr>
    </w:tbl>
    <w:p>
      <w:pPr>
        <w:pStyle w:val="BodyText"/>
      </w:pPr>
      <w:r>
        <w:t xml:space="preserve">9.3 Pattern 3: Full Migration with Conditional Forwarding</w:t>
      </w:r>
    </w:p>
    <w:p>
      <w:pPr>
        <w:pStyle w:val="BodyText"/>
      </w:pPr>
      <w:r>
        <w:rPr>
          <w:b/>
          <w:bCs/>
        </w:rPr>
        <w:t xml:space="preserve">Scenario:</w:t>
      </w:r>
      <w:r>
        <w:t xml:space="preserve"> </w:t>
      </w:r>
      <w:r>
        <w:t xml:space="preserve">All DNS zones are progressively migrated to Azure DNS. During transition, conditional forwarders provide bidirectional resolution.</w:t>
      </w:r>
    </w:p>
    <w:p>
      <w:pPr>
        <w:pStyle w:val="BodyText"/>
      </w:pPr>
      <w:r>
        <w:rPr>
          <w:b/>
          <w:bCs/>
        </w:rPr>
        <w:t xml:space="preserve">Configuration Steps:</w:t>
      </w:r>
    </w:p>
    <w:p>
      <w:pPr>
        <w:numPr>
          <w:ilvl w:val="0"/>
          <w:numId w:val="1295"/>
        </w:numPr>
      </w:pPr>
      <w:r>
        <w:t xml:space="preserve">Deploy Azure DNS Private Resolver (Section 6)</w:t>
      </w:r>
    </w:p>
    <w:p>
      <w:pPr>
        <w:numPr>
          <w:ilvl w:val="0"/>
          <w:numId w:val="1295"/>
        </w:numPr>
      </w:pPr>
      <w:r>
        <w:t xml:space="preserve">Create forwarding rulesets for all on-premises namespaces</w:t>
      </w:r>
    </w:p>
    <w:p>
      <w:pPr>
        <w:numPr>
          <w:ilvl w:val="0"/>
          <w:numId w:val="1295"/>
        </w:numPr>
      </w:pPr>
      <w:r>
        <w:t xml:space="preserve">Configure on-premises conditional forwarders for Azure-hosted namespaces pointing to the resolver inbound endpoint</w:t>
      </w:r>
    </w:p>
    <w:p>
      <w:pPr>
        <w:numPr>
          <w:ilvl w:val="0"/>
          <w:numId w:val="1295"/>
        </w:numPr>
      </w:pPr>
      <w:r>
        <w:t xml:space="preserve">Migrate zones one at a time — export, import, validate, update forwarders</w:t>
      </w:r>
    </w:p>
    <w:p>
      <w:pPr>
        <w:numPr>
          <w:ilvl w:val="0"/>
          <w:numId w:val="1295"/>
        </w:numPr>
      </w:pPr>
      <w:r>
        <w:t xml:space="preserve">As each zone moves to Azure, remove the corresponding on-premises conditional forwarder from Azure (it now resolves natively)</w:t>
      </w:r>
    </w:p>
    <w:p>
      <w:pPr>
        <w:numPr>
          <w:ilvl w:val="0"/>
          <w:numId w:val="1295"/>
        </w:numPr>
      </w:pPr>
      <w:r>
        <w:t xml:space="preserve">After all zones are migrated, remove on-premises conditional forwarders and decommission legacy DNS servers</w:t>
      </w:r>
    </w:p>
    <w:p>
      <w:pPr>
        <w:pStyle w:val="FirstParagraph"/>
      </w:pPr>
      <w:r>
        <w:rPr>
          <w:b/>
          <w:bCs/>
        </w:rPr>
        <w:t xml:space="preserve">Validation:</w:t>
      </w:r>
      <w:r>
        <w:t xml:space="preserve"> </w:t>
      </w:r>
      <w:r>
        <w:t xml:space="preserve">At each step, validate resolution from both on-premises and Azure vantage points for all migrated and non-migrated zones.</w:t>
      </w:r>
    </w:p>
    <w:p>
      <w:pPr>
        <w:pStyle w:val="BodyText"/>
      </w:pPr>
      <w:r>
        <w:rPr>
          <w:b/>
          <w:bCs/>
        </w:rPr>
        <w:t xml:space="preserve">Rollback:</w:t>
      </w:r>
      <w:r>
        <w:t xml:space="preserve"> </w:t>
      </w:r>
      <w:r>
        <w:t xml:space="preserve">Re-create on-premises zone from backup, update conditional forwarders to point back to on-premises DNS.</w:t>
      </w:r>
    </w:p>
    <w:tbl>
      <w:tblPr>
        <w:tblStyle w:val="Table"/>
        <w:tblW w:type="pct" w:w="5020"/>
        <w:tblLayout w:type="fixed"/>
        <w:tblLook w:firstRow="0" w:lastRow="0" w:firstColumn="0" w:lastColumn="0" w:noHBand="0" w:noVBand="0" w:val="0000"/>
      </w:tblPr>
      <w:tblGrid>
        <w:gridCol w:w="7951"/>
      </w:tblGrid>
      <w:tr>
        <w:tc>
          <w:tcPr/>
          <w:p>
            <w:pPr>
              <w:jc w:val="center"/>
            </w:pPr>
            <w:r>
              <w:rPr>
                <w:b/>
                <w:bCs/>
              </w:rPr>
              <w:t xml:space="preserve">[Placeholder — Diagram 4: Full Migration with Conditional Forwarding — 800x500px]</w:t>
            </w:r>
          </w:p>
          <w:p>
            <w:pPr>
              <w:jc w:val="center"/>
            </w:pPr>
            <w:r>
              <w:t xml:space="preserve">Shows phased migration: Phase A with most zones on-premises and few on Azure (bidirectional forwarding), Phase B with zones split evenly, Phase C with all zones on Azure and on-premises DNS decommissioned. Forwarding rules depicted at each phase.</w:t>
            </w:r>
          </w:p>
        </w:tc>
      </w:tr>
    </w:tbl>
    <w:p>
      <w:pPr>
        <w:pStyle w:val="BodyText"/>
      </w:pPr>
      <w:r>
        <w:t xml:space="preserve">10. Private Endpoint DNS Integration</w:t>
      </w:r>
    </w:p>
    <w:p>
      <w:pPr>
        <w:pStyle w:val="BodyText"/>
      </w:pPr>
      <w:r>
        <w:t xml:space="preserve">10.1 Overview</w:t>
      </w:r>
    </w:p>
    <w:p>
      <w:pPr>
        <w:pStyle w:val="BodyText"/>
      </w:pPr>
      <w:r>
        <w:t xml:space="preserve">Azure Private Endpoints assign private IP addresses to Azure PaaS services within a VNet. When a Private Endpoint is created, a DNS record is automatically generated in the corresponding privatelink.* DNS zone. For this resolution to work, Private DNS Zones for the privatelink.* namespace must exist and be linked to the VNets where clients reside.</w:t>
      </w:r>
    </w:p>
    <w:p>
      <w:pPr>
        <w:pStyle w:val="BodyText"/>
      </w:pPr>
      <w:r>
        <w:t xml:space="preserve">10.2 Required Private DNS Zones</w:t>
      </w:r>
    </w:p>
    <w:tbl>
      <w:tblPr>
        <w:tblStyle w:val="Table"/>
        <w:tblW w:type="pct" w:w="4888"/>
        <w:tblLayout w:type="fixed"/>
        <w:tblLook w:firstRow="1" w:lastRow="0" w:firstColumn="0" w:lastColumn="0" w:noHBand="0" w:noVBand="0" w:val="0020"/>
      </w:tblPr>
      <w:tblGrid>
        <w:gridCol w:w="2402"/>
        <w:gridCol w:w="3737"/>
        <w:gridCol w:w="1601"/>
      </w:tblGrid>
      <w:tr>
        <w:trPr>
          <w:tblHeader w:val="on"/>
        </w:trPr>
        <w:tc>
          <w:tcPr/>
          <w:p>
            <w:pPr>
              <w:pStyle w:val="Compact"/>
              <w:jc w:val="left"/>
            </w:pPr>
            <w:r>
              <w:rPr>
                <w:b/>
                <w:bCs/>
              </w:rPr>
              <w:t xml:space="preserve">Azure Service</w:t>
            </w:r>
          </w:p>
        </w:tc>
        <w:tc>
          <w:tcPr/>
          <w:p>
            <w:pPr>
              <w:pStyle w:val="Compact"/>
              <w:jc w:val="left"/>
            </w:pPr>
            <w:r>
              <w:rPr>
                <w:b/>
                <w:bCs/>
              </w:rPr>
              <w:t xml:space="preserve">Private DNS Zone</w:t>
            </w:r>
          </w:p>
        </w:tc>
        <w:tc>
          <w:tcPr/>
          <w:p>
            <w:pPr>
              <w:pStyle w:val="Compact"/>
              <w:jc w:val="left"/>
            </w:pPr>
            <w:r>
              <w:rPr>
                <w:b/>
                <w:bCs/>
              </w:rPr>
              <w:t xml:space="preserve">Record Type</w:t>
            </w:r>
          </w:p>
        </w:tc>
      </w:tr>
      <w:tr>
        <w:tc>
          <w:tcPr/>
          <w:p>
            <w:pPr>
              <w:pStyle w:val="Compact"/>
              <w:jc w:val="left"/>
            </w:pPr>
            <w:r>
              <w:t xml:space="preserve">Azure Blob Storage</w:t>
            </w:r>
          </w:p>
        </w:tc>
        <w:tc>
          <w:tcPr/>
          <w:p>
            <w:pPr>
              <w:pStyle w:val="Compact"/>
              <w:jc w:val="left"/>
            </w:pPr>
            <w:r>
              <w:t xml:space="preserve">privatelink.blob.core.windows.net</w:t>
            </w:r>
          </w:p>
        </w:tc>
        <w:tc>
          <w:tcPr/>
          <w:p>
            <w:pPr>
              <w:pStyle w:val="Compact"/>
              <w:jc w:val="left"/>
            </w:pPr>
            <w:r>
              <w:t xml:space="preserve">A</w:t>
            </w:r>
          </w:p>
        </w:tc>
      </w:tr>
      <w:tr>
        <w:tc>
          <w:tcPr/>
          <w:p>
            <w:pPr>
              <w:pStyle w:val="Compact"/>
              <w:jc w:val="left"/>
            </w:pPr>
            <w:r>
              <w:t xml:space="preserve">Azure File Storage</w:t>
            </w:r>
          </w:p>
        </w:tc>
        <w:tc>
          <w:tcPr/>
          <w:p>
            <w:pPr>
              <w:pStyle w:val="Compact"/>
              <w:jc w:val="left"/>
            </w:pPr>
            <w:r>
              <w:t xml:space="preserve">privatelink.file.core.windows.net</w:t>
            </w:r>
          </w:p>
        </w:tc>
        <w:tc>
          <w:tcPr/>
          <w:p>
            <w:pPr>
              <w:pStyle w:val="Compact"/>
              <w:jc w:val="left"/>
            </w:pPr>
            <w:r>
              <w:t xml:space="preserve">A</w:t>
            </w:r>
          </w:p>
        </w:tc>
      </w:tr>
      <w:tr>
        <w:tc>
          <w:tcPr/>
          <w:p>
            <w:pPr>
              <w:pStyle w:val="Compact"/>
              <w:jc w:val="left"/>
            </w:pPr>
            <w:r>
              <w:t xml:space="preserve">Azure Table Storage</w:t>
            </w:r>
          </w:p>
        </w:tc>
        <w:tc>
          <w:tcPr/>
          <w:p>
            <w:pPr>
              <w:pStyle w:val="Compact"/>
              <w:jc w:val="left"/>
            </w:pPr>
            <w:r>
              <w:t xml:space="preserve">privatelink.table.core.windows.net</w:t>
            </w:r>
          </w:p>
        </w:tc>
        <w:tc>
          <w:tcPr/>
          <w:p>
            <w:pPr>
              <w:pStyle w:val="Compact"/>
              <w:jc w:val="left"/>
            </w:pPr>
            <w:r>
              <w:t xml:space="preserve">A</w:t>
            </w:r>
          </w:p>
        </w:tc>
      </w:tr>
      <w:tr>
        <w:tc>
          <w:tcPr/>
          <w:p>
            <w:pPr>
              <w:pStyle w:val="Compact"/>
              <w:jc w:val="left"/>
            </w:pPr>
            <w:r>
              <w:t xml:space="preserve">Azure Queue Storage</w:t>
            </w:r>
          </w:p>
        </w:tc>
        <w:tc>
          <w:tcPr/>
          <w:p>
            <w:pPr>
              <w:pStyle w:val="Compact"/>
              <w:jc w:val="left"/>
            </w:pPr>
            <w:r>
              <w:t xml:space="preserve">privatelink.queue.core.windows.net</w:t>
            </w:r>
          </w:p>
        </w:tc>
        <w:tc>
          <w:tcPr/>
          <w:p>
            <w:pPr>
              <w:pStyle w:val="Compact"/>
              <w:jc w:val="left"/>
            </w:pPr>
            <w:r>
              <w:t xml:space="preserve">A</w:t>
            </w:r>
          </w:p>
        </w:tc>
      </w:tr>
      <w:tr>
        <w:tc>
          <w:tcPr/>
          <w:p>
            <w:pPr>
              <w:pStyle w:val="Compact"/>
              <w:jc w:val="left"/>
            </w:pPr>
            <w:r>
              <w:t xml:space="preserve">Azure SQL Database</w:t>
            </w:r>
          </w:p>
        </w:tc>
        <w:tc>
          <w:tcPr/>
          <w:p>
            <w:pPr>
              <w:pStyle w:val="Compact"/>
              <w:jc w:val="left"/>
            </w:pPr>
            <w:r>
              <w:t xml:space="preserve">privatelink.database.windows.net</w:t>
            </w:r>
          </w:p>
        </w:tc>
        <w:tc>
          <w:tcPr/>
          <w:p>
            <w:pPr>
              <w:pStyle w:val="Compact"/>
              <w:jc w:val="left"/>
            </w:pPr>
            <w:r>
              <w:t xml:space="preserve">A</w:t>
            </w:r>
          </w:p>
        </w:tc>
      </w:tr>
      <w:tr>
        <w:tc>
          <w:tcPr/>
          <w:p>
            <w:pPr>
              <w:pStyle w:val="Compact"/>
              <w:jc w:val="left"/>
            </w:pPr>
            <w:r>
              <w:t xml:space="preserve">Azure Cosmos DB</w:t>
            </w:r>
          </w:p>
        </w:tc>
        <w:tc>
          <w:tcPr/>
          <w:p>
            <w:pPr>
              <w:pStyle w:val="Compact"/>
              <w:jc w:val="left"/>
            </w:pPr>
            <w:r>
              <w:t xml:space="preserve">privatelink.documents.azure.com</w:t>
            </w:r>
          </w:p>
        </w:tc>
        <w:tc>
          <w:tcPr/>
          <w:p>
            <w:pPr>
              <w:pStyle w:val="Compact"/>
              <w:jc w:val="left"/>
            </w:pPr>
            <w:r>
              <w:t xml:space="preserve">A</w:t>
            </w:r>
          </w:p>
        </w:tc>
      </w:tr>
      <w:tr>
        <w:tc>
          <w:tcPr/>
          <w:p>
            <w:pPr>
              <w:pStyle w:val="Compact"/>
              <w:jc w:val="left"/>
            </w:pPr>
            <w:r>
              <w:t xml:space="preserve">Azure Key Vault</w:t>
            </w:r>
          </w:p>
        </w:tc>
        <w:tc>
          <w:tcPr/>
          <w:p>
            <w:pPr>
              <w:pStyle w:val="Compact"/>
              <w:jc w:val="left"/>
            </w:pPr>
            <w:r>
              <w:t xml:space="preserve">privatelink.vaultcore.azure.net</w:t>
            </w:r>
          </w:p>
        </w:tc>
        <w:tc>
          <w:tcPr/>
          <w:p>
            <w:pPr>
              <w:pStyle w:val="Compact"/>
              <w:jc w:val="left"/>
            </w:pPr>
            <w:r>
              <w:t xml:space="preserve">A</w:t>
            </w:r>
          </w:p>
        </w:tc>
      </w:tr>
      <w:tr>
        <w:tc>
          <w:tcPr/>
          <w:p>
            <w:pPr>
              <w:pStyle w:val="Compact"/>
              <w:jc w:val="left"/>
            </w:pPr>
            <w:r>
              <w:t xml:space="preserve">Azure Container Registry</w:t>
            </w:r>
          </w:p>
        </w:tc>
        <w:tc>
          <w:tcPr/>
          <w:p>
            <w:pPr>
              <w:pStyle w:val="Compact"/>
              <w:jc w:val="left"/>
            </w:pPr>
            <w:r>
              <w:t xml:space="preserve">privatelink.azurecr.io</w:t>
            </w:r>
          </w:p>
        </w:tc>
        <w:tc>
          <w:tcPr/>
          <w:p>
            <w:pPr>
              <w:pStyle w:val="Compact"/>
              <w:jc w:val="left"/>
            </w:pPr>
            <w:r>
              <w:t xml:space="preserve">A</w:t>
            </w:r>
          </w:p>
        </w:tc>
      </w:tr>
      <w:tr>
        <w:tc>
          <w:tcPr/>
          <w:p>
            <w:pPr>
              <w:pStyle w:val="Compact"/>
              <w:jc w:val="left"/>
            </w:pPr>
            <w:r>
              <w:t xml:space="preserve">Azure Event Hubs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Service Bus</w:t>
            </w:r>
          </w:p>
        </w:tc>
        <w:tc>
          <w:tcPr/>
          <w:p>
            <w:pPr>
              <w:pStyle w:val="Compact"/>
              <w:jc w:val="left"/>
            </w:pPr>
            <w:r>
              <w:t xml:space="preserve">privatelink.servicebus.windows.net</w:t>
            </w:r>
          </w:p>
        </w:tc>
        <w:tc>
          <w:tcPr/>
          <w:p>
            <w:pPr>
              <w:pStyle w:val="Compact"/>
              <w:jc w:val="left"/>
            </w:pPr>
            <w:r>
              <w:t xml:space="preserve">A</w:t>
            </w:r>
          </w:p>
        </w:tc>
      </w:tr>
      <w:tr>
        <w:tc>
          <w:tcPr/>
          <w:p>
            <w:pPr>
              <w:pStyle w:val="Compact"/>
              <w:jc w:val="left"/>
            </w:pPr>
            <w:r>
              <w:t xml:space="preserve">Azure App Service</w:t>
            </w:r>
          </w:p>
        </w:tc>
        <w:tc>
          <w:tcPr/>
          <w:p>
            <w:pPr>
              <w:pStyle w:val="Compact"/>
              <w:jc w:val="left"/>
            </w:pPr>
            <w:r>
              <w:t xml:space="preserve">privatelink.azurewebsites.net</w:t>
            </w:r>
          </w:p>
        </w:tc>
        <w:tc>
          <w:tcPr/>
          <w:p>
            <w:pPr>
              <w:pStyle w:val="Compact"/>
              <w:jc w:val="left"/>
            </w:pPr>
            <w:r>
              <w:t xml:space="preserve">A</w:t>
            </w:r>
          </w:p>
        </w:tc>
      </w:tr>
      <w:tr>
        <w:tc>
          <w:tcPr/>
          <w:p>
            <w:pPr>
              <w:pStyle w:val="Compact"/>
              <w:jc w:val="left"/>
            </w:pPr>
            <w:r>
              <w:t xml:space="preserve">Azure Monitor</w:t>
            </w:r>
          </w:p>
        </w:tc>
        <w:tc>
          <w:tcPr/>
          <w:p>
            <w:pPr>
              <w:pStyle w:val="Compact"/>
              <w:jc w:val="left"/>
            </w:pPr>
            <w:r>
              <w:t xml:space="preserve">privatelink.monitor.azure.com</w:t>
            </w:r>
          </w:p>
        </w:tc>
        <w:tc>
          <w:tcPr/>
          <w:p>
            <w:pPr>
              <w:pStyle w:val="Compact"/>
              <w:jc w:val="left"/>
            </w:pPr>
            <w:r>
              <w:t xml:space="preserve">A</w:t>
            </w:r>
          </w:p>
        </w:tc>
      </w:tr>
      <w:tr>
        <w:tc>
          <w:tcPr/>
          <w:p>
            <w:pPr>
              <w:pStyle w:val="Compact"/>
              <w:jc w:val="left"/>
            </w:pPr>
            <w:r>
              <w:t xml:space="preserve">Azure Automation</w:t>
            </w:r>
          </w:p>
        </w:tc>
        <w:tc>
          <w:tcPr/>
          <w:p>
            <w:pPr>
              <w:pStyle w:val="Compact"/>
              <w:jc w:val="left"/>
            </w:pPr>
            <w:r>
              <w:t xml:space="preserve">privatelink.azure-automation.net</w:t>
            </w:r>
          </w:p>
        </w:tc>
        <w:tc>
          <w:tcPr/>
          <w:p>
            <w:pPr>
              <w:pStyle w:val="Compact"/>
              <w:jc w:val="left"/>
            </w:pPr>
            <w:r>
              <w:t xml:space="preserve">A</w:t>
            </w:r>
          </w:p>
        </w:tc>
      </w:tr>
      <w:tr>
        <w:tc>
          <w:tcPr/>
          <w:p>
            <w:pPr>
              <w:pStyle w:val="Compact"/>
              <w:jc w:val="left"/>
            </w:pPr>
            <w:r>
              <w:t xml:space="preserve">Azure Cognitive Services</w:t>
            </w:r>
          </w:p>
        </w:tc>
        <w:tc>
          <w:tcPr/>
          <w:p>
            <w:pPr>
              <w:pStyle w:val="Compact"/>
              <w:jc w:val="left"/>
            </w:pPr>
            <w:r>
              <w:t xml:space="preserve">privatelink.cognitiveservices.azure.com</w:t>
            </w:r>
          </w:p>
        </w:tc>
        <w:tc>
          <w:tcPr/>
          <w:p>
            <w:pPr>
              <w:pStyle w:val="Compact"/>
              <w:jc w:val="left"/>
            </w:pPr>
            <w:r>
              <w:t xml:space="preserve">A</w:t>
            </w:r>
          </w:p>
        </w:tc>
      </w:tr>
      <w:tr>
        <w:tc>
          <w:tcPr/>
          <w:p>
            <w:pPr>
              <w:pStyle w:val="Compact"/>
              <w:jc w:val="left"/>
            </w:pPr>
            <w:r>
              <w:t xml:space="preserve">Azure Data Factory</w:t>
            </w:r>
          </w:p>
        </w:tc>
        <w:tc>
          <w:tcPr/>
          <w:p>
            <w:pPr>
              <w:pStyle w:val="Compact"/>
              <w:jc w:val="left"/>
            </w:pPr>
            <w:r>
              <w:t xml:space="preserve">privatelink.datafactory.azure.net</w:t>
            </w:r>
          </w:p>
        </w:tc>
        <w:tc>
          <w:tcPr/>
          <w:p>
            <w:pPr>
              <w:pStyle w:val="Compact"/>
              <w:jc w:val="left"/>
            </w:pPr>
            <w:r>
              <w:t xml:space="preserve">A</w:t>
            </w:r>
          </w:p>
        </w:tc>
      </w:tr>
      <w:tr>
        <w:tc>
          <w:tcPr/>
          <w:p>
            <w:pPr>
              <w:pStyle w:val="Compact"/>
              <w:jc w:val="left"/>
            </w:pPr>
            <w:r>
              <w:t xml:space="preserve">Azure SignalR</w:t>
            </w:r>
          </w:p>
        </w:tc>
        <w:tc>
          <w:tcPr/>
          <w:p>
            <w:pPr>
              <w:pStyle w:val="Compact"/>
              <w:jc w:val="left"/>
            </w:pPr>
            <w:r>
              <w:t xml:space="preserve">privatelink.service.signalr.net</w:t>
            </w:r>
          </w:p>
        </w:tc>
        <w:tc>
          <w:tcPr/>
          <w:p>
            <w:pPr>
              <w:pStyle w:val="Compact"/>
              <w:jc w:val="left"/>
            </w:pPr>
            <w:r>
              <w:t xml:space="preserve">A</w:t>
            </w:r>
          </w:p>
        </w:tc>
      </w:tr>
      <w:tr>
        <w:tc>
          <w:tcPr/>
          <w:p>
            <w:pPr>
              <w:pStyle w:val="Compact"/>
              <w:jc w:val="left"/>
            </w:pPr>
            <w:r>
              <w:t xml:space="preserve">Azure Machine Learning</w:t>
            </w:r>
          </w:p>
        </w:tc>
        <w:tc>
          <w:tcPr/>
          <w:p>
            <w:pPr>
              <w:pStyle w:val="Compact"/>
              <w:jc w:val="left"/>
            </w:pPr>
            <w:r>
              <w:t xml:space="preserve">privatelink.api.azureml.ms</w:t>
            </w:r>
          </w:p>
        </w:tc>
        <w:tc>
          <w:tcPr/>
          <w:p>
            <w:pPr>
              <w:pStyle w:val="Compact"/>
              <w:jc w:val="left"/>
            </w:pPr>
            <w:r>
              <w:t xml:space="preserve">A</w:t>
            </w:r>
          </w:p>
        </w:tc>
      </w:tr>
    </w:tbl>
    <w:p>
      <w:pPr>
        <w:pStyle w:val="BodyText"/>
      </w:pPr>
      <w:r>
        <w:t xml:space="preserve">10.3 Auto-Registration vs. Manual Management</w:t>
      </w:r>
    </w:p>
    <w:p>
      <w:pPr>
        <w:numPr>
          <w:ilvl w:val="0"/>
          <w:numId w:val="1296"/>
        </w:numPr>
      </w:pPr>
      <w:r>
        <w:rPr>
          <w:b/>
          <w:bCs/>
        </w:rPr>
        <w:t xml:space="preserve">Auto-Registration:</w:t>
      </w:r>
      <w:r>
        <w:t xml:space="preserve"> </w:t>
      </w:r>
      <w:r>
        <w:t xml:space="preserve">When a Private Endpoint is created with DNS integration enabled (default), Azure automatically creates and deletes A records in the linked Private DNS Zone. This is the recommended approach for most scenarios.</w:t>
      </w:r>
    </w:p>
    <w:p>
      <w:pPr>
        <w:numPr>
          <w:ilvl w:val="0"/>
          <w:numId w:val="1296"/>
        </w:numPr>
      </w:pPr>
      <w:r>
        <w:rPr>
          <w:b/>
          <w:bCs/>
        </w:rPr>
        <w:t xml:space="preserve">Manual Management:</w:t>
      </w:r>
      <w:r>
        <w:t xml:space="preserve"> </w:t>
      </w:r>
      <w:r>
        <w:t xml:space="preserve">Required when custom DNS record names are needed, when the Private DNS Zone is in a different subscription, or when organizational policy requires explicit record management. Use New-AzPrivateDnsRecordSet to create records manually.</w:t>
      </w:r>
    </w:p>
    <w:p>
      <w:pPr>
        <w:pStyle w:val="FirstParagraph"/>
      </w:pPr>
      <w:r>
        <w:t xml:space="preserve">10.4 VNet Link Configuration</w:t>
      </w:r>
    </w:p>
    <w:p>
      <w:pPr>
        <w:pStyle w:val="BodyText"/>
      </w:pPr>
      <w:r>
        <w:t xml:space="preserve"># Link a privatelink zone to a VNet $zone = Get-AzPrivateDnsZone -ResourceGroupName "rg-dns" ` -Name "privatelink.blob.core.windows.net" $vnet = Get-AzVirtualNetwork -ResourceGroupName "rg-spoke-networking" ` -Name "vnet-spoke-workload-001" New-AzPrivateDnsVirtualNetworkLink -ResourceGroupName "rg-dns" ` -ZoneName "privatelink.blob.core.windows.net" ` -Name "link-spoke-workload-001" ` -VirtualNetworkId $vnet.Id ` -EnableRegistration $false # Registration not needed for privatelink zones</w:t>
      </w:r>
    </w:p>
    <w:p>
      <w:pPr>
        <w:pStyle w:val="BodyText"/>
      </w:pPr>
      <w:r>
        <w:t xml:space="preserve">10.5 On-Premises Resolution of Private Endpoints</w:t>
      </w:r>
    </w:p>
    <w:p>
      <w:pPr>
        <w:pStyle w:val="BodyText"/>
      </w:pPr>
      <w:r>
        <w:t xml:space="preserve">For on-premises clients to resolve Private Endpoint DNS records, configure conditional forwarders on the on-premises DNS servers for each privatelink.* namespace, pointing to the DNS Private Resolver inbound endpoint IP (recorded in Section 6.1, Step 3).</w:t>
      </w:r>
    </w:p>
    <w:p>
      <w:pPr>
        <w:pStyle w:val="BodyText"/>
      </w:pPr>
      <w:r>
        <w:t xml:space="preserve"># On-premises DNS server — forward privatelink zones to resolver $privateLinkZones = @( "privatelink.blob.core.windows.net", "privatelink.file.core.windows.net", "privatelink.database.windows.net", "privatelink.vaultcore.azure.net", "privatelink.azurewebsites.net", "privatelink.servicebus.windows.net" ) foreach ($zone in $privateLinkZones) { Add-DnsServerConditionalForwarderZone ` -Name $zone ` -MasterServers $inboundIP ` -ReplicationScope "Forest" }</w:t>
      </w:r>
    </w:p>
    <w:p>
      <w:pPr>
        <w:pStyle w:val="BodyText"/>
      </w:pPr>
      <w:r>
        <w:t xml:space="preserve">11. DHCP and Dynamic DNS Modernization</w:t>
      </w:r>
    </w:p>
    <w:p>
      <w:pPr>
        <w:pStyle w:val="BodyText"/>
      </w:pPr>
      <w:r>
        <w:t xml:space="preserve">11.1 Current State</w:t>
      </w:r>
    </w:p>
    <w:p>
      <w:pPr>
        <w:pStyle w:val="BodyText"/>
      </w:pPr>
      <w:r>
        <w:t xml:space="preserve">In the AD-integrated model, DHCP servers perform secure dynamic DNS updates on behalf of clients. The DHCP server registers both A (forward) and PTR (reverse) records using the credentials of the DHCP service account. Scavenging is configured on DNS zones to remove stale records when leases expire or devices are decommissioned.</w:t>
      </w:r>
    </w:p>
    <w:p>
      <w:pPr>
        <w:pStyle w:val="BodyText"/>
      </w:pPr>
      <w:r>
        <w:t xml:space="preserve">11.2 Hybrid State</w:t>
      </w:r>
    </w:p>
    <w:p>
      <w:pPr>
        <w:pStyle w:val="BodyText"/>
      </w:pPr>
      <w:r>
        <w:t xml:space="preserve">During the hybrid period, DHCP remains on-premises while DNS is split between AD and Azure:</w:t>
      </w:r>
    </w:p>
    <w:p>
      <w:pPr>
        <w:numPr>
          <w:ilvl w:val="0"/>
          <w:numId w:val="1297"/>
        </w:numPr>
      </w:pPr>
      <w:r>
        <w:t xml:space="preserve">On-premises DHCP continues to perform dynamic DNS updates to on-premises AD DNS zones</w:t>
      </w:r>
    </w:p>
    <w:p>
      <w:pPr>
        <w:numPr>
          <w:ilvl w:val="0"/>
          <w:numId w:val="1297"/>
        </w:numPr>
      </w:pPr>
      <w:r>
        <w:t xml:space="preserve">Azure VMs receive IP addresses from Azure VNet DHCP (168.63.129.16) and register DNS records via Private Zone auto-registration</w:t>
      </w:r>
    </w:p>
    <w:p>
      <w:pPr>
        <w:numPr>
          <w:ilvl w:val="0"/>
          <w:numId w:val="1297"/>
        </w:numPr>
      </w:pPr>
      <w:r>
        <w:t xml:space="preserve">DNS Forwarding Rulesets ensure cross-environment resolution</w:t>
      </w:r>
    </w:p>
    <w:p>
      <w:pPr>
        <w:pStyle w:val="FirstParagraph"/>
      </w:pPr>
      <w:r>
        <w:t xml:space="preserve">11.3 Target State Options</w:t>
      </w:r>
    </w:p>
    <w:tbl>
      <w:tblPr>
        <w:tblStyle w:val="Table"/>
        <w:tblW w:type="pct" w:w="4960"/>
        <w:tblLayout w:type="fixed"/>
        <w:tblLook w:firstRow="1" w:lastRow="0" w:firstColumn="0" w:lastColumn="0" w:noHBand="0" w:noVBand="0" w:val="0020"/>
      </w:tblPr>
      <w:tblGrid>
        <w:gridCol w:w="1577"/>
        <w:gridCol w:w="4354"/>
        <w:gridCol w:w="1924"/>
      </w:tblGrid>
      <w:tr>
        <w:trPr>
          <w:tblHeader w:val="on"/>
        </w:trPr>
        <w:tc>
          <w:tcPr/>
          <w:p>
            <w:pPr>
              <w:pStyle w:val="Compact"/>
              <w:jc w:val="left"/>
            </w:pPr>
            <w:r>
              <w:rPr>
                <w:b/>
                <w:bCs/>
              </w:rPr>
              <w:t xml:space="preserve">Option</w:t>
            </w:r>
          </w:p>
        </w:tc>
        <w:tc>
          <w:tcPr/>
          <w:p>
            <w:pPr>
              <w:pStyle w:val="Compact"/>
              <w:jc w:val="left"/>
            </w:pPr>
            <w:r>
              <w:rPr>
                <w:b/>
                <w:bCs/>
              </w:rPr>
              <w:t xml:space="preserve">Description</w:t>
            </w:r>
          </w:p>
        </w:tc>
        <w:tc>
          <w:tcPr/>
          <w:p>
            <w:pPr>
              <w:pStyle w:val="Compact"/>
              <w:jc w:val="left"/>
            </w:pPr>
            <w:r>
              <w:rPr>
                <w:b/>
                <w:bCs/>
              </w:rPr>
              <w:t xml:space="preserve">Best For</w:t>
            </w:r>
          </w:p>
        </w:tc>
      </w:tr>
      <w:tr>
        <w:tc>
          <w:tcPr/>
          <w:p>
            <w:pPr>
              <w:pStyle w:val="Compact"/>
              <w:jc w:val="left"/>
            </w:pPr>
            <w:r>
              <w:t xml:space="preserve">Azure VNet-native DHCP + Auto-Registration</w:t>
            </w:r>
          </w:p>
        </w:tc>
        <w:tc>
          <w:tcPr/>
          <w:p>
            <w:pPr>
              <w:pStyle w:val="Compact"/>
              <w:jc w:val="left"/>
            </w:pPr>
            <w:r>
              <w:t xml:space="preserve">Azure VNet provides DHCP for Azure-hosted VMs; Private Zone auto-registration creates/removes DNS records automatically</w:t>
            </w:r>
          </w:p>
        </w:tc>
        <w:tc>
          <w:tcPr/>
          <w:p>
            <w:pPr>
              <w:pStyle w:val="Compact"/>
              <w:jc w:val="left"/>
            </w:pPr>
            <w:r>
              <w:t xml:space="preserve">Cloud-native workloads, new deployments</w:t>
            </w:r>
          </w:p>
        </w:tc>
      </w:tr>
      <w:tr>
        <w:tc>
          <w:tcPr/>
          <w:p>
            <w:pPr>
              <w:pStyle w:val="Compact"/>
              <w:jc w:val="left"/>
            </w:pPr>
            <w:r>
              <w:t xml:space="preserve">On-premises DHCP + DNS Forwarding</w:t>
            </w:r>
          </w:p>
        </w:tc>
        <w:tc>
          <w:tcPr/>
          <w:p>
            <w:pPr>
              <w:pStyle w:val="Compact"/>
              <w:jc w:val="left"/>
            </w:pPr>
            <w:r>
              <w:t xml:space="preserve">On-premises DHCP continues for physical/legacy devices; DNS forwarding rules ensure Azure clients can resolve on-premises registrations</w:t>
            </w:r>
          </w:p>
        </w:tc>
        <w:tc>
          <w:tcPr/>
          <w:p>
            <w:pPr>
              <w:pStyle w:val="Compact"/>
              <w:jc w:val="left"/>
            </w:pPr>
            <w:r>
              <w:t xml:space="preserve">Hybrid environments with significant on-premises footprint</w:t>
            </w:r>
          </w:p>
        </w:tc>
      </w:tr>
      <w:tr>
        <w:tc>
          <w:tcPr/>
          <w:p>
            <w:pPr>
              <w:pStyle w:val="Compact"/>
              <w:jc w:val="left"/>
            </w:pPr>
            <w:r>
              <w:t xml:space="preserve">Third-party IPAM/DHCP (e.g., Infoblox, BlueCat)</w:t>
            </w:r>
          </w:p>
        </w:tc>
        <w:tc>
          <w:tcPr/>
          <w:p>
            <w:pPr>
              <w:pStyle w:val="Compact"/>
              <w:jc w:val="left"/>
            </w:pPr>
            <w:r>
              <w:t xml:space="preserve">Centralized IPAM with API-driven DNS record management across both environments</w:t>
            </w:r>
          </w:p>
        </w:tc>
        <w:tc>
          <w:tcPr/>
          <w:p>
            <w:pPr>
              <w:pStyle w:val="Compact"/>
              <w:jc w:val="left"/>
            </w:pPr>
            <w:r>
              <w:t xml:space="preserve">Large enterprises with existing IPAM investment</w:t>
            </w:r>
          </w:p>
        </w:tc>
      </w:tr>
    </w:tbl>
    <w:p>
      <w:pPr>
        <w:pStyle w:val="BodyText"/>
      </w:pPr>
      <w:r>
        <w:t xml:space="preserve">11.4 Scavenging Equivalent in Azure DNS</w:t>
      </w:r>
    </w:p>
    <w:p>
      <w:pPr>
        <w:pStyle w:val="BodyText"/>
      </w:pPr>
      <w:r>
        <w:t xml:space="preserve">Azure DNS does not have a native scavenging mechanism equivalent to AD DNS scavenging. The alternatives are:</w:t>
      </w:r>
    </w:p>
    <w:p>
      <w:pPr>
        <w:numPr>
          <w:ilvl w:val="0"/>
          <w:numId w:val="1298"/>
        </w:numPr>
      </w:pPr>
      <w:r>
        <w:rPr>
          <w:b/>
          <w:bCs/>
        </w:rPr>
        <w:t xml:space="preserve">Auto-Registration lifecycle:</w:t>
      </w:r>
      <w:r>
        <w:t xml:space="preserve"> </w:t>
      </w:r>
      <w:r>
        <w:t xml:space="preserve">When auto-registration is enabled, Azure automatically removes DNS records when VMs are deallocated or deleted</w:t>
      </w:r>
    </w:p>
    <w:p>
      <w:pPr>
        <w:numPr>
          <w:ilvl w:val="0"/>
          <w:numId w:val="1298"/>
        </w:numPr>
      </w:pPr>
      <w:r>
        <w:rPr>
          <w:b/>
          <w:bCs/>
        </w:rPr>
        <w:t xml:space="preserve">TTL management:</w:t>
      </w:r>
      <w:r>
        <w:t xml:space="preserve"> </w:t>
      </w:r>
      <w:r>
        <w:t xml:space="preserve">Set appropriate TTL values on manually created records; implement automated cleanup scripts for stale records</w:t>
      </w:r>
    </w:p>
    <w:p>
      <w:pPr>
        <w:numPr>
          <w:ilvl w:val="0"/>
          <w:numId w:val="1298"/>
        </w:numPr>
      </w:pPr>
      <w:r>
        <w:rPr>
          <w:b/>
          <w:bCs/>
        </w:rPr>
        <w:t xml:space="preserve">Azure Automation runbooks:</w:t>
      </w:r>
      <w:r>
        <w:t xml:space="preserve"> </w:t>
      </w:r>
      <w:r>
        <w:t xml:space="preserve">Schedule runbooks to audit and remove records for resources that no longer exist</w:t>
      </w:r>
    </w:p>
    <w:p>
      <w:pPr>
        <w:pStyle w:val="FirstParagraph"/>
      </w:pPr>
      <w:r>
        <w:t xml:space="preserve">11.5 IPAM Integration</w:t>
      </w:r>
    </w:p>
    <w:p>
      <w:pPr>
        <w:pStyle w:val="BodyText"/>
      </w:pPr>
      <w:r>
        <w:t xml:space="preserve">Azure IPAM provides hybrid address space management, tracking IP allocations across both on-premises and Azure environments. Integrate IPAM with DNS management to ensure IP-to-hostname mappings remain consistent across environments.</w:t>
      </w:r>
    </w:p>
    <w:p>
      <w:pPr>
        <w:pStyle w:val="BodyText"/>
      </w:pPr>
      <w:r>
        <w:t xml:space="preserve">12. Monitoring and Drift Detection</w:t>
      </w:r>
    </w:p>
    <w:p>
      <w:pPr>
        <w:pStyle w:val="BodyText"/>
      </w:pPr>
      <w:r>
        <w:t xml:space="preserve">12.1 Azure DNS Metrics</w:t>
      </w:r>
    </w:p>
    <w:tbl>
      <w:tblPr>
        <w:tblStyle w:val="Table"/>
        <w:tblW w:type="pct" w:w="4917"/>
        <w:tblLayout w:type="fixed"/>
        <w:tblLook w:firstRow="1" w:lastRow="0" w:firstColumn="0" w:lastColumn="0" w:noHBand="0" w:noVBand="0" w:val="0020"/>
      </w:tblPr>
      <w:tblGrid>
        <w:gridCol w:w="2225"/>
        <w:gridCol w:w="1636"/>
        <w:gridCol w:w="3927"/>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Query Volume</w:t>
            </w:r>
          </w:p>
        </w:tc>
        <w:tc>
          <w:tcPr/>
          <w:p>
            <w:pPr>
              <w:pStyle w:val="Compact"/>
              <w:jc w:val="left"/>
            </w:pPr>
            <w:r>
              <w:t xml:space="preserve">Azure DNS Zone metrics</w:t>
            </w:r>
          </w:p>
        </w:tc>
        <w:tc>
          <w:tcPr/>
          <w:p>
            <w:pPr>
              <w:pStyle w:val="Compact"/>
              <w:jc w:val="left"/>
            </w:pPr>
            <w:r>
              <w:t xml:space="preserve">Alert on sudden drop &gt;50% (indicates resolution failure)</w:t>
            </w:r>
          </w:p>
        </w:tc>
      </w:tr>
      <w:tr>
        <w:tc>
          <w:tcPr/>
          <w:p>
            <w:pPr>
              <w:pStyle w:val="Compact"/>
              <w:jc w:val="left"/>
            </w:pPr>
            <w:r>
              <w:t xml:space="preserve">Record Set Count</w:t>
            </w:r>
          </w:p>
        </w:tc>
        <w:tc>
          <w:tcPr/>
          <w:p>
            <w:pPr>
              <w:pStyle w:val="Compact"/>
              <w:jc w:val="left"/>
            </w:pPr>
            <w:r>
              <w:t xml:space="preserve">Azure DNS Zone metrics</w:t>
            </w:r>
          </w:p>
        </w:tc>
        <w:tc>
          <w:tcPr/>
          <w:p>
            <w:pPr>
              <w:pStyle w:val="Compact"/>
              <w:jc w:val="left"/>
            </w:pPr>
            <w:r>
              <w:t xml:space="preserve">Alert on unexpected decrease (record deletion)</w:t>
            </w:r>
          </w:p>
        </w:tc>
      </w:tr>
      <w:tr>
        <w:tc>
          <w:tcPr/>
          <w:p>
            <w:pPr>
              <w:pStyle w:val="Compact"/>
              <w:jc w:val="left"/>
            </w:pPr>
            <w:r>
              <w:t xml:space="preserve">Record Set Capacity Utilization</w:t>
            </w:r>
          </w:p>
        </w:tc>
        <w:tc>
          <w:tcPr/>
          <w:p>
            <w:pPr>
              <w:pStyle w:val="Compact"/>
              <w:jc w:val="left"/>
            </w:pPr>
            <w:r>
              <w:t xml:space="preserve">Azure DNS Zone metrics</w:t>
            </w:r>
          </w:p>
        </w:tc>
        <w:tc>
          <w:tcPr/>
          <w:p>
            <w:pPr>
              <w:pStyle w:val="Compact"/>
              <w:jc w:val="left"/>
            </w:pPr>
            <w:r>
              <w:t xml:space="preserve">Alert at 80% of zone limits</w:t>
            </w:r>
          </w:p>
        </w:tc>
      </w:tr>
    </w:tbl>
    <w:p>
      <w:pPr>
        <w:pStyle w:val="BodyText"/>
      </w:pPr>
      <w:r>
        <w:t xml:space="preserve">12.2 DNS Private Resolver Metrics</w:t>
      </w:r>
    </w:p>
    <w:tbl>
      <w:tblPr>
        <w:tblStyle w:val="Table"/>
        <w:tblW w:type="pct" w:w="4918"/>
        <w:tblLayout w:type="fixed"/>
        <w:tblLook w:firstRow="1" w:lastRow="0" w:firstColumn="0" w:lastColumn="0" w:noHBand="0" w:noVBand="0" w:val="0020"/>
      </w:tblPr>
      <w:tblGrid>
        <w:gridCol w:w="1882"/>
        <w:gridCol w:w="2012"/>
        <w:gridCol w:w="3895"/>
      </w:tblGrid>
      <w:tr>
        <w:trPr>
          <w:tblHeader w:val="on"/>
        </w:trPr>
        <w:tc>
          <w:tcPr/>
          <w:p>
            <w:pPr>
              <w:pStyle w:val="Compact"/>
              <w:jc w:val="left"/>
            </w:pPr>
            <w:r>
              <w:rPr>
                <w:b/>
                <w:bCs/>
              </w:rPr>
              <w:t xml:space="preserve">Metric</w:t>
            </w:r>
          </w:p>
        </w:tc>
        <w:tc>
          <w:tcPr/>
          <w:p>
            <w:pPr>
              <w:pStyle w:val="Compact"/>
              <w:jc w:val="left"/>
            </w:pPr>
            <w:r>
              <w:rPr>
                <w:b/>
                <w:bCs/>
              </w:rPr>
              <w:t xml:space="preserve">Source</w:t>
            </w:r>
          </w:p>
        </w:tc>
        <w:tc>
          <w:tcPr/>
          <w:p>
            <w:pPr>
              <w:pStyle w:val="Compact"/>
              <w:jc w:val="left"/>
            </w:pPr>
            <w:r>
              <w:rPr>
                <w:b/>
                <w:bCs/>
              </w:rPr>
              <w:t xml:space="preserve">Alert Threshold</w:t>
            </w:r>
          </w:p>
        </w:tc>
      </w:tr>
      <w:tr>
        <w:tc>
          <w:tcPr/>
          <w:p>
            <w:pPr>
              <w:pStyle w:val="Compact"/>
              <w:jc w:val="left"/>
            </w:pPr>
            <w:r>
              <w:t xml:space="preserve">Inbound Queries Processed</w:t>
            </w:r>
          </w:p>
        </w:tc>
        <w:tc>
          <w:tcPr/>
          <w:p>
            <w:pPr>
              <w:pStyle w:val="Compact"/>
              <w:jc w:val="left"/>
            </w:pPr>
            <w:r>
              <w:t xml:space="preserve">DNS Private Resolver metrics</w:t>
            </w:r>
          </w:p>
        </w:tc>
        <w:tc>
          <w:tcPr/>
          <w:p>
            <w:pPr>
              <w:pStyle w:val="Compact"/>
              <w:jc w:val="left"/>
            </w:pPr>
            <w:r>
              <w:t xml:space="preserve">Alert on drop to zero (resolver failure)</w:t>
            </w:r>
          </w:p>
        </w:tc>
      </w:tr>
      <w:tr>
        <w:tc>
          <w:tcPr/>
          <w:p>
            <w:pPr>
              <w:pStyle w:val="Compact"/>
              <w:jc w:val="left"/>
            </w:pPr>
            <w:r>
              <w:t xml:space="preserve">Outbound Queries Forwarded</w:t>
            </w:r>
          </w:p>
        </w:tc>
        <w:tc>
          <w:tcPr/>
          <w:p>
            <w:pPr>
              <w:pStyle w:val="Compact"/>
              <w:jc w:val="left"/>
            </w:pPr>
            <w:r>
              <w:t xml:space="preserve">DNS Private Resolver metrics</w:t>
            </w:r>
          </w:p>
        </w:tc>
        <w:tc>
          <w:tcPr/>
          <w:p>
            <w:pPr>
              <w:pStyle w:val="Compact"/>
              <w:jc w:val="left"/>
            </w:pPr>
            <w:r>
              <w:t xml:space="preserve">Alert on spike &gt;200% (possible loop or misconfiguration)</w:t>
            </w:r>
          </w:p>
        </w:tc>
      </w:tr>
      <w:tr>
        <w:tc>
          <w:tcPr/>
          <w:p>
            <w:pPr>
              <w:pStyle w:val="Compact"/>
              <w:jc w:val="left"/>
            </w:pPr>
            <w:r>
              <w:t xml:space="preserve">Forwarding Failures</w:t>
            </w:r>
          </w:p>
        </w:tc>
        <w:tc>
          <w:tcPr/>
          <w:p>
            <w:pPr>
              <w:pStyle w:val="Compact"/>
              <w:jc w:val="left"/>
            </w:pPr>
            <w:r>
              <w:t xml:space="preserve">DNS Private Resolver metrics</w:t>
            </w:r>
          </w:p>
        </w:tc>
        <w:tc>
          <w:tcPr/>
          <w:p>
            <w:pPr>
              <w:pStyle w:val="Compact"/>
              <w:jc w:val="left"/>
            </w:pPr>
            <w:r>
              <w:t xml:space="preserve">Alert on any non-zero value</w:t>
            </w:r>
          </w:p>
        </w:tc>
      </w:tr>
    </w:tbl>
    <w:p>
      <w:pPr>
        <w:pStyle w:val="BodyText"/>
      </w:pPr>
      <w:r>
        <w:t xml:space="preserve">12.3 Log Analytics Integration</w:t>
      </w:r>
    </w:p>
    <w:p>
      <w:pPr>
        <w:pStyle w:val="BodyText"/>
      </w:pPr>
      <w:r>
        <w:t xml:space="preserve">Enable diagnostic settings on Azure DNS zones and DNS Private Resolver to stream logs to a Log Analytics workspace. Use the DNS Analytics solution for query-level visibility, top talkers, failed queries, and NXDOMAIN analysis.</w:t>
      </w:r>
    </w:p>
    <w:p>
      <w:pPr>
        <w:pStyle w:val="BodyText"/>
      </w:pPr>
      <w:r>
        <w:t xml:space="preserve">12.4 Drift Detection</w:t>
      </w:r>
    </w:p>
    <w:p>
      <w:pPr>
        <w:pStyle w:val="BodyText"/>
      </w:pPr>
      <w:r>
        <w:t xml:space="preserve">DNS drift occurs when records in on-premises AD DNS and Azure DNS diverge unexpectedly. The Invoke-FMPDNSDriftDetection function performs scheduled comparisons.</w:t>
      </w:r>
    </w:p>
    <w:p>
      <w:pPr>
        <w:pStyle w:val="BodyText"/>
      </w:pPr>
      <w:r>
        <w:t xml:space="preserve">function Invoke-FMPDNSDriftDetection { [CmdletBinding] param( [Parameter(Mandatory = $true)] [string]$ZoneName, [Parameter(Mandatory = $true)] [string]$ResourceGroupName, [Parameter(Mandatory = $false)] [string]$DnsServerName = (Get-ADDomainController -Discover).HostName, [Parameter(Mandatory = $false)] [ValidateSet("Private", "Public")] [string]$ZoneType = "Private", [Parameter(Mandatory = $false)] [string]$OutputPath = ".\assessments\dns\drift", [Parameter(Mandatory = $false)] [string]$GiteaBaseUrl, [Parameter(Mandatory = $false)] [string]$GiteaRepo, [Parameter(Mandatory = $false)] [string]$GiteaToken ) Write-Host "=== the Federal Modernization Program DNS Drift Detection ===" -ForegroundColor Cyan Write-Host "Zone: $ZoneName | Comparing AD DNS vs. Azure DNS $ZoneType Zone" # Export on-premises records $onPremRecords = Get-DnsServerResourceRecord -ZoneName $ZoneName ` -ComputerName $DnsServerName -ErrorAction Stop | Where-Object { $_.RecordType -notin @("SOA", "NS") } | ForEach-Object { $data = switch ($_.RecordType) { 'A' { $_.RecordData.IPv4Address.IPAddressToString } 'AAAA' { $_.RecordData.IPv6Address.IPAddressToString } 'CNAME' { $_.RecordData.HostNameAlias } 'MX' { "$($_.RecordData.Preference) $($_.RecordData.MailExchange)" } 'SRV' { "$($_.RecordData.Priority) $($_.RecordData.Weight) $($_.RecordData.Port) $($_.RecordData.DomainName)" } 'TXT' { $_.RecordData.DescriptiveText -join "; " } 'PTR' { $_.RecordData.PtrDomainName } default { "UNKNOWN" } } "$($_.HostName)|$($_.RecordType)|$data" } | Sort-Object # Export Azure records if ($ZoneType -eq "Private") { $azRecordSets = Get-AzPrivateDnsRecordSet -ResourceGroupName $ResourceGroupName ` -ZoneName $ZoneName -ErrorAction Stop | Where-Object { $_.RecordType -notin @("SOA", "NS") } } else { $azRecordSets = Get-AzDnsRecordSet -ResourceGroupName $ResourceGroupName ` -ZoneName $ZoneName -ErrorAction Stop | Where-Object { $_.RecordType -notin @("SOA", "NS") } } $azRecords = foreach ($rs in $azRecordSets) { foreach ($rec in $rs.Records) { $data = switch ($rs.RecordType) { 'A' { $rec.Ipv4Address } 'AAAA' { $rec.Ipv6Address } 'CNAME' { $rec.Cname } 'MX' { "$($rec.Preference) $($rec.Exchange)" } 'SRV' { "$($rec.Priority) $($rec.Weight) $($rec.Port) $($rec.Target)" } 'TXT' { $rec.Value -join "; " } 'PTR' { $rec.Ptrdname } default { "UNKNOWN" } } "$($rs.Name)|$($rs.RecordType)|$data" } } | Sort-Object # Compare $onlyOnPrem = $onPremRecords | Where-Object { $_ -notin $azRecords } $onlyAzure = $azRecords | Where-Object { $_ -notin $onPremRecords } $driftReport = [PSCustomObject]@{ ZoneName = $ZoneName Timestamp = (Get-Date -Format "o") OnPremRecordCount = $onPremRecords.Count AzureRecordCount = $azRecords.Count OnlyInOnPrem = $onlyOnPrem OnlyInAzure = $onlyAzure DriftDetected = ($onlyOnPrem.Count -gt 0 -or $onlyAzure.Count -gt 0) OnlyOnPremCount = $onlyOnPrem.Count OnlyAzureCount = $onlyAzure.Count } # Output report if (-not (Test-Path $OutputPath)) { New-Item -ItemType Directory -Path $OutputPath -Force | Out-Null } $outputFile = Join-Path $OutputPath "drift-$($ZoneName -replace '[\.\s]','-')-$(Get-Date -Format 'yyyyMMdd-HHmmss').json" $driftReport | ConvertTo-Json -Depth 5 | Out-File -FilePath $outputFile -Encoding UTF8 # Gitea integration — commit drift report and create issue if drift detected if ($driftReport.DriftDetected -and $GiteaToken) { $issueTitle = "DNS Drift Detected: $ZoneName — $(Get-Date -Format 'yyyy-MM-dd HH:mm')" $issueBody = "## DNS Drift Report`n`n" $issueBody += "- **Zone:** $ZoneName`n" $issueBody += "- **On-Prem Record Count:** $($driftReport.OnPremRecordCount)`n" $issueBody += "- **Azure Record Count:** $($driftReport.AzureRecordCount)`n" $issueBody += "- **Records only in On-Prem:** $($driftReport.OnlyOnPremCount)`n" $issueBody += "- **Records only in Azure:** $($driftReport.OnlyAzureCount)`n" $headers = @{ "Authorization" = "token $GiteaToken" "Content-Type" = "application/json" } $body = @{ title = $issueTitle; body = $issueBody } | ConvertTo-Json try { Invoke-RestMethod -Uri "$GiteaBaseUrl/api/v1/repos/$GiteaRepo/issues" ` -Method POST -Headers $headers -Body $body Write-Host "Gitea issue created for DNS drift." -ForegroundColor Yellow } catch { Write-Warning "Failed to create Gitea issue: $_" } } Write-Host "Drift detection complete. Report: $outputFile" if ($driftReport.DriftDetected) { Write-Warning "DRIFT DETECTED: $($driftReport.OnlyOnPremCount) on-prem only, $($driftReport.OnlyAzureCount) Azure only" } else { Write-Host "No drift detected." -ForegroundColor Green } return $driftReport }</w:t>
      </w:r>
    </w:p>
    <w:p>
      <w:pPr>
        <w:pStyle w:val="BodyText"/>
      </w:pPr>
      <w:r>
        <w:t xml:space="preserve">13. Migration Execution Playbook</w:t>
      </w:r>
    </w:p>
    <w:p>
      <w:pPr>
        <w:pStyle w:val="BodyText"/>
      </w:pPr>
      <w:r>
        <w:t xml:space="preserve">The migration is executed in ten sequential phases. Each phase includes prerequisites, steps, validation criteria, rollback procedures, and duration estimates.</w:t>
      </w:r>
    </w:p>
    <w:p>
      <w:pPr>
        <w:pStyle w:val="BodyText"/>
      </w:pPr>
      <w:r>
        <w:t xml:space="preserve">Phase 0: Assessment</w:t>
      </w:r>
    </w:p>
    <w:tbl>
      <w:tblPr>
        <w:tblStyle w:val="Table"/>
        <w:tblW w:type="pct" w:w="4954"/>
        <w:tblLayout w:type="fixed"/>
        <w:tblLook w:firstRow="1" w:lastRow="0" w:firstColumn="0" w:lastColumn="0" w:noHBand="0" w:noVBand="0" w:val="0020"/>
      </w:tblPr>
      <w:tblGrid>
        <w:gridCol w:w="940"/>
        <w:gridCol w:w="690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AD Interaction Guide deployed; PowerShell remoting to all DNS servers; Gitea repository configured</w:t>
            </w:r>
          </w:p>
        </w:tc>
      </w:tr>
      <w:tr>
        <w:tc>
          <w:tcPr/>
          <w:p>
            <w:pPr>
              <w:pStyle w:val="Compact"/>
              <w:jc w:val="left"/>
            </w:pPr>
            <w:r>
              <w:rPr>
                <w:b/>
                <w:bCs/>
              </w:rPr>
              <w:t xml:space="preserve">Steps</w:t>
            </w:r>
          </w:p>
        </w:tc>
        <w:tc>
          <w:tcPr/>
          <w:p>
            <w:pPr>
              <w:pStyle w:val="Compact"/>
              <w:jc w:val="left"/>
            </w:pPr>
            <w:r>
              <w:t xml:space="preserve">Run Invoke-FMPDNSAssessment (master orchestrator) which calls all Get-FMPDNS* functions; review JSON outputs; identify zones, record counts, forwarders, DNSSEC status, and health issues</w:t>
            </w:r>
          </w:p>
        </w:tc>
      </w:tr>
      <w:tr>
        <w:tc>
          <w:tcPr/>
          <w:p>
            <w:pPr>
              <w:pStyle w:val="Compact"/>
              <w:jc w:val="left"/>
            </w:pPr>
            <w:r>
              <w:rPr>
                <w:b/>
                <w:bCs/>
              </w:rPr>
              <w:t xml:space="preserve">Validation Criteria</w:t>
            </w:r>
          </w:p>
        </w:tc>
        <w:tc>
          <w:tcPr/>
          <w:p>
            <w:pPr>
              <w:pStyle w:val="Compact"/>
              <w:jc w:val="left"/>
            </w:pPr>
            <w:r>
              <w:t xml:space="preserve">All DNS servers queried without error; complete zone inventory; SRV validation 100% pass; health check reports reviewed</w:t>
            </w:r>
          </w:p>
        </w:tc>
      </w:tr>
      <w:tr>
        <w:tc>
          <w:tcPr/>
          <w:p>
            <w:pPr>
              <w:pStyle w:val="Compact"/>
              <w:jc w:val="left"/>
            </w:pPr>
            <w:r>
              <w:rPr>
                <w:b/>
                <w:bCs/>
              </w:rPr>
              <w:t xml:space="preserve">Rollback Procedure</w:t>
            </w:r>
          </w:p>
        </w:tc>
        <w:tc>
          <w:tcPr/>
          <w:p>
            <w:pPr>
              <w:pStyle w:val="Compact"/>
              <w:jc w:val="left"/>
            </w:pPr>
            <w:r>
              <w:t xml:space="preserve">Assessment is read-only — no rollback required</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1: Deploy Azure DNS Private Resolver</w:t>
      </w:r>
    </w:p>
    <w:tbl>
      <w:tblPr>
        <w:tblStyle w:val="Table"/>
        <w:tblW w:type="pct" w:w="4931"/>
        <w:tblLayout w:type="fixed"/>
        <w:tblLook w:firstRow="1" w:lastRow="0" w:firstColumn="0" w:lastColumn="0" w:noHBand="0" w:noVBand="0" w:val="0020"/>
      </w:tblPr>
      <w:tblGrid>
        <w:gridCol w:w="1420"/>
        <w:gridCol w:w="639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Hub VNet deployed with available /28 subnets; Azure subscription with Microsoft.Network provider registered</w:t>
            </w:r>
          </w:p>
        </w:tc>
      </w:tr>
      <w:tr>
        <w:tc>
          <w:tcPr/>
          <w:p>
            <w:pPr>
              <w:pStyle w:val="Compact"/>
              <w:jc w:val="left"/>
            </w:pPr>
            <w:r>
              <w:rPr>
                <w:b/>
                <w:bCs/>
              </w:rPr>
              <w:t xml:space="preserve">Steps</w:t>
            </w:r>
          </w:p>
        </w:tc>
        <w:tc>
          <w:tcPr/>
          <w:p>
            <w:pPr>
              <w:pStyle w:val="Compact"/>
              <w:jc w:val="left"/>
            </w:pPr>
            <w:r>
              <w:t xml:space="preserve">Execute Section 6.1 Steps 1-5 (create resolver, subnets, inbound endpoint, outbound endpoint, forwarding ruleset)</w:t>
            </w:r>
          </w:p>
        </w:tc>
      </w:tr>
      <w:tr>
        <w:tc>
          <w:tcPr/>
          <w:p>
            <w:pPr>
              <w:pStyle w:val="Compact"/>
              <w:jc w:val="left"/>
            </w:pPr>
            <w:r>
              <w:rPr>
                <w:b/>
                <w:bCs/>
              </w:rPr>
              <w:t xml:space="preserve">Validation Criteria</w:t>
            </w:r>
          </w:p>
        </w:tc>
        <w:tc>
          <w:tcPr/>
          <w:p>
            <w:pPr>
              <w:pStyle w:val="Compact"/>
              <w:jc w:val="left"/>
            </w:pPr>
            <w:r>
              <w:t xml:space="preserve">Resolver resource in Succeeded state; inbound endpoint IP assigned; outbound endpoint operational; ruleset created</w:t>
            </w:r>
          </w:p>
        </w:tc>
      </w:tr>
      <w:tr>
        <w:tc>
          <w:tcPr/>
          <w:p>
            <w:pPr>
              <w:pStyle w:val="Compact"/>
              <w:jc w:val="left"/>
            </w:pPr>
            <w:r>
              <w:rPr>
                <w:b/>
                <w:bCs/>
              </w:rPr>
              <w:t xml:space="preserve">Rollback Procedure</w:t>
            </w:r>
          </w:p>
        </w:tc>
        <w:tc>
          <w:tcPr/>
          <w:p>
            <w:pPr>
              <w:pStyle w:val="Compact"/>
              <w:jc w:val="left"/>
            </w:pPr>
            <w:r>
              <w:t xml:space="preserve">Delete resolver resource and subnets; no impact to existing DNS</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2: Create Private DNS Zones and Import Non-AD-Integrated Zones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zone inventory reviewed; file-backed zones identified</w:t>
            </w:r>
          </w:p>
        </w:tc>
      </w:tr>
      <w:tr>
        <w:tc>
          <w:tcPr/>
          <w:p>
            <w:pPr>
              <w:pStyle w:val="Compact"/>
              <w:jc w:val="left"/>
            </w:pPr>
            <w:r>
              <w:rPr>
                <w:b/>
                <w:bCs/>
              </w:rPr>
              <w:t xml:space="preserve">Steps</w:t>
            </w:r>
          </w:p>
        </w:tc>
        <w:tc>
          <w:tcPr/>
          <w:p>
            <w:pPr>
              <w:pStyle w:val="Compact"/>
              <w:jc w:val="left"/>
            </w:pPr>
            <w:r>
              <w:t xml:space="preserve">Create Azure DNS Private Zones for each internal zone; run Export-FMPDNSToAzure with -WhatIf first; execute import for non-AD-integrated zones; link zones to hub VNet</w:t>
            </w:r>
          </w:p>
        </w:tc>
      </w:tr>
      <w:tr>
        <w:tc>
          <w:tcPr/>
          <w:p>
            <w:pPr>
              <w:pStyle w:val="Compact"/>
              <w:jc w:val="left"/>
            </w:pPr>
            <w:r>
              <w:rPr>
                <w:b/>
                <w:bCs/>
              </w:rPr>
              <w:t xml:space="preserve">Validation Criteria</w:t>
            </w:r>
          </w:p>
        </w:tc>
        <w:tc>
          <w:tcPr/>
          <w:p>
            <w:pPr>
              <w:pStyle w:val="Compact"/>
              <w:jc w:val="left"/>
            </w:pPr>
            <w:r>
              <w:t xml:space="preserve">Record counts match between source and target; resolution from Azure VMs returns correct answers</w:t>
            </w:r>
          </w:p>
        </w:tc>
      </w:tr>
      <w:tr>
        <w:tc>
          <w:tcPr/>
          <w:p>
            <w:pPr>
              <w:pStyle w:val="Compact"/>
              <w:jc w:val="left"/>
            </w:pPr>
            <w:r>
              <w:rPr>
                <w:b/>
                <w:bCs/>
              </w:rPr>
              <w:t xml:space="preserve">Rollback Procedure</w:t>
            </w:r>
          </w:p>
        </w:tc>
        <w:tc>
          <w:tcPr/>
          <w:p>
            <w:pPr>
              <w:pStyle w:val="Compact"/>
              <w:jc w:val="left"/>
            </w:pPr>
            <w:r>
              <w:t xml:space="preserve">Delete Azure DNS Private Zones; on-premises zones remain authoritative</w:t>
            </w:r>
          </w:p>
        </w:tc>
      </w:tr>
      <w:tr>
        <w:tc>
          <w:tcPr/>
          <w:p>
            <w:pPr>
              <w:pStyle w:val="Compact"/>
              <w:jc w:val="left"/>
            </w:pPr>
            <w:r>
              <w:rPr>
                <w:b/>
                <w:bCs/>
              </w:rPr>
              <w:t xml:space="preserve">Duration Estimate</w:t>
            </w:r>
          </w:p>
        </w:tc>
        <w:tc>
          <w:tcPr/>
          <w:p>
            <w:pPr>
              <w:pStyle w:val="Compact"/>
              <w:jc w:val="left"/>
            </w:pPr>
            <w:r>
              <w:t xml:space="preserve">2-3 days</w:t>
            </w:r>
          </w:p>
        </w:tc>
      </w:tr>
    </w:tbl>
    <w:p>
      <w:pPr>
        <w:pStyle w:val="BodyText"/>
      </w:pPr>
      <w:r>
        <w:t xml:space="preserve">Phase 3: Configure DNS Forwarding Rulesets</w:t>
      </w:r>
    </w:p>
    <w:tbl>
      <w:tblPr>
        <w:tblStyle w:val="Table"/>
        <w:tblW w:type="pct" w:w="4954"/>
        <w:tblLayout w:type="fixed"/>
        <w:tblLook w:firstRow="1" w:lastRow="0" w:firstColumn="0" w:lastColumn="0" w:noHBand="0" w:noVBand="0" w:val="0020"/>
      </w:tblPr>
      <w:tblGrid>
        <w:gridCol w:w="948"/>
        <w:gridCol w:w="689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1 complete; on-premises DNS server IPs documented; ExpressRoute/VPN connectivity validated on port 53</w:t>
            </w:r>
          </w:p>
        </w:tc>
      </w:tr>
      <w:tr>
        <w:tc>
          <w:tcPr/>
          <w:p>
            <w:pPr>
              <w:pStyle w:val="Compact"/>
              <w:jc w:val="left"/>
            </w:pPr>
            <w:r>
              <w:rPr>
                <w:b/>
                <w:bCs/>
              </w:rPr>
              <w:t xml:space="preserve">Steps</w:t>
            </w:r>
          </w:p>
        </w:tc>
        <w:tc>
          <w:tcPr/>
          <w:p>
            <w:pPr>
              <w:pStyle w:val="Compact"/>
              <w:jc w:val="left"/>
            </w:pPr>
            <w:r>
              <w:t xml:space="preserve">Add forwarding rules for all on-premises namespaces (Section 6.1 Step 7); link ruleset to spoke VNets (Step 6); configure on-premises conditional forwarders for Azure namespaces (Step 8)</w:t>
            </w:r>
          </w:p>
        </w:tc>
      </w:tr>
      <w:tr>
        <w:tc>
          <w:tcPr/>
          <w:p>
            <w:pPr>
              <w:pStyle w:val="Compact"/>
              <w:jc w:val="left"/>
            </w:pPr>
            <w:r>
              <w:rPr>
                <w:b/>
                <w:bCs/>
              </w:rPr>
              <w:t xml:space="preserve">Validation Criteria</w:t>
            </w:r>
          </w:p>
        </w:tc>
        <w:tc>
          <w:tcPr/>
          <w:p>
            <w:pPr>
              <w:pStyle w:val="Compact"/>
              <w:jc w:val="left"/>
            </w:pPr>
            <w:r>
              <w:t xml:space="preserve">Bidirectional resolution works: Azure→on-prem and on-prem→Azure</w:t>
            </w:r>
          </w:p>
        </w:tc>
      </w:tr>
      <w:tr>
        <w:tc>
          <w:tcPr/>
          <w:p>
            <w:pPr>
              <w:pStyle w:val="Compact"/>
              <w:jc w:val="left"/>
            </w:pPr>
            <w:r>
              <w:rPr>
                <w:b/>
                <w:bCs/>
              </w:rPr>
              <w:t xml:space="preserve">Rollback Procedure</w:t>
            </w:r>
          </w:p>
        </w:tc>
        <w:tc>
          <w:tcPr/>
          <w:p>
            <w:pPr>
              <w:pStyle w:val="Compact"/>
              <w:jc w:val="left"/>
            </w:pPr>
            <w:r>
              <w:t xml:space="preserve">Remove forwarding rules; remove on-premises conditional forwarders</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4: Migrate Conditional Forwarders</w:t>
      </w:r>
    </w:p>
    <w:tbl>
      <w:tblPr>
        <w:tblStyle w:val="Table"/>
        <w:tblW w:type="pct" w:w="4949"/>
        <w:tblLayout w:type="fixed"/>
        <w:tblLook w:firstRow="1" w:lastRow="0" w:firstColumn="0" w:lastColumn="0" w:noHBand="0" w:noVBand="0" w:val="0020"/>
      </w:tblPr>
      <w:tblGrid>
        <w:gridCol w:w="1040"/>
        <w:gridCol w:w="6800"/>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forwarder audit reviewed; all target DNS IPs reachable from Azure</w:t>
            </w:r>
          </w:p>
        </w:tc>
      </w:tr>
      <w:tr>
        <w:tc>
          <w:tcPr/>
          <w:p>
            <w:pPr>
              <w:pStyle w:val="Compact"/>
              <w:jc w:val="left"/>
            </w:pPr>
            <w:r>
              <w:rPr>
                <w:b/>
                <w:bCs/>
              </w:rPr>
              <w:t xml:space="preserve">Steps</w:t>
            </w:r>
          </w:p>
        </w:tc>
        <w:tc>
          <w:tcPr/>
          <w:p>
            <w:pPr>
              <w:pStyle w:val="Compact"/>
              <w:jc w:val="left"/>
            </w:pPr>
            <w:r>
              <w:t xml:space="preserve">For each conditional forwarder identified in the audit, create a corresponding DNS Forwarding Ruleset rule; validate resolution for each forwarded namespace from Azure</w:t>
            </w:r>
          </w:p>
        </w:tc>
      </w:tr>
      <w:tr>
        <w:tc>
          <w:tcPr/>
          <w:p>
            <w:pPr>
              <w:pStyle w:val="Compact"/>
              <w:jc w:val="left"/>
            </w:pPr>
            <w:r>
              <w:rPr>
                <w:b/>
                <w:bCs/>
              </w:rPr>
              <w:t xml:space="preserve">Validation Criteria</w:t>
            </w:r>
          </w:p>
        </w:tc>
        <w:tc>
          <w:tcPr/>
          <w:p>
            <w:pPr>
              <w:pStyle w:val="Compact"/>
              <w:jc w:val="left"/>
            </w:pPr>
            <w:r>
              <w:t xml:space="preserve">All previously forwarded namespaces resolve correctly from Azure VMs</w:t>
            </w:r>
          </w:p>
        </w:tc>
      </w:tr>
      <w:tr>
        <w:tc>
          <w:tcPr/>
          <w:p>
            <w:pPr>
              <w:pStyle w:val="Compact"/>
              <w:jc w:val="left"/>
            </w:pPr>
            <w:r>
              <w:rPr>
                <w:b/>
                <w:bCs/>
              </w:rPr>
              <w:t xml:space="preserve">Rollback Procedure</w:t>
            </w:r>
          </w:p>
        </w:tc>
        <w:tc>
          <w:tcPr/>
          <w:p>
            <w:pPr>
              <w:pStyle w:val="Compact"/>
              <w:jc w:val="left"/>
            </w:pPr>
            <w:r>
              <w:t xml:space="preserve">Remove forwarding rules; on-premises conditional forwarders still active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5: Migrate GlobalNames Zone</w:t>
      </w:r>
    </w:p>
    <w:tbl>
      <w:tblPr>
        <w:tblStyle w:val="Table"/>
        <w:tblW w:type="pct" w:w="4953"/>
        <w:tblLayout w:type="fixed"/>
        <w:tblLook w:firstRow="1" w:lastRow="0" w:firstColumn="0" w:lastColumn="0" w:noHBand="0" w:noVBand="0" w:val="0020"/>
      </w:tblPr>
      <w:tblGrid>
        <w:gridCol w:w="957"/>
        <w:gridCol w:w="688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GlobalNames zone records exported</w:t>
            </w:r>
          </w:p>
        </w:tc>
      </w:tr>
      <w:tr>
        <w:tc>
          <w:tcPr/>
          <w:p>
            <w:pPr>
              <w:pStyle w:val="Compact"/>
              <w:jc w:val="left"/>
            </w:pPr>
            <w:r>
              <w:rPr>
                <w:b/>
                <w:bCs/>
              </w:rPr>
              <w:t xml:space="preserve">Steps</w:t>
            </w:r>
          </w:p>
        </w:tc>
        <w:tc>
          <w:tcPr/>
          <w:p>
            <w:pPr>
              <w:pStyle w:val="Compact"/>
              <w:jc w:val="left"/>
            </w:pPr>
            <w:r>
              <w:t xml:space="preserve">Create Azure DNS Private Zone for GlobalNames; import CNAME records; link to all VNets; configure DNS suffix search list on clients (via GPO or Intune) to include the Private Zone name</w:t>
            </w:r>
          </w:p>
        </w:tc>
      </w:tr>
      <w:tr>
        <w:tc>
          <w:tcPr/>
          <w:p>
            <w:pPr>
              <w:pStyle w:val="Compact"/>
              <w:jc w:val="left"/>
            </w:pPr>
            <w:r>
              <w:rPr>
                <w:b/>
                <w:bCs/>
              </w:rPr>
              <w:t xml:space="preserve">Validation Criteria</w:t>
            </w:r>
          </w:p>
        </w:tc>
        <w:tc>
          <w:tcPr/>
          <w:p>
            <w:pPr>
              <w:pStyle w:val="Compact"/>
              <w:jc w:val="left"/>
            </w:pPr>
            <w:r>
              <w:t xml:space="preserve">Single-label name resolution works from Azure VMs using DNS suffix search</w:t>
            </w:r>
          </w:p>
        </w:tc>
      </w:tr>
      <w:tr>
        <w:tc>
          <w:tcPr/>
          <w:p>
            <w:pPr>
              <w:pStyle w:val="Compact"/>
              <w:jc w:val="left"/>
            </w:pPr>
            <w:r>
              <w:rPr>
                <w:b/>
                <w:bCs/>
              </w:rPr>
              <w:t xml:space="preserve">Rollback Procedure</w:t>
            </w:r>
          </w:p>
        </w:tc>
        <w:tc>
          <w:tcPr/>
          <w:p>
            <w:pPr>
              <w:pStyle w:val="Compact"/>
              <w:jc w:val="left"/>
            </w:pPr>
            <w:r>
              <w:t xml:space="preserve">Revert DNS suffix search list; remove Private Zone</w:t>
            </w:r>
          </w:p>
        </w:tc>
      </w:tr>
      <w:tr>
        <w:tc>
          <w:tcPr/>
          <w:p>
            <w:pPr>
              <w:pStyle w:val="Compact"/>
              <w:jc w:val="left"/>
            </w:pPr>
            <w:r>
              <w:rPr>
                <w:b/>
                <w:bCs/>
              </w:rPr>
              <w:t xml:space="preserve">Duration Estimate</w:t>
            </w:r>
          </w:p>
        </w:tc>
        <w:tc>
          <w:tcPr/>
          <w:p>
            <w:pPr>
              <w:pStyle w:val="Compact"/>
              <w:jc w:val="left"/>
            </w:pPr>
            <w:r>
              <w:t xml:space="preserve">1 day</w:t>
            </w:r>
          </w:p>
        </w:tc>
      </w:tr>
    </w:tbl>
    <w:p>
      <w:pPr>
        <w:pStyle w:val="BodyText"/>
      </w:pPr>
      <w:r>
        <w:t xml:space="preserve">Phase 6: Configure Private Endpoint DNS Zones</w:t>
      </w:r>
    </w:p>
    <w:tbl>
      <w:tblPr>
        <w:tblStyle w:val="Table"/>
        <w:tblW w:type="pct" w:w="4954"/>
        <w:tblLayout w:type="fixed"/>
        <w:tblLook w:firstRow="1" w:lastRow="0" w:firstColumn="0" w:lastColumn="0" w:noHBand="0" w:noVBand="0" w:val="0020"/>
      </w:tblPr>
      <w:tblGrid>
        <w:gridCol w:w="953"/>
        <w:gridCol w:w="6893"/>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3 complete; Private Endpoints deployed or planned; list of required privatelink zones from Section 10.2</w:t>
            </w:r>
          </w:p>
        </w:tc>
      </w:tr>
      <w:tr>
        <w:tc>
          <w:tcPr/>
          <w:p>
            <w:pPr>
              <w:pStyle w:val="Compact"/>
              <w:jc w:val="left"/>
            </w:pPr>
            <w:r>
              <w:rPr>
                <w:b/>
                <w:bCs/>
              </w:rPr>
              <w:t xml:space="preserve">Steps</w:t>
            </w:r>
          </w:p>
        </w:tc>
        <w:tc>
          <w:tcPr/>
          <w:p>
            <w:pPr>
              <w:pStyle w:val="Compact"/>
              <w:jc w:val="left"/>
            </w:pPr>
            <w:r>
              <w:t xml:space="preserve">Create Private DNS Zones for each required privatelink namespace; link to hub and spoke VNets; configure on-premises conditional forwarders for each privatelink namespace (Section 10.5)</w:t>
            </w:r>
          </w:p>
        </w:tc>
      </w:tr>
      <w:tr>
        <w:tc>
          <w:tcPr/>
          <w:p>
            <w:pPr>
              <w:pStyle w:val="Compact"/>
              <w:jc w:val="left"/>
            </w:pPr>
            <w:r>
              <w:rPr>
                <w:b/>
                <w:bCs/>
              </w:rPr>
              <w:t xml:space="preserve">Validation Criteria</w:t>
            </w:r>
          </w:p>
        </w:tc>
        <w:tc>
          <w:tcPr/>
          <w:p>
            <w:pPr>
              <w:pStyle w:val="Compact"/>
              <w:jc w:val="left"/>
            </w:pPr>
            <w:r>
              <w:t xml:space="preserve">Private Endpoint FQDNs resolve to private IPs from both Azure and on-premises</w:t>
            </w:r>
          </w:p>
        </w:tc>
      </w:tr>
      <w:tr>
        <w:tc>
          <w:tcPr/>
          <w:p>
            <w:pPr>
              <w:pStyle w:val="Compact"/>
              <w:jc w:val="left"/>
            </w:pPr>
            <w:r>
              <w:rPr>
                <w:b/>
                <w:bCs/>
              </w:rPr>
              <w:t xml:space="preserve">Rollback Procedure</w:t>
            </w:r>
          </w:p>
        </w:tc>
        <w:tc>
          <w:tcPr/>
          <w:p>
            <w:pPr>
              <w:pStyle w:val="Compact"/>
              <w:jc w:val="left"/>
            </w:pPr>
            <w:r>
              <w:t xml:space="preserve">Remove VNet links and conditional forwarders; Private Endpoints fall back to public resolution</w:t>
            </w:r>
          </w:p>
        </w:tc>
      </w:tr>
      <w:tr>
        <w:tc>
          <w:tcPr/>
          <w:p>
            <w:pPr>
              <w:pStyle w:val="Compact"/>
              <w:jc w:val="left"/>
            </w:pPr>
            <w:r>
              <w:rPr>
                <w:b/>
                <w:bCs/>
              </w:rPr>
              <w:t xml:space="preserve">Duration Estimate</w:t>
            </w:r>
          </w:p>
        </w:tc>
        <w:tc>
          <w:tcPr/>
          <w:p>
            <w:pPr>
              <w:pStyle w:val="Compact"/>
              <w:jc w:val="left"/>
            </w:pPr>
            <w:r>
              <w:t xml:space="preserve">2 days</w:t>
            </w:r>
          </w:p>
        </w:tc>
      </w:tr>
    </w:tbl>
    <w:p>
      <w:pPr>
        <w:pStyle w:val="BodyText"/>
      </w:pPr>
      <w:r>
        <w:t xml:space="preserve">Phase 7: Migrate Reverse Lookup Zones</w:t>
      </w:r>
    </w:p>
    <w:tbl>
      <w:tblPr>
        <w:tblStyle w:val="Table"/>
        <w:tblW w:type="pct" w:w="4944"/>
        <w:tblLayout w:type="fixed"/>
        <w:tblLook w:firstRow="1" w:lastRow="0" w:firstColumn="0" w:lastColumn="0" w:noHBand="0" w:noVBand="0" w:val="0020"/>
      </w:tblPr>
      <w:tblGrid>
        <w:gridCol w:w="1163"/>
        <w:gridCol w:w="6667"/>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2 complete; reverse zone inventory reviewed; IPAM aligned</w:t>
            </w:r>
          </w:p>
        </w:tc>
      </w:tr>
      <w:tr>
        <w:tc>
          <w:tcPr/>
          <w:p>
            <w:pPr>
              <w:pStyle w:val="Compact"/>
              <w:jc w:val="left"/>
            </w:pPr>
            <w:r>
              <w:rPr>
                <w:b/>
                <w:bCs/>
              </w:rPr>
              <w:t xml:space="preserve">Steps</w:t>
            </w:r>
          </w:p>
        </w:tc>
        <w:tc>
          <w:tcPr/>
          <w:p>
            <w:pPr>
              <w:pStyle w:val="Compact"/>
              <w:jc w:val="left"/>
            </w:pPr>
            <w:r>
              <w:t xml:space="preserve">Create Azure DNS Private Zones for each reverse lookup zone (e.g., 0.10.in-addr.arpa); import PTR records via Export-FMPDNSToAzure; link to VNets</w:t>
            </w:r>
          </w:p>
        </w:tc>
      </w:tr>
      <w:tr>
        <w:tc>
          <w:tcPr/>
          <w:p>
            <w:pPr>
              <w:pStyle w:val="Compact"/>
              <w:jc w:val="left"/>
            </w:pPr>
            <w:r>
              <w:rPr>
                <w:b/>
                <w:bCs/>
              </w:rPr>
              <w:t xml:space="preserve">Validation Criteria</w:t>
            </w:r>
          </w:p>
        </w:tc>
        <w:tc>
          <w:tcPr/>
          <w:p>
            <w:pPr>
              <w:pStyle w:val="Compact"/>
              <w:jc w:val="left"/>
            </w:pPr>
            <w:r>
              <w:t xml:space="preserve">Reverse lookups return correct hostnames from Azure VMs</w:t>
            </w:r>
          </w:p>
        </w:tc>
      </w:tr>
      <w:tr>
        <w:tc>
          <w:tcPr/>
          <w:p>
            <w:pPr>
              <w:pStyle w:val="Compact"/>
              <w:jc w:val="left"/>
            </w:pPr>
            <w:r>
              <w:rPr>
                <w:b/>
                <w:bCs/>
              </w:rPr>
              <w:t xml:space="preserve">Rollback Procedure</w:t>
            </w:r>
          </w:p>
        </w:tc>
        <w:tc>
          <w:tcPr/>
          <w:p>
            <w:pPr>
              <w:pStyle w:val="Compact"/>
              <w:jc w:val="left"/>
            </w:pPr>
            <w:r>
              <w:t xml:space="preserve">Remove reverse Private Zones; on-premises reverse zones remain authoritative</w:t>
            </w:r>
          </w:p>
        </w:tc>
      </w:tr>
      <w:tr>
        <w:tc>
          <w:tcPr/>
          <w:p>
            <w:pPr>
              <w:pStyle w:val="Compact"/>
              <w:jc w:val="left"/>
            </w:pPr>
            <w:r>
              <w:rPr>
                <w:b/>
                <w:bCs/>
              </w:rPr>
              <w:t xml:space="preserve">Duration Estimate</w:t>
            </w:r>
          </w:p>
        </w:tc>
        <w:tc>
          <w:tcPr/>
          <w:p>
            <w:pPr>
              <w:pStyle w:val="Compact"/>
              <w:jc w:val="left"/>
            </w:pPr>
            <w:r>
              <w:t xml:space="preserve">1-2 days</w:t>
            </w:r>
          </w:p>
        </w:tc>
      </w:tr>
    </w:tbl>
    <w:p>
      <w:pPr>
        <w:pStyle w:val="BodyText"/>
      </w:pPr>
      <w:r>
        <w:t xml:space="preserve">Phase 8: Gradual Client DNS Server Migration</w:t>
      </w:r>
    </w:p>
    <w:tbl>
      <w:tblPr>
        <w:tblStyle w:val="Table"/>
        <w:tblW w:type="pct" w:w="4959"/>
        <w:tblLayout w:type="fixed"/>
        <w:tblLook w:firstRow="1" w:lastRow="0" w:firstColumn="0" w:lastColumn="0" w:noHBand="0" w:noVBand="0" w:val="0020"/>
      </w:tblPr>
      <w:tblGrid>
        <w:gridCol w:w="837"/>
        <w:gridCol w:w="7018"/>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Phases 1-7 complete; resolution validated from multiple vantage points</w:t>
            </w:r>
          </w:p>
        </w:tc>
      </w:tr>
      <w:tr>
        <w:tc>
          <w:tcPr/>
          <w:p>
            <w:pPr>
              <w:pStyle w:val="Compact"/>
              <w:jc w:val="left"/>
            </w:pPr>
            <w:r>
              <w:rPr>
                <w:b/>
                <w:bCs/>
              </w:rPr>
              <w:t xml:space="preserve">Steps</w:t>
            </w:r>
          </w:p>
        </w:tc>
        <w:tc>
          <w:tcPr/>
          <w:p>
            <w:pPr>
              <w:pStyle w:val="Compact"/>
              <w:jc w:val="left"/>
            </w:pPr>
            <w:r>
              <w:t xml:space="preserve">Update VNet DNS settings to use resolver inbound endpoint (Section 6.1 Step 9); update on-premises DHCP options to include resolver IP as secondary DNS; migrate client groups in waves (pilot → department → org-wide)</w:t>
            </w:r>
          </w:p>
        </w:tc>
      </w:tr>
      <w:tr>
        <w:tc>
          <w:tcPr/>
          <w:p>
            <w:pPr>
              <w:pStyle w:val="Compact"/>
              <w:jc w:val="left"/>
            </w:pPr>
            <w:r>
              <w:rPr>
                <w:b/>
                <w:bCs/>
              </w:rPr>
              <w:t xml:space="preserve">Validation Criteria</w:t>
            </w:r>
          </w:p>
        </w:tc>
        <w:tc>
          <w:tcPr/>
          <w:p>
            <w:pPr>
              <w:pStyle w:val="Compact"/>
              <w:jc w:val="left"/>
            </w:pPr>
            <w:r>
              <w:t xml:space="preserve">Clients resolve all namespaces correctly; no authentication or application failures</w:t>
            </w:r>
          </w:p>
        </w:tc>
      </w:tr>
      <w:tr>
        <w:tc>
          <w:tcPr/>
          <w:p>
            <w:pPr>
              <w:pStyle w:val="Compact"/>
              <w:jc w:val="left"/>
            </w:pPr>
            <w:r>
              <w:rPr>
                <w:b/>
                <w:bCs/>
              </w:rPr>
              <w:t xml:space="preserve">Rollback Procedure</w:t>
            </w:r>
          </w:p>
        </w:tc>
        <w:tc>
          <w:tcPr/>
          <w:p>
            <w:pPr>
              <w:pStyle w:val="Compact"/>
              <w:jc w:val="left"/>
            </w:pPr>
            <w:r>
              <w:t xml:space="preserve">Revert VNet DNS settings; revert DHCP options</w:t>
            </w:r>
          </w:p>
        </w:tc>
      </w:tr>
      <w:tr>
        <w:tc>
          <w:tcPr/>
          <w:p>
            <w:pPr>
              <w:pStyle w:val="Compact"/>
              <w:jc w:val="left"/>
            </w:pPr>
            <w:r>
              <w:rPr>
                <w:b/>
                <w:bCs/>
              </w:rPr>
              <w:t xml:space="preserve">Duration Estimate</w:t>
            </w:r>
          </w:p>
        </w:tc>
        <w:tc>
          <w:tcPr/>
          <w:p>
            <w:pPr>
              <w:pStyle w:val="Compact"/>
              <w:jc w:val="left"/>
            </w:pPr>
            <w:r>
              <w:t xml:space="preserve">1-2 weeks (phased rollout)</w:t>
            </w:r>
          </w:p>
        </w:tc>
      </w:tr>
    </w:tbl>
    <w:p>
      <w:pPr>
        <w:pStyle w:val="BodyText"/>
      </w:pPr>
      <w:r>
        <w:t xml:space="preserve">Phase 9: AD SRV Record Validation and Monitoring</w:t>
      </w:r>
    </w:p>
    <w:tbl>
      <w:tblPr>
        <w:tblStyle w:val="Table"/>
        <w:tblW w:type="pct" w:w="4958"/>
        <w:tblLayout w:type="fixed"/>
        <w:tblLook w:firstRow="1" w:lastRow="0" w:firstColumn="0" w:lastColumn="0" w:noHBand="0" w:noVBand="0" w:val="0020"/>
      </w:tblPr>
      <w:tblGrid>
        <w:gridCol w:w="861"/>
        <w:gridCol w:w="6992"/>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8 complete; Test-FMPSRVRecords scheduled task deployed</w:t>
            </w:r>
          </w:p>
        </w:tc>
      </w:tr>
      <w:tr>
        <w:tc>
          <w:tcPr/>
          <w:p>
            <w:pPr>
              <w:pStyle w:val="Compact"/>
              <w:jc w:val="left"/>
            </w:pPr>
            <w:r>
              <w:rPr>
                <w:b/>
                <w:bCs/>
              </w:rPr>
              <w:t xml:space="preserve">Steps</w:t>
            </w:r>
          </w:p>
        </w:tc>
        <w:tc>
          <w:tcPr/>
          <w:p>
            <w:pPr>
              <w:pStyle w:val="Compact"/>
              <w:jc w:val="left"/>
            </w:pPr>
            <w:r>
              <w:t xml:space="preserve">Validate all critical SRV records from every VNet and on-premises location; confirm forwarding rules correctly route SRV queries to AD DNS; enable 15-minute monitoring; review Gitea for any SRV failure alerts</w:t>
            </w:r>
          </w:p>
        </w:tc>
      </w:tr>
      <w:tr>
        <w:tc>
          <w:tcPr/>
          <w:p>
            <w:pPr>
              <w:pStyle w:val="Compact"/>
              <w:jc w:val="left"/>
            </w:pPr>
            <w:r>
              <w:rPr>
                <w:b/>
                <w:bCs/>
              </w:rPr>
              <w:t xml:space="preserve">Validation Criteria</w:t>
            </w:r>
          </w:p>
        </w:tc>
        <w:tc>
          <w:tcPr/>
          <w:p>
            <w:pPr>
              <w:pStyle w:val="Compact"/>
              <w:jc w:val="left"/>
            </w:pPr>
            <w:r>
              <w:t xml:space="preserve">100% SRV resolution success for 30 consecutive days; zero Gitea SRV alerts</w:t>
            </w:r>
          </w:p>
        </w:tc>
      </w:tr>
      <w:tr>
        <w:tc>
          <w:tcPr/>
          <w:p>
            <w:pPr>
              <w:pStyle w:val="Compact"/>
              <w:jc w:val="left"/>
            </w:pPr>
            <w:r>
              <w:rPr>
                <w:b/>
                <w:bCs/>
              </w:rPr>
              <w:t xml:space="preserve">Rollback Procedure</w:t>
            </w:r>
          </w:p>
        </w:tc>
        <w:tc>
          <w:tcPr/>
          <w:p>
            <w:pPr>
              <w:pStyle w:val="Compact"/>
              <w:jc w:val="left"/>
            </w:pPr>
            <w:r>
              <w:t xml:space="preserve">SRV records remain on AD DNS — rollback is to revert client DNS settings to point directly to AD DNS servers</w:t>
            </w:r>
          </w:p>
        </w:tc>
      </w:tr>
      <w:tr>
        <w:tc>
          <w:tcPr/>
          <w:p>
            <w:pPr>
              <w:pStyle w:val="Compact"/>
              <w:jc w:val="left"/>
            </w:pPr>
            <w:r>
              <w:rPr>
                <w:b/>
                <w:bCs/>
              </w:rPr>
              <w:t xml:space="preserve">Duration Estimate</w:t>
            </w:r>
          </w:p>
        </w:tc>
        <w:tc>
          <w:tcPr/>
          <w:p>
            <w:pPr>
              <w:pStyle w:val="Compact"/>
              <w:jc w:val="left"/>
            </w:pPr>
            <w:r>
              <w:t xml:space="preserve">30 days (monitoring period)</w:t>
            </w:r>
          </w:p>
        </w:tc>
      </w:tr>
    </w:tbl>
    <w:p>
      <w:pPr>
        <w:pStyle w:val="BodyText"/>
      </w:pPr>
      <w:r>
        <w:t xml:space="preserve">Phase 10: Decommission Legacy DNS Servers</w:t>
      </w:r>
    </w:p>
    <w:tbl>
      <w:tblPr>
        <w:tblStyle w:val="Table"/>
        <w:tblW w:type="pct" w:w="4969"/>
        <w:tblLayout w:type="fixed"/>
        <w:tblLook w:firstRow="1" w:lastRow="0" w:firstColumn="0" w:lastColumn="0" w:noHBand="0" w:noVBand="0" w:val="0020"/>
      </w:tblPr>
      <w:tblGrid>
        <w:gridCol w:w="645"/>
        <w:gridCol w:w="7224"/>
      </w:tblGrid>
      <w:tr>
        <w:trPr>
          <w:tblHeader w:val="on"/>
        </w:trPr>
        <w:tc>
          <w:tcPr/>
          <w:p>
            <w:pPr>
              <w:pStyle w:val="Compact"/>
              <w:jc w:val="left"/>
            </w:pPr>
            <w:r>
              <w:rPr>
                <w:b/>
                <w:bCs/>
              </w:rPr>
              <w:t xml:space="preserve">Property</w:t>
            </w:r>
          </w:p>
        </w:tc>
        <w:tc>
          <w:tcPr/>
          <w:p>
            <w:pPr>
              <w:pStyle w:val="Compact"/>
              <w:jc w:val="left"/>
            </w:pPr>
            <w:r>
              <w:rPr>
                <w:b/>
                <w:bCs/>
              </w:rPr>
              <w:t xml:space="preserve">Detail</w:t>
            </w:r>
          </w:p>
        </w:tc>
      </w:tr>
      <w:tr>
        <w:tc>
          <w:tcPr/>
          <w:p>
            <w:pPr>
              <w:pStyle w:val="Compact"/>
              <w:jc w:val="left"/>
            </w:pPr>
            <w:r>
              <w:rPr>
                <w:b/>
                <w:bCs/>
              </w:rPr>
              <w:t xml:space="preserve">Prerequisites</w:t>
            </w:r>
          </w:p>
        </w:tc>
        <w:tc>
          <w:tcPr/>
          <w:p>
            <w:pPr>
              <w:pStyle w:val="Compact"/>
              <w:jc w:val="left"/>
            </w:pPr>
            <w:r>
              <w:t xml:space="preserve">Phase 9 complete (30-day validation passed); 90-day parallel operation completed; zero unresolved drift or SRV alerts</w:t>
            </w:r>
          </w:p>
        </w:tc>
      </w:tr>
      <w:tr>
        <w:tc>
          <w:tcPr/>
          <w:p>
            <w:pPr>
              <w:pStyle w:val="Compact"/>
              <w:jc w:val="left"/>
            </w:pPr>
            <w:r>
              <w:rPr>
                <w:b/>
                <w:bCs/>
              </w:rPr>
              <w:t xml:space="preserve">Steps</w:t>
            </w:r>
          </w:p>
        </w:tc>
        <w:tc>
          <w:tcPr/>
          <w:p>
            <w:pPr>
              <w:pStyle w:val="Compact"/>
              <w:jc w:val="left"/>
            </w:pPr>
            <w:r>
              <w:t xml:space="preserve">Final DNS query log review — confirm zero direct queries to legacy DNS; remove DNS Server role from domain controllers (if dedicated DNS servers); update DHCP/GPO to remove legacy DNS IPs; remove on-premises conditional forwarders for migrated zones; archive final zone exports to Gitea</w:t>
            </w:r>
          </w:p>
        </w:tc>
      </w:tr>
      <w:tr>
        <w:tc>
          <w:tcPr/>
          <w:p>
            <w:pPr>
              <w:pStyle w:val="Compact"/>
              <w:jc w:val="left"/>
            </w:pPr>
            <w:r>
              <w:rPr>
                <w:b/>
                <w:bCs/>
              </w:rPr>
              <w:t xml:space="preserve">Validation Criteria</w:t>
            </w:r>
          </w:p>
        </w:tc>
        <w:tc>
          <w:tcPr/>
          <w:p>
            <w:pPr>
              <w:pStyle w:val="Compact"/>
              <w:jc w:val="left"/>
            </w:pPr>
            <w:r>
              <w:t xml:space="preserve">No client impact after 7-day burn-in; all resolution handled by Azure DNS and DNS Private Resolver</w:t>
            </w:r>
          </w:p>
        </w:tc>
      </w:tr>
      <w:tr>
        <w:tc>
          <w:tcPr/>
          <w:p>
            <w:pPr>
              <w:pStyle w:val="Compact"/>
              <w:jc w:val="left"/>
            </w:pPr>
            <w:r>
              <w:rPr>
                <w:b/>
                <w:bCs/>
              </w:rPr>
              <w:t xml:space="preserve">Rollback Procedure</w:t>
            </w:r>
          </w:p>
        </w:tc>
        <w:tc>
          <w:tcPr/>
          <w:p>
            <w:pPr>
              <w:pStyle w:val="Compact"/>
              <w:jc w:val="left"/>
            </w:pPr>
            <w:r>
              <w:t xml:space="preserve">Re-install DNS Server role from archived zone exports; re-add DNS IPs to DHCP/GPO</w:t>
            </w:r>
          </w:p>
        </w:tc>
      </w:tr>
      <w:tr>
        <w:tc>
          <w:tcPr/>
          <w:p>
            <w:pPr>
              <w:pStyle w:val="Compact"/>
              <w:jc w:val="left"/>
            </w:pPr>
            <w:r>
              <w:rPr>
                <w:b/>
                <w:bCs/>
              </w:rPr>
              <w:t xml:space="preserve">Duration Estimate</w:t>
            </w:r>
          </w:p>
        </w:tc>
        <w:tc>
          <w:tcPr/>
          <w:p>
            <w:pPr>
              <w:pStyle w:val="Compact"/>
              <w:jc w:val="left"/>
            </w:pPr>
            <w:r>
              <w:t xml:space="preserve">1-2 weeks (including burn-in)</w:t>
            </w:r>
          </w:p>
        </w:tc>
      </w:tr>
    </w:tbl>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 Warning</w:t>
            </w:r>
          </w:p>
          <w:p>
            <w:pPr>
              <w:pStyle w:val="BodyText"/>
            </w:pPr>
            <w:r>
              <w:t xml:space="preserve">Do not decommission legacy DNS servers until the 90-day parallel operation period has elapsed with zero critical alerts. SRV record loss during premature decommission can cause forest-wide authentication failures that are difficult to diagnose under pressure.</w:t>
            </w:r>
          </w:p>
        </w:tc>
      </w:tr>
    </w:tbl>
    <w:p>
      <w:pPr>
        <w:pStyle w:val="BodyText"/>
      </w:pPr>
      <w:r>
        <w:t xml:space="preserve">14. Troubleshooting Reference</w:t>
      </w:r>
    </w:p>
    <w:tbl>
      <w:tblPr>
        <w:tblStyle w:val="Table"/>
        <w:tblW w:type="pct" w:w="4980"/>
        <w:tblLayout w:type="fixed"/>
        <w:tblLook w:firstRow="1" w:lastRow="0" w:firstColumn="0" w:lastColumn="0" w:noHBand="0" w:noVBand="0" w:val="0020"/>
      </w:tblPr>
      <w:tblGrid>
        <w:gridCol w:w="1282"/>
        <w:gridCol w:w="1507"/>
        <w:gridCol w:w="2773"/>
        <w:gridCol w:w="2324"/>
      </w:tblGrid>
      <w:tr>
        <w:trPr>
          <w:tblHeader w:val="on"/>
        </w:trPr>
        <w:tc>
          <w:tcPr/>
          <w:p>
            <w:pPr>
              <w:pStyle w:val="Compact"/>
              <w:jc w:val="left"/>
            </w:pPr>
            <w:r>
              <w:rPr>
                <w:b/>
                <w:bCs/>
              </w:rPr>
              <w:t xml:space="preserve">Symptom</w:t>
            </w:r>
          </w:p>
        </w:tc>
        <w:tc>
          <w:tcPr/>
          <w:p>
            <w:pPr>
              <w:pStyle w:val="Compact"/>
              <w:jc w:val="left"/>
            </w:pPr>
            <w:r>
              <w:rPr>
                <w:b/>
                <w:bCs/>
              </w:rPr>
              <w:t xml:space="preserve">Root Cause</w:t>
            </w:r>
          </w:p>
        </w:tc>
        <w:tc>
          <w:tcPr/>
          <w:p>
            <w:pPr>
              <w:pStyle w:val="Compact"/>
              <w:jc w:val="left"/>
            </w:pPr>
            <w:r>
              <w:rPr>
                <w:b/>
                <w:bCs/>
              </w:rPr>
              <w:t xml:space="preserve">Resolution</w:t>
            </w:r>
          </w:p>
        </w:tc>
        <w:tc>
          <w:tcPr/>
          <w:p>
            <w:pPr>
              <w:pStyle w:val="Compact"/>
              <w:jc w:val="left"/>
            </w:pPr>
            <w:r>
              <w:rPr>
                <w:b/>
                <w:bCs/>
              </w:rPr>
              <w:t xml:space="preserve">Prevention</w:t>
            </w:r>
          </w:p>
        </w:tc>
      </w:tr>
      <w:tr>
        <w:tc>
          <w:tcPr/>
          <w:p>
            <w:pPr>
              <w:pStyle w:val="Compact"/>
              <w:jc w:val="left"/>
            </w:pPr>
            <w:r>
              <w:t xml:space="preserve">Azure VM cannot resolve on-premises hostname</w:t>
            </w:r>
          </w:p>
        </w:tc>
        <w:tc>
          <w:tcPr/>
          <w:p>
            <w:pPr>
              <w:pStyle w:val="Compact"/>
              <w:jc w:val="left"/>
            </w:pPr>
            <w:r>
              <w:t xml:space="preserve">Missing or misconfigured forwarding rule in DNS Forwarding Ruleset</w:t>
            </w:r>
          </w:p>
        </w:tc>
        <w:tc>
          <w:tcPr/>
          <w:p>
            <w:pPr>
              <w:pStyle w:val="Compact"/>
              <w:jc w:val="left"/>
            </w:pPr>
            <w:r>
              <w:t xml:space="preserve">Verify forwarding rule exists for the on-prem namespace; confirm target DNS IPs are reachable on port 53 from outbound endpoint subnet; check NSG rules on outbound subnet</w:t>
            </w:r>
          </w:p>
        </w:tc>
        <w:tc>
          <w:tcPr/>
          <w:p>
            <w:pPr>
              <w:pStyle w:val="Compact"/>
              <w:jc w:val="left"/>
            </w:pPr>
            <w:r>
              <w:t xml:space="preserve">Test forwarding rules immediately after creation; include port 53 connectivity check in deployment validation</w:t>
            </w:r>
          </w:p>
        </w:tc>
      </w:tr>
      <w:tr>
        <w:tc>
          <w:tcPr/>
          <w:p>
            <w:pPr>
              <w:pStyle w:val="Compact"/>
              <w:jc w:val="left"/>
            </w:pPr>
            <w:r>
              <w:t xml:space="preserve">On-premises client cannot resolve Azure Private DNS name</w:t>
            </w:r>
          </w:p>
        </w:tc>
        <w:tc>
          <w:tcPr/>
          <w:p>
            <w:pPr>
              <w:pStyle w:val="Compact"/>
              <w:jc w:val="left"/>
            </w:pPr>
            <w:r>
              <w:t xml:space="preserve">Conditional forwarder to inbound endpoint not configured or unreachable</w:t>
            </w:r>
          </w:p>
        </w:tc>
        <w:tc>
          <w:tcPr/>
          <w:p>
            <w:pPr>
              <w:pStyle w:val="Compact"/>
              <w:jc w:val="left"/>
            </w:pPr>
            <w:r>
              <w:t xml:space="preserve">Verify conditional forwarder exists on on-prem DNS; confirm inbound endpoint IP is reachable via ExpressRoute/VPN; verify Private Zone is linked to hub VNet</w:t>
            </w:r>
          </w:p>
        </w:tc>
        <w:tc>
          <w:tcPr/>
          <w:p>
            <w:pPr>
              <w:pStyle w:val="Compact"/>
              <w:jc w:val="left"/>
            </w:pPr>
            <w:r>
              <w:t xml:space="preserve">Include inbound endpoint connectivity in network monitoring; automate conditional forwarder deployment</w:t>
            </w:r>
          </w:p>
        </w:tc>
      </w:tr>
      <w:tr>
        <w:tc>
          <w:tcPr/>
          <w:p>
            <w:pPr>
              <w:pStyle w:val="Compact"/>
              <w:jc w:val="left"/>
            </w:pPr>
            <w:r>
              <w:t xml:space="preserve">DNS resolution returns public IP instead of private IP for Azure PaaS service</w:t>
            </w:r>
          </w:p>
        </w:tc>
        <w:tc>
          <w:tcPr/>
          <w:p>
            <w:pPr>
              <w:pStyle w:val="Compact"/>
              <w:jc w:val="left"/>
            </w:pPr>
            <w:r>
              <w:t xml:space="preserve">Private DNS Zone for privatelink.* namespace not linked to the querying VNet</w:t>
            </w:r>
          </w:p>
        </w:tc>
        <w:tc>
          <w:tcPr/>
          <w:p>
            <w:pPr>
              <w:pStyle w:val="Compact"/>
              <w:jc w:val="left"/>
            </w:pPr>
            <w:r>
              <w:t xml:space="preserve">Create VNet link from the privatelink.* Private DNS Zone to the VNet; verify auto-registration created the A record</w:t>
            </w:r>
          </w:p>
        </w:tc>
        <w:tc>
          <w:tcPr/>
          <w:p>
            <w:pPr>
              <w:pStyle w:val="Compact"/>
              <w:jc w:val="left"/>
            </w:pPr>
            <w:r>
              <w:t xml:space="preserve">Use Azure Policy to enforce Private DNS Zone links for all VNets; deploy privatelink zones before Private Endpoints</w:t>
            </w:r>
          </w:p>
        </w:tc>
      </w:tr>
      <w:tr>
        <w:tc>
          <w:tcPr/>
          <w:p>
            <w:pPr>
              <w:pStyle w:val="Compact"/>
              <w:jc w:val="left"/>
            </w:pPr>
            <w:r>
              <w:t xml:space="preserve">Domain join fails from Azure VM</w:t>
            </w:r>
          </w:p>
        </w:tc>
        <w:tc>
          <w:tcPr/>
          <w:p>
            <w:pPr>
              <w:pStyle w:val="Compact"/>
              <w:jc w:val="left"/>
            </w:pPr>
            <w:r>
              <w:t xml:space="preserve">SRV records for _ldap._tcp or _kerberos._tcp unresolvable from Azure</w:t>
            </w:r>
          </w:p>
        </w:tc>
        <w:tc>
          <w:tcPr/>
          <w:p>
            <w:pPr>
              <w:pStyle w:val="Compact"/>
              <w:jc w:val="left"/>
            </w:pPr>
            <w:r>
              <w:t xml:space="preserve">Verify forwarding rule for the AD domain namespace routes to on-premises DNS; test SRV resolution: Resolve-DnsName _ldap._tcp.dc._msdcs.{domain} -Type SRV</w:t>
            </w:r>
          </w:p>
        </w:tc>
        <w:tc>
          <w:tcPr/>
          <w:p>
            <w:pPr>
              <w:pStyle w:val="Compact"/>
              <w:jc w:val="left"/>
            </w:pPr>
            <w:r>
              <w:t xml:space="preserve">Deploy and validate SRV forwarding rules in Phase 3 before any Azure VM domain joins</w:t>
            </w:r>
          </w:p>
        </w:tc>
      </w:tr>
      <w:tr>
        <w:tc>
          <w:tcPr/>
          <w:p>
            <w:pPr>
              <w:pStyle w:val="Compact"/>
              <w:jc w:val="left"/>
            </w:pPr>
            <w:r>
              <w:t xml:space="preserve">DNS forwarding loop detected (queries never resolve)</w:t>
            </w:r>
          </w:p>
        </w:tc>
        <w:tc>
          <w:tcPr/>
          <w:p>
            <w:pPr>
              <w:pStyle w:val="Compact"/>
              <w:jc w:val="left"/>
            </w:pPr>
            <w:r>
              <w:t xml:space="preserve">Circular forwarding: Azure forwards to on-prem, which forwards back to Azure</w:t>
            </w:r>
          </w:p>
        </w:tc>
        <w:tc>
          <w:tcPr/>
          <w:p>
            <w:pPr>
              <w:pStyle w:val="Compact"/>
              <w:jc w:val="left"/>
            </w:pPr>
            <w:r>
              <w:t xml:space="preserve">Audit forwarding rules and conditional forwarders for the failing namespace; ensure each namespace has exactly one authoritative path</w:t>
            </w:r>
          </w:p>
        </w:tc>
        <w:tc>
          <w:tcPr/>
          <w:p>
            <w:pPr>
              <w:pStyle w:val="Compact"/>
              <w:jc w:val="left"/>
            </w:pPr>
            <w:r>
              <w:t xml:space="preserve">Document all forwarding paths; review for loops during each migration phase</w:t>
            </w:r>
          </w:p>
        </w:tc>
      </w:tr>
      <w:tr>
        <w:tc>
          <w:tcPr/>
          <w:p>
            <w:pPr>
              <w:pStyle w:val="Compact"/>
              <w:jc w:val="left"/>
            </w:pPr>
            <w:r>
              <w:t xml:space="preserve">NXDOMAIN for recently migrated records</w:t>
            </w:r>
          </w:p>
        </w:tc>
        <w:tc>
          <w:tcPr/>
          <w:p>
            <w:pPr>
              <w:pStyle w:val="Compact"/>
              <w:jc w:val="left"/>
            </w:pPr>
            <w:r>
              <w:t xml:space="preserve">Stale DNS cache on client or intermediate resolver; TTL from old zone not expired</w:t>
            </w:r>
          </w:p>
        </w:tc>
        <w:tc>
          <w:tcPr/>
          <w:p>
            <w:pPr>
              <w:pStyle w:val="Compact"/>
              <w:jc w:val="left"/>
            </w:pPr>
            <w:r>
              <w:t xml:space="preserve">Flush DNS cache (ipconfig /flushdns); verify record exists in Azure DNS zone; wait for TTL expiration</w:t>
            </w:r>
          </w:p>
        </w:tc>
        <w:tc>
          <w:tcPr/>
          <w:p>
            <w:pPr>
              <w:pStyle w:val="Compact"/>
              <w:jc w:val="left"/>
            </w:pPr>
            <w:r>
              <w:t xml:space="preserve">Lower TTL on records to 300 seconds before migration; raise after validation</w:t>
            </w:r>
          </w:p>
        </w:tc>
      </w:tr>
      <w:tr>
        <w:tc>
          <w:tcPr/>
          <w:p>
            <w:pPr>
              <w:pStyle w:val="Compact"/>
              <w:jc w:val="left"/>
            </w:pPr>
            <w:r>
              <w:t xml:space="preserve">Intermittent resolution failures from Azure VMs</w:t>
            </w:r>
          </w:p>
        </w:tc>
        <w:tc>
          <w:tcPr/>
          <w:p>
            <w:pPr>
              <w:pStyle w:val="Compact"/>
              <w:jc w:val="left"/>
            </w:pPr>
            <w:r>
              <w:t xml:space="preserve">VNet DNS settings pointing to decommissioned or unreachable DNS server</w:t>
            </w:r>
          </w:p>
        </w:tc>
        <w:tc>
          <w:tcPr/>
          <w:p>
            <w:pPr>
              <w:pStyle w:val="Compact"/>
              <w:jc w:val="left"/>
            </w:pPr>
            <w:r>
              <w:t xml:space="preserve">Verify VNet DNS settings; ensure listed DNS servers are operational; update to resolver inbound endpoint IP</w:t>
            </w:r>
          </w:p>
        </w:tc>
        <w:tc>
          <w:tcPr/>
          <w:p>
            <w:pPr>
              <w:pStyle w:val="Compact"/>
              <w:jc w:val="left"/>
            </w:pPr>
            <w:r>
              <w:t xml:space="preserve">Audit VNet DNS settings in each phase; use Azure Policy to enforce correct DNS configuration</w:t>
            </w:r>
          </w:p>
        </w:tc>
      </w:tr>
      <w:tr>
        <w:tc>
          <w:tcPr/>
          <w:p>
            <w:pPr>
              <w:pStyle w:val="Compact"/>
              <w:jc w:val="left"/>
            </w:pPr>
            <w:r>
              <w:t xml:space="preserve">Private Endpoint DNS record not created automatically</w:t>
            </w:r>
          </w:p>
        </w:tc>
        <w:tc>
          <w:tcPr/>
          <w:p>
            <w:pPr>
              <w:pStyle w:val="Compact"/>
              <w:jc w:val="left"/>
            </w:pPr>
            <w:r>
              <w:t xml:space="preserve">Private DNS Zone integration not enabled during Private Endpoint creation</w:t>
            </w:r>
          </w:p>
        </w:tc>
        <w:tc>
          <w:tcPr/>
          <w:p>
            <w:pPr>
              <w:pStyle w:val="Compact"/>
              <w:jc w:val="left"/>
            </w:pPr>
            <w:r>
              <w:t xml:space="preserve">Manually create A record in the privatelink.* zone; or delete and recreate Private Endpoint with DNS integration enabled</w:t>
            </w:r>
          </w:p>
        </w:tc>
        <w:tc>
          <w:tcPr/>
          <w:p>
            <w:pPr>
              <w:pStyle w:val="Compact"/>
              <w:jc w:val="left"/>
            </w:pPr>
            <w:r>
              <w:t xml:space="preserve">Use Azure Policy to enforce Private DNS Zone integration on Private Endpoint creation</w:t>
            </w:r>
          </w:p>
        </w:tc>
      </w:tr>
      <w:tr>
        <w:tc>
          <w:tcPr/>
          <w:p>
            <w:pPr>
              <w:pStyle w:val="Compact"/>
              <w:jc w:val="left"/>
            </w:pPr>
            <w:r>
              <w:t xml:space="preserve">Stale DNS records accumulating in Azure DNS Private Zone</w:t>
            </w:r>
          </w:p>
        </w:tc>
        <w:tc>
          <w:tcPr/>
          <w:p>
            <w:pPr>
              <w:pStyle w:val="Compact"/>
              <w:jc w:val="left"/>
            </w:pPr>
            <w:r>
              <w:t xml:space="preserve">VMs deleted but auto-registration did not clean up records; or manual records never removed</w:t>
            </w:r>
          </w:p>
        </w:tc>
        <w:tc>
          <w:tcPr/>
          <w:p>
            <w:pPr>
              <w:pStyle w:val="Compact"/>
              <w:jc w:val="left"/>
            </w:pPr>
            <w:r>
              <w:t xml:space="preserve">Run cleanup script to identify records for non-existent VMs; remove stale records manually or via automation</w:t>
            </w:r>
          </w:p>
        </w:tc>
        <w:tc>
          <w:tcPr/>
          <w:p>
            <w:pPr>
              <w:pStyle w:val="Compact"/>
              <w:jc w:val="left"/>
            </w:pPr>
            <w:r>
              <w:t xml:space="preserve">Schedule regular Invoke-FMPDNSDriftDetection; implement Azure Automation runbook for stale record cleanup</w:t>
            </w:r>
          </w:p>
        </w:tc>
      </w:tr>
      <w:tr>
        <w:tc>
          <w:tcPr/>
          <w:p>
            <w:pPr>
              <w:pStyle w:val="Compact"/>
              <w:jc w:val="left"/>
            </w:pPr>
            <w:r>
              <w:t xml:space="preserve">Split-brain DNS returning wrong IP to internal clients</w:t>
            </w:r>
          </w:p>
        </w:tc>
        <w:tc>
          <w:tcPr/>
          <w:p>
            <w:pPr>
              <w:pStyle w:val="Compact"/>
              <w:jc w:val="left"/>
            </w:pPr>
            <w:r>
              <w:t xml:space="preserve">Private DNS Zone not linked to the client's VNet; client resolves via Public Zone</w:t>
            </w:r>
          </w:p>
        </w:tc>
        <w:tc>
          <w:tcPr/>
          <w:p>
            <w:pPr>
              <w:pStyle w:val="Compact"/>
              <w:jc w:val="left"/>
            </w:pPr>
            <w:r>
              <w:t xml:space="preserve">Link Private DNS Zone to the client's VNet; verify VNet DNS settings</w:t>
            </w:r>
          </w:p>
        </w:tc>
        <w:tc>
          <w:tcPr/>
          <w:p>
            <w:pPr>
              <w:pStyle w:val="Compact"/>
              <w:jc w:val="left"/>
            </w:pPr>
            <w:r>
              <w:t xml:space="preserve">Maintain VNet link inventory; validate split-brain from each VNet after configuration changes</w:t>
            </w:r>
          </w:p>
        </w:tc>
      </w:tr>
      <w:tr>
        <w:tc>
          <w:tcPr/>
          <w:p>
            <w:pPr>
              <w:pStyle w:val="Compact"/>
              <w:jc w:val="left"/>
            </w:pPr>
            <w:r>
              <w:t xml:space="preserve">Kerberos authentication failure after DNS migration</w:t>
            </w:r>
          </w:p>
        </w:tc>
        <w:tc>
          <w:tcPr/>
          <w:p>
            <w:pPr>
              <w:pStyle w:val="Compact"/>
              <w:jc w:val="left"/>
            </w:pPr>
            <w:r>
              <w:t xml:space="preserve">_kerberos._tcp SRV records not resolvable or pointing to wrong DCs</w:t>
            </w:r>
          </w:p>
        </w:tc>
        <w:tc>
          <w:tcPr/>
          <w:p>
            <w:pPr>
              <w:pStyle w:val="Compact"/>
              <w:jc w:val="left"/>
            </w:pPr>
            <w:r>
              <w:t xml:space="preserve">Validate SRV records; verify forwarding rule for AD domain; check Kerberos ticket acquisition: klist</w:t>
            </w:r>
          </w:p>
        </w:tc>
        <w:tc>
          <w:tcPr/>
          <w:p>
            <w:pPr>
              <w:pStyle w:val="Compact"/>
              <w:jc w:val="left"/>
            </w:pPr>
            <w:r>
              <w:t xml:space="preserve">Run Test-FMPSRVRecords before and after each migration phase; never migrate SRV records away from AD DNS prematurely</w:t>
            </w:r>
          </w:p>
        </w:tc>
      </w:tr>
      <w:tr>
        <w:tc>
          <w:tcPr/>
          <w:p>
            <w:pPr>
              <w:pStyle w:val="Compact"/>
              <w:jc w:val="left"/>
            </w:pPr>
            <w:r>
              <w:t xml:space="preserve">Cross-forest resolution failure</w:t>
            </w:r>
          </w:p>
        </w:tc>
        <w:tc>
          <w:tcPr/>
          <w:p>
            <w:pPr>
              <w:pStyle w:val="Compact"/>
              <w:jc w:val="left"/>
            </w:pPr>
            <w:r>
              <w:t xml:space="preserve">Forwarding rule for partner forest namespace missing or target IPs changed</w:t>
            </w:r>
          </w:p>
        </w:tc>
        <w:tc>
          <w:tcPr/>
          <w:p>
            <w:pPr>
              <w:pStyle w:val="Compact"/>
              <w:jc w:val="left"/>
            </w:pPr>
            <w:r>
              <w:t xml:space="preserve">Verify forwarding rule for partner forest FQDN; confirm target DNS IPs are current and reachable</w:t>
            </w:r>
          </w:p>
        </w:tc>
        <w:tc>
          <w:tcPr/>
          <w:p>
            <w:pPr>
              <w:pStyle w:val="Compact"/>
              <w:jc w:val="left"/>
            </w:pPr>
            <w:r>
              <w:t xml:space="preserve">Include cross-forest DNS in forwarder audit; maintain partner DNS IP registry</w:t>
            </w:r>
          </w:p>
        </w:tc>
      </w:tr>
      <w:tr>
        <w:tc>
          <w:tcPr/>
          <w:p>
            <w:pPr>
              <w:pStyle w:val="Compact"/>
              <w:jc w:val="left"/>
            </w:pPr>
            <w:r>
              <w:t xml:space="preserve">DNS Private Resolver endpoint not responding</w:t>
            </w:r>
          </w:p>
        </w:tc>
        <w:tc>
          <w:tcPr/>
          <w:p>
            <w:pPr>
              <w:pStyle w:val="Compact"/>
              <w:jc w:val="left"/>
            </w:pPr>
            <w:r>
              <w:t xml:space="preserve">Resolver service degradation; subnet exhaustion; NSG blocking DNS traffic</w:t>
            </w:r>
          </w:p>
        </w:tc>
        <w:tc>
          <w:tcPr/>
          <w:p>
            <w:pPr>
              <w:pStyle w:val="Compact"/>
              <w:jc w:val="left"/>
            </w:pPr>
            <w:r>
              <w:t xml:space="preserve">Check resolver health in Azure Portal; verify subnet has available IPs; verify NSG allows UDP/TCP 53 inbound/outbound</w:t>
            </w:r>
          </w:p>
        </w:tc>
        <w:tc>
          <w:tcPr/>
          <w:p>
            <w:pPr>
              <w:pStyle w:val="Compact"/>
              <w:jc w:val="left"/>
            </w:pPr>
            <w:r>
              <w:t xml:space="preserve">Use /28 subnets (minimum); monitor resolver metrics; alert on query drop to zero</w:t>
            </w:r>
          </w:p>
        </w:tc>
      </w:tr>
      <w:tr>
        <w:tc>
          <w:tcPr/>
          <w:p>
            <w:pPr>
              <w:pStyle w:val="Compact"/>
              <w:jc w:val="left"/>
            </w:pPr>
            <w:r>
              <w:t xml:space="preserve">TTL-related caching issues causing stale resolution</w:t>
            </w:r>
          </w:p>
        </w:tc>
        <w:tc>
          <w:tcPr/>
          <w:p>
            <w:pPr>
              <w:pStyle w:val="Compact"/>
              <w:jc w:val="left"/>
            </w:pPr>
            <w:r>
              <w:t xml:space="preserve">High TTL values on records that change during migration</w:t>
            </w:r>
          </w:p>
        </w:tc>
        <w:tc>
          <w:tcPr/>
          <w:p>
            <w:pPr>
              <w:pStyle w:val="Compact"/>
              <w:jc w:val="left"/>
            </w:pPr>
            <w:r>
              <w:t xml:space="preserve">Lower TTL to 300s before migration; flush caches; wait for old TTL to expire</w:t>
            </w:r>
          </w:p>
        </w:tc>
        <w:tc>
          <w:tcPr/>
          <w:p>
            <w:pPr>
              <w:pStyle w:val="Compact"/>
              <w:jc w:val="left"/>
            </w:pPr>
            <w:r>
              <w:t xml:space="preserve">Pre-migration TTL reduction 48 hours before cutover; document original TTL for post-migration restoration</w:t>
            </w:r>
          </w:p>
        </w:tc>
      </w:tr>
      <w:tr>
        <w:tc>
          <w:tcPr/>
          <w:p>
            <w:pPr>
              <w:pStyle w:val="Compact"/>
              <w:jc w:val="left"/>
            </w:pPr>
            <w:r>
              <w:t xml:space="preserve">DNSSEC validation failure after zone migration</w:t>
            </w:r>
          </w:p>
        </w:tc>
        <w:tc>
          <w:tcPr/>
          <w:p>
            <w:pPr>
              <w:pStyle w:val="Compact"/>
              <w:jc w:val="left"/>
            </w:pPr>
            <w:r>
              <w:t xml:space="preserve">Trust anchor chain broken; DS record not updated at registrar; key material mismatch</w:t>
            </w:r>
          </w:p>
        </w:tc>
        <w:tc>
          <w:tcPr/>
          <w:p>
            <w:pPr>
              <w:pStyle w:val="Compact"/>
              <w:jc w:val="left"/>
            </w:pPr>
            <w:r>
              <w:t xml:space="preserve">Verify DNSSEC chain: Resolve-DnsName -DnssecOk; update DS record at registrar; wait for propagation</w:t>
            </w:r>
          </w:p>
        </w:tc>
        <w:tc>
          <w:tcPr/>
          <w:p>
            <w:pPr>
              <w:pStyle w:val="Compact"/>
              <w:jc w:val="left"/>
            </w:pPr>
            <w:r>
              <w:t xml:space="preserve">Complete all key rollovers before migration; validate DNSSEC chain immediately after migration; maintain old signing until new chain validated</w:t>
            </w:r>
          </w:p>
        </w:tc>
      </w:tr>
    </w:tbl>
    <w:p>
      <w:pPr>
        <w:pStyle w:val="BodyText"/>
      </w:pPr>
      <w:r>
        <w:t xml:space="preserve">Appendix A — DNS Record Type Migration Reference</w:t>
      </w:r>
    </w:p>
    <w:tbl>
      <w:tblPr>
        <w:tblStyle w:val="Table"/>
        <w:tblW w:type="pct" w:w="4964"/>
        <w:tblLayout w:type="fixed"/>
        <w:tblLook w:firstRow="1" w:lastRow="0" w:firstColumn="0" w:lastColumn="0" w:noHBand="0" w:noVBand="0" w:val="0020"/>
      </w:tblPr>
      <w:tblGrid>
        <w:gridCol w:w="509"/>
        <w:gridCol w:w="1980"/>
        <w:gridCol w:w="2602"/>
        <w:gridCol w:w="2772"/>
      </w:tblGrid>
      <w:tr>
        <w:trPr>
          <w:tblHeader w:val="on"/>
        </w:trPr>
        <w:tc>
          <w:tcPr/>
          <w:p>
            <w:pPr>
              <w:pStyle w:val="Compact"/>
              <w:jc w:val="left"/>
            </w:pPr>
            <w:r>
              <w:rPr>
                <w:b/>
                <w:bCs/>
              </w:rPr>
              <w:t xml:space="preserve">Record Type</w:t>
            </w:r>
          </w:p>
        </w:tc>
        <w:tc>
          <w:tcPr/>
          <w:p>
            <w:pPr>
              <w:pStyle w:val="Compact"/>
              <w:jc w:val="left"/>
            </w:pPr>
            <w:r>
              <w:rPr>
                <w:b/>
                <w:bCs/>
              </w:rPr>
              <w:t xml:space="preserve">AD DNS Behavior</w:t>
            </w:r>
          </w:p>
        </w:tc>
        <w:tc>
          <w:tcPr/>
          <w:p>
            <w:pPr>
              <w:pStyle w:val="Compact"/>
              <w:jc w:val="left"/>
            </w:pPr>
            <w:r>
              <w:rPr>
                <w:b/>
                <w:bCs/>
              </w:rPr>
              <w:t xml:space="preserve">Azure DNS Behavior</w:t>
            </w:r>
          </w:p>
        </w:tc>
        <w:tc>
          <w:tcPr/>
          <w:p>
            <w:pPr>
              <w:pStyle w:val="Compact"/>
              <w:jc w:val="left"/>
            </w:pPr>
            <w:r>
              <w:rPr>
                <w:b/>
                <w:bCs/>
              </w:rPr>
              <w:t xml:space="preserve">Migration Notes</w:t>
            </w:r>
          </w:p>
        </w:tc>
      </w:tr>
      <w:tr>
        <w:tc>
          <w:tcPr/>
          <w:p>
            <w:pPr>
              <w:pStyle w:val="Compact"/>
              <w:jc w:val="left"/>
            </w:pPr>
            <w:r>
              <w:rPr>
                <w:b/>
                <w:bCs/>
              </w:rPr>
              <w:t xml:space="preserve">A</w:t>
            </w:r>
          </w:p>
        </w:tc>
        <w:tc>
          <w:tcPr/>
          <w:p>
            <w:pPr>
              <w:pStyle w:val="Compact"/>
              <w:jc w:val="left"/>
            </w:pPr>
            <w:r>
              <w:t xml:space="preserve">IPv4 address mapping; supports secure dynamic update and scavenging</w:t>
            </w:r>
          </w:p>
        </w:tc>
        <w:tc>
          <w:tcPr/>
          <w:p>
            <w:pPr>
              <w:pStyle w:val="Compact"/>
              <w:jc w:val="left"/>
            </w:pPr>
            <w:r>
              <w:t xml:space="preserve">Static records in Public/Private Zones; auto-registration for VMs in Private Zones</w:t>
            </w:r>
          </w:p>
        </w:tc>
        <w:tc>
          <w:tcPr/>
          <w:p>
            <w:pPr>
              <w:pStyle w:val="Compact"/>
              <w:jc w:val="left"/>
            </w:pPr>
            <w:r>
              <w:t xml:space="preserve">Direct mapping; verify dynamic records are still needed vs. static</w:t>
            </w:r>
          </w:p>
        </w:tc>
      </w:tr>
      <w:tr>
        <w:tc>
          <w:tcPr/>
          <w:p>
            <w:pPr>
              <w:pStyle w:val="Compact"/>
              <w:jc w:val="left"/>
            </w:pPr>
            <w:r>
              <w:rPr>
                <w:b/>
                <w:bCs/>
              </w:rPr>
              <w:t xml:space="preserve">AAAA</w:t>
            </w:r>
          </w:p>
        </w:tc>
        <w:tc>
          <w:tcPr/>
          <w:p>
            <w:pPr>
              <w:pStyle w:val="Compact"/>
              <w:jc w:val="left"/>
            </w:pPr>
            <w:r>
              <w:t xml:space="preserve">IPv6 address mapping; same dynamic update behavior as A</w:t>
            </w:r>
          </w:p>
        </w:tc>
        <w:tc>
          <w:tcPr/>
          <w:p>
            <w:pPr>
              <w:pStyle w:val="Compact"/>
              <w:jc w:val="left"/>
            </w:pPr>
            <w:r>
              <w:t xml:space="preserve">Supported in both Public and Private Zones</w:t>
            </w:r>
          </w:p>
        </w:tc>
        <w:tc>
          <w:tcPr/>
          <w:p>
            <w:pPr>
              <w:pStyle w:val="Compact"/>
              <w:jc w:val="left"/>
            </w:pPr>
            <w:r>
              <w:t xml:space="preserve">Direct mapping; ensure IPv6 is enabled in target Azure VNets if applicable</w:t>
            </w:r>
          </w:p>
        </w:tc>
      </w:tr>
      <w:tr>
        <w:tc>
          <w:tcPr/>
          <w:p>
            <w:pPr>
              <w:pStyle w:val="Compact"/>
              <w:jc w:val="left"/>
            </w:pPr>
            <w:r>
              <w:rPr>
                <w:b/>
                <w:bCs/>
              </w:rPr>
              <w:t xml:space="preserve">CNAME</w:t>
            </w:r>
          </w:p>
        </w:tc>
        <w:tc>
          <w:tcPr/>
          <w:p>
            <w:pPr>
              <w:pStyle w:val="Compact"/>
              <w:jc w:val="left"/>
            </w:pPr>
            <w:r>
              <w:t xml:space="preserve">Alias to another FQDN; cannot coexist at zone apex</w:t>
            </w:r>
          </w:p>
        </w:tc>
        <w:tc>
          <w:tcPr/>
          <w:p>
            <w:pPr>
              <w:pStyle w:val="Compact"/>
              <w:jc w:val="left"/>
            </w:pPr>
            <w:r>
              <w:t xml:space="preserve">Supported; same apex restriction. Use ALIAS record at apex for Public Zones</w:t>
            </w:r>
          </w:p>
        </w:tc>
        <w:tc>
          <w:tcPr/>
          <w:p>
            <w:pPr>
              <w:pStyle w:val="Compact"/>
              <w:jc w:val="left"/>
            </w:pPr>
            <w:r>
              <w:t xml:space="preserve">Direct mapping; verify CNAME chains do not break with zone migration</w:t>
            </w:r>
          </w:p>
        </w:tc>
      </w:tr>
      <w:tr>
        <w:tc>
          <w:tcPr/>
          <w:p>
            <w:pPr>
              <w:pStyle w:val="Compact"/>
              <w:jc w:val="left"/>
            </w:pPr>
            <w:r>
              <w:rPr>
                <w:b/>
                <w:bCs/>
              </w:rPr>
              <w:t xml:space="preserve">MX</w:t>
            </w:r>
          </w:p>
        </w:tc>
        <w:tc>
          <w:tcPr/>
          <w:p>
            <w:pPr>
              <w:pStyle w:val="Compact"/>
              <w:jc w:val="left"/>
            </w:pPr>
            <w:r>
              <w:t xml:space="preserve">Mail exchange; priority + mail server FQDN</w:t>
            </w:r>
          </w:p>
        </w:tc>
        <w:tc>
          <w:tcPr/>
          <w:p>
            <w:pPr>
              <w:pStyle w:val="Compact"/>
              <w:jc w:val="left"/>
            </w:pPr>
            <w:r>
              <w:t xml:space="preserve">Supported in both zone types</w:t>
            </w:r>
          </w:p>
        </w:tc>
        <w:tc>
          <w:tcPr/>
          <w:p>
            <w:pPr>
              <w:pStyle w:val="Compact"/>
              <w:jc w:val="left"/>
            </w:pPr>
            <w:r>
              <w:t xml:space="preserve">Verify mail flow after migration; coordinate with messaging team</w:t>
            </w:r>
          </w:p>
        </w:tc>
      </w:tr>
      <w:tr>
        <w:tc>
          <w:tcPr/>
          <w:p>
            <w:pPr>
              <w:pStyle w:val="Compact"/>
              <w:jc w:val="left"/>
            </w:pPr>
            <w:r>
              <w:rPr>
                <w:b/>
                <w:bCs/>
              </w:rPr>
              <w:t xml:space="preserve">NS</w:t>
            </w:r>
          </w:p>
        </w:tc>
        <w:tc>
          <w:tcPr/>
          <w:p>
            <w:pPr>
              <w:pStyle w:val="Compact"/>
              <w:jc w:val="left"/>
            </w:pPr>
            <w:r>
              <w:t xml:space="preserve">Nameserver delegation; auto-created at zone apex</w:t>
            </w:r>
          </w:p>
        </w:tc>
        <w:tc>
          <w:tcPr/>
          <w:p>
            <w:pPr>
              <w:pStyle w:val="Compact"/>
              <w:jc w:val="left"/>
            </w:pPr>
            <w:r>
              <w:t xml:space="preserve">Auto-managed by Azure at zone apex; custom NS for subdomain delegation</w:t>
            </w:r>
          </w:p>
        </w:tc>
        <w:tc>
          <w:tcPr/>
          <w:p>
            <w:pPr>
              <w:pStyle w:val="Compact"/>
              <w:jc w:val="left"/>
            </w:pPr>
            <w:r>
              <w:t xml:space="preserve">Do not migrate apex NS records; Azure assigns its own nameservers</w:t>
            </w:r>
          </w:p>
        </w:tc>
      </w:tr>
      <w:tr>
        <w:tc>
          <w:tcPr/>
          <w:p>
            <w:pPr>
              <w:pStyle w:val="Compact"/>
              <w:jc w:val="left"/>
            </w:pPr>
            <w:r>
              <w:rPr>
                <w:b/>
                <w:bCs/>
              </w:rPr>
              <w:t xml:space="preserve">PTR</w:t>
            </w:r>
          </w:p>
        </w:tc>
        <w:tc>
          <w:tcPr/>
          <w:p>
            <w:pPr>
              <w:pStyle w:val="Compact"/>
              <w:jc w:val="left"/>
            </w:pPr>
            <w:r>
              <w:t xml:space="preserve">Reverse lookup; often dynamically registered via DHCP</w:t>
            </w:r>
          </w:p>
        </w:tc>
        <w:tc>
          <w:tcPr/>
          <w:p>
            <w:pPr>
              <w:pStyle w:val="Compact"/>
              <w:jc w:val="left"/>
            </w:pPr>
            <w:r>
              <w:t xml:space="preserve">Supported in Private Zones for *.in-addr.arpa zones</w:t>
            </w:r>
          </w:p>
        </w:tc>
        <w:tc>
          <w:tcPr/>
          <w:p>
            <w:pPr>
              <w:pStyle w:val="Compact"/>
              <w:jc w:val="left"/>
            </w:pPr>
            <w:r>
              <w:t xml:space="preserve">Import static PTR records; dynamic PTRs managed by auto-registration or automation</w:t>
            </w:r>
          </w:p>
        </w:tc>
      </w:tr>
      <w:tr>
        <w:tc>
          <w:tcPr/>
          <w:p>
            <w:pPr>
              <w:pStyle w:val="Compact"/>
              <w:jc w:val="left"/>
            </w:pPr>
            <w:r>
              <w:rPr>
                <w:b/>
                <w:bCs/>
              </w:rPr>
              <w:t xml:space="preserve">SOA</w:t>
            </w:r>
          </w:p>
        </w:tc>
        <w:tc>
          <w:tcPr/>
          <w:p>
            <w:pPr>
              <w:pStyle w:val="Compact"/>
              <w:jc w:val="left"/>
            </w:pPr>
            <w:r>
              <w:t xml:space="preserve">Zone authority; controls refresh, retry, expire, TTL</w:t>
            </w:r>
          </w:p>
        </w:tc>
        <w:tc>
          <w:tcPr/>
          <w:p>
            <w:pPr>
              <w:pStyle w:val="Compact"/>
              <w:jc w:val="left"/>
            </w:pPr>
            <w:r>
              <w:t xml:space="preserve">Auto-managed by Azure; limited SOA customization</w:t>
            </w:r>
          </w:p>
        </w:tc>
        <w:tc>
          <w:tcPr/>
          <w:p>
            <w:pPr>
              <w:pStyle w:val="Compact"/>
              <w:jc w:val="left"/>
            </w:pPr>
            <w:r>
              <w:t xml:space="preserve">Do not migrate SOA records; Azure creates its own SOA</w:t>
            </w:r>
          </w:p>
        </w:tc>
      </w:tr>
      <w:tr>
        <w:tc>
          <w:tcPr/>
          <w:p>
            <w:pPr>
              <w:pStyle w:val="Compact"/>
              <w:jc w:val="left"/>
            </w:pPr>
            <w:r>
              <w:rPr>
                <w:b/>
                <w:bCs/>
              </w:rPr>
              <w:t xml:space="preserve">SRV</w:t>
            </w:r>
          </w:p>
        </w:tc>
        <w:tc>
          <w:tcPr/>
          <w:p>
            <w:pPr>
              <w:pStyle w:val="Compact"/>
              <w:jc w:val="left"/>
            </w:pPr>
            <w:r>
              <w:t xml:space="preserve">Service locator; dynamically registered by Netlogon for AD services</w:t>
            </w:r>
          </w:p>
        </w:tc>
        <w:tc>
          <w:tcPr/>
          <w:p>
            <w:pPr>
              <w:pStyle w:val="Compact"/>
              <w:jc w:val="left"/>
            </w:pPr>
            <w:r>
              <w:t xml:space="preserve">Supported as static records in both zone types</w:t>
            </w:r>
          </w:p>
        </w:tc>
        <w:tc>
          <w:tcPr/>
          <w:p>
            <w:pPr>
              <w:pStyle w:val="Compact"/>
              <w:jc w:val="left"/>
            </w:pPr>
            <w:r>
              <w:t xml:space="preserve">AD SRV records must remain on AD DNS during hybrid period; do not migrate until AD decommission</w:t>
            </w:r>
          </w:p>
        </w:tc>
      </w:tr>
      <w:tr>
        <w:tc>
          <w:tcPr/>
          <w:p>
            <w:pPr>
              <w:pStyle w:val="Compact"/>
              <w:jc w:val="left"/>
            </w:pPr>
            <w:r>
              <w:rPr>
                <w:b/>
                <w:bCs/>
              </w:rPr>
              <w:t xml:space="preserve">TXT</w:t>
            </w:r>
          </w:p>
        </w:tc>
        <w:tc>
          <w:tcPr/>
          <w:p>
            <w:pPr>
              <w:pStyle w:val="Compact"/>
              <w:jc w:val="left"/>
            </w:pPr>
            <w:r>
              <w:t xml:space="preserve">Arbitrary text; used for SPF, DKIM, DMARC, domain verification</w:t>
            </w:r>
          </w:p>
        </w:tc>
        <w:tc>
          <w:tcPr/>
          <w:p>
            <w:pPr>
              <w:pStyle w:val="Compact"/>
              <w:jc w:val="left"/>
            </w:pPr>
            <w:r>
              <w:t xml:space="preserve">Supported; 1024-character limit per string (multiple strings per record set)</w:t>
            </w:r>
          </w:p>
        </w:tc>
        <w:tc>
          <w:tcPr/>
          <w:p>
            <w:pPr>
              <w:pStyle w:val="Compact"/>
              <w:jc w:val="left"/>
            </w:pPr>
            <w:r>
              <w:t xml:space="preserve">Verify SPF/DKIM/DMARC records are intact; test email authentication after migration</w:t>
            </w:r>
          </w:p>
        </w:tc>
      </w:tr>
      <w:tr>
        <w:tc>
          <w:tcPr/>
          <w:p>
            <w:pPr>
              <w:pStyle w:val="Compact"/>
              <w:jc w:val="left"/>
            </w:pPr>
            <w:r>
              <w:rPr>
                <w:b/>
                <w:bCs/>
              </w:rPr>
              <w:t xml:space="preserve">DNAME</w:t>
            </w:r>
          </w:p>
        </w:tc>
        <w:tc>
          <w:tcPr/>
          <w:p>
            <w:pPr>
              <w:pStyle w:val="Compact"/>
              <w:jc w:val="left"/>
            </w:pPr>
            <w:r>
              <w:t xml:space="preserve">Delegation name; redirects entire subtree</w:t>
            </w:r>
          </w:p>
        </w:tc>
        <w:tc>
          <w:tcPr/>
          <w:p>
            <w:pPr>
              <w:pStyle w:val="Compact"/>
              <w:jc w:val="left"/>
            </w:pPr>
            <w:r>
              <w:t xml:space="preserve">Not natively supported in Azure DNS</w:t>
            </w:r>
          </w:p>
        </w:tc>
        <w:tc>
          <w:tcPr/>
          <w:p>
            <w:pPr>
              <w:pStyle w:val="Compact"/>
              <w:jc w:val="left"/>
            </w:pPr>
            <w:r>
              <w:t xml:space="preserve">Replace with individual CNAME records or DNS Forwarding Ruleset rules; document workaround</w:t>
            </w:r>
          </w:p>
        </w:tc>
      </w:tr>
      <w:tr>
        <w:tc>
          <w:tcPr/>
          <w:p>
            <w:pPr>
              <w:pStyle w:val="Compact"/>
              <w:jc w:val="left"/>
            </w:pPr>
            <w:r>
              <w:rPr>
                <w:b/>
                <w:bCs/>
              </w:rPr>
              <w:t xml:space="preserve">ALIAS</w:t>
            </w:r>
          </w:p>
        </w:tc>
        <w:tc>
          <w:tcPr/>
          <w:p>
            <w:pPr>
              <w:pStyle w:val="Compact"/>
              <w:jc w:val="left"/>
            </w:pPr>
            <w:r>
              <w:t xml:space="preserve">Not a standard AD DNS record type</w:t>
            </w:r>
          </w:p>
        </w:tc>
        <w:tc>
          <w:tcPr/>
          <w:p>
            <w:pPr>
              <w:pStyle w:val="Compact"/>
              <w:jc w:val="left"/>
            </w:pPr>
            <w:r>
              <w:t xml:space="preserve">Azure DNS Public Zones support ALIAS records at zone apex (resolves to Azure resource IP)</w:t>
            </w:r>
          </w:p>
        </w:tc>
        <w:tc>
          <w:tcPr/>
          <w:p>
            <w:pPr>
              <w:pStyle w:val="Compact"/>
              <w:jc w:val="left"/>
            </w:pPr>
            <w:r>
              <w:t xml:space="preserve">Use ALIAS for zone-apex scenarios that previously required CNAME workarounds</w:t>
            </w:r>
          </w:p>
        </w:tc>
      </w:tr>
    </w:tbl>
    <w:p>
      <w:pPr>
        <w:pStyle w:val="BodyText"/>
      </w:pPr>
      <w:r>
        <w:t xml:space="preserve">Appendix B — Azure DNS Private Resolver Cost Calculator</w:t>
      </w:r>
    </w:p>
    <w:p>
      <w:pPr>
        <w:pStyle w:val="BodyText"/>
      </w:pPr>
      <w:r>
        <w:t xml:space="preserve">B.1 Pricing Components</w:t>
      </w:r>
    </w:p>
    <w:tbl>
      <w:tblPr>
        <w:tblStyle w:val="Table"/>
        <w:tblW w:type="pct" w:w="4920"/>
        <w:tblLayout w:type="fixed"/>
        <w:tblLook w:firstRow="1" w:lastRow="0" w:firstColumn="0" w:lastColumn="0" w:noHBand="0" w:noVBand="0" w:val="0020"/>
      </w:tblPr>
      <w:tblGrid>
        <w:gridCol w:w="2027"/>
        <w:gridCol w:w="1393"/>
        <w:gridCol w:w="4371"/>
      </w:tblGrid>
      <w:tr>
        <w:trPr>
          <w:tblHeader w:val="on"/>
        </w:trPr>
        <w:tc>
          <w:tcPr/>
          <w:p>
            <w:pPr>
              <w:pStyle w:val="Compact"/>
              <w:jc w:val="left"/>
            </w:pPr>
            <w:r>
              <w:rPr>
                <w:b/>
                <w:bCs/>
              </w:rPr>
              <w:t xml:space="preserve">Component</w:t>
            </w:r>
          </w:p>
        </w:tc>
        <w:tc>
          <w:tcPr/>
          <w:p>
            <w:pPr>
              <w:pStyle w:val="Compact"/>
              <w:jc w:val="left"/>
            </w:pPr>
            <w:r>
              <w:rPr>
                <w:b/>
                <w:bCs/>
              </w:rPr>
              <w:t xml:space="preserve">Unit</w:t>
            </w:r>
          </w:p>
        </w:tc>
        <w:tc>
          <w:tcPr/>
          <w:p>
            <w:pPr>
              <w:pStyle w:val="Compact"/>
              <w:jc w:val="left"/>
            </w:pPr>
            <w:r>
              <w:rPr>
                <w:b/>
                <w:bCs/>
              </w:rPr>
              <w:t xml:space="preserve">Approximate Price (USD)</w:t>
            </w:r>
          </w:p>
        </w:tc>
      </w:tr>
      <w:tr>
        <w:tc>
          <w:tcPr/>
          <w:p>
            <w:pPr>
              <w:pStyle w:val="Compact"/>
              <w:jc w:val="left"/>
            </w:pPr>
            <w:r>
              <w:t xml:space="preserve">DNS Private Resolver Instance</w:t>
            </w:r>
          </w:p>
        </w:tc>
        <w:tc>
          <w:tcPr/>
          <w:p>
            <w:pPr>
              <w:pStyle w:val="Compact"/>
              <w:jc w:val="left"/>
            </w:pPr>
            <w:r>
              <w:t xml:space="preserve">Per hour</w:t>
            </w:r>
          </w:p>
        </w:tc>
        <w:tc>
          <w:tcPr/>
          <w:p>
            <w:pPr>
              <w:pStyle w:val="Compact"/>
              <w:jc w:val="left"/>
            </w:pPr>
            <w:r>
              <w:t xml:space="preserve">~$0.18/hour (~$131/month)</w:t>
            </w:r>
          </w:p>
        </w:tc>
      </w:tr>
      <w:tr>
        <w:tc>
          <w:tcPr/>
          <w:p>
            <w:pPr>
              <w:pStyle w:val="Compact"/>
              <w:jc w:val="left"/>
            </w:pPr>
            <w:r>
              <w:t xml:space="preserve">Inbound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Outbound Endpoint</w:t>
            </w:r>
          </w:p>
        </w:tc>
        <w:tc>
          <w:tcPr/>
          <w:p>
            <w:pPr>
              <w:pStyle w:val="Compact"/>
              <w:jc w:val="left"/>
            </w:pPr>
            <w:r>
              <w:t xml:space="preserve">Per hour</w:t>
            </w:r>
          </w:p>
        </w:tc>
        <w:tc>
          <w:tcPr/>
          <w:p>
            <w:pPr>
              <w:pStyle w:val="Compact"/>
              <w:jc w:val="left"/>
            </w:pPr>
            <w:r>
              <w:t xml:space="preserve">~$0.009/hour (~$6.50/month)</w:t>
            </w:r>
          </w:p>
        </w:tc>
      </w:tr>
      <w:tr>
        <w:tc>
          <w:tcPr/>
          <w:p>
            <w:pPr>
              <w:pStyle w:val="Compact"/>
              <w:jc w:val="left"/>
            </w:pPr>
            <w:r>
              <w:t xml:space="preserve">DNS Queries Processed</w:t>
            </w:r>
          </w:p>
        </w:tc>
        <w:tc>
          <w:tcPr/>
          <w:p>
            <w:pPr>
              <w:pStyle w:val="Compact"/>
              <w:jc w:val="left"/>
            </w:pPr>
            <w:r>
              <w:t xml:space="preserve">Per million queries</w:t>
            </w:r>
          </w:p>
        </w:tc>
        <w:tc>
          <w:tcPr/>
          <w:p>
            <w:pPr>
              <w:pStyle w:val="Compact"/>
              <w:jc w:val="left"/>
            </w:pPr>
            <w:r>
              <w:t xml:space="preserve">Included in resolver instance cost</w:t>
            </w:r>
          </w:p>
        </w:tc>
      </w:tr>
      <w:tr>
        <w:tc>
          <w:tcPr/>
          <w:p>
            <w:pPr>
              <w:pStyle w:val="Compact"/>
              <w:jc w:val="left"/>
            </w:pPr>
            <w:r>
              <w:t xml:space="preserve">DNS Forwarding Ruleset</w:t>
            </w:r>
          </w:p>
        </w:tc>
        <w:tc>
          <w:tcPr/>
          <w:p>
            <w:pPr>
              <w:pStyle w:val="Compact"/>
              <w:jc w:val="left"/>
            </w:pPr>
            <w:r>
              <w:t xml:space="preserve">Per ruleset</w:t>
            </w:r>
          </w:p>
        </w:tc>
        <w:tc>
          <w:tcPr/>
          <w:p>
            <w:pPr>
              <w:pStyle w:val="Compact"/>
              <w:jc w:val="left"/>
            </w:pPr>
            <w:r>
              <w:t xml:space="preserve">No additional charge</w:t>
            </w:r>
          </w:p>
        </w:tc>
      </w:tr>
      <w:tr>
        <w:tc>
          <w:tcPr/>
          <w:p>
            <w:pPr>
              <w:pStyle w:val="Compact"/>
              <w:jc w:val="left"/>
            </w:pPr>
            <w:r>
              <w:t xml:space="preserve">VNet Links to Ruleset</w:t>
            </w:r>
          </w:p>
        </w:tc>
        <w:tc>
          <w:tcPr/>
          <w:p>
            <w:pPr>
              <w:pStyle w:val="Compact"/>
              <w:jc w:val="left"/>
            </w:pPr>
            <w:r>
              <w:t xml:space="preserve">Per link</w:t>
            </w:r>
          </w:p>
        </w:tc>
        <w:tc>
          <w:tcPr/>
          <w:p>
            <w:pPr>
              <w:pStyle w:val="Compact"/>
              <w:jc w:val="left"/>
            </w:pPr>
            <w:r>
              <w:t xml:space="preserve">No additional charge (first 2); ~$0.50/month per additional link</w:t>
            </w:r>
          </w:p>
        </w:tc>
      </w:tr>
    </w:tbl>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Note</w:t>
            </w:r>
          </w:p>
          <w:p>
            <w:pPr>
              <w:pStyle w:val="BodyText"/>
            </w:pPr>
            <w:r>
              <w:t xml:space="preserve">Prices are approximate and subject to change. Always verify current pricing at the Azure Pricing Calculator. Prices shown are for US East region at time of publication.</w:t>
            </w:r>
          </w:p>
        </w:tc>
      </w:tr>
    </w:tbl>
    <w:p>
      <w:pPr>
        <w:pStyle w:val="BodyText"/>
      </w:pPr>
      <w:r>
        <w:t xml:space="preserve">B.2 Estimation Formulas</w:t>
      </w:r>
    </w:p>
    <w:p>
      <w:pPr>
        <w:pStyle w:val="BodyText"/>
      </w:pPr>
      <w:r>
        <w:t xml:space="preserve">Monthly Cost = (Resolver Hours × $0.18) + (Inbound Endpoints × Hours × $0.009) + (Outbound Endpoints × Hours × $0.009) + (Additional VNet Links beyond 2 × $0.50) For a continuously running resolver: Hours/Month = 730 (approximate)</w:t>
      </w:r>
    </w:p>
    <w:p>
      <w:pPr>
        <w:pStyle w:val="BodyText"/>
      </w:pPr>
      <w:r>
        <w:t xml:space="preserve">B.3 Example Calculations</w:t>
      </w:r>
    </w:p>
    <w:tbl>
      <w:tblPr>
        <w:tblStyle w:val="Table"/>
        <w:tblW w:type="pct" w:w="4954"/>
        <w:tblLayout w:type="fixed"/>
        <w:tblLook w:firstRow="1" w:lastRow="0" w:firstColumn="0" w:lastColumn="0" w:noHBand="0" w:noVBand="0" w:val="0020"/>
      </w:tblPr>
      <w:tblGrid>
        <w:gridCol w:w="2070"/>
        <w:gridCol w:w="2870"/>
        <w:gridCol w:w="2906"/>
      </w:tblGrid>
      <w:tr>
        <w:trPr>
          <w:tblHeader w:val="on"/>
        </w:trPr>
        <w:tc>
          <w:tcPr/>
          <w:p>
            <w:pPr>
              <w:pStyle w:val="Compact"/>
              <w:jc w:val="left"/>
            </w:pPr>
            <w:r>
              <w:rPr>
                <w:b/>
                <w:bCs/>
              </w:rPr>
              <w:t xml:space="preserve">Environment</w:t>
            </w:r>
          </w:p>
        </w:tc>
        <w:tc>
          <w:tcPr/>
          <w:p>
            <w:pPr>
              <w:pStyle w:val="Compact"/>
              <w:jc w:val="left"/>
            </w:pPr>
            <w:r>
              <w:rPr>
                <w:b/>
                <w:bCs/>
              </w:rPr>
              <w:t xml:space="preserve">Configuration</w:t>
            </w:r>
          </w:p>
        </w:tc>
        <w:tc>
          <w:tcPr/>
          <w:p>
            <w:pPr>
              <w:pStyle w:val="Compact"/>
              <w:jc w:val="left"/>
            </w:pPr>
            <w:r>
              <w:rPr>
                <w:b/>
                <w:bCs/>
              </w:rPr>
              <w:t xml:space="preserve">Monthly Estimate</w:t>
            </w:r>
          </w:p>
        </w:tc>
      </w:tr>
      <w:tr>
        <w:tc>
          <w:tcPr/>
          <w:p>
            <w:pPr>
              <w:pStyle w:val="Compact"/>
              <w:jc w:val="left"/>
            </w:pPr>
            <w:r>
              <w:rPr>
                <w:b/>
                <w:bCs/>
              </w:rPr>
              <w:t xml:space="preserve">Small</w:t>
            </w:r>
            <w:r>
              <w:t xml:space="preserve"> </w:t>
            </w:r>
            <w:r>
              <w:t xml:space="preserve">(1 VNet, basic hybrid)</w:t>
            </w:r>
          </w:p>
        </w:tc>
        <w:tc>
          <w:tcPr/>
          <w:p>
            <w:pPr>
              <w:pStyle w:val="Compact"/>
              <w:jc w:val="left"/>
            </w:pPr>
            <w:r>
              <w:t xml:space="preserve">1 resolver, 1 inbound EP, 1 outbound EP, 0 extra VNet links</w:t>
            </w:r>
          </w:p>
        </w:tc>
        <w:tc>
          <w:tcPr/>
          <w:p>
            <w:pPr>
              <w:pStyle w:val="Compact"/>
              <w:jc w:val="left"/>
            </w:pPr>
            <w:r>
              <w:t xml:space="preserve">$131 + $6.50 + $6.50 =</w:t>
            </w:r>
            <w:r>
              <w:t xml:space="preserve"> </w:t>
            </w:r>
            <w:r>
              <w:rPr>
                <w:b/>
                <w:bCs/>
              </w:rPr>
              <w:t xml:space="preserve">~$144/month</w:t>
            </w:r>
          </w:p>
        </w:tc>
      </w:tr>
      <w:tr>
        <w:tc>
          <w:tcPr/>
          <w:p>
            <w:pPr>
              <w:pStyle w:val="Compact"/>
              <w:jc w:val="left"/>
            </w:pPr>
            <w:r>
              <w:rPr>
                <w:b/>
                <w:bCs/>
              </w:rPr>
              <w:t xml:space="preserve">Medium</w:t>
            </w:r>
            <w:r>
              <w:t xml:space="preserve"> </w:t>
            </w:r>
            <w:r>
              <w:t xml:space="preserve">(hub + 5 spokes)</w:t>
            </w:r>
          </w:p>
        </w:tc>
        <w:tc>
          <w:tcPr/>
          <w:p>
            <w:pPr>
              <w:pStyle w:val="Compact"/>
              <w:jc w:val="left"/>
            </w:pPr>
            <w:r>
              <w:t xml:space="preserve">1 resolver, 2 inbound EPs, 2 outbound EPs, 3 extra VNet links</w:t>
            </w:r>
          </w:p>
        </w:tc>
        <w:tc>
          <w:tcPr/>
          <w:p>
            <w:pPr>
              <w:pStyle w:val="Compact"/>
              <w:jc w:val="left"/>
            </w:pPr>
            <w:r>
              <w:t xml:space="preserve">$131 + $13 + $13 + $1.50 =</w:t>
            </w:r>
            <w:r>
              <w:t xml:space="preserve"> </w:t>
            </w:r>
            <w:r>
              <w:rPr>
                <w:b/>
                <w:bCs/>
              </w:rPr>
              <w:t xml:space="preserve">~$159/month</w:t>
            </w:r>
          </w:p>
        </w:tc>
      </w:tr>
      <w:tr>
        <w:tc>
          <w:tcPr/>
          <w:p>
            <w:pPr>
              <w:pStyle w:val="Compact"/>
              <w:jc w:val="left"/>
            </w:pPr>
            <w:r>
              <w:rPr>
                <w:b/>
                <w:bCs/>
              </w:rPr>
              <w:t xml:space="preserve">Large</w:t>
            </w:r>
            <w:r>
              <w:t xml:space="preserve"> </w:t>
            </w:r>
            <w:r>
              <w:t xml:space="preserve">(multi-region, 2 resolvers, hub + 15 spokes)</w:t>
            </w:r>
          </w:p>
        </w:tc>
        <w:tc>
          <w:tcPr/>
          <w:p>
            <w:pPr>
              <w:pStyle w:val="Compact"/>
              <w:jc w:val="left"/>
            </w:pPr>
            <w:r>
              <w:t xml:space="preserve">2 resolvers, 4 inbound EPs, 4 outbound EPs, 13 extra VNet links per resolver</w:t>
            </w:r>
          </w:p>
        </w:tc>
        <w:tc>
          <w:tcPr/>
          <w:p>
            <w:pPr>
              <w:pStyle w:val="Compact"/>
              <w:jc w:val="left"/>
            </w:pPr>
            <w:r>
              <w:t xml:space="preserve">($131 × 2) + ($6.50 × 4) + ($6.50 × 4) + ($0.50 × 26) =</w:t>
            </w:r>
            <w:r>
              <w:t xml:space="preserve"> </w:t>
            </w:r>
            <w:r>
              <w:rPr>
                <w:b/>
                <w:bCs/>
              </w:rPr>
              <w:t xml:space="preserve">~$327/month</w:t>
            </w:r>
          </w:p>
        </w:tc>
      </w:tr>
    </w:tbl>
    <w:p>
      <w:pPr>
        <w:pStyle w:val="BodyText"/>
      </w:pPr>
      <w:r>
        <w:t xml:space="preserve">Appendix C — PowerShell Module: FMPDNSAssessment</w:t>
      </w:r>
    </w:p>
    <w:p>
      <w:pPr>
        <w:pStyle w:val="BodyText"/>
      </w:pPr>
      <w:r>
        <w:t xml:space="preserve">The following module consolidates all functions defined in this document into a single deployable module. Save as FMPDNSAssessment.psm1.</w:t>
      </w:r>
    </w:p>
    <w:p>
      <w:pPr>
        <w:pStyle w:val="BodyText"/>
      </w:pPr>
      <w:r>
        <w:t xml:space="preserve">C.1 Module Manifest</w:t>
      </w:r>
    </w:p>
    <w:p>
      <w:pPr>
        <w:pStyle w:val="BodyText"/>
      </w:pPr>
      <w:r>
        <w:t xml:space="preserve"># FMPDNSAssessment.psd1 @{ RootModule = 'FMPDNSAssessment.psm1' ModuleVersion = '1.0.0' GUID = 'a1b2c3d4-e5f6-7890-abcd-ef1234567890' Author = 'the Federal Modernization Program Platform Engineering' Description = 'DNS assessment, migration, and monitoring tools for the Federal Modernization Program DNS Modernization' PowerShellVersion = '5.1' RequiredModules = @('ActiveDirectory', 'DnsServer', 'Az.Dns', 'Az.PrivateDns', 'Az.DnsResolver', 'Az.Network') FunctionsToExport = @( 'Get-FMPDNSZoneInventory', 'Get-FMPDNSRecordExport', 'Get-FMPDNSHealthCheck', 'Get-FMPDNSSRVValidation', 'Get-FMPDNSForwarderAudit', 'Get-FMPDNSSECStatus', 'Export-FMPDNSToAzure', 'Test-FMPSRVRecords', 'Invoke-FMPDNSDriftDetection', 'Invoke-FMPDNSAssessment' ) PrivateData = @{ PSData = @{ Tags = @('DNS', 'Azure', 'ActiveDirectory', 'Migration', 'FMP') ProjectUri = 'https://gitea.internal.contoso.com/fmp/dns-modernization' } } }</w:t>
      </w:r>
    </w:p>
    <w:p>
      <w:pPr>
        <w:pStyle w:val="BodyText"/>
      </w:pPr>
      <w:r>
        <w:t xml:space="preserve">C.2 Master Orchestrator: Invoke-FMPDNSAssessment</w:t>
      </w:r>
    </w:p>
    <w:p>
      <w:pPr>
        <w:pStyle w:val="BodyText"/>
      </w:pPr>
      <w:r>
        <w:t xml:space="preserve">function Invoke-FMPDNSAssessment { [CmdletBinding] param( [Parameter(Mandatory = $false)] [string]$OutputPath = ".\assessments\dns", [Parameter(Mandatory = $false)] [string]$DnsServerName, [Parameter(Mandatory = $false)] [switch]$IncludeDNSSEC, [Parameter(Mandatory = $false)] [switch]$IncludeRecordExport, [Parameter(Mandatory = $false)] [string]$GiteaBaseUrl, [Parameter(Mandatory = $false)] [string]$GiteaRepo, [Parameter(Mandatory = $false)] [string]$GiteaToken ) $startTime = Get-Date Write-Host "=============================================" -ForegroundColor Cyan Write-Host " the Federal Modernization Program DNS Assessment — Master Orchestrator" -ForegroundColor Cyan Write-Host " Started: $($startTime.ToString('o'))" -ForegroundColor Cyan Write-Host "=============================================" -ForegroundColor Cyan $params = @{ OutputPath = $OutputPath } if ($DnsServerName) { $params.DnsServerName = $DnsServerName } # Step 1: Zone Inventory Write-Host "`n[1/6] Running Zone Inventory..." -ForegroundColor Yellow $zoneInventory = Get-FMPDNSZoneInventory @params # Step 2: Health Check Write-Host "`n[2/6] Running Health Check..." -ForegroundColor Yellow $healthCheck = Get-FMPDNSHealthCheck @params # Step 3: SRV Validation Write-Host "`n[3/6] Running SRV Validation..." -ForegroundColor Yellow $srvValidation = Get-FMPDNSSRVValidation -OutputPath $OutputPath # Step 4: Forwarder Audit Write-Host "`n[4/6] Running Forwarder Audit..." -ForegroundColor Yellow $forwarderAudit = Get-FMPDNSForwarderAudit @params # Step 5: DNSSEC Status (optional) $dnssecStatus = $null if ($IncludeDNSSEC) { Write-Host "`n[5/6] Running DNSSEC Status..." -ForegroundColor Yellow $dnssecStatus = Get-FMPDNSSECStatus @params } else { Write-Host "`n[5/6] DNSSEC Status skipped (use -IncludeDNSSEC)" -ForegroundColor DarkGray } # Step 6: Full Record Export (optional — can be large) if ($IncludeRecordExport) { Write-Host "`n[6/6] Running Full Record Export..." -ForegroundColor Yellow $recordPath = Join-Path $OutputPath "records" foreach ($zone in $zoneInventory) { try { Get-FMPDNSRecordExport -ZoneName $zone.ZoneName ` -DnsServerName $zone.ServerName -OutputPath $recordPath } catch { Write-Warning "Record export failed for $($zone.ZoneName): $_" } } } else { Write-Host "`n[6/6] Full Record Export skipped (use -IncludeRecordExport)" -ForegroundColor DarkGray } # Summary $endTime = Get-Date $duration = $endTime - $startTime $summary = [PSCustomObject]@{ AssessmentTimestamp = $startTime.ToString("o") Duration = $duration.ToString TotalZones = $zoneInventory.Count HealthWarnings = ($healthCheck | Where-Object { $_.HealthStatus -eq 'WARNING' }).Count SRVFailures = ($srvValidation | Where-Object { $_.Status -eq 'FAILED' }).Count ForwardersAudited = $forwarderAudit.Count DNSSECAssessed = if ($dnssecStatus) { $true } else { $false } OutputPath = (Resolve-Path $OutputPath).Path } $summaryFile = Join-Path $OutputPath "assessment-summary.json" $summary | ConvertTo-Json -Depth 3 | Out-File -FilePath $summaryFile -Encoding UTF8 Write-Host "`n=============================================" -ForegroundColor Cyan Write-Host " Assessment Complete" -ForegroundColor Cyan Write-Host " Duration: $($duration.ToString)" -ForegroundColor Cyan Write-Host " Zones Discovered: $($summary.TotalZones)" -ForegroundColor Cyan Write-Host " Health Warnings: $($summary.HealthWarnings)" -ForegroundColor Cyan Write-Host " SRV Failures: $($summary.SRVFailures)" -ForegroundColor Cyan Write-Host " Output: $($summary.OutputPath)" -ForegroundColor Cyan Write-Host "=============================================" -ForegroundColor Cyan return $summary }</w:t>
      </w:r>
    </w:p>
    <w:p>
      <w:pPr>
        <w:pStyle w:val="BodyText"/>
      </w:pPr>
      <w:r>
        <w:t xml:space="preserve">C.3 Function Index</w:t>
      </w:r>
    </w:p>
    <w:tbl>
      <w:tblPr>
        <w:tblStyle w:val="Table"/>
        <w:tblW w:type="pct" w:w="4914"/>
        <w:tblLayout w:type="fixed"/>
        <w:tblLook w:firstRow="1" w:lastRow="0" w:firstColumn="0" w:lastColumn="0" w:noHBand="0" w:noVBand="0" w:val="0020"/>
      </w:tblPr>
      <w:tblGrid>
        <w:gridCol w:w="2116"/>
        <w:gridCol w:w="4506"/>
        <w:gridCol w:w="1160"/>
      </w:tblGrid>
      <w:tr>
        <w:trPr>
          <w:tblHeader w:val="on"/>
        </w:trPr>
        <w:tc>
          <w:tcPr/>
          <w:p>
            <w:pPr>
              <w:pStyle w:val="Compact"/>
              <w:jc w:val="left"/>
            </w:pPr>
            <w:r>
              <w:rPr>
                <w:b/>
                <w:bCs/>
              </w:rPr>
              <w:t xml:space="preserve">Function</w:t>
            </w:r>
          </w:p>
        </w:tc>
        <w:tc>
          <w:tcPr/>
          <w:p>
            <w:pPr>
              <w:pStyle w:val="Compact"/>
              <w:jc w:val="left"/>
            </w:pPr>
            <w:r>
              <w:rPr>
                <w:b/>
                <w:bCs/>
              </w:rPr>
              <w:t xml:space="preserve">Purpose</w:t>
            </w:r>
          </w:p>
        </w:tc>
        <w:tc>
          <w:tcPr/>
          <w:p>
            <w:pPr>
              <w:pStyle w:val="Compact"/>
              <w:jc w:val="left"/>
            </w:pPr>
            <w:r>
              <w:rPr>
                <w:b/>
                <w:bCs/>
              </w:rPr>
              <w:t xml:space="preserve">Defined In</w:t>
            </w:r>
          </w:p>
        </w:tc>
      </w:tr>
      <w:tr>
        <w:tc>
          <w:tcPr/>
          <w:p>
            <w:pPr>
              <w:pStyle w:val="Compact"/>
              <w:jc w:val="left"/>
            </w:pPr>
            <w:r>
              <w:t xml:space="preserve">Get-FMPDNSZoneInventory D</w:t>
            </w:r>
          </w:p>
        </w:tc>
        <w:tc>
          <w:tcPr/>
          <w:p>
            <w:pPr>
              <w:pStyle w:val="Compact"/>
              <w:jc w:val="left"/>
            </w:pPr>
            <w:r>
              <w:t xml:space="preserve">iscover all DNS zones, types, replication scope, record counts S</w:t>
            </w:r>
          </w:p>
        </w:tc>
        <w:tc>
          <w:tcPr/>
          <w:p>
            <w:pPr>
              <w:pStyle w:val="Compact"/>
              <w:jc w:val="left"/>
            </w:pPr>
            <w:r>
              <w:t xml:space="preserve">ection 4.1</w:t>
            </w:r>
          </w:p>
        </w:tc>
      </w:tr>
      <w:tr>
        <w:tc>
          <w:tcPr/>
          <w:p>
            <w:pPr>
              <w:pStyle w:val="Compact"/>
              <w:jc w:val="left"/>
            </w:pPr>
            <w:r>
              <w:t xml:space="preserve">Get-FMPDNSRecordExport F</w:t>
            </w:r>
          </w:p>
        </w:tc>
        <w:tc>
          <w:tcPr/>
          <w:p>
            <w:pPr>
              <w:pStyle w:val="Compact"/>
              <w:jc w:val="left"/>
            </w:pPr>
            <w:r>
              <w:t xml:space="preserve">ull record dump per zone S</w:t>
            </w:r>
          </w:p>
        </w:tc>
        <w:tc>
          <w:tcPr/>
          <w:p>
            <w:pPr>
              <w:pStyle w:val="Compact"/>
              <w:jc w:val="left"/>
            </w:pPr>
            <w:r>
              <w:t xml:space="preserve">ection 4.2</w:t>
            </w:r>
          </w:p>
        </w:tc>
      </w:tr>
      <w:tr>
        <w:tc>
          <w:tcPr/>
          <w:p>
            <w:pPr>
              <w:pStyle w:val="Compact"/>
              <w:jc w:val="left"/>
            </w:pPr>
            <w:r>
              <w:t xml:space="preserve">Get-FMPDNSHealthCheck S</w:t>
            </w:r>
          </w:p>
        </w:tc>
        <w:tc>
          <w:tcPr/>
          <w:p>
            <w:pPr>
              <w:pStyle w:val="Compact"/>
              <w:jc w:val="left"/>
            </w:pPr>
            <w:r>
              <w:t xml:space="preserve">cavenging, stale records, duplicates, orphaned PTR S</w:t>
            </w:r>
          </w:p>
        </w:tc>
        <w:tc>
          <w:tcPr/>
          <w:p>
            <w:pPr>
              <w:pStyle w:val="Compact"/>
              <w:jc w:val="left"/>
            </w:pPr>
            <w:r>
              <w:t xml:space="preserve">ection 4.3</w:t>
            </w:r>
          </w:p>
        </w:tc>
      </w:tr>
      <w:tr>
        <w:tc>
          <w:tcPr/>
          <w:p>
            <w:pPr>
              <w:pStyle w:val="Compact"/>
              <w:jc w:val="left"/>
            </w:pPr>
            <w:r>
              <w:t xml:space="preserve">Get-FMPDNSSRVValidation V</w:t>
            </w:r>
          </w:p>
        </w:tc>
        <w:tc>
          <w:tcPr/>
          <w:p>
            <w:pPr>
              <w:pStyle w:val="Compact"/>
              <w:jc w:val="left"/>
            </w:pPr>
            <w:r>
              <w:t xml:space="preserve">alidate AD SRV record resolution S</w:t>
            </w:r>
          </w:p>
        </w:tc>
        <w:tc>
          <w:tcPr/>
          <w:p>
            <w:pPr>
              <w:pStyle w:val="Compact"/>
              <w:jc w:val="left"/>
            </w:pPr>
            <w:r>
              <w:t xml:space="preserve">ection 4.4</w:t>
            </w:r>
          </w:p>
        </w:tc>
      </w:tr>
      <w:tr>
        <w:tc>
          <w:tcPr/>
          <w:p>
            <w:pPr>
              <w:pStyle w:val="Compact"/>
              <w:jc w:val="left"/>
            </w:pPr>
            <w:r>
              <w:t xml:space="preserve">Get-FMPDNSForwarderAudit C</w:t>
            </w:r>
          </w:p>
        </w:tc>
        <w:tc>
          <w:tcPr/>
          <w:p>
            <w:pPr>
              <w:pStyle w:val="Compact"/>
              <w:jc w:val="left"/>
            </w:pPr>
            <w:r>
              <w:t xml:space="preserve">onditional forwarder inventory and reachability S</w:t>
            </w:r>
          </w:p>
        </w:tc>
        <w:tc>
          <w:tcPr/>
          <w:p>
            <w:pPr>
              <w:pStyle w:val="Compact"/>
              <w:jc w:val="left"/>
            </w:pPr>
            <w:r>
              <w:t xml:space="preserve">ection 4.5</w:t>
            </w:r>
          </w:p>
        </w:tc>
      </w:tr>
      <w:tr>
        <w:tc>
          <w:tcPr/>
          <w:p>
            <w:pPr>
              <w:pStyle w:val="Compact"/>
              <w:jc w:val="left"/>
            </w:pPr>
            <w:r>
              <w:t xml:space="preserve">Get-FMPDNSSECStatus D</w:t>
            </w:r>
          </w:p>
        </w:tc>
        <w:tc>
          <w:tcPr/>
          <w:p>
            <w:pPr>
              <w:pStyle w:val="Compact"/>
              <w:jc w:val="left"/>
            </w:pPr>
            <w:r>
              <w:t xml:space="preserve">NSSEC signing status and key inventory S</w:t>
            </w:r>
          </w:p>
        </w:tc>
        <w:tc>
          <w:tcPr/>
          <w:p>
            <w:pPr>
              <w:pStyle w:val="Compact"/>
              <w:jc w:val="left"/>
            </w:pPr>
            <w:r>
              <w:t xml:space="preserve">ection 4.6</w:t>
            </w:r>
          </w:p>
        </w:tc>
      </w:tr>
      <w:tr>
        <w:tc>
          <w:tcPr/>
          <w:p>
            <w:pPr>
              <w:pStyle w:val="Compact"/>
              <w:jc w:val="left"/>
            </w:pPr>
            <w:r>
              <w:t xml:space="preserve">Export-FMPDNSToAzure E</w:t>
            </w:r>
          </w:p>
        </w:tc>
        <w:tc>
          <w:tcPr/>
          <w:p>
            <w:pPr>
              <w:pStyle w:val="Compact"/>
              <w:jc w:val="left"/>
            </w:pPr>
            <w:r>
              <w:t xml:space="preserve">xport AD DNS zone and import to Azure DNS S</w:t>
            </w:r>
          </w:p>
        </w:tc>
        <w:tc>
          <w:tcPr/>
          <w:p>
            <w:pPr>
              <w:pStyle w:val="Compact"/>
              <w:jc w:val="left"/>
            </w:pPr>
            <w:r>
              <w:t xml:space="preserve">ection 5.3</w:t>
            </w:r>
          </w:p>
        </w:tc>
      </w:tr>
      <w:tr>
        <w:tc>
          <w:tcPr/>
          <w:p>
            <w:pPr>
              <w:pStyle w:val="Compact"/>
              <w:jc w:val="left"/>
            </w:pPr>
            <w:r>
              <w:t xml:space="preserve">Test-FMPSRVRecords C</w:t>
            </w:r>
          </w:p>
        </w:tc>
        <w:tc>
          <w:tcPr/>
          <w:p>
            <w:pPr>
              <w:pStyle w:val="Compact"/>
              <w:jc w:val="left"/>
            </w:pPr>
            <w:r>
              <w:t xml:space="preserve">ontinuous SRV monitoring with Gitea alerting S</w:t>
            </w:r>
          </w:p>
        </w:tc>
        <w:tc>
          <w:tcPr/>
          <w:p>
            <w:pPr>
              <w:pStyle w:val="Compact"/>
              <w:jc w:val="left"/>
            </w:pPr>
            <w:r>
              <w:t xml:space="preserve">ection 7.2</w:t>
            </w:r>
          </w:p>
        </w:tc>
      </w:tr>
      <w:tr>
        <w:tc>
          <w:tcPr/>
          <w:p>
            <w:pPr>
              <w:pStyle w:val="Compact"/>
              <w:jc w:val="left"/>
            </w:pPr>
            <w:r>
              <w:t xml:space="preserve">Invoke-FMPDNSDriftDetection C</w:t>
            </w:r>
          </w:p>
        </w:tc>
        <w:tc>
          <w:tcPr/>
          <w:p>
            <w:pPr>
              <w:pStyle w:val="Compact"/>
              <w:jc w:val="left"/>
            </w:pPr>
            <w:r>
              <w:t xml:space="preserve">ompare on-prem vs. Azure DNS for drift S</w:t>
            </w:r>
          </w:p>
        </w:tc>
        <w:tc>
          <w:tcPr/>
          <w:p>
            <w:pPr>
              <w:pStyle w:val="Compact"/>
              <w:jc w:val="left"/>
            </w:pPr>
            <w:r>
              <w:t xml:space="preserve">ection 12.4</w:t>
            </w:r>
          </w:p>
        </w:tc>
      </w:tr>
      <w:tr>
        <w:tc>
          <w:tcPr/>
          <w:p>
            <w:pPr>
              <w:pStyle w:val="Compact"/>
              <w:jc w:val="left"/>
            </w:pPr>
            <w:r>
              <w:t xml:space="preserve">Invoke-FMPDNSAssessment M</w:t>
            </w:r>
          </w:p>
        </w:tc>
        <w:tc>
          <w:tcPr/>
          <w:p>
            <w:pPr>
              <w:pStyle w:val="Compact"/>
              <w:jc w:val="left"/>
            </w:pPr>
            <w:r>
              <w:t xml:space="preserve">aster orchestrator — runs all assessment functions A</w:t>
            </w:r>
          </w:p>
        </w:tc>
        <w:tc>
          <w:tcPr/>
          <w:p>
            <w:pPr>
              <w:pStyle w:val="Compact"/>
              <w:jc w:val="left"/>
            </w:pPr>
            <w:r>
              <w:t xml:space="preserve">ppendix C.2</w:t>
            </w:r>
          </w:p>
        </w:tc>
      </w:tr>
    </w:tbl>
    <w:p>
      <w:pPr>
        <w:pStyle w:val="BodyText"/>
      </w:pPr>
      <w:r>
        <w:t xml:space="preserve">Appendix D — Companion Document Cross-Reference</w:t>
      </w:r>
    </w:p>
    <w:tbl>
      <w:tblPr>
        <w:tblStyle w:val="Table"/>
        <w:tblW w:type="pct" w:w="4966"/>
        <w:tblLayout w:type="fixed"/>
        <w:tblLook w:firstRow="1" w:lastRow="0" w:firstColumn="0" w:lastColumn="0" w:noHBand="0" w:noVBand="0" w:val="0020"/>
      </w:tblPr>
      <w:tblGrid>
        <w:gridCol w:w="1100"/>
        <w:gridCol w:w="1422"/>
        <w:gridCol w:w="3033"/>
        <w:gridCol w:w="2308"/>
      </w:tblGrid>
      <w:tr>
        <w:trPr>
          <w:tblHeader w:val="on"/>
        </w:trPr>
        <w:tc>
          <w:tcPr/>
          <w:p>
            <w:pPr>
              <w:pStyle w:val="Compact"/>
            </w:pPr>
            <w:r>
              <w:t xml:space="preserve">**The Federal Modernization Program Canon</w:t>
            </w:r>
          </w:p>
        </w:tc>
        <w:tc>
          <w:tcPr/>
          <w:p>
            <w:pPr>
              <w:pStyle w:val="Compact"/>
              <w:jc w:val="right"/>
            </w:pPr>
            <w:r>
              <w:t xml:space="preserve">Document** **Relationship to DNS Mo</w:t>
            </w:r>
          </w:p>
        </w:tc>
        <w:tc>
          <w:tcPr/>
          <w:p>
            <w:pPr>
              <w:pStyle w:val="Compact"/>
              <w:jc w:val="left"/>
            </w:pPr>
            <w:r>
              <w:t xml:space="preserve">dernization**</w:t>
            </w:r>
            <w:r>
              <w:t xml:space="preserve"> </w:t>
            </w:r>
            <w:r>
              <w:rPr>
                <w:b/>
                <w:bCs/>
              </w:rPr>
              <w:t xml:space="preserve">Key Dependencies</w:t>
            </w:r>
          </w:p>
        </w:tc>
        <w:tc>
          <w:tcPr/>
          <w:p>
            <w:pPr>
              <w:pStyle w:val="Compact"/>
              <w:jc w:val="center"/>
            </w:pPr>
            <w:r>
              <w:rPr>
                <w:b/>
                <w:bCs/>
              </w:rPr>
              <w:t xml:space="preserve">Integration Points</w:t>
            </w:r>
          </w:p>
        </w:tc>
      </w:tr>
      <w:tr>
        <w:tc>
          <w:tcPr/>
          <w:p>
            <w:pPr>
              <w:pStyle w:val="Compact"/>
            </w:pPr>
            <w:r>
              <w:rPr>
                <w:b/>
                <w:bCs/>
              </w:rPr>
              <w:t xml:space="preserve">AD Interaction Guide</w:t>
            </w:r>
          </w:p>
        </w:tc>
        <w:tc>
          <w:tcPr/>
          <w:p>
            <w:pPr>
              <w:pStyle w:val="Compact"/>
              <w:jc w:val="right"/>
            </w:pPr>
            <w:r>
              <w:t xml:space="preserve">Upstream — provides DNS discovery data</w:t>
            </w:r>
          </w:p>
        </w:tc>
        <w:tc>
          <w:tcPr/>
          <w:p>
            <w:pPr>
              <w:pStyle w:val="Compact"/>
              <w:jc w:val="left"/>
            </w:pPr>
            <w:r>
              <w:t xml:space="preserve">Invoke-FMPADAssessment DNS module generates input for this guide Z</w:t>
            </w:r>
          </w:p>
        </w:tc>
        <w:tc>
          <w:tcPr/>
          <w:p>
            <w:pPr>
              <w:pStyle w:val="Compact"/>
              <w:jc w:val="center"/>
            </w:pPr>
            <w:r>
              <w:t xml:space="preserve">one inventory, SRV record baseline, AD replication health</w:t>
            </w:r>
          </w:p>
        </w:tc>
      </w:tr>
      <w:tr>
        <w:tc>
          <w:tcPr/>
          <w:p>
            <w:pPr>
              <w:pStyle w:val="Compact"/>
            </w:pPr>
            <w:r>
              <w:rPr>
                <w:b/>
                <w:bCs/>
              </w:rPr>
              <w:t xml:space="preserve">Identity Modernization Guide</w:t>
            </w:r>
          </w:p>
        </w:tc>
        <w:tc>
          <w:tcPr/>
          <w:p>
            <w:pPr>
              <w:pStyle w:val="Compact"/>
              <w:jc w:val="right"/>
            </w:pPr>
            <w:r>
              <w:t xml:space="preserve">Parallel — DNS enables identity services</w:t>
            </w:r>
          </w:p>
        </w:tc>
        <w:tc>
          <w:tcPr/>
          <w:p>
            <w:pPr>
              <w:pStyle w:val="Compact"/>
              <w:jc w:val="left"/>
            </w:pPr>
            <w:r>
              <w:t xml:space="preserve">SRV records must remain resolvable for Entra ID Hybrid Join, ADFS, and Kerberos</w:t>
            </w:r>
          </w:p>
        </w:tc>
        <w:tc>
          <w:tcPr/>
          <w:p>
            <w:pPr>
              <w:pStyle w:val="Compact"/>
              <w:jc w:val="center"/>
            </w:pPr>
            <w:r>
              <w:t xml:space="preserve">SRV governance (Section 7), forwarding rules for AD namespaces</w:t>
            </w:r>
          </w:p>
        </w:tc>
      </w:tr>
      <w:tr>
        <w:tc>
          <w:tcPr/>
          <w:p>
            <w:pPr>
              <w:pStyle w:val="Compact"/>
            </w:pPr>
            <w:r>
              <w:rPr>
                <w:b/>
                <w:bCs/>
              </w:rPr>
              <w:t xml:space="preserve">PKI Modernization Guide</w:t>
            </w:r>
          </w:p>
        </w:tc>
        <w:tc>
          <w:tcPr/>
          <w:p>
            <w:pPr>
              <w:pStyle w:val="Compact"/>
              <w:jc w:val="right"/>
            </w:pPr>
            <w:r>
              <w:t xml:space="preserve">Parallel — PKI endpoints require DNS</w:t>
            </w:r>
          </w:p>
        </w:tc>
        <w:tc>
          <w:tcPr/>
          <w:p>
            <w:pPr>
              <w:pStyle w:val="Compact"/>
              <w:jc w:val="left"/>
            </w:pPr>
            <w:r>
              <w:t xml:space="preserve">CRL distribution points and OCSP responder FQDNs must resolve correctly</w:t>
            </w:r>
          </w:p>
        </w:tc>
        <w:tc>
          <w:tcPr/>
          <w:p>
            <w:pPr>
              <w:pStyle w:val="Compact"/>
              <w:jc w:val="center"/>
            </w:pPr>
            <w:r>
              <w:t xml:space="preserve">Certificate revocation endpoint DNS records, split-brain for CRL endpoints</w:t>
            </w:r>
          </w:p>
        </w:tc>
      </w:tr>
      <w:tr>
        <w:tc>
          <w:tcPr/>
          <w:p>
            <w:pPr>
              <w:pStyle w:val="Compact"/>
            </w:pPr>
            <w:r>
              <w:rPr>
                <w:b/>
                <w:bCs/>
              </w:rPr>
              <w:t xml:space="preserve">Platform Server Build Guide</w:t>
            </w:r>
          </w:p>
        </w:tc>
        <w:tc>
          <w:tcPr/>
          <w:p>
            <w:pPr>
              <w:pStyle w:val="Compact"/>
              <w:jc w:val="right"/>
            </w:pPr>
            <w:r>
              <w:t xml:space="preserve">Downstream — servers consume DNS configuration</w:t>
            </w:r>
          </w:p>
        </w:tc>
        <w:tc>
          <w:tcPr/>
          <w:p>
            <w:pPr>
              <w:pStyle w:val="Compact"/>
              <w:jc w:val="left"/>
            </w:pPr>
            <w:r>
              <w:t xml:space="preserve">VNet DNS settings, resolver endpoint IPs, DNS suffix search list</w:t>
            </w:r>
          </w:p>
        </w:tc>
        <w:tc>
          <w:tcPr/>
          <w:p>
            <w:pPr>
              <w:pStyle w:val="Compact"/>
              <w:jc w:val="center"/>
            </w:pPr>
            <w:r>
              <w:t xml:space="preserve">Section 6.1 Step 9 (VNet DNS), Phase 8 (client migration)</w:t>
            </w:r>
          </w:p>
        </w:tc>
      </w:tr>
      <w:tr>
        <w:tc>
          <w:tcPr/>
          <w:p>
            <w:pPr>
              <w:pStyle w:val="Compact"/>
            </w:pPr>
            <w:r>
              <w:rPr>
                <w:b/>
                <w:bCs/>
              </w:rPr>
              <w:t xml:space="preserve">Network Modernization Guide</w:t>
            </w:r>
          </w:p>
        </w:tc>
        <w:tc>
          <w:tcPr/>
          <w:p>
            <w:pPr>
              <w:pStyle w:val="Compact"/>
              <w:jc w:val="right"/>
            </w:pPr>
            <w:r>
              <w:t xml:space="preserve">Parallel — network provides DNS transport</w:t>
            </w:r>
          </w:p>
        </w:tc>
        <w:tc>
          <w:tcPr/>
          <w:p>
            <w:pPr>
              <w:pStyle w:val="Compact"/>
              <w:jc w:val="left"/>
            </w:pPr>
            <w:r>
              <w:t xml:space="preserve">ExpressRoute/VPN connectivity for DNS traffic; NSG rules for port 53; subnet sizing for resolver endpoints</w:t>
            </w:r>
          </w:p>
        </w:tc>
        <w:tc>
          <w:tcPr/>
          <w:p>
            <w:pPr>
              <w:pStyle w:val="Compact"/>
              <w:jc w:val="center"/>
            </w:pPr>
            <w:r>
              <w:t xml:space="preserve">Hub-spoke topology (Section 3.7), resolver subnet requirements (Section 6.1 Step 2)</w:t>
            </w:r>
          </w:p>
        </w:tc>
      </w:tr>
      <w:tr>
        <w:tc>
          <w:tcPr/>
          <w:p>
            <w:pPr>
              <w:pStyle w:val="Compact"/>
            </w:pPr>
            <w:r>
              <w:rPr>
                <w:b/>
                <w:bCs/>
              </w:rPr>
              <w:t xml:space="preserve">Security Baseline Guide</w:t>
            </w:r>
          </w:p>
        </w:tc>
        <w:tc>
          <w:tcPr/>
          <w:p>
            <w:pPr>
              <w:pStyle w:val="Compact"/>
              <w:jc w:val="right"/>
            </w:pPr>
            <w:r>
              <w:t xml:space="preserve">Parallel — DNS is a security-critical service</w:t>
            </w:r>
          </w:p>
        </w:tc>
        <w:tc>
          <w:tcPr/>
          <w:p>
            <w:pPr>
              <w:pStyle w:val="Compact"/>
              <w:jc w:val="left"/>
            </w:pPr>
            <w:r>
              <w:t xml:space="preserve">DNSSEC policy decisions; DNS query logging for threat detection; Private Link for data exfiltration prevention</w:t>
            </w:r>
          </w:p>
        </w:tc>
        <w:tc>
          <w:tcPr/>
          <w:p>
            <w:pPr>
              <w:pStyle w:val="Compact"/>
              <w:jc w:val="center"/>
            </w:pPr>
            <w:r>
              <w:t xml:space="preserve">DNSSEC Modernization (Section 8), Private Endpoint DNS (Section 10)</w:t>
            </w:r>
          </w:p>
        </w:tc>
      </w:tr>
      <w:tr>
        <w:tc>
          <w:tcPr/>
          <w:p>
            <w:pPr>
              <w:pStyle w:val="Compact"/>
            </w:pPr>
            <w:r>
              <w:rPr>
                <w:b/>
                <w:bCs/>
              </w:rPr>
              <w:t xml:space="preserve">Monitoring and Observability Guide</w:t>
            </w:r>
          </w:p>
        </w:tc>
        <w:tc>
          <w:tcPr/>
          <w:p>
            <w:pPr>
              <w:pStyle w:val="Compact"/>
              <w:jc w:val="right"/>
            </w:pPr>
            <w:r>
              <w:t xml:space="preserve">Downstream — DNS generates monitoring data</w:t>
            </w:r>
          </w:p>
        </w:tc>
        <w:tc>
          <w:tcPr/>
          <w:p>
            <w:pPr>
              <w:pStyle w:val="Compact"/>
              <w:jc w:val="left"/>
            </w:pPr>
            <w:r>
              <w:t xml:space="preserve">DNS metrics, resolver logs, drift detection reports flow into centralized monitoring</w:t>
            </w:r>
          </w:p>
        </w:tc>
        <w:tc>
          <w:tcPr/>
          <w:p>
            <w:pPr>
              <w:pStyle w:val="Compact"/>
              <w:jc w:val="center"/>
            </w:pPr>
            <w:r>
              <w:t xml:space="preserve">Section 12 (Monitoring), Log Analytics integration, Gitea issue creation</w:t>
            </w:r>
          </w:p>
        </w:tc>
      </w:tr>
      <w:tr>
        <w:tc>
          <w:tcPr/>
          <w:p>
            <w:pPr>
              <w:pStyle w:val="Compact"/>
            </w:pPr>
            <w:r>
              <w:rPr>
                <w:b/>
                <w:bCs/>
              </w:rPr>
              <w:t xml:space="preserve">Disaster Recovery Guide</w:t>
            </w:r>
          </w:p>
        </w:tc>
        <w:tc>
          <w:tcPr/>
          <w:p>
            <w:pPr>
              <w:pStyle w:val="Compact"/>
              <w:jc w:val="right"/>
            </w:pPr>
            <w:r>
              <w:t xml:space="preserve">Parallel — DNS must survive regional failure</w:t>
            </w:r>
          </w:p>
        </w:tc>
        <w:tc>
          <w:tcPr/>
          <w:p>
            <w:pPr>
              <w:pStyle w:val="Compact"/>
              <w:jc w:val="left"/>
            </w:pPr>
            <w:r>
              <w:t xml:space="preserve">Multi-region resolver deployment; DNS zone backup and restore; failover forwarding rules</w:t>
            </w:r>
          </w:p>
        </w:tc>
        <w:tc>
          <w:tcPr/>
          <w:p>
            <w:pPr>
              <w:pStyle w:val="Compact"/>
              <w:jc w:val="center"/>
            </w:pPr>
            <w:r>
              <w:t xml:space="preserve">Section 6.2 (High Availability), Phase 10 (zone archival to Gitea)</w:t>
            </w:r>
          </w:p>
        </w:tc>
      </w:tr>
      <w:tr>
        <w:tc>
          <w:tcPr/>
          <w:p>
            <w:pPr>
              <w:pStyle w:val="Compact"/>
            </w:pPr>
            <w:r>
              <w:rPr>
                <w:b/>
                <w:bCs/>
              </w:rPr>
              <w:t xml:space="preserve">Governance and Compliance Guide</w:t>
            </w:r>
          </w:p>
        </w:tc>
        <w:tc>
          <w:tcPr/>
          <w:p>
            <w:pPr>
              <w:pStyle w:val="Compact"/>
              <w:jc w:val="right"/>
            </w:pPr>
            <w:r>
              <w:t xml:space="preserve">Upstream — governance policy governs DNS changes</w:t>
            </w:r>
          </w:p>
        </w:tc>
        <w:tc>
          <w:tcPr/>
          <w:p>
            <w:pPr>
              <w:pStyle w:val="Compact"/>
              <w:jc w:val="left"/>
            </w:pPr>
            <w:r>
              <w:t xml:space="preserve">Change control for DNS zone migration; Azure Policy for Private DNS Zone enforcement</w:t>
            </w:r>
          </w:p>
        </w:tc>
        <w:tc>
          <w:tcPr/>
          <w:p>
            <w:pPr>
              <w:pStyle w:val="Compact"/>
              <w:jc w:val="center"/>
            </w:pPr>
            <w:r>
              <w:t xml:space="preserve">All migration phases require change control approval per governance policy</w:t>
            </w:r>
          </w:p>
        </w:tc>
      </w:tr>
      <w:tr>
        <w:tc>
          <w:tcPr/>
          <w:p>
            <w:pPr>
              <w:pStyle w:val="Compact"/>
            </w:pPr>
            <w:r>
              <w:rPr>
                <w:b/>
                <w:bCs/>
              </w:rPr>
              <w:t xml:space="preserve">Cost Management Guide</w:t>
            </w:r>
          </w:p>
        </w:tc>
        <w:tc>
          <w:tcPr/>
          <w:p>
            <w:pPr>
              <w:pStyle w:val="Compact"/>
              <w:jc w:val="right"/>
            </w:pPr>
            <w:r>
              <w:t xml:space="preserve">Downstream — DNS incurs Azure costs</w:t>
            </w:r>
          </w:p>
        </w:tc>
        <w:tc>
          <w:tcPr/>
          <w:p>
            <w:pPr>
              <w:pStyle w:val="Compact"/>
              <w:jc w:val="left"/>
            </w:pPr>
            <w:r>
              <w:t xml:space="preserve">Resolver instance costs, Private DNS Zone costs, query volume costs</w:t>
            </w:r>
          </w:p>
        </w:tc>
        <w:tc>
          <w:tcPr/>
          <w:p>
            <w:pPr>
              <w:pStyle w:val="Compact"/>
              <w:jc w:val="center"/>
            </w:pPr>
            <w:r>
              <w:t xml:space="preserve">Appendix B (Cost Calculator)</w:t>
            </w:r>
          </w:p>
        </w:tc>
      </w:tr>
    </w:tbl>
    <w:p>
      <w:pPr>
        <w:pStyle w:val="BodyText"/>
      </w:pPr>
      <w:r>
        <w:rPr>
          <w:b/>
          <w:bCs/>
        </w:rPr>
        <w:t xml:space="preserve">The Federal Modernization Program DNS Modernization Guide</w:t>
      </w:r>
      <w:r>
        <w:t xml:space="preserve"> </w:t>
      </w:r>
      <w:r>
        <w:t xml:space="preserve">— Version 1.0</w:t>
      </w:r>
    </w:p>
    <w:p>
      <w:pPr>
        <w:pStyle w:val="BodyText"/>
      </w:pPr>
      <w:r>
        <w:t xml:space="preserve">Classification: Controlled | Boundary: GCC-Moderate</w:t>
      </w:r>
    </w:p>
    <w:p>
      <w:pPr>
        <w:pStyle w:val="BodyText"/>
      </w:pPr>
      <w:r>
        <w:t xml:space="preserve">The Federal Modernization Program Canon — Infrastructure Modernization Series</w:t>
      </w:r>
    </w:p>
    <w:p>
      <w:pPr>
        <w:pStyle w:val="BodyText"/>
      </w:pPr>
      <w:r>
        <w:rPr>
          <w:b/>
          <w:bCs/>
        </w:rPr>
        <w:t xml:space="preserve">CONTROLLED — GCC-MODERATE BOUNDARY — END OF DOCUMENT</w:t>
      </w:r>
    </w:p>
    <w:bookmarkEnd w:id="563"/>
    <w:bookmarkEnd w:id="564"/>
    <w:bookmarkStart w:id="571" w:name="g.6-radius-802.1x-modernization"/>
    <w:p>
      <w:pPr>
        <w:pStyle w:val="Heading1"/>
      </w:pPr>
      <w:r>
        <w:t xml:space="preserve">G.6 — RADIUS / 802.1X Modernization</w:t>
      </w:r>
    </w:p>
    <w:bookmarkStart w:id="565" w:name="X31ebc98771e52c93abec91bc73a60c5ff5bcaaa"/>
    <w:p>
      <w:pPr>
        <w:pStyle w:val="Heading2"/>
      </w:pPr>
      <w:r>
        <w:t xml:space="preserve">Scaffold — canonical adapter declared, customer-facing guide pending</w:t>
      </w:r>
    </w:p>
    <w:p>
      <w:pPr>
        <w:pStyle w:val="FirstParagraph"/>
      </w:pPr>
      <w:r>
        <w:t xml:space="preserve">The RADIUS / NPS adapter interface is canonical at</w:t>
      </w:r>
      <w:r>
        <w:t xml:space="preserve"> </w:t>
      </w:r>
      <w:r>
        <w:t xml:space="preserve">[</w:t>
      </w:r>
      <w:r>
        <w:rPr>
          <w:rStyle w:val="VerbatimChar"/>
        </w:rPr>
        <w:t xml:space="preserve">DM_030</w:t>
      </w:r>
      <w:r>
        <w:t xml:space="preserve">].</w:t>
      </w:r>
      <w:r>
        <w:t xml:space="preserve"> </w:t>
      </w:r>
      <w:r>
        <w:t xml:space="preserve">This page is a stub that surfaces DM_030 in the customer-documents</w:t>
      </w:r>
      <w:r>
        <w:t xml:space="preserve"> </w:t>
      </w:r>
      <w:r>
        <w:t xml:space="preserve">taxonomy; the full operational guide (parallel to</w:t>
      </w:r>
      <w:r>
        <w:t xml:space="preserve"> </w:t>
      </w:r>
      <w:r>
        <w:rPr>
          <w:rStyle w:val="VerbatimChar"/>
        </w:rPr>
        <w:t xml:space="preserve">dns-modernization.qmd</w:t>
      </w:r>
      <w:r>
        <w:t xml:space="preserve">)</w:t>
      </w:r>
      <w:r>
        <w:t xml:space="preserve"> </w:t>
      </w:r>
      <w:r>
        <w:t xml:space="preserve">is pending.</w:t>
      </w:r>
    </w:p>
    <w:bookmarkEnd w:id="565"/>
    <w:bookmarkStart w:id="566" w:name="why-this-matters"/>
    <w:p>
      <w:pPr>
        <w:pStyle w:val="Heading2"/>
      </w:pPr>
      <w:r>
        <w:t xml:space="preserve">Why this matters</w:t>
      </w:r>
    </w:p>
    <w:p>
      <w:pPr>
        <w:pStyle w:val="FirstParagraph"/>
      </w:pPr>
      <w:r>
        <w:t xml:space="preserve">Windows Network Policy Server (NPS) authenticates 802.1X wired/wireless,</w:t>
      </w:r>
      <w:r>
        <w:t xml:space="preserve"> </w:t>
      </w:r>
      <w:r>
        <w:t xml:space="preserve">VPN, and dial-up connections against Active Directory groups. Every</w:t>
      </w:r>
      <w:r>
        <w:t xml:space="preserve"> </w:t>
      </w:r>
      <w:r>
        <w:t xml:space="preserve">access point, VPN concentrator, and managed switch that uses RADIUS is</w:t>
      </w:r>
      <w:r>
        <w:t xml:space="preserve"> </w:t>
      </w:r>
      <w:r>
        <w:t xml:space="preserve">an AD dependency. If NPS goes down before the replacement RADIUS is</w:t>
      </w:r>
      <w:r>
        <w:t xml:space="preserve"> </w:t>
      </w:r>
      <w:r>
        <w:t xml:space="preserve">validated, users cannot connect to the network — this is not a degraded</w:t>
      </w:r>
      <w:r>
        <w:t xml:space="preserve"> </w:t>
      </w:r>
      <w:r>
        <w:t xml:space="preserve">experience, it is a total access failure.</w:t>
      </w:r>
    </w:p>
    <w:p>
      <w:pPr>
        <w:pStyle w:val="BodyText"/>
      </w:pPr>
      <w:r>
        <w:t xml:space="preserve">DM_030 is rated</w:t>
      </w:r>
      <w:r>
        <w:t xml:space="preserve"> </w:t>
      </w:r>
      <w:r>
        <w:rPr>
          <w:b/>
          <w:bCs/>
        </w:rPr>
        <w:t xml:space="preserve">CRITICAL</w:t>
      </w:r>
      <w:r>
        <w:t xml:space="preserve"> </w:t>
      </w:r>
      <w:r>
        <w:t xml:space="preserve">in the directory-migration adapter priority</w:t>
      </w:r>
      <w:r>
        <w:t xml:space="preserve"> </w:t>
      </w:r>
      <w:r>
        <w:t xml:space="preserve">matrix for that reason; see</w:t>
      </w:r>
      <w:r>
        <w:t xml:space="preserve"> </w:t>
      </w:r>
      <w:r>
        <w:t xml:space="preserve">Directory Migration Adapters — RADIUS / Network Policy Server</w:t>
      </w:r>
      <w:r>
        <w:t xml:space="preserve"> </w:t>
      </w:r>
      <w:r>
        <w:t xml:space="preserve">for the full risk profile and migration sequence.</w:t>
      </w:r>
    </w:p>
    <w:bookmarkEnd w:id="566"/>
    <w:bookmarkStart w:id="567" w:name="registered-implementations"/>
    <w:p>
      <w:pPr>
        <w:pStyle w:val="Heading2"/>
      </w:pPr>
      <w:r>
        <w:t xml:space="preserve">Registered implementations</w:t>
      </w:r>
    </w:p>
    <w:tbl>
      <w:tblPr>
        <w:tblStyle w:val="Table"/>
        <w:tblW w:type="pct" w:w="5000"/>
        <w:tblLayout w:type="fixed"/>
        <w:tblLook w:firstRow="1" w:lastRow="0" w:firstColumn="0" w:lastColumn="0" w:noHBand="0" w:noVBand="0" w:val="0020"/>
      </w:tblPr>
      <w:tblGrid>
        <w:gridCol w:w="2143"/>
        <w:gridCol w:w="3633"/>
        <w:gridCol w:w="2143"/>
      </w:tblGrid>
      <w:tr>
        <w:trPr>
          <w:tblHeader w:val="on"/>
        </w:trPr>
        <w:tc>
          <w:tcPr/>
          <w:p>
            <w:pPr>
              <w:pStyle w:val="Compact"/>
            </w:pPr>
            <w:r>
              <w:t xml:space="preserve">Implementation</w:t>
            </w:r>
          </w:p>
        </w:tc>
        <w:tc>
          <w:tcPr/>
          <w:p>
            <w:pPr>
              <w:pStyle w:val="Compact"/>
            </w:pPr>
            <w:r>
              <w:t xml:space="preserve">Role</w:t>
            </w:r>
          </w:p>
        </w:tc>
        <w:tc>
          <w:tcPr/>
          <w:p>
            <w:pPr>
              <w:pStyle w:val="Compact"/>
            </w:pPr>
            <w:r>
              <w:t xml:space="preserve">Source</w:t>
            </w:r>
          </w:p>
        </w:tc>
      </w:tr>
      <w:tr>
        <w:tc>
          <w:tcPr/>
          <w:p>
            <w:pPr>
              <w:pStyle w:val="Compact"/>
            </w:pPr>
            <w:r>
              <w:rPr>
                <w:rStyle w:val="VerbatimChar"/>
              </w:rPr>
              <w:t xml:space="preserve">nps</w:t>
            </w:r>
          </w:p>
        </w:tc>
        <w:tc>
          <w:tcPr/>
          <w:p>
            <w:pPr>
              <w:pStyle w:val="Compact"/>
            </w:pPr>
            <w:r>
              <w:t xml:space="preserve">Migration source (Windows NPS on AD)</w:t>
            </w:r>
          </w:p>
        </w:tc>
        <w:tc>
          <w:tcPr/>
          <w:p>
            <w:pPr>
              <w:pStyle w:val="Compact"/>
            </w:pPr>
            <w:r>
              <w:t xml:space="preserve">DM_030</w:t>
            </w:r>
          </w:p>
        </w:tc>
      </w:tr>
      <w:tr>
        <w:tc>
          <w:tcPr/>
          <w:p>
            <w:pPr>
              <w:pStyle w:val="Compact"/>
            </w:pPr>
            <w:r>
              <w:rPr>
                <w:rStyle w:val="VerbatimChar"/>
              </w:rPr>
              <w:t xml:space="preserve">cisco-ise</w:t>
            </w:r>
          </w:p>
        </w:tc>
        <w:tc>
          <w:tcPr/>
          <w:p>
            <w:pPr>
              <w:pStyle w:val="Compact"/>
            </w:pPr>
            <w:r>
              <w:t xml:space="preserve">Enterprise RADIUS replacement (NAC)</w:t>
            </w:r>
          </w:p>
        </w:tc>
        <w:tc>
          <w:tcPr/>
          <w:p>
            <w:pPr>
              <w:pStyle w:val="Compact"/>
            </w:pPr>
            <w:r>
              <w:t xml:space="preserve">DM_030</w:t>
            </w:r>
          </w:p>
        </w:tc>
      </w:tr>
      <w:tr>
        <w:tc>
          <w:tcPr/>
          <w:p>
            <w:pPr>
              <w:pStyle w:val="Compact"/>
            </w:pPr>
            <w:r>
              <w:rPr>
                <w:rStyle w:val="VerbatimChar"/>
              </w:rPr>
              <w:t xml:space="preserve">aruba-clearpass</w:t>
            </w:r>
          </w:p>
        </w:tc>
        <w:tc>
          <w:tcPr/>
          <w:p>
            <w:pPr>
              <w:pStyle w:val="Compact"/>
            </w:pPr>
            <w:r>
              <w:t xml:space="preserve">Enterprise RADIUS replacement</w:t>
            </w:r>
          </w:p>
        </w:tc>
        <w:tc>
          <w:tcPr/>
          <w:p>
            <w:pPr>
              <w:pStyle w:val="Compact"/>
            </w:pPr>
            <w:r>
              <w:t xml:space="preserve">DM_030</w:t>
            </w:r>
          </w:p>
        </w:tc>
      </w:tr>
      <w:tr>
        <w:tc>
          <w:tcPr/>
          <w:p>
            <w:pPr>
              <w:pStyle w:val="Compact"/>
            </w:pPr>
            <w:r>
              <w:rPr>
                <w:rStyle w:val="VerbatimChar"/>
              </w:rPr>
              <w:t xml:space="preserve">entra-radius</w:t>
            </w:r>
          </w:p>
        </w:tc>
        <w:tc>
          <w:tcPr/>
          <w:p>
            <w:pPr>
              <w:pStyle w:val="Compact"/>
            </w:pPr>
            <w:r>
              <w:t xml:space="preserve">Cloud-native RADIUS proxy</w:t>
            </w:r>
          </w:p>
        </w:tc>
        <w:tc>
          <w:tcPr/>
          <w:p>
            <w:pPr>
              <w:pStyle w:val="Compact"/>
            </w:pPr>
            <w:r>
              <w:t xml:space="preserve">DM_030</w:t>
            </w:r>
          </w:p>
        </w:tc>
      </w:tr>
    </w:tbl>
    <w:bookmarkEnd w:id="567"/>
    <w:bookmarkStart w:id="568" w:name="related-controls"/>
    <w:p>
      <w:pPr>
        <w:pStyle w:val="Heading2"/>
      </w:pPr>
      <w:r>
        <w:t xml:space="preserve">Related controls</w:t>
      </w:r>
    </w:p>
    <w:tbl>
      <w:tblPr>
        <w:tblStyle w:val="Table"/>
        <w:tblW w:type="pct" w:w="5000"/>
        <w:tblLayout w:type="fixed"/>
        <w:tblLook w:firstRow="1" w:lastRow="0" w:firstColumn="0" w:lastColumn="0" w:noHBand="0" w:noVBand="0" w:val="0020"/>
      </w:tblPr>
      <w:tblGrid>
        <w:gridCol w:w="1745"/>
        <w:gridCol w:w="6174"/>
      </w:tblGrid>
      <w:tr>
        <w:trPr>
          <w:tblHeader w:val="on"/>
        </w:trPr>
        <w:tc>
          <w:tcPr/>
          <w:p>
            <w:pPr>
              <w:pStyle w:val="Compact"/>
            </w:pPr>
            <w:r>
              <w:t xml:space="preserve">Control</w:t>
            </w:r>
          </w:p>
        </w:tc>
        <w:tc>
          <w:tcPr/>
          <w:p>
            <w:pPr>
              <w:pStyle w:val="Compact"/>
            </w:pPr>
            <w:r>
              <w:t xml:space="preserve">Topic</w:t>
            </w:r>
          </w:p>
        </w:tc>
      </w:tr>
      <w:tr>
        <w:tc>
          <w:tcPr/>
          <w:p>
            <w:pPr>
              <w:pStyle w:val="Compact"/>
            </w:pPr>
            <w:r>
              <w:rPr>
                <w:b/>
                <w:bCs/>
              </w:rPr>
              <w:t xml:space="preserve">AC-18</w:t>
            </w:r>
          </w:p>
        </w:tc>
        <w:tc>
          <w:tcPr/>
          <w:p>
            <w:pPr>
              <w:pStyle w:val="Compact"/>
            </w:pPr>
            <w:r>
              <w:t xml:space="preserve">Wireless Access (WPA3-Enterprise / 802.1X)</w:t>
            </w:r>
          </w:p>
        </w:tc>
      </w:tr>
      <w:tr>
        <w:tc>
          <w:tcPr/>
          <w:p>
            <w:pPr>
              <w:pStyle w:val="Compact"/>
            </w:pPr>
            <w:r>
              <w:rPr>
                <w:b/>
                <w:bCs/>
              </w:rPr>
              <w:t xml:space="preserve">IA-3</w:t>
            </w:r>
          </w:p>
        </w:tc>
        <w:tc>
          <w:tcPr/>
          <w:p>
            <w:pPr>
              <w:pStyle w:val="Compact"/>
            </w:pPr>
            <w:r>
              <w:t xml:space="preserve">Device Identification and Authentication</w:t>
            </w:r>
          </w:p>
        </w:tc>
      </w:tr>
      <w:tr>
        <w:tc>
          <w:tcPr/>
          <w:p>
            <w:pPr>
              <w:pStyle w:val="Compact"/>
            </w:pPr>
            <w:r>
              <w:rPr>
                <w:b/>
                <w:bCs/>
              </w:rPr>
              <w:t xml:space="preserve">IA-5(2)</w:t>
            </w:r>
          </w:p>
        </w:tc>
        <w:tc>
          <w:tcPr/>
          <w:p>
            <w:pPr>
              <w:pStyle w:val="Compact"/>
            </w:pPr>
            <w:r>
              <w:t xml:space="preserve">Public Key-Based Authentication (cert-issuance for 802.1X)</w:t>
            </w:r>
          </w:p>
        </w:tc>
      </w:tr>
      <w:tr>
        <w:tc>
          <w:tcPr/>
          <w:p>
            <w:pPr>
              <w:pStyle w:val="Compact"/>
            </w:pPr>
            <w:r>
              <w:rPr>
                <w:b/>
                <w:bCs/>
              </w:rPr>
              <w:t xml:space="preserve">SC-7(5)</w:t>
            </w:r>
          </w:p>
        </w:tc>
        <w:tc>
          <w:tcPr/>
          <w:p>
            <w:pPr>
              <w:pStyle w:val="Compact"/>
            </w:pPr>
            <w:r>
              <w:t xml:space="preserve">Boundary Protection — Deny by Default</w:t>
            </w:r>
          </w:p>
        </w:tc>
      </w:tr>
    </w:tbl>
    <w:bookmarkEnd w:id="568"/>
    <w:bookmarkStart w:id="569" w:name="X42a1ae66eecca73218f3ef7c1fa8691a99be7c5"/>
    <w:p>
      <w:pPr>
        <w:pStyle w:val="Heading2"/>
      </w:pPr>
      <w:r>
        <w:t xml:space="preserve">What goes here when this scaffold is filled in</w:t>
      </w:r>
    </w:p>
    <w:p>
      <w:pPr>
        <w:pStyle w:val="FirstParagraph"/>
      </w:pPr>
      <w:r>
        <w:t xml:space="preserve">A complete G.6 guide will mirror the structure of</w:t>
      </w:r>
      <w:r>
        <w:t xml:space="preserve"> </w:t>
      </w:r>
      <w:r>
        <w:t xml:space="preserve">G.3 DNS Modernization:</w:t>
      </w:r>
    </w:p>
    <w:p>
      <w:pPr>
        <w:pStyle w:val="Compact"/>
        <w:numPr>
          <w:ilvl w:val="0"/>
          <w:numId w:val="1299"/>
        </w:numPr>
      </w:pPr>
      <w:r>
        <w:rPr>
          <w:b/>
          <w:bCs/>
        </w:rPr>
        <w:t xml:space="preserve">Landscape decomposition</w:t>
      </w:r>
      <w:r>
        <w:t xml:space="preserve"> </w:t>
      </w:r>
      <w:r>
        <w:t xml:space="preserve">— current NPS policies, RADIUS clients</w:t>
      </w:r>
      <w:r>
        <w:t xml:space="preserve"> </w:t>
      </w:r>
      <w:r>
        <w:t xml:space="preserve">(APs, VPN concentrators, switches), AD-group dependencies, EAP-method</w:t>
      </w:r>
      <w:r>
        <w:t xml:space="preserve"> </w:t>
      </w:r>
      <w:r>
        <w:t xml:space="preserve">inventory.</w:t>
      </w:r>
    </w:p>
    <w:p>
      <w:pPr>
        <w:pStyle w:val="Compact"/>
        <w:numPr>
          <w:ilvl w:val="0"/>
          <w:numId w:val="1299"/>
        </w:numPr>
      </w:pPr>
      <w:r>
        <w:rPr>
          <w:b/>
          <w:bCs/>
        </w:rPr>
        <w:t xml:space="preserve">Target architecture</w:t>
      </w:r>
      <w:r>
        <w:t xml:space="preserve"> </w:t>
      </w:r>
      <w:r>
        <w:t xml:space="preserve">— which workloads land on Cisco ISE, which</w:t>
      </w:r>
      <w:r>
        <w:t xml:space="preserve"> </w:t>
      </w:r>
      <w:r>
        <w:t xml:space="preserve">land on Entra RADIUS Proxy, which retire to Conditional Access /</w:t>
      </w:r>
      <w:r>
        <w:t xml:space="preserve"> </w:t>
      </w:r>
      <w:r>
        <w:t xml:space="preserve">ZTNA.</w:t>
      </w:r>
    </w:p>
    <w:p>
      <w:pPr>
        <w:pStyle w:val="Compact"/>
        <w:numPr>
          <w:ilvl w:val="0"/>
          <w:numId w:val="1299"/>
        </w:numPr>
      </w:pPr>
      <w:r>
        <w:rPr>
          <w:b/>
          <w:bCs/>
        </w:rPr>
        <w:t xml:space="preserve">Migration sequence</w:t>
      </w:r>
      <w:r>
        <w:t xml:space="preserve"> </w:t>
      </w:r>
      <w:r>
        <w:t xml:space="preserve">— parallel-run validation, cutover order,</w:t>
      </w:r>
      <w:r>
        <w:t xml:space="preserve"> </w:t>
      </w:r>
      <w:r>
        <w:t xml:space="preserve">30-day decommission window for NPS.</w:t>
      </w:r>
    </w:p>
    <w:p>
      <w:pPr>
        <w:pStyle w:val="Compact"/>
        <w:numPr>
          <w:ilvl w:val="0"/>
          <w:numId w:val="1299"/>
        </w:numPr>
      </w:pPr>
      <w:r>
        <w:rPr>
          <w:b/>
          <w:bCs/>
        </w:rPr>
        <w:t xml:space="preserve">Validation evidence</w:t>
      </w:r>
      <w:r>
        <w:t xml:space="preserve"> </w:t>
      </w:r>
      <w:r>
        <w:t xml:space="preserve">— RADIUS-trust update for SCEP-issued device</w:t>
      </w:r>
      <w:r>
        <w:t xml:space="preserve"> </w:t>
      </w:r>
      <w:r>
        <w:t xml:space="preserve">certificates (see IA-5(2)), 802.1X auth-success rates by EAP method,</w:t>
      </w:r>
      <w:r>
        <w:t xml:space="preserve"> </w:t>
      </w:r>
      <w:r>
        <w:t xml:space="preserve">AAA-source attestation.</w:t>
      </w:r>
    </w:p>
    <w:p>
      <w:pPr>
        <w:pStyle w:val="Compact"/>
        <w:numPr>
          <w:ilvl w:val="0"/>
          <w:numId w:val="1299"/>
        </w:numPr>
      </w:pPr>
      <w:r>
        <w:rPr>
          <w:b/>
          <w:bCs/>
        </w:rPr>
        <w:t xml:space="preserve">Rollback</w:t>
      </w:r>
      <w:r>
        <w:t xml:space="preserve"> </w:t>
      </w:r>
      <w:r>
        <w:t xml:space="preserve">— conditions for restoring NPS, and how to do so</w:t>
      </w:r>
      <w:r>
        <w:t xml:space="preserve"> </w:t>
      </w:r>
      <w:r>
        <w:t xml:space="preserve">without re-introducing the AD dependency.</w:t>
      </w:r>
    </w:p>
    <w:bookmarkEnd w:id="569"/>
    <w:bookmarkStart w:id="570" w:name="see-also"/>
    <w:p>
      <w:pPr>
        <w:pStyle w:val="Heading2"/>
      </w:pPr>
      <w:r>
        <w:t xml:space="preserve">See also</w:t>
      </w:r>
    </w:p>
    <w:p>
      <w:pPr>
        <w:pStyle w:val="Compact"/>
        <w:numPr>
          <w:ilvl w:val="0"/>
          <w:numId w:val="1300"/>
        </w:numPr>
      </w:pPr>
      <w:r>
        <w:t xml:space="preserve">[DM_030 RADIUS / NPS Adapter Interface]</w:t>
      </w:r>
      <w:r>
        <w:t xml:space="preserve"> </w:t>
      </w:r>
      <w:r>
        <w:t xml:space="preserve">— canonical adapter spec</w:t>
      </w:r>
    </w:p>
    <w:p>
      <w:pPr>
        <w:pStyle w:val="Compact"/>
        <w:numPr>
          <w:ilvl w:val="0"/>
          <w:numId w:val="1300"/>
        </w:numPr>
      </w:pPr>
      <w:r>
        <w:t xml:space="preserve">Directory Migration Adapters — RADIUS</w:t>
      </w:r>
      <w:r>
        <w:t xml:space="preserve"> </w:t>
      </w:r>
      <w:r>
        <w:t xml:space="preserve">— narrative view with priority matrix</w:t>
      </w:r>
    </w:p>
    <w:p>
      <w:pPr>
        <w:pStyle w:val="Compact"/>
        <w:numPr>
          <w:ilvl w:val="0"/>
          <w:numId w:val="1300"/>
        </w:numPr>
      </w:pPr>
      <w:r>
        <w:t xml:space="preserve">G. Network Transformation — index — sibling leaves</w:t>
      </w:r>
    </w:p>
    <w:bookmarkEnd w:id="570"/>
    <w:bookmarkEnd w:id="571"/>
    <w:bookmarkStart w:id="574" w:name="a.-platform-substrate"/>
    <w:p>
      <w:pPr>
        <w:pStyle w:val="Heading1"/>
      </w:pPr>
      <w:r>
        <w:t xml:space="preserve">A. Platform Substrate</w:t>
      </w:r>
    </w:p>
    <w:p>
      <w:pPr>
        <w:pStyle w:val="FirstParagraph"/>
      </w:pPr>
      <w:r>
        <w:t xml:space="preserve">The concrete infrastructure that hosts the Federal Modernization Program’s governance substrate. Every</w:t>
      </w:r>
      <w:r>
        <w:t xml:space="preserve"> </w:t>
      </w:r>
      <w:r>
        <w:t xml:space="preserve">modernization action — every analysis, plan, and delivery — runs on this</w:t>
      </w:r>
      <w:r>
        <w:t xml:space="preserve"> </w:t>
      </w:r>
      <w:r>
        <w:t xml:space="preserve">host. One Windows Server 2025 machine runs Gitea behind IIS, authenticates</w:t>
      </w:r>
      <w:r>
        <w:t xml:space="preserve"> </w:t>
      </w:r>
      <w:r>
        <w:t xml:space="preserve">against AD and Entra, enrolls in Intune + Azure Arc, and serves the canonical</w:t>
      </w:r>
      <w:r>
        <w:t xml:space="preserve"> </w:t>
      </w:r>
      <w:r>
        <w:t xml:space="preserve">monorepo.</w:t>
      </w:r>
    </w:p>
    <w:bookmarkStart w:id="572" w:name="leaves-3"/>
    <w:p>
      <w:pPr>
        <w:pStyle w:val="Heading2"/>
      </w:pPr>
      <w:r>
        <w:t xml:space="preserve">Leaves</w:t>
      </w:r>
    </w:p>
    <w:p>
      <w:pPr>
        <w:pStyle w:val="Compact"/>
        <w:numPr>
          <w:ilvl w:val="0"/>
          <w:numId w:val="1301"/>
        </w:numPr>
      </w:pPr>
      <w:r>
        <w:rPr>
          <w:b/>
          <w:bCs/>
        </w:rPr>
        <w:t xml:space="preserve">A.1</w:t>
      </w:r>
      <w:r>
        <w:t xml:space="preserve"> </w:t>
      </w:r>
      <w:r>
        <w:t xml:space="preserve">Windows Server 2025 base configuration</w:t>
      </w:r>
    </w:p>
    <w:p>
      <w:pPr>
        <w:pStyle w:val="Compact"/>
        <w:numPr>
          <w:ilvl w:val="0"/>
          <w:numId w:val="1301"/>
        </w:numPr>
      </w:pPr>
      <w:r>
        <w:rPr>
          <w:b/>
          <w:bCs/>
        </w:rPr>
        <w:t xml:space="preserve">A.2</w:t>
      </w:r>
      <w:r>
        <w:t xml:space="preserve"> </w:t>
      </w:r>
      <w:r>
        <w:t xml:space="preserve">IIS reverse proxy</w:t>
      </w:r>
    </w:p>
    <w:p>
      <w:pPr>
        <w:pStyle w:val="Compact"/>
        <w:numPr>
          <w:ilvl w:val="0"/>
          <w:numId w:val="1301"/>
        </w:numPr>
      </w:pPr>
      <w:r>
        <w:rPr>
          <w:b/>
          <w:bCs/>
        </w:rPr>
        <w:t xml:space="preserve">A.3</w:t>
      </w:r>
      <w:r>
        <w:t xml:space="preserve"> </w:t>
      </w:r>
      <w:r>
        <w:t xml:space="preserve">Gitea canonical repo host</w:t>
      </w:r>
    </w:p>
    <w:p>
      <w:pPr>
        <w:pStyle w:val="Compact"/>
        <w:numPr>
          <w:ilvl w:val="0"/>
          <w:numId w:val="1301"/>
        </w:numPr>
      </w:pPr>
      <w:r>
        <w:rPr>
          <w:b/>
          <w:bCs/>
        </w:rPr>
        <w:t xml:space="preserve">A.4</w:t>
      </w:r>
      <w:r>
        <w:t xml:space="preserve"> </w:t>
      </w:r>
      <w:r>
        <w:t xml:space="preserve">Kerberos bridge (legacy auth → modern)</w:t>
      </w:r>
    </w:p>
    <w:p>
      <w:pPr>
        <w:pStyle w:val="Compact"/>
        <w:numPr>
          <w:ilvl w:val="0"/>
          <w:numId w:val="1301"/>
        </w:numPr>
      </w:pPr>
      <w:r>
        <w:rPr>
          <w:b/>
          <w:bCs/>
        </w:rPr>
        <w:t xml:space="preserve">A.5</w:t>
      </w:r>
      <w:r>
        <w:t xml:space="preserve"> </w:t>
      </w:r>
      <w:r>
        <w:t xml:space="preserve">Enterprise PKI / ADCS</w:t>
      </w:r>
    </w:p>
    <w:p>
      <w:pPr>
        <w:pStyle w:val="Compact"/>
        <w:numPr>
          <w:ilvl w:val="0"/>
          <w:numId w:val="1301"/>
        </w:numPr>
      </w:pPr>
      <w:r>
        <w:rPr>
          <w:b/>
          <w:bCs/>
        </w:rPr>
        <w:t xml:space="preserve">A.6</w:t>
      </w:r>
      <w:r>
        <w:t xml:space="preserve"> </w:t>
      </w:r>
      <w:r>
        <w:t xml:space="preserve">TLS certificate lifecycle</w:t>
      </w:r>
    </w:p>
    <w:p>
      <w:pPr>
        <w:pStyle w:val="Compact"/>
        <w:numPr>
          <w:ilvl w:val="0"/>
          <w:numId w:val="1301"/>
        </w:numPr>
      </w:pPr>
      <w:r>
        <w:rPr>
          <w:b/>
          <w:bCs/>
        </w:rPr>
        <w:t xml:space="preserve">A.7</w:t>
      </w:r>
      <w:r>
        <w:t xml:space="preserve"> </w:t>
      </w:r>
      <w:r>
        <w:t xml:space="preserve">Backup, replication, DR</w:t>
      </w:r>
    </w:p>
    <w:p>
      <w:pPr>
        <w:pStyle w:val="Compact"/>
        <w:numPr>
          <w:ilvl w:val="0"/>
          <w:numId w:val="1301"/>
        </w:numPr>
      </w:pPr>
      <w:r>
        <w:rPr>
          <w:b/>
          <w:bCs/>
        </w:rPr>
        <w:t xml:space="preserve">A.8</w:t>
      </w:r>
      <w:r>
        <w:t xml:space="preserve"> </w:t>
      </w:r>
      <w:r>
        <w:t xml:space="preserve">Security hardening (CIS, AppLocker, WDAC)</w:t>
      </w:r>
    </w:p>
    <w:bookmarkEnd w:id="572"/>
    <w:bookmarkStart w:id="573" w:name="current-pages"/>
    <w:p>
      <w:pPr>
        <w:pStyle w:val="Heading2"/>
      </w:pPr>
      <w:r>
        <w:t xml:space="preserve">Current pages</w:t>
      </w:r>
    </w:p>
    <w:p>
      <w:pPr>
        <w:pStyle w:val="Compact"/>
        <w:numPr>
          <w:ilvl w:val="0"/>
          <w:numId w:val="1302"/>
        </w:numPr>
      </w:pPr>
      <w:r>
        <w:t xml:space="preserve">Platform Server Build Guide — 14-phase</w:t>
      </w:r>
      <w:r>
        <w:t xml:space="preserve"> </w:t>
      </w:r>
      <w:r>
        <w:t xml:space="preserve">canonical runbook (WS2025 + IIS + Gitea + Intune + Arc).</w:t>
      </w:r>
      <w:r>
        <w:t xml:space="preserve"> </w:t>
      </w:r>
      <w:r>
        <w:rPr>
          <w:i/>
          <w:iCs/>
        </w:rPr>
        <w:t xml:space="preserve">Will re-home to this sub-category in Phase 3 of migration.</w:t>
      </w:r>
    </w:p>
    <w:p>
      <w:pPr>
        <w:pStyle w:val="FirstParagraph"/>
      </w:pPr>
      <w:r>
        <w:rPr>
          <w:b/>
          <w:bCs/>
        </w:rPr>
        <w:t xml:space="preserve">Scaffold</w:t>
      </w:r>
    </w:p>
    <w:p>
      <w:pPr>
        <w:pStyle w:val="BodyText"/>
      </w:pPr>
      <w:r>
        <w:t xml:space="preserve">Remaining leaves are authoring backlog. See the internal taxonomy</w:t>
      </w:r>
      <w:r>
        <w:t xml:space="preserve"> </w:t>
      </w:r>
      <w:r>
        <w:t xml:space="preserve">working doc (§3) for source-of-truth mapping.</w:t>
      </w:r>
    </w:p>
    <w:bookmarkEnd w:id="573"/>
    <w:bookmarkEnd w:id="574"/>
    <w:bookmarkStart w:id="576" w:name="h.-program-management"/>
    <w:p>
      <w:pPr>
        <w:pStyle w:val="Heading1"/>
      </w:pPr>
      <w:r>
        <w:t xml:space="preserve">H. Program Management</w:t>
      </w:r>
    </w:p>
    <w:p>
      <w:pPr>
        <w:pStyle w:val="FirstParagraph"/>
      </w:pPr>
      <w:r>
        <w:t xml:space="preserve">The program-level artifacts that govern modernization execution at the</w:t>
      </w:r>
      <w:r>
        <w:t xml:space="preserve"> </w:t>
      </w:r>
      <w:r>
        <w:t xml:space="preserve">organization scale: the capstone plan, the phased roadmap, the</w:t>
      </w:r>
      <w:r>
        <w:t xml:space="preserve"> </w:t>
      </w:r>
      <w:r>
        <w:t xml:space="preserve">architecture decision log, change-management integration, and end-user</w:t>
      </w:r>
      <w:r>
        <w:t xml:space="preserve"> </w:t>
      </w:r>
      <w:r>
        <w:t xml:space="preserve">enablement.</w:t>
      </w:r>
    </w:p>
    <w:bookmarkStart w:id="575" w:name="leaves-4"/>
    <w:p>
      <w:pPr>
        <w:pStyle w:val="Heading2"/>
      </w:pPr>
      <w:r>
        <w:t xml:space="preserve">Leaves</w:t>
      </w:r>
    </w:p>
    <w:p>
      <w:pPr>
        <w:pStyle w:val="Compact"/>
        <w:numPr>
          <w:ilvl w:val="0"/>
          <w:numId w:val="1303"/>
        </w:numPr>
      </w:pPr>
      <w:r>
        <w:rPr>
          <w:b/>
          <w:bCs/>
        </w:rPr>
        <w:t xml:space="preserve">H.1</w:t>
      </w:r>
      <w:r>
        <w:t xml:space="preserve"> </w:t>
      </w:r>
      <w:r>
        <w:t xml:space="preserve">Master Project Plan (capstone)</w:t>
      </w:r>
    </w:p>
    <w:p>
      <w:pPr>
        <w:pStyle w:val="Compact"/>
        <w:numPr>
          <w:ilvl w:val="0"/>
          <w:numId w:val="1303"/>
        </w:numPr>
      </w:pPr>
      <w:r>
        <w:rPr>
          <w:b/>
          <w:bCs/>
        </w:rPr>
        <w:t xml:space="preserve">H.2</w:t>
      </w:r>
      <w:r>
        <w:t xml:space="preserve"> </w:t>
      </w:r>
      <w:r>
        <w:t xml:space="preserve">Migration Roadmap</w:t>
      </w:r>
    </w:p>
    <w:p>
      <w:pPr>
        <w:pStyle w:val="Compact"/>
        <w:numPr>
          <w:ilvl w:val="0"/>
          <w:numId w:val="1303"/>
        </w:numPr>
      </w:pPr>
      <w:r>
        <w:rPr>
          <w:b/>
          <w:bCs/>
        </w:rPr>
        <w:t xml:space="preserve">H.3</w:t>
      </w:r>
      <w:r>
        <w:t xml:space="preserve"> </w:t>
      </w:r>
      <w:r>
        <w:t xml:space="preserve">Architecture Decision Records (ADRs)</w:t>
      </w:r>
    </w:p>
    <w:p>
      <w:pPr>
        <w:pStyle w:val="Compact"/>
        <w:numPr>
          <w:ilvl w:val="0"/>
          <w:numId w:val="1303"/>
        </w:numPr>
      </w:pPr>
      <w:r>
        <w:rPr>
          <w:b/>
          <w:bCs/>
        </w:rPr>
        <w:t xml:space="preserve">H.4</w:t>
      </w:r>
      <w:r>
        <w:t xml:space="preserve"> </w:t>
      </w:r>
      <w:r>
        <w:t xml:space="preserve">ServiceNow change / incident integration — adapter</w:t>
      </w:r>
    </w:p>
    <w:p>
      <w:pPr>
        <w:pStyle w:val="Compact"/>
        <w:numPr>
          <w:ilvl w:val="0"/>
          <w:numId w:val="1303"/>
        </w:numPr>
      </w:pPr>
      <w:r>
        <w:rPr>
          <w:b/>
          <w:bCs/>
        </w:rPr>
        <w:t xml:space="preserve">H.5</w:t>
      </w:r>
      <w:r>
        <w:t xml:space="preserve"> </w:t>
      </w:r>
      <w:r>
        <w:t xml:space="preserve">SAM (software asset management)</w:t>
      </w:r>
    </w:p>
    <w:p>
      <w:pPr>
        <w:pStyle w:val="Compact"/>
        <w:numPr>
          <w:ilvl w:val="0"/>
          <w:numId w:val="1303"/>
        </w:numPr>
      </w:pPr>
      <w:r>
        <w:rPr>
          <w:b/>
          <w:bCs/>
        </w:rPr>
        <w:t xml:space="preserve">H.6</w:t>
      </w:r>
      <w:r>
        <w:t xml:space="preserve"> </w:t>
      </w:r>
      <w:r>
        <w:t xml:space="preserve">End-user training</w:t>
      </w:r>
    </w:p>
    <w:bookmarkEnd w:id="575"/>
    <w:bookmarkEnd w:id="576"/>
    <w:bookmarkStart w:id="580" w:name="Xdc3cb6d2f3f329b9e1c7314f9a1f00cfa6d3421"/>
    <w:p>
      <w:pPr>
        <w:pStyle w:val="Heading1"/>
      </w:pPr>
      <w:r>
        <w:t xml:space="preserve">The Federal Modernization Program Master Project Plan</w:t>
      </w:r>
    </w:p>
    <w:p>
      <w:pPr>
        <w:pStyle w:val="FirstParagraph"/>
      </w:pPr>
      <w:r>
        <w:t xml:space="preserve">The Federal Modernization Program Master Project Plan</w:t>
      </w:r>
    </w:p>
    <w:p>
      <w:pPr>
        <w:pStyle w:val="BodyText"/>
      </w:pPr>
      <w:r>
        <w:rPr>
          <w:b/>
          <w:bCs/>
        </w:rPr>
        <w:t xml:space="preserve">Assessment Phase Through Full Modernization</w:t>
      </w:r>
    </w:p>
    <w:p>
      <w:pPr>
        <w:pStyle w:val="BodyText"/>
      </w:pPr>
      <w:r>
        <w:t xml:space="preserve">The Federal Modernization Program — Capstone Planning Document</w:t>
      </w:r>
    </w:p>
    <w:tbl>
      <w:tblPr>
        <w:tblStyle w:val="Table"/>
        <w:tblW w:type="pct" w:w="4097"/>
        <w:tblLayout w:type="fixed"/>
        <w:tblLook w:firstRow="1" w:lastRow="0" w:firstColumn="0" w:lastColumn="0" w:noHBand="0" w:noVBand="0" w:val="0020"/>
      </w:tblPr>
      <w:tblGrid>
        <w:gridCol w:w="2420"/>
        <w:gridCol w:w="4069"/>
      </w:tblGrid>
      <w:tr>
        <w:trPr>
          <w:tblHeader w:val="on"/>
        </w:trPr>
        <w:tc>
          <w:tcPr/>
          <w:p>
            <w:pPr>
              <w:pStyle w:val="Compact"/>
              <w:jc w:val="left"/>
            </w:pPr>
            <w:r>
              <w:rPr>
                <w:b/>
                <w:bCs/>
              </w:rPr>
              <w:t xml:space="preserve">Document ID:</w:t>
            </w:r>
          </w:p>
        </w:tc>
        <w:tc>
          <w:tcPr/>
          <w:p>
            <w:pPr>
              <w:pStyle w:val="Compact"/>
              <w:jc w:val="left"/>
            </w:pPr>
            <w:r>
              <w:t xml:space="preserve">FMP_013_Master_Project_Plan_v1.0</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Repository:</w:t>
            </w:r>
          </w:p>
        </w:tc>
        <w:tc>
          <w:tcPr/>
          <w:p>
            <w:pPr>
              <w:pStyle w:val="Compact"/>
              <w:jc w:val="left"/>
            </w:pPr>
            <w:r>
              <w:t xml:space="preserve">https://github.com/WhalerMike/modernization-workbook</w:t>
            </w:r>
          </w:p>
        </w:tc>
      </w:tr>
      <w:tr>
        <w:tc>
          <w:tcPr/>
          <w:p>
            <w:pPr>
              <w:pStyle w:val="Compact"/>
              <w:jc w:val="left"/>
            </w:pPr>
            <w:r>
              <w:rPr>
                <w:b/>
                <w:bCs/>
              </w:rPr>
              <w:t xml:space="preserve">Author:</w:t>
            </w:r>
          </w:p>
        </w:tc>
        <w:tc>
          <w:tcPr/>
          <w:p>
            <w:pPr>
              <w:pStyle w:val="Compact"/>
              <w:jc w:val="left"/>
            </w:pPr>
            <w:r>
              <w:t xml:space="preserve">Michael — Canon Steward</w:t>
            </w:r>
          </w:p>
        </w:tc>
      </w:tr>
      <w:tr>
        <w:tc>
          <w:tcPr/>
          <w:p>
            <w:pPr>
              <w:pStyle w:val="Compact"/>
              <w:jc w:val="left"/>
            </w:pPr>
            <w:r>
              <w:rPr>
                <w:b/>
                <w:bCs/>
              </w:rPr>
              <w:t xml:space="preserve">Date:</w:t>
            </w:r>
          </w:p>
        </w:tc>
        <w:tc>
          <w:tcPr/>
          <w:p>
            <w:pPr>
              <w:pStyle w:val="Compact"/>
              <w:jc w:val="left"/>
            </w:pPr>
            <w:r>
              <w:t xml:space="preserve">21 April 2026</w:t>
            </w:r>
          </w:p>
        </w:tc>
      </w:tr>
      <w:tr>
        <w:tc>
          <w:tcPr/>
          <w:p>
            <w:pPr>
              <w:pStyle w:val="Compact"/>
              <w:jc w:val="left"/>
            </w:pPr>
            <w:r>
              <w:rPr>
                <w:b/>
                <w:bCs/>
              </w:rPr>
              <w:t xml:space="preserve">Status:</w:t>
            </w:r>
          </w:p>
        </w:tc>
        <w:tc>
          <w:tcPr/>
          <w:p>
            <w:pPr>
              <w:pStyle w:val="Compact"/>
              <w:jc w:val="left"/>
            </w:pPr>
            <w:r>
              <w:t xml:space="preserve">DRAFT</w:t>
            </w:r>
          </w:p>
        </w:tc>
      </w:tr>
    </w:tbl>
    <w:p/>
    <w:tbl>
      <w:tblPr>
        <w:tblStyle w:val="Table"/>
        <w:tblW w:type="pct" w:w="5038"/>
        <w:tblLayout w:type="fixed"/>
        <w:tblLook w:firstRow="0" w:lastRow="0" w:firstColumn="0" w:lastColumn="0" w:noHBand="0" w:noVBand="0" w:val="0000"/>
      </w:tblPr>
      <w:tblGrid>
        <w:gridCol w:w="7980"/>
      </w:tblGrid>
      <w:tr>
        <w:tc>
          <w:tcPr/>
          <w:p>
            <w:pPr>
              <w:pStyle w:val="Compact"/>
            </w:pPr>
            <w:r>
              <w:rPr>
                <w:b/>
                <w:bCs/>
              </w:rPr>
              <w:t xml:space="preserve">Companion Document Corpus</w:t>
            </w:r>
            <w:r>
              <w:t xml:space="preserve"> </w:t>
            </w:r>
            <w:r>
              <w:t xml:space="preserve">|</w:t>
            </w:r>
            <w:r>
              <w:t xml:space="preserve"> </w:t>
            </w:r>
            <w:r>
              <w:t xml:space="preserve">|</w:t>
            </w:r>
            <w:r>
              <w:t xml:space="preserve"> </w:t>
            </w:r>
            <w:r>
              <w:t xml:space="preserve">This Master Project Plan references and unifies the following twelve the Federal Modernization Program documents produced to date:</w:t>
            </w:r>
            <w:r>
              <w:t xml:space="preserve"> </w:t>
            </w:r>
            <w:r>
              <w:t xml:space="preserve">|</w:t>
            </w:r>
            <w:r>
              <w:t xml:space="preserve"> </w:t>
            </w:r>
            <w:r>
              <w:t xml:space="preserve">&gt; 1. AD Computer Object Conversion Guide |</w:t>
            </w:r>
            <w:r>
              <w:t xml:space="preserve"> </w:t>
            </w:r>
            <w:r>
              <w:t xml:space="preserve">&gt; |</w:t>
            </w:r>
            <w:r>
              <w:t xml:space="preserve"> </w:t>
            </w:r>
            <w:r>
              <w:t xml:space="preserve">&gt; 2. Git on Windows Server 2025 with IIS — Step-by-Step Implementation Guide |</w:t>
            </w:r>
            <w:r>
              <w:t xml:space="preserve"> </w:t>
            </w:r>
            <w:r>
              <w:t xml:space="preserve">&gt; |</w:t>
            </w:r>
            <w:r>
              <w:t xml:space="preserve"> </w:t>
            </w:r>
            <w:r>
              <w:t xml:space="preserve">&gt; 3. The Federal Modernization Program Git Server — Windows Server 2025 with IIS Implementation Guide</w:t>
            </w:r>
            <w:r>
              <w:t xml:space="preserve"> </w:t>
            </w:r>
            <w:r>
              <w:t xml:space="preserve">&gt; |</w:t>
            </w:r>
            <w:r>
              <w:t xml:space="preserve"> </w:t>
            </w:r>
            <w:r>
              <w:t xml:space="preserve">&gt; 4. The Federal Modernization Program Git Infrastructure — Architecture Decision Record</w:t>
            </w:r>
            <w:r>
              <w:t xml:space="preserve"> </w:t>
            </w:r>
            <w:r>
              <w:t xml:space="preserve">&gt; |</w:t>
            </w:r>
            <w:r>
              <w:t xml:space="preserve"> </w:t>
            </w:r>
            <w:r>
              <w:t xml:space="preserve">&gt; 5. The Federal Modernization Program Platform Server Build Guide — Windows Server 2025 with Gitea and IIS</w:t>
            </w:r>
            <w:r>
              <w:t xml:space="preserve"> </w:t>
            </w:r>
            <w:r>
              <w:t xml:space="preserve">&gt; |</w:t>
            </w:r>
            <w:r>
              <w:t xml:space="preserve"> </w:t>
            </w:r>
            <w:r>
              <w:t xml:space="preserve">&gt; 6. The Federal Modernization Program CLI and Operations Guide</w:t>
            </w:r>
            <w:r>
              <w:t xml:space="preserve"> </w:t>
            </w:r>
            <w:r>
              <w:t xml:space="preserve">&gt; |</w:t>
            </w:r>
            <w:r>
              <w:t xml:space="preserve"> </w:t>
            </w:r>
            <w:r>
              <w:t xml:space="preserve">&gt; 7. The Federal Modernization Program Active Directory Interaction Guide</w:t>
            </w:r>
            <w:r>
              <w:t xml:space="preserve"> </w:t>
            </w:r>
            <w:r>
              <w:t xml:space="preserve">&gt; |</w:t>
            </w:r>
            <w:r>
              <w:t xml:space="preserve"> </w:t>
            </w:r>
            <w:r>
              <w:t xml:space="preserve">&gt; 8. The Federal Modernization Program Identity Modernization Guide</w:t>
            </w:r>
            <w:r>
              <w:t xml:space="preserve"> </w:t>
            </w:r>
            <w:r>
              <w:t xml:space="preserve">&gt; |</w:t>
            </w:r>
            <w:r>
              <w:t xml:space="preserve"> </w:t>
            </w:r>
            <w:r>
              <w:t xml:space="preserve">&gt; 9. The Federal Modernization Program DNS Modernization Guide</w:t>
            </w:r>
            <w:r>
              <w:t xml:space="preserve"> </w:t>
            </w:r>
            <w:r>
              <w:t xml:space="preserve">&gt; |</w:t>
            </w:r>
            <w:r>
              <w:t xml:space="preserve"> </w:t>
            </w:r>
            <w:r>
              <w:t xml:space="preserve">&gt; 10. The Federal Modernization Program Read-Only AD Assessment Guide</w:t>
            </w:r>
            <w:r>
              <w:t xml:space="preserve"> </w:t>
            </w:r>
            <w:r>
              <w:t xml:space="preserve">&gt; |</w:t>
            </w:r>
            <w:r>
              <w:t xml:space="preserve"> </w:t>
            </w:r>
            <w:r>
              <w:t xml:space="preserve">&gt; 11. The Federal Modernization Program vs Microsoft Native Tools — Gap Analysis</w:t>
            </w:r>
            <w:r>
              <w:t xml:space="preserve"> </w:t>
            </w:r>
            <w:r>
              <w:t xml:space="preserve">&gt; |</w:t>
            </w:r>
            <w:r>
              <w:t xml:space="preserve"> </w:t>
            </w:r>
            <w:r>
              <w:t xml:space="preserve">&gt; 12. The Federal Modernization Program PKI Modernization Guide</w:t>
            </w:r>
          </w:p>
        </w:tc>
      </w:tr>
    </w:tbl>
    <w:p>
      <w:pPr>
        <w:pStyle w:val="BodyText"/>
      </w:pPr>
      <w:r>
        <w:t xml:space="preserve">1. Executive Summary</w:t>
      </w:r>
    </w:p>
    <w:p>
      <w:pPr>
        <w:pStyle w:val="BodyText"/>
      </w:pPr>
      <w:r>
        <w:t xml:space="preserve">The Federal Modernization Program Modernization Program transforms legacy Active Directory infrastructure into a cloud-native, governance-driven, drift-resistant operating model. The program spans five transformation pillars —</w:t>
      </w:r>
      <w:r>
        <w:t xml:space="preserve"> </w:t>
      </w:r>
      <w:r>
        <w:rPr>
          <w:b/>
          <w:bCs/>
        </w:rPr>
        <w:t xml:space="preserve">Identity</w:t>
      </w:r>
      <w:r>
        <w:t xml:space="preserve">,</w:t>
      </w:r>
      <w:r>
        <w:t xml:space="preserve"> </w:t>
      </w:r>
      <w:r>
        <w:rPr>
          <w:b/>
          <w:bCs/>
        </w:rPr>
        <w:t xml:space="preserve">Devices</w:t>
      </w:r>
      <w:r>
        <w:t xml:space="preserve">,</w:t>
      </w:r>
      <w:r>
        <w:t xml:space="preserve"> </w:t>
      </w:r>
      <w:r>
        <w:rPr>
          <w:b/>
          <w:bCs/>
        </w:rPr>
        <w:t xml:space="preserve">DNS</w:t>
      </w:r>
      <w:r>
        <w:t xml:space="preserve">,</w:t>
      </w:r>
      <w:r>
        <w:t xml:space="preserve"> </w:t>
      </w:r>
      <w:r>
        <w:rPr>
          <w:b/>
          <w:bCs/>
        </w:rPr>
        <w:t xml:space="preserve">PKI</w:t>
      </w:r>
      <w:r>
        <w:t xml:space="preserve">, and</w:t>
      </w:r>
      <w:r>
        <w:t xml:space="preserve"> </w:t>
      </w:r>
      <w:r>
        <w:rPr>
          <w:b/>
          <w:bCs/>
        </w:rPr>
        <w:t xml:space="preserve">Server Management</w:t>
      </w:r>
      <w:r>
        <w:t xml:space="preserve"> </w:t>
      </w:r>
      <w:r>
        <w:t xml:space="preserve">— and replaces fragile, GUI-configured infrastructure with machine-readable canonical artifacts managed through the Federal Modernization Program pipeline backed by Gitea on Windows Server 2025.</w:t>
      </w:r>
    </w:p>
    <w:p>
      <w:pPr>
        <w:pStyle w:val="BodyText"/>
      </w:pPr>
      <w:r>
        <w:t xml:space="preserve">This Master Project Plan is the capstone planning document for the Federal Modernization Program corpus. It defines the full lifecycle from initial assessment through steady-state governance, organized into</w:t>
      </w:r>
      <w:r>
        <w:t xml:space="preserve"> </w:t>
      </w:r>
      <w:r>
        <w:rPr>
          <w:b/>
          <w:bCs/>
        </w:rPr>
        <w:t xml:space="preserve">seven phases</w:t>
      </w:r>
      <w:r>
        <w:t xml:space="preserve"> </w:t>
      </w:r>
      <w:r>
        <w:t xml:space="preserve">with</w:t>
      </w:r>
      <w:r>
        <w:t xml:space="preserve"> </w:t>
      </w:r>
      <w:r>
        <w:rPr>
          <w:b/>
          <w:bCs/>
        </w:rPr>
        <w:t xml:space="preserve">48 milestones</w:t>
      </w:r>
      <w:r>
        <w:t xml:space="preserve"> </w:t>
      </w:r>
      <w:r>
        <w:t xml:space="preserve">across a</w:t>
      </w:r>
      <w:r>
        <w:t xml:space="preserve"> </w:t>
      </w:r>
      <w:r>
        <w:rPr>
          <w:b/>
          <w:bCs/>
        </w:rPr>
        <w:t xml:space="preserve">52-week execution timeline</w:t>
      </w:r>
      <w:r>
        <w:t xml:space="preserve">. Every phase is milestone-gated: no phase transition occurs without formal review, documented approval, and artifact commitment to the Federal Modernization Program Gitea repository.</w:t>
      </w:r>
    </w:p>
    <w:p>
      <w:pPr>
        <w:pStyle w:val="BodyText"/>
      </w:pPr>
      <w:r>
        <w:t xml:space="preserve">The plan is structured around one central principle: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Core Principle: Assessment Before Action</w:t>
            </w:r>
            <w:r>
              <w:t xml:space="preserve"> </w:t>
            </w:r>
            <w:r>
              <w:t xml:space="preserve">|</w:t>
            </w:r>
            <w:r>
              <w:t xml:space="preserve"> </w:t>
            </w:r>
            <w:r>
              <w:t xml:space="preserve">|</w:t>
            </w:r>
            <w:r>
              <w:t xml:space="preserve"> </w:t>
            </w:r>
            <w:r>
              <w:t xml:space="preserve">No migration activity begins until the complete Active Directory forest has been inventoried, classified, and committed to the Federal Modernization Program Gitea governance pipeline as machine-readable canonical artifacts. Every modernization plan — computer, identity, GPO, DNS, PKI — is generated</w:t>
            </w:r>
            <w:r>
              <w:t xml:space="preserve"> </w:t>
            </w:r>
            <w:r>
              <w:rPr>
                <w:i/>
                <w:iCs/>
              </w:rPr>
              <w:t xml:space="preserve">from</w:t>
            </w:r>
            <w:r>
              <w:t xml:space="preserve"> </w:t>
            </w:r>
            <w:r>
              <w:t xml:space="preserve">assessment data, not designed in isolation. The assessment phase produces every planning artifact that drives all subsequent phases.</w:t>
            </w:r>
          </w:p>
        </w:tc>
      </w:tr>
    </w:tbl>
    <w:p>
      <w:pPr>
        <w:pStyle w:val="BodyText"/>
      </w:pPr>
      <w:r>
        <w:rPr>
          <w:b/>
          <w:bCs/>
        </w:rPr>
        <w:t xml:space="preserve">Phase 1 (Assessment) is the most detailed phase in this document</w:t>
      </w:r>
      <w:r>
        <w:t xml:space="preserve"> </w:t>
      </w:r>
      <w:r>
        <w:t xml:space="preserve">because it produces every planning artifact that drives all subsequent phases. The assessment generates 23 canonical deliverables spanning 12 AD domains. These deliverables feed eight modernization plans that define the exact scope, sequence, and success criteria for every action taken in Phases 2 through 6. Without a complete, committed, and approved assessment, the program cannot proceed.</w:t>
      </w:r>
    </w:p>
    <w:p>
      <w:pPr>
        <w:pStyle w:val="BodyText"/>
      </w:pPr>
      <w:r>
        <w:t xml:space="preserve">The program draws its technical procedures, architectural decisions, and governance model from the twelve companion documents listed above. This plan does not replicate their content; it sequences their execution, assigns ownership, defines milestones, and provides the governance framework that ensures coordinated, traceable, and reversible modernization.</w:t>
      </w:r>
    </w:p>
    <w:p>
      <w:pPr>
        <w:pStyle w:val="BodyText"/>
      </w:pPr>
      <w:r>
        <w:t xml:space="preserve">Program Timeline Summary</w:t>
      </w:r>
    </w:p>
    <w:tbl>
      <w:tblPr>
        <w:tblStyle w:val="Table"/>
        <w:tblW w:type="pct" w:w="4907"/>
        <w:tblLayout w:type="fixed"/>
        <w:tblLook w:firstRow="1" w:lastRow="0" w:firstColumn="0" w:lastColumn="0" w:noHBand="0" w:noVBand="0" w:val="0020"/>
      </w:tblPr>
      <w:tblGrid>
        <w:gridCol w:w="880"/>
        <w:gridCol w:w="1466"/>
        <w:gridCol w:w="1100"/>
        <w:gridCol w:w="880"/>
        <w:gridCol w:w="3446"/>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Duration</w:t>
            </w:r>
          </w:p>
        </w:tc>
        <w:tc>
          <w:tcPr/>
          <w:p>
            <w:pPr>
              <w:pStyle w:val="Compact"/>
              <w:jc w:val="left"/>
            </w:pPr>
            <w:r>
              <w:rPr>
                <w:b/>
                <w:bCs/>
              </w:rPr>
              <w:t xml:space="preserve">Weeks</w:t>
            </w:r>
          </w:p>
        </w:tc>
        <w:tc>
          <w:tcPr/>
          <w:p>
            <w:pPr>
              <w:pStyle w:val="Compact"/>
              <w:jc w:val="left"/>
            </w:pPr>
            <w:r>
              <w:rPr>
                <w:b/>
                <w:bCs/>
              </w:rPr>
              <w:t xml:space="preserve">Key Milestone</w:t>
            </w:r>
          </w:p>
        </w:tc>
      </w:tr>
      <w:tr>
        <w:tc>
          <w:tcPr/>
          <w:p>
            <w:pPr>
              <w:pStyle w:val="Compact"/>
              <w:jc w:val="left"/>
            </w:pPr>
            <w:r>
              <w:rPr>
                <w:b/>
                <w:bCs/>
              </w:rPr>
              <w:t xml:space="preserve">0</w:t>
            </w:r>
          </w:p>
        </w:tc>
        <w:tc>
          <w:tcPr/>
          <w:p>
            <w:pPr>
              <w:pStyle w:val="Compact"/>
              <w:jc w:val="left"/>
            </w:pPr>
            <w:r>
              <w:t xml:space="preserve">Platform Build</w:t>
            </w:r>
          </w:p>
        </w:tc>
        <w:tc>
          <w:tcPr/>
          <w:p>
            <w:pPr>
              <w:pStyle w:val="Compact"/>
              <w:jc w:val="left"/>
            </w:pPr>
            <w:r>
              <w:t xml:space="preserve">3 weeks</w:t>
            </w:r>
          </w:p>
        </w:tc>
        <w:tc>
          <w:tcPr/>
          <w:p>
            <w:pPr>
              <w:pStyle w:val="Compact"/>
              <w:jc w:val="left"/>
            </w:pPr>
            <w:r>
              <w:t xml:space="preserve">1–3</w:t>
            </w:r>
          </w:p>
        </w:tc>
        <w:tc>
          <w:tcPr/>
          <w:p>
            <w:pPr>
              <w:pStyle w:val="Compact"/>
              <w:jc w:val="left"/>
            </w:pPr>
            <w:r>
              <w:t xml:space="preserve">the Federal Modernization Program Gitea server operational</w:t>
            </w:r>
          </w:p>
        </w:tc>
      </w:tr>
      <w:tr>
        <w:tc>
          <w:tcPr/>
          <w:p>
            <w:pPr>
              <w:pStyle w:val="Compact"/>
              <w:jc w:val="left"/>
            </w:pPr>
            <w:r>
              <w:rPr>
                <w:b/>
                <w:bCs/>
              </w:rPr>
              <w:t xml:space="preserve">1</w:t>
            </w:r>
          </w:p>
        </w:tc>
        <w:tc>
          <w:tcPr/>
          <w:p>
            <w:pPr>
              <w:pStyle w:val="Compact"/>
              <w:jc w:val="left"/>
            </w:pPr>
            <w:r>
              <w:t xml:space="preserve">Assessment</w:t>
            </w:r>
          </w:p>
        </w:tc>
        <w:tc>
          <w:tcPr/>
          <w:p>
            <w:pPr>
              <w:pStyle w:val="Compact"/>
              <w:jc w:val="left"/>
            </w:pPr>
            <w:r>
              <w:t xml:space="preserve">6 weeks</w:t>
            </w:r>
          </w:p>
        </w:tc>
        <w:tc>
          <w:tcPr/>
          <w:p>
            <w:pPr>
              <w:pStyle w:val="Compact"/>
              <w:jc w:val="left"/>
            </w:pPr>
            <w:r>
              <w:t xml:space="preserve">4–9</w:t>
            </w:r>
          </w:p>
        </w:tc>
        <w:tc>
          <w:tcPr/>
          <w:p>
            <w:pPr>
              <w:pStyle w:val="Compact"/>
              <w:jc w:val="left"/>
            </w:pPr>
            <w:r>
              <w:t xml:space="preserve">Full AD forest assessment committed to Gitea</w:t>
            </w:r>
          </w:p>
        </w:tc>
      </w:tr>
      <w:tr>
        <w:tc>
          <w:tcPr/>
          <w:p>
            <w:pPr>
              <w:pStyle w:val="Compact"/>
              <w:jc w:val="left"/>
            </w:pPr>
            <w:r>
              <w:rPr>
                <w:b/>
                <w:bCs/>
              </w:rPr>
              <w:t xml:space="preserve">2</w:t>
            </w:r>
          </w:p>
        </w:tc>
        <w:tc>
          <w:tcPr/>
          <w:p>
            <w:pPr>
              <w:pStyle w:val="Compact"/>
              <w:jc w:val="left"/>
            </w:pPr>
            <w:r>
              <w:t xml:space="preserve">Planning &amp; Design</w:t>
            </w:r>
          </w:p>
        </w:tc>
        <w:tc>
          <w:tcPr/>
          <w:p>
            <w:pPr>
              <w:pStyle w:val="Compact"/>
              <w:jc w:val="left"/>
            </w:pPr>
            <w:r>
              <w:t xml:space="preserve">4 weeks</w:t>
            </w:r>
          </w:p>
        </w:tc>
        <w:tc>
          <w:tcPr/>
          <w:p>
            <w:pPr>
              <w:pStyle w:val="Compact"/>
              <w:jc w:val="left"/>
            </w:pPr>
            <w:r>
              <w:t xml:space="preserve">10–13</w:t>
            </w:r>
          </w:p>
        </w:tc>
        <w:tc>
          <w:tcPr/>
          <w:p>
            <w:pPr>
              <w:pStyle w:val="Compact"/>
              <w:jc w:val="left"/>
            </w:pPr>
            <w:r>
              <w:t xml:space="preserve">All modernization plans approved</w:t>
            </w:r>
          </w:p>
        </w:tc>
      </w:tr>
      <w:tr>
        <w:tc>
          <w:tcPr/>
          <w:p>
            <w:pPr>
              <w:pStyle w:val="Compact"/>
              <w:jc w:val="left"/>
            </w:pPr>
            <w:r>
              <w:rPr>
                <w:b/>
                <w:bCs/>
              </w:rPr>
              <w:t xml:space="preserve">3</w:t>
            </w:r>
          </w:p>
        </w:tc>
        <w:tc>
          <w:tcPr/>
          <w:p>
            <w:pPr>
              <w:pStyle w:val="Compact"/>
              <w:jc w:val="left"/>
            </w:pPr>
            <w:r>
              <w:t xml:space="preserve">Pilot</w:t>
            </w:r>
          </w:p>
        </w:tc>
        <w:tc>
          <w:tcPr/>
          <w:p>
            <w:pPr>
              <w:pStyle w:val="Compact"/>
              <w:jc w:val="left"/>
            </w:pPr>
            <w:r>
              <w:t xml:space="preserve">8 weeks</w:t>
            </w:r>
          </w:p>
        </w:tc>
        <w:tc>
          <w:tcPr/>
          <w:p>
            <w:pPr>
              <w:pStyle w:val="Compact"/>
              <w:jc w:val="left"/>
            </w:pPr>
            <w:r>
              <w:t xml:space="preserve">14–21</w:t>
            </w:r>
          </w:p>
        </w:tc>
        <w:tc>
          <w:tcPr/>
          <w:p>
            <w:pPr>
              <w:pStyle w:val="Compact"/>
              <w:jc w:val="left"/>
            </w:pPr>
            <w:r>
              <w:t xml:space="preserve">Pilot group validated on all five pillars</w:t>
            </w:r>
          </w:p>
        </w:tc>
      </w:tr>
      <w:tr>
        <w:tc>
          <w:tcPr/>
          <w:p>
            <w:pPr>
              <w:pStyle w:val="Compact"/>
              <w:jc w:val="left"/>
            </w:pPr>
            <w:r>
              <w:rPr>
                <w:b/>
                <w:bCs/>
              </w:rPr>
              <w:t xml:space="preserve">4</w:t>
            </w:r>
          </w:p>
        </w:tc>
        <w:tc>
          <w:tcPr/>
          <w:p>
            <w:pPr>
              <w:pStyle w:val="Compact"/>
              <w:jc w:val="left"/>
            </w:pPr>
            <w:r>
              <w:t xml:space="preserve">Scale</w:t>
            </w:r>
          </w:p>
        </w:tc>
        <w:tc>
          <w:tcPr/>
          <w:p>
            <w:pPr>
              <w:pStyle w:val="Compact"/>
              <w:jc w:val="left"/>
            </w:pPr>
            <w:r>
              <w:t xml:space="preserve">12 weeks</w:t>
            </w:r>
          </w:p>
        </w:tc>
        <w:tc>
          <w:tcPr/>
          <w:p>
            <w:pPr>
              <w:pStyle w:val="Compact"/>
              <w:jc w:val="left"/>
            </w:pPr>
            <w:r>
              <w:t xml:space="preserve">22–33</w:t>
            </w:r>
          </w:p>
        </w:tc>
        <w:tc>
          <w:tcPr/>
          <w:p>
            <w:pPr>
              <w:pStyle w:val="Compact"/>
              <w:jc w:val="left"/>
            </w:pPr>
            <w:r>
              <w:t xml:space="preserve">Full production migration</w:t>
            </w:r>
          </w:p>
        </w:tc>
      </w:tr>
      <w:tr>
        <w:tc>
          <w:tcPr/>
          <w:p>
            <w:pPr>
              <w:pStyle w:val="Compact"/>
              <w:jc w:val="left"/>
            </w:pPr>
            <w:r>
              <w:rPr>
                <w:b/>
                <w:bCs/>
              </w:rPr>
              <w:t xml:space="preserve">5</w:t>
            </w:r>
          </w:p>
        </w:tc>
        <w:tc>
          <w:tcPr/>
          <w:p>
            <w:pPr>
              <w:pStyle w:val="Compact"/>
              <w:jc w:val="left"/>
            </w:pPr>
            <w:r>
              <w:t xml:space="preserve">Cutover</w:t>
            </w:r>
          </w:p>
        </w:tc>
        <w:tc>
          <w:tcPr/>
          <w:p>
            <w:pPr>
              <w:pStyle w:val="Compact"/>
              <w:jc w:val="left"/>
            </w:pPr>
            <w:r>
              <w:t xml:space="preserve">8 weeks</w:t>
            </w:r>
          </w:p>
        </w:tc>
        <w:tc>
          <w:tcPr/>
          <w:p>
            <w:pPr>
              <w:pStyle w:val="Compact"/>
              <w:jc w:val="left"/>
            </w:pPr>
            <w:r>
              <w:t xml:space="preserve">34–41</w:t>
            </w:r>
          </w:p>
        </w:tc>
        <w:tc>
          <w:tcPr/>
          <w:p>
            <w:pPr>
              <w:pStyle w:val="Compact"/>
              <w:jc w:val="left"/>
            </w:pPr>
            <w:r>
              <w:t xml:space="preserve">Legacy infrastructure decommissioned</w:t>
            </w:r>
          </w:p>
        </w:tc>
      </w:tr>
      <w:tr>
        <w:tc>
          <w:tcPr/>
          <w:p>
            <w:pPr>
              <w:pStyle w:val="Compact"/>
              <w:jc w:val="left"/>
            </w:pPr>
            <w:r>
              <w:rPr>
                <w:b/>
                <w:bCs/>
              </w:rPr>
              <w:t xml:space="preserve">6</w:t>
            </w:r>
          </w:p>
        </w:tc>
        <w:tc>
          <w:tcPr/>
          <w:p>
            <w:pPr>
              <w:pStyle w:val="Compact"/>
              <w:jc w:val="left"/>
            </w:pPr>
            <w:r>
              <w:t xml:space="preserve">Steady State</w:t>
            </w:r>
          </w:p>
        </w:tc>
        <w:tc>
          <w:tcPr/>
          <w:p>
            <w:pPr>
              <w:pStyle w:val="Compact"/>
              <w:jc w:val="left"/>
            </w:pPr>
            <w:r>
              <w:t xml:space="preserve">Ongoing</w:t>
            </w:r>
          </w:p>
        </w:tc>
        <w:tc>
          <w:tcPr/>
          <w:p>
            <w:pPr>
              <w:pStyle w:val="Compact"/>
              <w:jc w:val="left"/>
            </w:pPr>
            <w:r>
              <w:t xml:space="preserve">42+</w:t>
            </w:r>
          </w:p>
        </w:tc>
        <w:tc>
          <w:tcPr/>
          <w:p>
            <w:pPr>
              <w:pStyle w:val="Compact"/>
              <w:jc w:val="left"/>
            </w:pPr>
            <w:r>
              <w:t xml:space="preserve">Continuous governance and drift detection</w:t>
            </w:r>
          </w:p>
        </w:tc>
      </w:tr>
    </w:tbl>
    <w:p/>
    <w:tbl>
      <w:tblPr>
        <w:tblStyle w:val="Table"/>
        <w:tblW w:type="pct" w:w="5024"/>
        <w:tblLayout w:type="fixed"/>
        <w:tblLook w:firstRow="0" w:lastRow="0" w:firstColumn="0" w:lastColumn="0" w:noHBand="0" w:noVBand="0" w:val="0000"/>
      </w:tblPr>
      <w:tblGrid>
        <w:gridCol w:w="7958"/>
      </w:tblGrid>
      <w:tr>
        <w:tc>
          <w:tcPr/>
          <w:p>
            <w:pPr>
              <w:pStyle w:val="Compact"/>
            </w:pPr>
            <w:r>
              <w:rPr>
                <w:b/>
                <w:bCs/>
              </w:rPr>
              <w:t xml:space="preserve">[Diagram: The Federal Modernization Program Program Timeline — Gantt Overview]</w:t>
            </w:r>
            <w:r>
              <w:t xml:space="preserve"> </w:t>
            </w:r>
            <w:r>
              <w:t xml:space="preserve">|</w:t>
            </w:r>
            <w:r>
              <w:t xml:space="preserve"> </w:t>
            </w:r>
            <w:r>
              <w:t xml:space="preserve">Seven-phase horizontal timeline showing parallel workstreams per pillar (Identity, Devices, DNS, PKI, Server), milestone diamonds at phase gates, and critical path highlighted. |</w:t>
            </w:r>
            <w:r>
              <w:t xml:space="preserve"> </w:t>
            </w:r>
            <w:r>
              <w:t xml:space="preserve">|</w:t>
            </w:r>
            <w:r>
              <w:t xml:space="preserve"> </w:t>
            </w:r>
            <w:r>
              <w:rPr>
                <w:b/>
                <w:bCs/>
              </w:rPr>
              <w:t xml:space="preserve">Diagram ID: FMP-MPP-D001 | Dimensions: 780 × 320 px</w:t>
            </w:r>
            <w:r>
              <w:t xml:space="preserve"> </w:t>
            </w:r>
            <w:r>
              <w:t xml:space="preserve">|</w:t>
            </w:r>
          </w:p>
        </w:tc>
      </w:tr>
    </w:tbl>
    <w:p>
      <w:pPr>
        <w:pStyle w:val="BodyText"/>
      </w:pPr>
      <w:r>
        <w:t xml:space="preserve">2. Program Governance Structure</w:t>
      </w:r>
    </w:p>
    <w:p>
      <w:pPr>
        <w:pStyle w:val="BodyText"/>
      </w:pPr>
      <w:r>
        <w:t xml:space="preserve">2.1 Roles and Responsibilities</w:t>
      </w:r>
    </w:p>
    <w:tbl>
      <w:tblPr>
        <w:tblStyle w:val="Table"/>
        <w:tblW w:type="pct" w:w="4953"/>
        <w:tblLayout w:type="fixed"/>
        <w:tblLook w:firstRow="1" w:lastRow="0" w:firstColumn="0" w:lastColumn="0" w:noHBand="0" w:noVBand="0" w:val="0020"/>
      </w:tblPr>
      <w:tblGrid>
        <w:gridCol w:w="971"/>
        <w:gridCol w:w="5715"/>
        <w:gridCol w:w="1158"/>
      </w:tblGrid>
      <w:tr>
        <w:trPr>
          <w:tblHeader w:val="on"/>
        </w:trPr>
        <w:tc>
          <w:tcPr/>
          <w:p>
            <w:pPr>
              <w:pStyle w:val="Compact"/>
              <w:jc w:val="left"/>
            </w:pPr>
            <w:r>
              <w:rPr>
                <w:b/>
                <w:bCs/>
              </w:rPr>
              <w:t xml:space="preserve">Role</w:t>
            </w:r>
          </w:p>
        </w:tc>
        <w:tc>
          <w:tcPr/>
          <w:p>
            <w:pPr>
              <w:pStyle w:val="Compact"/>
              <w:jc w:val="left"/>
            </w:pPr>
            <w:r>
              <w:rPr>
                <w:b/>
                <w:bCs/>
              </w:rPr>
              <w:t xml:space="preserve">Responsibility</w:t>
            </w:r>
          </w:p>
        </w:tc>
        <w:tc>
          <w:tcPr/>
          <w:p>
            <w:pPr>
              <w:pStyle w:val="Compact"/>
              <w:jc w:val="left"/>
            </w:pPr>
            <w:r>
              <w:rPr>
                <w:b/>
                <w:bCs/>
              </w:rPr>
              <w:t xml:space="preserve">Person / Team</w:t>
            </w:r>
          </w:p>
        </w:tc>
      </w:tr>
      <w:tr>
        <w:tc>
          <w:tcPr/>
          <w:p>
            <w:pPr>
              <w:pStyle w:val="Compact"/>
              <w:jc w:val="left"/>
            </w:pPr>
            <w:r>
              <w:rPr>
                <w:b/>
                <w:bCs/>
              </w:rPr>
              <w:t xml:space="preserve">Canon Steward</w:t>
            </w:r>
          </w:p>
        </w:tc>
        <w:tc>
          <w:tcPr/>
          <w:p>
            <w:pPr>
              <w:pStyle w:val="Compact"/>
              <w:jc w:val="left"/>
            </w:pPr>
            <w:r>
              <w:t xml:space="preserve">Final authority on governance artifacts, approval gates, document status transitions, Gitea repository integrity, and cross-pillar conflict resolution</w:t>
            </w:r>
          </w:p>
        </w:tc>
        <w:tc>
          <w:tcPr/>
          <w:p>
            <w:pPr>
              <w:pStyle w:val="Compact"/>
              <w:jc w:val="left"/>
            </w:pPr>
            <w:r>
              <w:t xml:space="preserve">[Named Individual]</w:t>
            </w:r>
          </w:p>
        </w:tc>
      </w:tr>
      <w:tr>
        <w:tc>
          <w:tcPr/>
          <w:p>
            <w:pPr>
              <w:pStyle w:val="Compact"/>
              <w:jc w:val="left"/>
            </w:pPr>
            <w:r>
              <w:rPr>
                <w:b/>
                <w:bCs/>
              </w:rPr>
              <w:t xml:space="preserve">Infrastructure Lead</w:t>
            </w:r>
          </w:p>
        </w:tc>
        <w:tc>
          <w:tcPr/>
          <w:p>
            <w:pPr>
              <w:pStyle w:val="Compact"/>
              <w:jc w:val="left"/>
            </w:pPr>
            <w:r>
              <w:t xml:space="preserve">Server builds, IIS reverse proxy, Gitea administration, network infrastructure, Azure Arc enrollment, hardware provisioning</w:t>
            </w:r>
          </w:p>
        </w:tc>
        <w:tc>
          <w:tcPr/>
          <w:p>
            <w:pPr>
              <w:pStyle w:val="Compact"/>
              <w:jc w:val="left"/>
            </w:pPr>
            <w:r>
              <w:t xml:space="preserve">[Infrastructure Team]</w:t>
            </w:r>
          </w:p>
        </w:tc>
      </w:tr>
      <w:tr>
        <w:tc>
          <w:tcPr/>
          <w:p>
            <w:pPr>
              <w:pStyle w:val="Compact"/>
              <w:jc w:val="left"/>
            </w:pPr>
            <w:r>
              <w:rPr>
                <w:b/>
                <w:bCs/>
              </w:rPr>
              <w:t xml:space="preserve">Identity Lead</w:t>
            </w:r>
          </w:p>
        </w:tc>
        <w:tc>
          <w:tcPr/>
          <w:p>
            <w:pPr>
              <w:pStyle w:val="Compact"/>
              <w:jc w:val="left"/>
            </w:pPr>
            <w:r>
              <w:t xml:space="preserve">Active Directory, Entra ID, Entra Connect, Conditional Access, PIM, extension attribute design, user and group migration</w:t>
            </w:r>
          </w:p>
        </w:tc>
        <w:tc>
          <w:tcPr/>
          <w:p>
            <w:pPr>
              <w:pStyle w:val="Compact"/>
              <w:jc w:val="left"/>
            </w:pPr>
            <w:r>
              <w:t xml:space="preserve">[Identity Team]</w:t>
            </w:r>
          </w:p>
        </w:tc>
      </w:tr>
      <w:tr>
        <w:tc>
          <w:tcPr/>
          <w:p>
            <w:pPr>
              <w:pStyle w:val="Compact"/>
              <w:jc w:val="left"/>
            </w:pPr>
            <w:r>
              <w:rPr>
                <w:b/>
                <w:bCs/>
              </w:rPr>
              <w:t xml:space="preserve">Endpoint Lead</w:t>
            </w:r>
          </w:p>
        </w:tc>
        <w:tc>
          <w:tcPr/>
          <w:p>
            <w:pPr>
              <w:pStyle w:val="Compact"/>
              <w:jc w:val="left"/>
            </w:pPr>
            <w:r>
              <w:t xml:space="preserve">Intune enrollment, device compliance, GPO-to-Intune policy migration, Settings Catalog configuration, dynamic group design</w:t>
            </w:r>
          </w:p>
        </w:tc>
        <w:tc>
          <w:tcPr/>
          <w:p>
            <w:pPr>
              <w:pStyle w:val="Compact"/>
              <w:jc w:val="left"/>
            </w:pPr>
            <w:r>
              <w:t xml:space="preserve">[Endpoint Management Team]</w:t>
            </w:r>
          </w:p>
        </w:tc>
      </w:tr>
      <w:tr>
        <w:tc>
          <w:tcPr/>
          <w:p>
            <w:pPr>
              <w:pStyle w:val="Compact"/>
              <w:jc w:val="left"/>
            </w:pPr>
            <w:r>
              <w:rPr>
                <w:b/>
                <w:bCs/>
              </w:rPr>
              <w:t xml:space="preserve">DNS Lead</w:t>
            </w:r>
          </w:p>
        </w:tc>
        <w:tc>
          <w:tcPr/>
          <w:p>
            <w:pPr>
              <w:pStyle w:val="Compact"/>
              <w:jc w:val="left"/>
            </w:pPr>
            <w:r>
              <w:t xml:space="preserve">AD-integrated DNS zones, Azure DNS Private Resolver, forwarding rulesets, split-brain patterns, SRV record validation</w:t>
            </w:r>
          </w:p>
        </w:tc>
        <w:tc>
          <w:tcPr/>
          <w:p>
            <w:pPr>
              <w:pStyle w:val="Compact"/>
              <w:jc w:val="left"/>
            </w:pPr>
            <w:r>
              <w:t xml:space="preserve">[DNS / Network Team]</w:t>
            </w:r>
          </w:p>
        </w:tc>
      </w:tr>
      <w:tr>
        <w:tc>
          <w:tcPr/>
          <w:p>
            <w:pPr>
              <w:pStyle w:val="Compact"/>
              <w:jc w:val="left"/>
            </w:pPr>
            <w:r>
              <w:rPr>
                <w:b/>
                <w:bCs/>
              </w:rPr>
              <w:t xml:space="preserve">PKI Lead</w:t>
            </w:r>
          </w:p>
        </w:tc>
        <w:tc>
          <w:tcPr/>
          <w:p>
            <w:pPr>
              <w:pStyle w:val="Compact"/>
              <w:jc w:val="left"/>
            </w:pPr>
            <w:r>
              <w:t xml:space="preserve">ADCS management, Cloud PKI provisioning, Entra CBA, certificate template migration, ESC vulnerability remediation, SCEP/PKCS profile design</w:t>
            </w:r>
          </w:p>
        </w:tc>
        <w:tc>
          <w:tcPr/>
          <w:p>
            <w:pPr>
              <w:pStyle w:val="Compact"/>
              <w:jc w:val="left"/>
            </w:pPr>
            <w:r>
              <w:t xml:space="preserve">[PKI / Security Team]</w:t>
            </w:r>
          </w:p>
        </w:tc>
      </w:tr>
      <w:tr>
        <w:tc>
          <w:tcPr/>
          <w:p>
            <w:pPr>
              <w:pStyle w:val="Compact"/>
              <w:jc w:val="left"/>
            </w:pPr>
            <w:r>
              <w:rPr>
                <w:b/>
                <w:bCs/>
              </w:rPr>
              <w:t xml:space="preserve">Security Lead</w:t>
            </w:r>
          </w:p>
        </w:tc>
        <w:tc>
          <w:tcPr/>
          <w:p>
            <w:pPr>
              <w:pStyle w:val="Compact"/>
              <w:jc w:val="left"/>
            </w:pPr>
            <w:r>
              <w:t xml:space="preserve">ESC remediation, Defender for Identity integration, Conditional Access policy design, security assessment triage, risk acceptance</w:t>
            </w:r>
          </w:p>
        </w:tc>
        <w:tc>
          <w:tcPr/>
          <w:p>
            <w:pPr>
              <w:pStyle w:val="Compact"/>
              <w:jc w:val="left"/>
            </w:pPr>
            <w:r>
              <w:t xml:space="preserve">[Security Team]</w:t>
            </w:r>
          </w:p>
        </w:tc>
      </w:tr>
      <w:tr>
        <w:tc>
          <w:tcPr/>
          <w:p>
            <w:pPr>
              <w:pStyle w:val="Compact"/>
              <w:jc w:val="left"/>
            </w:pPr>
            <w:r>
              <w:rPr>
                <w:b/>
                <w:bCs/>
              </w:rPr>
              <w:t xml:space="preserve">Project Manager</w:t>
            </w:r>
          </w:p>
        </w:tc>
        <w:tc>
          <w:tcPr/>
          <w:p>
            <w:pPr>
              <w:pStyle w:val="Compact"/>
              <w:jc w:val="left"/>
            </w:pPr>
            <w:r>
              <w:t xml:space="preserve">Timeline management, milestone tracking, risk register maintenance, status reporting, steering committee coordination</w:t>
            </w:r>
          </w:p>
        </w:tc>
        <w:tc>
          <w:tcPr/>
          <w:p>
            <w:pPr>
              <w:pStyle w:val="Compact"/>
              <w:jc w:val="left"/>
            </w:pPr>
            <w:r>
              <w:t xml:space="preserve">[Named Individual]</w:t>
            </w:r>
          </w:p>
        </w:tc>
      </w:tr>
    </w:tbl>
    <w:p>
      <w:pPr>
        <w:pStyle w:val="BodyText"/>
      </w:pPr>
      <w:r>
        <w:t xml:space="preserve">2.2 Decision Framework</w:t>
      </w:r>
    </w:p>
    <w:tbl>
      <w:tblPr>
        <w:tblStyle w:val="Table"/>
        <w:tblW w:type="pct" w:w="4940"/>
        <w:tblLayout w:type="fixed"/>
        <w:tblLook w:firstRow="1" w:lastRow="0" w:firstColumn="0" w:lastColumn="0" w:noHBand="0" w:noVBand="0" w:val="0020"/>
      </w:tblPr>
      <w:tblGrid>
        <w:gridCol w:w="2719"/>
        <w:gridCol w:w="2433"/>
        <w:gridCol w:w="2671"/>
      </w:tblGrid>
      <w:tr>
        <w:trPr>
          <w:tblHeader w:val="on"/>
        </w:trPr>
        <w:tc>
          <w:tcPr/>
          <w:p>
            <w:pPr>
              <w:pStyle w:val="Compact"/>
              <w:jc w:val="left"/>
            </w:pPr>
            <w:r>
              <w:rPr>
                <w:b/>
                <w:bCs/>
              </w:rPr>
              <w:t xml:space="preserve">Decision Type</w:t>
            </w:r>
          </w:p>
        </w:tc>
        <w:tc>
          <w:tcPr/>
          <w:p>
            <w:pPr>
              <w:pStyle w:val="Compact"/>
              <w:jc w:val="left"/>
            </w:pPr>
            <w:r>
              <w:rPr>
                <w:b/>
                <w:bCs/>
              </w:rPr>
              <w:t xml:space="preserve">Authority</w:t>
            </w:r>
          </w:p>
        </w:tc>
        <w:tc>
          <w:tcPr/>
          <w:p>
            <w:pPr>
              <w:pStyle w:val="Compact"/>
              <w:jc w:val="left"/>
            </w:pPr>
            <w:r>
              <w:rPr>
                <w:b/>
                <w:bCs/>
              </w:rPr>
              <w:t xml:space="preserve">Process</w:t>
            </w:r>
          </w:p>
        </w:tc>
      </w:tr>
      <w:tr>
        <w:tc>
          <w:tcPr/>
          <w:p>
            <w:pPr>
              <w:pStyle w:val="Compact"/>
              <w:jc w:val="left"/>
            </w:pPr>
            <w:r>
              <w:t xml:space="preserve">Governance decisions (artifact status, naming, schema)</w:t>
            </w:r>
          </w:p>
        </w:tc>
        <w:tc>
          <w:tcPr/>
          <w:p>
            <w:pPr>
              <w:pStyle w:val="Compact"/>
              <w:jc w:val="left"/>
            </w:pPr>
            <w:r>
              <w:t xml:space="preserve">Canon Steward — sole approval</w:t>
            </w:r>
          </w:p>
        </w:tc>
        <w:tc>
          <w:tcPr/>
          <w:p>
            <w:pPr>
              <w:pStyle w:val="Compact"/>
              <w:jc w:val="left"/>
            </w:pPr>
            <w:r>
              <w:t xml:space="preserve">Gitea pull request with Canon Steward review required</w:t>
            </w:r>
          </w:p>
        </w:tc>
      </w:tr>
      <w:tr>
        <w:tc>
          <w:tcPr/>
          <w:p>
            <w:pPr>
              <w:pStyle w:val="Compact"/>
              <w:jc w:val="left"/>
            </w:pPr>
            <w:r>
              <w:t xml:space="preserve">Technical decisions (architecture, configuration)</w:t>
            </w:r>
          </w:p>
        </w:tc>
        <w:tc>
          <w:tcPr/>
          <w:p>
            <w:pPr>
              <w:pStyle w:val="Compact"/>
              <w:jc w:val="left"/>
            </w:pPr>
            <w:r>
              <w:t xml:space="preserve">Respective pillar lead with Canon Steward review</w:t>
            </w:r>
          </w:p>
        </w:tc>
        <w:tc>
          <w:tcPr/>
          <w:p>
            <w:pPr>
              <w:pStyle w:val="Compact"/>
              <w:jc w:val="left"/>
            </w:pPr>
            <w:r>
              <w:t xml:space="preserve">ADR committed to Gitea, 48-hour review period</w:t>
            </w:r>
          </w:p>
        </w:tc>
      </w:tr>
      <w:tr>
        <w:tc>
          <w:tcPr/>
          <w:p>
            <w:pPr>
              <w:pStyle w:val="Compact"/>
              <w:jc w:val="left"/>
            </w:pPr>
            <w:r>
              <w:t xml:space="preserve">Risk acceptance</w:t>
            </w:r>
          </w:p>
        </w:tc>
        <w:tc>
          <w:tcPr/>
          <w:p>
            <w:pPr>
              <w:pStyle w:val="Compact"/>
              <w:jc w:val="left"/>
            </w:pPr>
            <w:r>
              <w:t xml:space="preserve">Security Lead + Canon Steward joint approval</w:t>
            </w:r>
          </w:p>
        </w:tc>
        <w:tc>
          <w:tcPr/>
          <w:p>
            <w:pPr>
              <w:pStyle w:val="Compact"/>
              <w:jc w:val="left"/>
            </w:pPr>
            <w:r>
              <w:t xml:space="preserve">Risk acceptance form committed with justification</w:t>
            </w:r>
          </w:p>
        </w:tc>
      </w:tr>
      <w:tr>
        <w:tc>
          <w:tcPr/>
          <w:p>
            <w:pPr>
              <w:pStyle w:val="Compact"/>
              <w:jc w:val="left"/>
            </w:pPr>
            <w:r>
              <w:t xml:space="preserve">Schedule changes (milestone date movement)</w:t>
            </w:r>
          </w:p>
        </w:tc>
        <w:tc>
          <w:tcPr/>
          <w:p>
            <w:pPr>
              <w:pStyle w:val="Compact"/>
              <w:jc w:val="left"/>
            </w:pPr>
            <w:r>
              <w:t xml:space="preserve">Project Manager + Canon Steward</w:t>
            </w:r>
          </w:p>
        </w:tc>
        <w:tc>
          <w:tcPr/>
          <w:p>
            <w:pPr>
              <w:pStyle w:val="Compact"/>
              <w:jc w:val="left"/>
            </w:pPr>
            <w:r>
              <w:t xml:space="preserve">Schedule change request with impact analysis</w:t>
            </w:r>
          </w:p>
        </w:tc>
      </w:tr>
      <w:tr>
        <w:tc>
          <w:tcPr/>
          <w:p>
            <w:pPr>
              <w:pStyle w:val="Compact"/>
              <w:jc w:val="left"/>
            </w:pPr>
            <w:r>
              <w:t xml:space="preserve">Budget / license procurement</w:t>
            </w:r>
          </w:p>
        </w:tc>
        <w:tc>
          <w:tcPr/>
          <w:p>
            <w:pPr>
              <w:pStyle w:val="Compact"/>
              <w:jc w:val="left"/>
            </w:pPr>
            <w:r>
              <w:t xml:space="preserve">Canon Steward + organizational leadership</w:t>
            </w:r>
          </w:p>
        </w:tc>
        <w:tc>
          <w:tcPr/>
          <w:p>
            <w:pPr>
              <w:pStyle w:val="Compact"/>
              <w:jc w:val="left"/>
            </w:pPr>
            <w:r>
              <w:t xml:space="preserve">Business case document committed to Gitea</w:t>
            </w:r>
          </w:p>
        </w:tc>
      </w:tr>
    </w:tbl>
    <w:p>
      <w:pPr>
        <w:pStyle w:val="BodyText"/>
      </w:pPr>
      <w:r>
        <w:t xml:space="preserve">2.3 Communication Cadence</w:t>
      </w:r>
    </w:p>
    <w:tbl>
      <w:tblPr>
        <w:tblStyle w:val="Table"/>
        <w:tblW w:type="pct" w:w="4937"/>
        <w:tblLayout w:type="fixed"/>
        <w:tblLook w:firstRow="1" w:lastRow="0" w:firstColumn="0" w:lastColumn="0" w:noHBand="0" w:noVBand="0" w:val="0020"/>
      </w:tblPr>
      <w:tblGrid>
        <w:gridCol w:w="1494"/>
        <w:gridCol w:w="1046"/>
        <w:gridCol w:w="796"/>
        <w:gridCol w:w="1394"/>
        <w:gridCol w:w="3088"/>
      </w:tblGrid>
      <w:tr>
        <w:trPr>
          <w:tblHeader w:val="on"/>
        </w:trPr>
        <w:tc>
          <w:tcPr/>
          <w:p>
            <w:pPr>
              <w:pStyle w:val="Compact"/>
              <w:jc w:val="left"/>
            </w:pPr>
            <w:r>
              <w:rPr>
                <w:b/>
                <w:bCs/>
              </w:rPr>
              <w:t xml:space="preserve">Meeting</w:t>
            </w:r>
          </w:p>
        </w:tc>
        <w:tc>
          <w:tcPr/>
          <w:p>
            <w:pPr>
              <w:pStyle w:val="Compact"/>
              <w:jc w:val="left"/>
            </w:pPr>
            <w:r>
              <w:rPr>
                <w:b/>
                <w:bCs/>
              </w:rPr>
              <w:t xml:space="preserve">Frequency</w:t>
            </w:r>
          </w:p>
        </w:tc>
        <w:tc>
          <w:tcPr/>
          <w:p>
            <w:pPr>
              <w:pStyle w:val="Compact"/>
              <w:jc w:val="left"/>
            </w:pPr>
            <w:r>
              <w:rPr>
                <w:b/>
                <w:bCs/>
              </w:rPr>
              <w:t xml:space="preserve">Duration</w:t>
            </w:r>
          </w:p>
        </w:tc>
        <w:tc>
          <w:tcPr/>
          <w:p>
            <w:pPr>
              <w:pStyle w:val="Compact"/>
              <w:jc w:val="left"/>
            </w:pPr>
            <w:r>
              <w:rPr>
                <w:b/>
                <w:bCs/>
              </w:rPr>
              <w:t xml:space="preserve">Attendees</w:t>
            </w:r>
          </w:p>
        </w:tc>
        <w:tc>
          <w:tcPr/>
          <w:p>
            <w:pPr>
              <w:pStyle w:val="Compact"/>
              <w:jc w:val="left"/>
            </w:pPr>
            <w:r>
              <w:rPr>
                <w:b/>
                <w:bCs/>
              </w:rPr>
              <w:t xml:space="preserve">Output</w:t>
            </w:r>
          </w:p>
        </w:tc>
      </w:tr>
      <w:tr>
        <w:tc>
          <w:tcPr/>
          <w:p>
            <w:pPr>
              <w:pStyle w:val="Compact"/>
              <w:jc w:val="left"/>
            </w:pPr>
            <w:r>
              <w:t xml:space="preserve">Daily Standup</w:t>
            </w:r>
          </w:p>
        </w:tc>
        <w:tc>
          <w:tcPr/>
          <w:p>
            <w:pPr>
              <w:pStyle w:val="Compact"/>
              <w:jc w:val="left"/>
            </w:pPr>
            <w:r>
              <w:t xml:space="preserve">Daily (weekdays)</w:t>
            </w:r>
          </w:p>
        </w:tc>
        <w:tc>
          <w:tcPr/>
          <w:p>
            <w:pPr>
              <w:pStyle w:val="Compact"/>
              <w:jc w:val="left"/>
            </w:pPr>
            <w:r>
              <w:t xml:space="preserve">15 min</w:t>
            </w:r>
          </w:p>
        </w:tc>
        <w:tc>
          <w:tcPr/>
          <w:p>
            <w:pPr>
              <w:pStyle w:val="Compact"/>
              <w:jc w:val="left"/>
            </w:pPr>
            <w:r>
              <w:t xml:space="preserve">All pillar leads</w:t>
            </w:r>
          </w:p>
        </w:tc>
        <w:tc>
          <w:tcPr/>
          <w:p>
            <w:pPr>
              <w:pStyle w:val="Compact"/>
              <w:jc w:val="left"/>
            </w:pPr>
            <w:r>
              <w:t xml:space="preserve">Blockers identified, today's priorities</w:t>
            </w:r>
          </w:p>
        </w:tc>
      </w:tr>
      <w:tr>
        <w:tc>
          <w:tcPr/>
          <w:p>
            <w:pPr>
              <w:pStyle w:val="Compact"/>
              <w:jc w:val="left"/>
            </w:pPr>
            <w:r>
              <w:t xml:space="preserve">Weekly Status Report</w:t>
            </w:r>
          </w:p>
        </w:tc>
        <w:tc>
          <w:tcPr/>
          <w:p>
            <w:pPr>
              <w:pStyle w:val="Compact"/>
              <w:jc w:val="left"/>
            </w:pPr>
            <w:r>
              <w:t xml:space="preserve">Weekly (Friday)</w:t>
            </w:r>
          </w:p>
        </w:tc>
        <w:tc>
          <w:tcPr/>
          <w:p>
            <w:pPr>
              <w:pStyle w:val="Compact"/>
              <w:jc w:val="left"/>
            </w:pPr>
            <w:r>
              <w:t xml:space="preserve">N/A (written)</w:t>
            </w:r>
          </w:p>
        </w:tc>
        <w:tc>
          <w:tcPr/>
          <w:p>
            <w:pPr>
              <w:pStyle w:val="Compact"/>
              <w:jc w:val="left"/>
            </w:pPr>
            <w:r>
              <w:t xml:space="preserve">PM authors, all review</w:t>
            </w:r>
          </w:p>
        </w:tc>
        <w:tc>
          <w:tcPr/>
          <w:p>
            <w:pPr>
              <w:pStyle w:val="Compact"/>
              <w:jc w:val="left"/>
            </w:pPr>
            <w:r>
              <w:t xml:space="preserve">Committed to Gitea as</w:t>
            </w:r>
            <w:r>
              <w:t xml:space="preserve"> </w:t>
            </w:r>
            <w:r>
              <w:rPr>
                <w:i/>
                <w:iCs/>
              </w:rPr>
              <w:t xml:space="preserve">reports/weekly/YYYY-WNN.md</w:t>
            </w:r>
          </w:p>
        </w:tc>
      </w:tr>
      <w:tr>
        <w:tc>
          <w:tcPr/>
          <w:p>
            <w:pPr>
              <w:pStyle w:val="Compact"/>
              <w:jc w:val="left"/>
            </w:pPr>
            <w:r>
              <w:t xml:space="preserve">Biweekly Steering Committee</w:t>
            </w:r>
          </w:p>
        </w:tc>
        <w:tc>
          <w:tcPr/>
          <w:p>
            <w:pPr>
              <w:pStyle w:val="Compact"/>
              <w:jc w:val="left"/>
            </w:pPr>
            <w:r>
              <w:t xml:space="preserve">Every 2 weeks</w:t>
            </w:r>
          </w:p>
        </w:tc>
        <w:tc>
          <w:tcPr/>
          <w:p>
            <w:pPr>
              <w:pStyle w:val="Compact"/>
              <w:jc w:val="left"/>
            </w:pPr>
            <w:r>
              <w:t xml:space="preserve">60 min</w:t>
            </w:r>
          </w:p>
        </w:tc>
        <w:tc>
          <w:tcPr/>
          <w:p>
            <w:pPr>
              <w:pStyle w:val="Compact"/>
              <w:jc w:val="left"/>
            </w:pPr>
            <w:r>
              <w:t xml:space="preserve">Canon Steward + all leads</w:t>
            </w:r>
          </w:p>
        </w:tc>
        <w:tc>
          <w:tcPr/>
          <w:p>
            <w:pPr>
              <w:pStyle w:val="Compact"/>
              <w:jc w:val="left"/>
            </w:pPr>
            <w:r>
              <w:t xml:space="preserve">Decision log, action items committed to Gitea</w:t>
            </w:r>
          </w:p>
        </w:tc>
      </w:tr>
      <w:tr>
        <w:tc>
          <w:tcPr/>
          <w:p>
            <w:pPr>
              <w:pStyle w:val="Compact"/>
              <w:jc w:val="left"/>
            </w:pPr>
            <w:r>
              <w:t xml:space="preserve">Milestone Gate Review</w:t>
            </w:r>
          </w:p>
        </w:tc>
        <w:tc>
          <w:tcPr/>
          <w:p>
            <w:pPr>
              <w:pStyle w:val="Compact"/>
              <w:jc w:val="left"/>
            </w:pPr>
            <w:r>
              <w:t xml:space="preserve">At each phase gate</w:t>
            </w:r>
          </w:p>
        </w:tc>
        <w:tc>
          <w:tcPr/>
          <w:p>
            <w:pPr>
              <w:pStyle w:val="Compact"/>
              <w:jc w:val="left"/>
            </w:pPr>
            <w:r>
              <w:t xml:space="preserve">90 min</w:t>
            </w:r>
          </w:p>
        </w:tc>
        <w:tc>
          <w:tcPr/>
          <w:p>
            <w:pPr>
              <w:pStyle w:val="Compact"/>
              <w:jc w:val="left"/>
            </w:pPr>
            <w:r>
              <w:t xml:space="preserve">All roles + stakeholders</w:t>
            </w:r>
          </w:p>
        </w:tc>
        <w:tc>
          <w:tcPr/>
          <w:p>
            <w:pPr>
              <w:pStyle w:val="Compact"/>
              <w:jc w:val="left"/>
            </w:pPr>
            <w:r>
              <w:t xml:space="preserve">Go/No-Go decision, gate review report (Appendix D template)</w:t>
            </w:r>
          </w:p>
        </w:tc>
      </w:tr>
    </w:tbl>
    <w:p>
      <w:pPr>
        <w:pStyle w:val="BodyText"/>
      </w:pPr>
      <w:r>
        <w:t xml:space="preserve">2.4 Artifact Management</w:t>
      </w:r>
    </w:p>
    <w:p>
      <w:pPr>
        <w:pStyle w:val="BodyText"/>
      </w:pPr>
      <w:r>
        <w:t xml:space="preserve">All project artifacts are committed to Gitea under the Federal Modernization Program repository. The governance pipeline ensures every artifact is versioned, reviewed, and traceable.</w:t>
      </w:r>
    </w:p>
    <w:p>
      <w:pPr>
        <w:pStyle w:val="BodyText"/>
      </w:pPr>
      <w:r>
        <w:rPr>
          <w:b/>
          <w:bCs/>
        </w:rPr>
        <w:t xml:space="preserve">Branch Strategy:</w:t>
      </w:r>
    </w:p>
    <w:p>
      <w:pPr>
        <w:numPr>
          <w:ilvl w:val="0"/>
          <w:numId w:val="1304"/>
        </w:numPr>
      </w:pPr>
      <w:r>
        <w:rPr>
          <w:b/>
          <w:bCs/>
        </w:rPr>
        <w:t xml:space="preserve">main</w:t>
      </w:r>
      <w:r>
        <w:t xml:space="preserve"> </w:t>
      </w:r>
      <w:r>
        <w:t xml:space="preserve">— Canonical branch. Only approved artifacts reside here. Protected: requires pull request with Canon Steward approval.</w:t>
      </w:r>
    </w:p>
    <w:p>
      <w:pPr>
        <w:numPr>
          <w:ilvl w:val="0"/>
          <w:numId w:val="1304"/>
        </w:numPr>
      </w:pPr>
      <w:r>
        <w:rPr>
          <w:b/>
          <w:bCs/>
        </w:rPr>
        <w:t xml:space="preserve">feature/*</w:t>
      </w:r>
      <w:r>
        <w:t xml:space="preserve"> </w:t>
      </w:r>
      <w:r>
        <w:t xml:space="preserve">— Work-in-progress branches for active development (e.g.,</w:t>
      </w:r>
      <w:r>
        <w:t xml:space="preserve"> </w:t>
      </w:r>
      <w:r>
        <w:rPr>
          <w:i/>
          <w:iCs/>
        </w:rPr>
        <w:t xml:space="preserve">feature/pki-assessment</w:t>
      </w:r>
      <w:r>
        <w:t xml:space="preserve">).</w:t>
      </w:r>
    </w:p>
    <w:p>
      <w:pPr>
        <w:numPr>
          <w:ilvl w:val="0"/>
          <w:numId w:val="1304"/>
        </w:numPr>
      </w:pPr>
      <w:r>
        <w:rPr>
          <w:b/>
          <w:bCs/>
        </w:rPr>
        <w:t xml:space="preserve">release/*</w:t>
      </w:r>
      <w:r>
        <w:t xml:space="preserve"> </w:t>
      </w:r>
      <w:r>
        <w:t xml:space="preserve">— Milestone snapshots frozen at phase gate approval (e.g.,</w:t>
      </w:r>
      <w:r>
        <w:t xml:space="preserve"> </w:t>
      </w:r>
      <w:r>
        <w:rPr>
          <w:i/>
          <w:iCs/>
        </w:rPr>
        <w:t xml:space="preserve">release/phase-1-assessment</w:t>
      </w:r>
      <w:r>
        <w:t xml:space="preserve">).</w:t>
      </w:r>
    </w:p>
    <w:p>
      <w:pPr>
        <w:pStyle w:val="FirstParagraph"/>
      </w:pPr>
      <w:r>
        <w:rPr>
          <w:b/>
          <w:bCs/>
        </w:rPr>
        <w:t xml:space="preserve">Naming Convention:</w:t>
      </w:r>
    </w:p>
    <w:tbl>
      <w:tblPr>
        <w:tblStyle w:val="Table"/>
        <w:tblW w:type="pct" w:w="2708"/>
        <w:tblLayout w:type="fixed"/>
        <w:tblLook w:firstRow="0" w:lastRow="0" w:firstColumn="0" w:lastColumn="0" w:noHBand="0" w:noVBand="0" w:val="0000"/>
      </w:tblPr>
      <w:tblGrid>
        <w:gridCol w:w="4290"/>
      </w:tblGrid>
      <w:tr>
        <w:tc>
          <w:tcPr/>
          <w:p>
            <w:pPr>
              <w:pStyle w:val="Compact"/>
              <w:jc w:val="left"/>
            </w:pPr>
            <w:r>
              <w:t xml:space="preserve">FMP_NNN_Short_Title_vMajor.Minor.md</w:t>
            </w:r>
          </w:p>
        </w:tc>
      </w:tr>
    </w:tbl>
    <w:p>
      <w:pPr>
        <w:pStyle w:val="BodyText"/>
      </w:pPr>
      <w:r>
        <w:rPr>
          <w:b/>
          <w:bCs/>
        </w:rPr>
        <w:t xml:space="preserve">Status Lifecycle:</w:t>
      </w:r>
    </w:p>
    <w:tbl>
      <w:tblPr>
        <w:tblStyle w:val="Table"/>
        <w:tblW w:type="pct" w:w="4898"/>
        <w:tblLayout w:type="fixed"/>
        <w:tblLook w:firstRow="1" w:lastRow="0" w:firstColumn="0" w:lastColumn="0" w:noHBand="0" w:noVBand="0" w:val="0020"/>
      </w:tblPr>
      <w:tblGrid>
        <w:gridCol w:w="1050"/>
        <w:gridCol w:w="4202"/>
        <w:gridCol w:w="2505"/>
      </w:tblGrid>
      <w:tr>
        <w:trPr>
          <w:tblHeader w:val="on"/>
        </w:trPr>
        <w:tc>
          <w:tcPr/>
          <w:p>
            <w:pPr>
              <w:pStyle w:val="Compact"/>
              <w:jc w:val="left"/>
            </w:pPr>
            <w:r>
              <w:rPr>
                <w:b/>
                <w:bCs/>
              </w:rPr>
              <w:t xml:space="preserve">Status</w:t>
            </w:r>
          </w:p>
        </w:tc>
        <w:tc>
          <w:tcPr/>
          <w:p>
            <w:pPr>
              <w:pStyle w:val="Compact"/>
              <w:jc w:val="left"/>
            </w:pPr>
            <w:r>
              <w:rPr>
                <w:b/>
                <w:bCs/>
              </w:rPr>
              <w:t xml:space="preserve">Meaning</w:t>
            </w:r>
          </w:p>
        </w:tc>
        <w:tc>
          <w:tcPr/>
          <w:p>
            <w:pPr>
              <w:pStyle w:val="Compact"/>
              <w:jc w:val="left"/>
            </w:pPr>
            <w:r>
              <w:rPr>
                <w:b/>
                <w:bCs/>
              </w:rPr>
              <w:t xml:space="preserve">Transition Authority</w:t>
            </w:r>
          </w:p>
        </w:tc>
      </w:tr>
      <w:tr>
        <w:tc>
          <w:tcPr/>
          <w:p>
            <w:pPr>
              <w:pStyle w:val="Compact"/>
              <w:jc w:val="left"/>
            </w:pPr>
            <w:r>
              <w:t xml:space="preserve">DRAFT</w:t>
            </w:r>
          </w:p>
        </w:tc>
        <w:tc>
          <w:tcPr/>
          <w:p>
            <w:pPr>
              <w:pStyle w:val="Compact"/>
              <w:jc w:val="left"/>
            </w:pPr>
            <w:r>
              <w:t xml:space="preserve">Under active authoring; may be incomplete</w:t>
            </w:r>
          </w:p>
        </w:tc>
        <w:tc>
          <w:tcPr/>
          <w:p>
            <w:pPr>
              <w:pStyle w:val="Compact"/>
              <w:jc w:val="left"/>
            </w:pPr>
            <w:r>
              <w:t xml:space="preserve">Author creates</w:t>
            </w:r>
          </w:p>
        </w:tc>
      </w:tr>
      <w:tr>
        <w:tc>
          <w:tcPr/>
          <w:p>
            <w:pPr>
              <w:pStyle w:val="Compact"/>
              <w:jc w:val="left"/>
            </w:pPr>
            <w:r>
              <w:t xml:space="preserve">IN_REVIEW</w:t>
            </w:r>
          </w:p>
        </w:tc>
        <w:tc>
          <w:tcPr/>
          <w:p>
            <w:pPr>
              <w:pStyle w:val="Compact"/>
              <w:jc w:val="left"/>
            </w:pPr>
            <w:r>
              <w:t xml:space="preserve">Pull request submitted; awaiting review</w:t>
            </w:r>
          </w:p>
        </w:tc>
        <w:tc>
          <w:tcPr/>
          <w:p>
            <w:pPr>
              <w:pStyle w:val="Compact"/>
              <w:jc w:val="left"/>
            </w:pPr>
            <w:r>
              <w:t xml:space="preserve">Author submits PR</w:t>
            </w:r>
          </w:p>
        </w:tc>
      </w:tr>
      <w:tr>
        <w:tc>
          <w:tcPr/>
          <w:p>
            <w:pPr>
              <w:pStyle w:val="Compact"/>
              <w:jc w:val="left"/>
            </w:pPr>
            <w:r>
              <w:t xml:space="preserve">APPROVED</w:t>
            </w:r>
          </w:p>
        </w:tc>
        <w:tc>
          <w:tcPr/>
          <w:p>
            <w:pPr>
              <w:pStyle w:val="Compact"/>
              <w:jc w:val="left"/>
            </w:pPr>
            <w:r>
              <w:t xml:space="preserve">Canon Steward has approved; merged to main</w:t>
            </w:r>
          </w:p>
        </w:tc>
        <w:tc>
          <w:tcPr/>
          <w:p>
            <w:pPr>
              <w:pStyle w:val="Compact"/>
              <w:jc w:val="left"/>
            </w:pPr>
            <w:r>
              <w:t xml:space="preserve">Canon Steward merges</w:t>
            </w:r>
          </w:p>
        </w:tc>
      </w:tr>
      <w:tr>
        <w:tc>
          <w:tcPr/>
          <w:p>
            <w:pPr>
              <w:pStyle w:val="Compact"/>
              <w:jc w:val="left"/>
            </w:pPr>
            <w:r>
              <w:t xml:space="preserve">CURRENT</w:t>
            </w:r>
          </w:p>
        </w:tc>
        <w:tc>
          <w:tcPr/>
          <w:p>
            <w:pPr>
              <w:pStyle w:val="Compact"/>
              <w:jc w:val="left"/>
            </w:pPr>
            <w:r>
              <w:t xml:space="preserve">Active, governing artifact</w:t>
            </w:r>
          </w:p>
        </w:tc>
        <w:tc>
          <w:tcPr/>
          <w:p>
            <w:pPr>
              <w:pStyle w:val="Compact"/>
              <w:jc w:val="left"/>
            </w:pPr>
            <w:r>
              <w:t xml:space="preserve">Automatic upon merge to main</w:t>
            </w:r>
          </w:p>
        </w:tc>
      </w:tr>
      <w:tr>
        <w:tc>
          <w:tcPr/>
          <w:p>
            <w:pPr>
              <w:pStyle w:val="Compact"/>
              <w:jc w:val="left"/>
            </w:pPr>
            <w:r>
              <w:t xml:space="preserve">DEPRECATED</w:t>
            </w:r>
          </w:p>
        </w:tc>
        <w:tc>
          <w:tcPr/>
          <w:p>
            <w:pPr>
              <w:pStyle w:val="Compact"/>
              <w:jc w:val="left"/>
            </w:pPr>
            <w:r>
              <w:t xml:space="preserve">Superseded by newer version; retained for history</w:t>
            </w:r>
          </w:p>
        </w:tc>
        <w:tc>
          <w:tcPr/>
          <w:p>
            <w:pPr>
              <w:pStyle w:val="Compact"/>
              <w:jc w:val="left"/>
            </w:pPr>
            <w:r>
              <w:t xml:space="preserve">Canon Steward marks</w:t>
            </w:r>
          </w:p>
        </w:tc>
      </w:tr>
    </w:tbl>
    <w:p>
      <w:pPr>
        <w:pStyle w:val="BodyText"/>
      </w:pPr>
      <w:r>
        <w:t xml:space="preserve">3. Phase 0: Platform Build (Weeks 1–3)</w:t>
      </w:r>
    </w:p>
    <w:p>
      <w:pPr>
        <w:pStyle w:val="BodyText"/>
      </w:pPr>
      <w:r>
        <w:rPr>
          <w:b/>
          <w:bCs/>
        </w:rPr>
        <w:t xml:space="preserve">Objective:</w:t>
      </w:r>
      <w:r>
        <w:t xml:space="preserve"> </w:t>
      </w:r>
      <w:r>
        <w:t xml:space="preserve">Deploy the Federal Modernization Program platform server — Gitea on Windows Server 2025 behind IIS reverse proxy, integrated with Active Directory LDAP and Entra ID OAuth2 — establishing the canonical repository that will govern all subsequent phases.</w:t>
      </w:r>
    </w:p>
    <w:p>
      <w:pPr>
        <w:pStyle w:val="BodyText"/>
      </w:pPr>
      <w:r>
        <w:rPr>
          <w:b/>
          <w:bCs/>
        </w:rPr>
        <w:t xml:space="preserve">Reference Documents:</w:t>
      </w:r>
      <w:r>
        <w:t xml:space="preserve"> </w:t>
      </w:r>
      <w:r>
        <w:t xml:space="preserve">the Federal Modernization Program Platform Server Build Guide — Windows Server 2025 with Gitea and IIS (primary), the Federal Modernization Program Git Infrastructure — Architecture Decision Record, the Federal Modernization Program CLI and Operations Guide, Git on Windows Server 2025 with IIS — Step-by-Step Implementation Guide.</w:t>
      </w:r>
    </w:p>
    <w:p>
      <w:pPr>
        <w:pStyle w:val="BodyText"/>
      </w:pPr>
      <w:r>
        <w:t xml:space="preserve">3.1 Phase 0 Milestone Table</w:t>
      </w:r>
    </w:p>
    <w:tbl>
      <w:tblPr>
        <w:tblStyle w:val="Table"/>
        <w:tblW w:type="pct" w:w="4949"/>
        <w:tblLayout w:type="fixed"/>
        <w:tblLook w:firstRow="1" w:lastRow="0" w:firstColumn="0" w:lastColumn="0" w:noHBand="0" w:noVBand="0" w:val="0020"/>
      </w:tblPr>
      <w:tblGrid>
        <w:gridCol w:w="360"/>
        <w:gridCol w:w="1320"/>
        <w:gridCol w:w="440"/>
        <w:gridCol w:w="2200"/>
        <w:gridCol w:w="2880"/>
        <w:gridCol w:w="640"/>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Gate Criteria</w:t>
            </w:r>
          </w:p>
        </w:tc>
        <w:tc>
          <w:tcPr/>
          <w:p>
            <w:pPr>
              <w:pStyle w:val="Compact"/>
              <w:jc w:val="left"/>
            </w:pPr>
            <w:r>
              <w:rPr>
                <w:b/>
                <w:bCs/>
              </w:rPr>
              <w:t xml:space="preserve">Owner</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W1</w:t>
            </w:r>
          </w:p>
        </w:tc>
        <w:tc>
          <w:tcPr/>
          <w:p>
            <w:pPr>
              <w:pStyle w:val="Compact"/>
              <w:jc w:val="left"/>
            </w:pPr>
            <w:r>
              <w:t xml:space="preserve">Windows Server 2025 base build</w:t>
            </w:r>
          </w:p>
        </w:tc>
        <w:tc>
          <w:tcPr/>
          <w:p>
            <w:pPr>
              <w:pStyle w:val="Compact"/>
              <w:jc w:val="left"/>
            </w:pPr>
            <w:r>
              <w:t xml:space="preserve">Server online, domain-joined, CIS L1 hardened, Windows Update current</w:t>
            </w:r>
          </w:p>
        </w:tc>
        <w:tc>
          <w:tcPr/>
          <w:p>
            <w:pPr>
              <w:pStyle w:val="Compact"/>
              <w:jc w:val="left"/>
            </w:pPr>
            <w:r>
              <w:t xml:space="preserve">Infra Lead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W2</w:t>
            </w:r>
          </w:p>
        </w:tc>
        <w:tc>
          <w:tcPr/>
          <w:p>
            <w:pPr>
              <w:pStyle w:val="Compact"/>
              <w:jc w:val="left"/>
            </w:pPr>
            <w:r>
              <w:t xml:space="preserve">Gitea running behind IIS reverse proxy on HTTPS</w:t>
            </w:r>
          </w:p>
        </w:tc>
        <w:tc>
          <w:tcPr/>
          <w:p>
            <w:pPr>
              <w:pStyle w:val="Compact"/>
              <w:jc w:val="left"/>
            </w:pPr>
            <w:r>
              <w:t xml:space="preserve">Clone/push/pull over HTTPS verified from workstation</w:t>
            </w:r>
          </w:p>
        </w:tc>
        <w:tc>
          <w:tcPr/>
          <w:p>
            <w:pPr>
              <w:pStyle w:val="Compact"/>
              <w:jc w:val="left"/>
            </w:pPr>
            <w:r>
              <w:t xml:space="preserve">Infra Lead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W2</w:t>
            </w:r>
          </w:p>
        </w:tc>
        <w:tc>
          <w:tcPr/>
          <w:p>
            <w:pPr>
              <w:pStyle w:val="Compact"/>
              <w:jc w:val="left"/>
            </w:pPr>
            <w:r>
              <w:t xml:space="preserve">Gitea authenticating against AD via LDAPS</w:t>
            </w:r>
          </w:p>
        </w:tc>
        <w:tc>
          <w:tcPr/>
          <w:p>
            <w:pPr>
              <w:pStyle w:val="Compact"/>
              <w:jc w:val="left"/>
            </w:pPr>
            <w:r>
              <w:t xml:space="preserve">AD users can login; CanonStewards group has admin role</w:t>
            </w:r>
          </w:p>
        </w:tc>
        <w:tc>
          <w:tcPr/>
          <w:p>
            <w:pPr>
              <w:pStyle w:val="Compact"/>
              <w:jc w:val="left"/>
            </w:pPr>
            <w:r>
              <w:t xml:space="preserve">Identity Lead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W3</w:t>
            </w:r>
          </w:p>
        </w:tc>
        <w:tc>
          <w:tcPr/>
          <w:p>
            <w:pPr>
              <w:pStyle w:val="Compact"/>
              <w:jc w:val="left"/>
            </w:pPr>
            <w:r>
              <w:t xml:space="preserve">Gitea SSO via Entra ID OIDC</w:t>
            </w:r>
          </w:p>
        </w:tc>
        <w:tc>
          <w:tcPr/>
          <w:p>
            <w:pPr>
              <w:pStyle w:val="Compact"/>
              <w:jc w:val="left"/>
            </w:pPr>
            <w:r>
              <w:t xml:space="preserve">Entra SSO login verified; MFA enforced for all Gitea sessions</w:t>
            </w:r>
          </w:p>
        </w:tc>
        <w:tc>
          <w:tcPr/>
          <w:p>
            <w:pPr>
              <w:pStyle w:val="Compact"/>
              <w:jc w:val="left"/>
            </w:pPr>
            <w:r>
              <w:t xml:space="preserve">Identity Lead</w:t>
            </w:r>
          </w:p>
        </w:tc>
      </w:tr>
      <w:tr>
        <w:tc>
          <w:tcPr/>
          <w:p>
            <w:pPr>
              <w:pStyle w:val="Compact"/>
              <w:jc w:val="left"/>
            </w:pPr>
            <w:r>
              <w:t xml:space="preserve">M-005</w:t>
            </w:r>
          </w:p>
        </w:tc>
        <w:tc>
          <w:tcPr/>
          <w:p>
            <w:pPr>
              <w:pStyle w:val="Compact"/>
              <w:jc w:val="left"/>
            </w:pPr>
            <w:r>
              <w:t xml:space="preserve">the Federal Modernization Program</w:t>
            </w:r>
          </w:p>
        </w:tc>
        <w:tc>
          <w:tcPr/>
          <w:p>
            <w:pPr>
              <w:pStyle w:val="Compact"/>
              <w:jc w:val="left"/>
            </w:pPr>
            <w:r>
              <w:t xml:space="preserve">repo mirro</w:t>
            </w:r>
          </w:p>
        </w:tc>
        <w:tc>
          <w:tcPr/>
          <w:p>
            <w:pPr>
              <w:pStyle w:val="Compact"/>
              <w:jc w:val="left"/>
            </w:pPr>
            <w:r>
              <w:t xml:space="preserve">red from GitHub W3 https://github.com/example</w:t>
            </w:r>
          </w:p>
        </w:tc>
        <w:tc>
          <w:tcPr/>
          <w:p>
            <w:pPr>
              <w:pStyle w:val="Compact"/>
              <w:jc w:val="left"/>
            </w:pPr>
            <w:r>
              <w:t xml:space="preserve">-org/fmp mirrored to Gitea All branches, tags, and full commit history</w:t>
            </w:r>
          </w:p>
        </w:tc>
        <w:tc>
          <w:tcPr/>
          <w:p>
            <w:pPr>
              <w:pStyle w:val="Compact"/>
              <w:jc w:val="left"/>
            </w:pPr>
            <w:r>
              <w:t xml:space="preserve">verified Canon Steward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W3</w:t>
            </w:r>
          </w:p>
        </w:tc>
        <w:tc>
          <w:tcPr/>
          <w:p>
            <w:pPr>
              <w:pStyle w:val="Compact"/>
              <w:jc w:val="left"/>
            </w:pPr>
            <w:r>
              <w:t xml:space="preserve">Pre-receive, post-receive, update hooks operational</w:t>
            </w:r>
          </w:p>
        </w:tc>
        <w:tc>
          <w:tcPr/>
          <w:p>
            <w:pPr>
              <w:pStyle w:val="Compact"/>
              <w:jc w:val="left"/>
            </w:pPr>
            <w:r>
              <w:t xml:space="preserve">FOUO rejection verified; branch protection enforced</w:t>
            </w:r>
          </w:p>
        </w:tc>
        <w:tc>
          <w:tcPr/>
          <w:p>
            <w:pPr>
              <w:pStyle w:val="Compact"/>
              <w:jc w:val="left"/>
            </w:pPr>
            <w:r>
              <w:t xml:space="preserve">Canon Steward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W3</w:t>
            </w:r>
          </w:p>
        </w:tc>
        <w:tc>
          <w:tcPr/>
          <w:p>
            <w:pPr>
              <w:pStyle w:val="Compact"/>
              <w:jc w:val="left"/>
            </w:pPr>
            <w:r>
              <w:t xml:space="preserve">Server enrolled in Azure Arc with resource tags</w:t>
            </w:r>
          </w:p>
        </w:tc>
        <w:tc>
          <w:tcPr/>
          <w:p>
            <w:pPr>
              <w:pStyle w:val="Compact"/>
              <w:jc w:val="left"/>
            </w:pPr>
            <w:r>
              <w:t xml:space="preserve">Arc agent heartbeat confirmed; Azure policies</w:t>
            </w:r>
          </w:p>
        </w:tc>
        <w:tc>
          <w:tcPr/>
          <w:p>
            <w:pPr>
              <w:pStyle w:val="Compact"/>
              <w:jc w:val="left"/>
            </w:pPr>
            <w:r>
              <w:t xml:space="preserve">assigned Infra Lead</w:t>
            </w:r>
          </w:p>
        </w:tc>
      </w:tr>
    </w:tbl>
    <w:p>
      <w:pPr>
        <w:pStyle w:val="BodyText"/>
      </w:pPr>
      <w:r>
        <w:t xml:space="preserve">3.2 Detailed Task Breakdown</w:t>
      </w:r>
    </w:p>
    <w:p>
      <w:pPr>
        <w:pStyle w:val="BodyText"/>
      </w:pPr>
      <w:r>
        <w:t xml:space="preserve">M-001 — Server Provisioned (Week 1)</w:t>
      </w:r>
    </w:p>
    <w:tbl>
      <w:tblPr>
        <w:tblStyle w:val="Table"/>
        <w:tblW w:type="pct" w:w="4944"/>
        <w:tblLayout w:type="fixed"/>
        <w:tblLook w:firstRow="1" w:lastRow="0" w:firstColumn="0" w:lastColumn="0" w:noHBand="0" w:noVBand="0" w:val="0020"/>
      </w:tblPr>
      <w:tblGrid>
        <w:gridCol w:w="489"/>
        <w:gridCol w:w="4315"/>
        <w:gridCol w:w="533"/>
        <w:gridCol w:w="1023"/>
        <w:gridCol w:w="14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T-001.1</w:t>
            </w:r>
          </w:p>
        </w:tc>
        <w:tc>
          <w:tcPr/>
          <w:p>
            <w:pPr>
              <w:pStyle w:val="Compact"/>
              <w:jc w:val="left"/>
            </w:pPr>
            <w:r>
              <w:t xml:space="preserve">Provision VM or physical server: 4 vCPU, 8 GB RAM, 100 GB SSD, Windows Server 2025 Standard</w:t>
            </w:r>
          </w:p>
        </w:tc>
        <w:tc>
          <w:tcPr/>
          <w:p>
            <w:pPr>
              <w:pStyle w:val="Compact"/>
              <w:jc w:val="left"/>
            </w:pPr>
            <w:r>
              <w:t xml:space="preserve">4h</w:t>
            </w:r>
          </w:p>
        </w:tc>
        <w:tc>
          <w:tcPr/>
          <w:p>
            <w:pPr>
              <w:pStyle w:val="Compact"/>
              <w:jc w:val="left"/>
            </w:pPr>
            <w:r>
              <w:t xml:space="preserve">Hardware/VM approval</w:t>
            </w:r>
          </w:p>
        </w:tc>
        <w:tc>
          <w:tcPr/>
          <w:p>
            <w:pPr>
              <w:pStyle w:val="Compact"/>
              <w:jc w:val="left"/>
            </w:pPr>
            <w:r>
              <w:t xml:space="preserve">Platform Server Build Guide §2</w:t>
            </w:r>
          </w:p>
        </w:tc>
      </w:tr>
      <w:tr>
        <w:tc>
          <w:tcPr/>
          <w:p>
            <w:pPr>
              <w:pStyle w:val="Compact"/>
              <w:jc w:val="left"/>
            </w:pPr>
            <w:r>
              <w:t xml:space="preserve">T-001.2</w:t>
            </w:r>
          </w:p>
        </w:tc>
        <w:tc>
          <w:tcPr/>
          <w:p>
            <w:pPr>
              <w:pStyle w:val="Compact"/>
              <w:jc w:val="left"/>
            </w:pPr>
            <w:r>
              <w:t xml:space="preserve">Join to Active Directory domain, place in designated OU, verify DNS registration</w:t>
            </w:r>
          </w:p>
        </w:tc>
        <w:tc>
          <w:tcPr/>
          <w:p>
            <w:pPr>
              <w:pStyle w:val="Compact"/>
              <w:jc w:val="left"/>
            </w:pPr>
            <w:r>
              <w:t xml:space="preserve">2h</w:t>
            </w:r>
          </w:p>
        </w:tc>
        <w:tc>
          <w:tcPr/>
          <w:p>
            <w:pPr>
              <w:pStyle w:val="Compact"/>
              <w:jc w:val="left"/>
            </w:pPr>
            <w:r>
              <w:t xml:space="preserve">T-001.1</w:t>
            </w:r>
          </w:p>
        </w:tc>
        <w:tc>
          <w:tcPr/>
          <w:p>
            <w:pPr>
              <w:pStyle w:val="Compact"/>
              <w:jc w:val="left"/>
            </w:pPr>
            <w:r>
              <w:t xml:space="preserve">Platform Server Build Guide §3</w:t>
            </w:r>
          </w:p>
        </w:tc>
      </w:tr>
      <w:tr>
        <w:tc>
          <w:tcPr/>
          <w:p>
            <w:pPr>
              <w:pStyle w:val="Compact"/>
              <w:jc w:val="left"/>
            </w:pPr>
            <w:r>
              <w:t xml:space="preserve">T-001.3</w:t>
            </w:r>
          </w:p>
        </w:tc>
        <w:tc>
          <w:tcPr/>
          <w:p>
            <w:pPr>
              <w:pStyle w:val="Compact"/>
              <w:jc w:val="left"/>
            </w:pPr>
            <w:r>
              <w:t xml:space="preserve">Apply CIS Level 1 hardening baseline, disable unnecessary services, configure Windows Firewall</w:t>
            </w:r>
          </w:p>
        </w:tc>
        <w:tc>
          <w:tcPr/>
          <w:p>
            <w:pPr>
              <w:pStyle w:val="Compact"/>
              <w:jc w:val="left"/>
            </w:pPr>
            <w:r>
              <w:t xml:space="preserve">4h</w:t>
            </w:r>
          </w:p>
        </w:tc>
        <w:tc>
          <w:tcPr/>
          <w:p>
            <w:pPr>
              <w:pStyle w:val="Compact"/>
              <w:jc w:val="left"/>
            </w:pPr>
            <w:r>
              <w:t xml:space="preserve">T-001.2</w:t>
            </w:r>
          </w:p>
        </w:tc>
        <w:tc>
          <w:tcPr/>
          <w:p>
            <w:pPr>
              <w:pStyle w:val="Compact"/>
              <w:jc w:val="left"/>
            </w:pPr>
            <w:r>
              <w:t xml:space="preserve">Platform Server Build Guide §4</w:t>
            </w:r>
          </w:p>
        </w:tc>
      </w:tr>
      <w:tr>
        <w:tc>
          <w:tcPr/>
          <w:p>
            <w:pPr>
              <w:pStyle w:val="Compact"/>
              <w:jc w:val="left"/>
            </w:pPr>
            <w:r>
              <w:t xml:space="preserve">T-001.4</w:t>
            </w:r>
          </w:p>
        </w:tc>
        <w:tc>
          <w:tcPr/>
          <w:p>
            <w:pPr>
              <w:pStyle w:val="Compact"/>
              <w:jc w:val="left"/>
            </w:pPr>
            <w:r>
              <w:t xml:space="preserve">Install Windows Updates, enable automatic update schedule, configure WSUS if applicable</w:t>
            </w:r>
          </w:p>
        </w:tc>
        <w:tc>
          <w:tcPr/>
          <w:p>
            <w:pPr>
              <w:pStyle w:val="Compact"/>
              <w:jc w:val="left"/>
            </w:pPr>
            <w:r>
              <w:t xml:space="preserve">2h</w:t>
            </w:r>
          </w:p>
        </w:tc>
        <w:tc>
          <w:tcPr/>
          <w:p>
            <w:pPr>
              <w:pStyle w:val="Compact"/>
              <w:jc w:val="left"/>
            </w:pPr>
            <w:r>
              <w:t xml:space="preserve">T-001.3</w:t>
            </w:r>
          </w:p>
        </w:tc>
        <w:tc>
          <w:tcPr/>
          <w:p>
            <w:pPr>
              <w:pStyle w:val="Compact"/>
              <w:jc w:val="left"/>
            </w:pPr>
            <w:r>
              <w:t xml:space="preserve">Platform Server Build Guide §4</w:t>
            </w:r>
          </w:p>
        </w:tc>
      </w:tr>
      <w:tr>
        <w:tc>
          <w:tcPr/>
          <w:p>
            <w:pPr>
              <w:pStyle w:val="Compact"/>
              <w:jc w:val="left"/>
            </w:pPr>
            <w:r>
              <w:t xml:space="preserve">T-001.5</w:t>
            </w:r>
          </w:p>
        </w:tc>
        <w:tc>
          <w:tcPr/>
          <w:p>
            <w:pPr>
              <w:pStyle w:val="Compact"/>
              <w:jc w:val="left"/>
            </w:pPr>
            <w:r>
              <w:t xml:space="preserve">Create D:\FMP directory structure, configure NTFS permissions for Gitea service account 1</w:t>
            </w:r>
          </w:p>
        </w:tc>
        <w:tc>
          <w:tcPr/>
          <w:p>
            <w:pPr>
              <w:pStyle w:val="Compact"/>
              <w:jc w:val="left"/>
            </w:pPr>
            <w:r>
              <w:t xml:space="preserve">h T</w:t>
            </w:r>
          </w:p>
        </w:tc>
        <w:tc>
          <w:tcPr/>
          <w:p>
            <w:pPr>
              <w:pStyle w:val="Compact"/>
              <w:jc w:val="left"/>
            </w:pPr>
            <w:r>
              <w:t xml:space="preserve">-001.2 P</w:t>
            </w:r>
          </w:p>
        </w:tc>
        <w:tc>
          <w:tcPr/>
          <w:p>
            <w:pPr>
              <w:pStyle w:val="Compact"/>
              <w:jc w:val="left"/>
            </w:pPr>
            <w:r>
              <w:t xml:space="preserve">latform Server Build Guide §5</w:t>
            </w:r>
          </w:p>
        </w:tc>
      </w:tr>
    </w:tbl>
    <w:p>
      <w:pPr>
        <w:pStyle w:val="BodyText"/>
      </w:pPr>
      <w:r>
        <w:t xml:space="preserve">M-002 — IIS + Gitea Operational (Week 2)</w:t>
      </w:r>
    </w:p>
    <w:tbl>
      <w:tblPr>
        <w:tblStyle w:val="Table"/>
        <w:tblW w:type="pct" w:w="4955"/>
        <w:tblLayout w:type="fixed"/>
        <w:tblLook w:firstRow="1" w:lastRow="0" w:firstColumn="0" w:lastColumn="0" w:noHBand="0" w:noVBand="0" w:val="0020"/>
      </w:tblPr>
      <w:tblGrid>
        <w:gridCol w:w="396"/>
        <w:gridCol w:w="3744"/>
        <w:gridCol w:w="432"/>
        <w:gridCol w:w="1116"/>
        <w:gridCol w:w="216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T-002.1</w:t>
            </w:r>
          </w:p>
        </w:tc>
        <w:tc>
          <w:tcPr/>
          <w:p>
            <w:pPr>
              <w:pStyle w:val="Compact"/>
              <w:jc w:val="left"/>
            </w:pPr>
            <w:r>
              <w:t xml:space="preserve">Install IIS with URL Rewrite and Application Request Routing (ARR) modules</w:t>
            </w:r>
          </w:p>
        </w:tc>
        <w:tc>
          <w:tcPr/>
          <w:p>
            <w:pPr>
              <w:pStyle w:val="Compact"/>
              <w:jc w:val="left"/>
            </w:pPr>
            <w:r>
              <w:t xml:space="preserve">2h</w:t>
            </w:r>
          </w:p>
        </w:tc>
        <w:tc>
          <w:tcPr/>
          <w:p>
            <w:pPr>
              <w:pStyle w:val="Compact"/>
              <w:jc w:val="left"/>
            </w:pPr>
            <w:r>
              <w:t xml:space="preserve">M-001</w:t>
            </w:r>
          </w:p>
        </w:tc>
        <w:tc>
          <w:tcPr/>
          <w:p>
            <w:pPr>
              <w:pStyle w:val="Compact"/>
              <w:jc w:val="left"/>
            </w:pPr>
            <w:r>
              <w:t xml:space="preserve">Git on Windows Server 2025 with IIS Guide §3</w:t>
            </w:r>
          </w:p>
        </w:tc>
      </w:tr>
      <w:tr>
        <w:tc>
          <w:tcPr/>
          <w:p>
            <w:pPr>
              <w:pStyle w:val="Compact"/>
              <w:jc w:val="left"/>
            </w:pPr>
            <w:r>
              <w:t xml:space="preserve">T-002.2</w:t>
            </w:r>
          </w:p>
        </w:tc>
        <w:tc>
          <w:tcPr/>
          <w:p>
            <w:pPr>
              <w:pStyle w:val="Compact"/>
              <w:jc w:val="left"/>
            </w:pPr>
            <w:r>
              <w:t xml:space="preserve">Obtain and bind TLS certificate for git.example.internal; configure HTTPS binding on port 443</w:t>
            </w:r>
          </w:p>
        </w:tc>
        <w:tc>
          <w:tcPr/>
          <w:p>
            <w:pPr>
              <w:pStyle w:val="Compact"/>
              <w:jc w:val="left"/>
            </w:pPr>
            <w:r>
              <w:t xml:space="preserve">3h</w:t>
            </w:r>
          </w:p>
        </w:tc>
        <w:tc>
          <w:tcPr/>
          <w:p>
            <w:pPr>
              <w:pStyle w:val="Compact"/>
              <w:jc w:val="left"/>
            </w:pPr>
            <w:r>
              <w:t xml:space="preserve">T-002.1, internal CA or A</w:t>
            </w:r>
          </w:p>
        </w:tc>
        <w:tc>
          <w:tcPr/>
          <w:p>
            <w:pPr>
              <w:pStyle w:val="Compact"/>
              <w:jc w:val="left"/>
            </w:pPr>
            <w:r>
              <w:t xml:space="preserve">DCS Platform Server Build Guide §7</w:t>
            </w:r>
          </w:p>
        </w:tc>
      </w:tr>
      <w:tr>
        <w:tc>
          <w:tcPr/>
          <w:p>
            <w:pPr>
              <w:pStyle w:val="Compact"/>
              <w:jc w:val="left"/>
            </w:pPr>
            <w:r>
              <w:t xml:space="preserve">T-002.3</w:t>
            </w:r>
          </w:p>
        </w:tc>
        <w:tc>
          <w:tcPr/>
          <w:p>
            <w:pPr>
              <w:pStyle w:val="Compact"/>
              <w:jc w:val="left"/>
            </w:pPr>
            <w:r>
              <w:t xml:space="preserve">Download Gitea binary, install as Windows service, generate app.ini with PostgreSQL backend (DB_TYPE = p</w:t>
            </w:r>
          </w:p>
        </w:tc>
        <w:tc>
          <w:tcPr/>
          <w:p>
            <w:pPr>
              <w:pStyle w:val="Compact"/>
              <w:jc w:val="left"/>
            </w:pPr>
            <w:r>
              <w:t xml:space="preserve">ostgres, pg0</w:t>
            </w:r>
          </w:p>
        </w:tc>
        <w:tc>
          <w:tcPr/>
          <w:p>
            <w:pPr>
              <w:pStyle w:val="Compact"/>
              <w:jc w:val="left"/>
            </w:pPr>
            <w:r>
              <w:t xml:space="preserve">1.corp.contoso.com, database fm</w:t>
            </w:r>
          </w:p>
        </w:tc>
        <w:tc>
          <w:tcPr/>
          <w:p>
            <w:pPr>
              <w:pStyle w:val="Compact"/>
              <w:jc w:val="left"/>
            </w:pPr>
            <w:r>
              <w:t xml:space="preserve">p_gitea) 4h T-002.1 Platform Server Build Guide §6</w:t>
            </w:r>
          </w:p>
        </w:tc>
      </w:tr>
      <w:tr>
        <w:tc>
          <w:tcPr/>
          <w:p>
            <w:pPr>
              <w:pStyle w:val="Compact"/>
              <w:jc w:val="left"/>
            </w:pPr>
            <w:r>
              <w:t xml:space="preserve">T-002.4</w:t>
            </w:r>
          </w:p>
        </w:tc>
        <w:tc>
          <w:tcPr/>
          <w:p>
            <w:pPr>
              <w:pStyle w:val="Compact"/>
              <w:jc w:val="left"/>
            </w:pPr>
            <w:r>
              <w:t xml:space="preserve">Configure IIS reverse proxy (web.config) routing port 443 → Gitea localhost:3000</w:t>
            </w:r>
          </w:p>
        </w:tc>
        <w:tc>
          <w:tcPr/>
          <w:p>
            <w:pPr>
              <w:pStyle w:val="Compact"/>
              <w:jc w:val="left"/>
            </w:pPr>
            <w:r>
              <w:t xml:space="preserve">3h</w:t>
            </w:r>
          </w:p>
        </w:tc>
        <w:tc>
          <w:tcPr/>
          <w:p>
            <w:pPr>
              <w:pStyle w:val="Compact"/>
              <w:jc w:val="left"/>
            </w:pPr>
            <w:r>
              <w:t xml:space="preserve">T-002.2, T-002.3</w:t>
            </w:r>
          </w:p>
        </w:tc>
        <w:tc>
          <w:tcPr/>
          <w:p>
            <w:pPr>
              <w:pStyle w:val="Compact"/>
              <w:jc w:val="left"/>
            </w:pPr>
            <w:r>
              <w:t xml:space="preserve">Platform Server Build Guide §8, Git Infrastructure ADR §4</w:t>
            </w:r>
          </w:p>
        </w:tc>
      </w:tr>
      <w:tr>
        <w:tc>
          <w:tcPr/>
          <w:p>
            <w:pPr>
              <w:pStyle w:val="Compact"/>
              <w:jc w:val="left"/>
            </w:pPr>
            <w:r>
              <w:t xml:space="preserve">T-002.5</w:t>
            </w:r>
          </w:p>
        </w:tc>
        <w:tc>
          <w:tcPr/>
          <w:p>
            <w:pPr>
              <w:pStyle w:val="Compact"/>
              <w:jc w:val="left"/>
            </w:pPr>
            <w:r>
              <w:t xml:space="preserve">Validate end-to-end: clone, commit, push, pull via HTTPS from remote workstation</w:t>
            </w:r>
          </w:p>
        </w:tc>
        <w:tc>
          <w:tcPr/>
          <w:p>
            <w:pPr>
              <w:pStyle w:val="Compact"/>
              <w:jc w:val="left"/>
            </w:pPr>
            <w:r>
              <w:t xml:space="preserve">2h</w:t>
            </w:r>
          </w:p>
        </w:tc>
        <w:tc>
          <w:tcPr/>
          <w:p>
            <w:pPr>
              <w:pStyle w:val="Compact"/>
              <w:jc w:val="left"/>
            </w:pPr>
            <w:r>
              <w:t xml:space="preserve">T-002.4</w:t>
            </w:r>
          </w:p>
        </w:tc>
        <w:tc>
          <w:tcPr/>
          <w:p>
            <w:pPr>
              <w:pStyle w:val="Compact"/>
              <w:jc w:val="left"/>
            </w:pPr>
            <w:r>
              <w:t xml:space="preserve">CLI and Operations Guide §3</w:t>
            </w:r>
          </w:p>
        </w:tc>
      </w:tr>
    </w:tbl>
    <w:p>
      <w:pPr>
        <w:pStyle w:val="BodyText"/>
      </w:pPr>
      <w:r>
        <w:t xml:space="preserve">M-003 — AD LDAP Auth Configured (Week 2)</w:t>
      </w:r>
    </w:p>
    <w:tbl>
      <w:tblPr>
        <w:tblStyle w:val="Table"/>
        <w:tblW w:type="pct" w:w="4943"/>
        <w:tblLayout w:type="fixed"/>
        <w:tblLook w:firstRow="1" w:lastRow="0" w:firstColumn="0" w:lastColumn="0" w:noHBand="0" w:noVBand="0" w:val="0020"/>
      </w:tblPr>
      <w:tblGrid>
        <w:gridCol w:w="500"/>
        <w:gridCol w:w="4369"/>
        <w:gridCol w:w="546"/>
        <w:gridCol w:w="864"/>
        <w:gridCol w:w="1547"/>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T-003.1</w:t>
            </w:r>
          </w:p>
        </w:tc>
        <w:tc>
          <w:tcPr/>
          <w:p>
            <w:pPr>
              <w:pStyle w:val="Compact"/>
              <w:jc w:val="left"/>
            </w:pPr>
            <w:r>
              <w:t xml:space="preserve">Create LDAP bind service account in AD with read-only access to user objects</w:t>
            </w:r>
          </w:p>
        </w:tc>
        <w:tc>
          <w:tcPr/>
          <w:p>
            <w:pPr>
              <w:pStyle w:val="Compact"/>
              <w:jc w:val="left"/>
            </w:pPr>
            <w:r>
              <w:t xml:space="preserve">1h</w:t>
            </w:r>
          </w:p>
        </w:tc>
        <w:tc>
          <w:tcPr/>
          <w:p>
            <w:pPr>
              <w:pStyle w:val="Compact"/>
              <w:jc w:val="left"/>
            </w:pPr>
            <w:r>
              <w:t xml:space="preserve">None</w:t>
            </w:r>
          </w:p>
        </w:tc>
        <w:tc>
          <w:tcPr/>
          <w:p>
            <w:pPr>
              <w:pStyle w:val="Compact"/>
              <w:jc w:val="left"/>
            </w:pPr>
            <w:r>
              <w:t xml:space="preserve">Platform Server Build Guide §9</w:t>
            </w:r>
          </w:p>
        </w:tc>
      </w:tr>
      <w:tr>
        <w:tc>
          <w:tcPr/>
          <w:p>
            <w:pPr>
              <w:pStyle w:val="Compact"/>
              <w:jc w:val="left"/>
            </w:pPr>
            <w:r>
              <w:t xml:space="preserve">T-003.2</w:t>
            </w:r>
          </w:p>
        </w:tc>
        <w:tc>
          <w:tcPr/>
          <w:p>
            <w:pPr>
              <w:pStyle w:val="Compact"/>
              <w:jc w:val="left"/>
            </w:pPr>
            <w:r>
              <w:t xml:space="preserve">Configure Gitea LDAP authentication source with LDAPS (port 636), base DN, and user filter</w:t>
            </w:r>
          </w:p>
        </w:tc>
        <w:tc>
          <w:tcPr/>
          <w:p>
            <w:pPr>
              <w:pStyle w:val="Compact"/>
              <w:jc w:val="left"/>
            </w:pPr>
            <w:r>
              <w:t xml:space="preserve">2h</w:t>
            </w:r>
          </w:p>
        </w:tc>
        <w:tc>
          <w:tcPr/>
          <w:p>
            <w:pPr>
              <w:pStyle w:val="Compact"/>
              <w:jc w:val="left"/>
            </w:pPr>
            <w:r>
              <w:t xml:space="preserve">T-002.3, T-003.1</w:t>
            </w:r>
          </w:p>
        </w:tc>
        <w:tc>
          <w:tcPr/>
          <w:p>
            <w:pPr>
              <w:pStyle w:val="Compact"/>
              <w:jc w:val="left"/>
            </w:pPr>
            <w:r>
              <w:t xml:space="preserve">Platform Server Build Guide §9</w:t>
            </w:r>
          </w:p>
        </w:tc>
      </w:tr>
      <w:tr>
        <w:tc>
          <w:tcPr/>
          <w:p>
            <w:pPr>
              <w:pStyle w:val="Compact"/>
              <w:jc w:val="left"/>
            </w:pPr>
            <w:r>
              <w:t xml:space="preserve">T-003.3</w:t>
            </w:r>
          </w:p>
        </w:tc>
        <w:tc>
          <w:tcPr/>
          <w:p>
            <w:pPr>
              <w:pStyle w:val="Compact"/>
              <w:jc w:val="left"/>
            </w:pPr>
            <w:r>
              <w:t xml:space="preserve">Map AD group CanonStewards to Gitea admin role via group filter</w:t>
            </w:r>
          </w:p>
        </w:tc>
        <w:tc>
          <w:tcPr/>
          <w:p>
            <w:pPr>
              <w:pStyle w:val="Compact"/>
              <w:jc w:val="left"/>
            </w:pPr>
            <w:r>
              <w:t xml:space="preserve">1h</w:t>
            </w:r>
          </w:p>
        </w:tc>
        <w:tc>
          <w:tcPr/>
          <w:p>
            <w:pPr>
              <w:pStyle w:val="Compact"/>
              <w:jc w:val="left"/>
            </w:pPr>
            <w:r>
              <w:t xml:space="preserve">T-003.2</w:t>
            </w:r>
          </w:p>
        </w:tc>
        <w:tc>
          <w:tcPr/>
          <w:p>
            <w:pPr>
              <w:pStyle w:val="Compact"/>
              <w:jc w:val="left"/>
            </w:pPr>
            <w:r>
              <w:t xml:space="preserve">Platform Server Build Guide §9</w:t>
            </w:r>
          </w:p>
        </w:tc>
      </w:tr>
      <w:tr>
        <w:tc>
          <w:tcPr/>
          <w:p>
            <w:pPr>
              <w:pStyle w:val="Compact"/>
              <w:jc w:val="left"/>
            </w:pPr>
            <w:r>
              <w:t xml:space="preserve">T-003.4</w:t>
            </w:r>
          </w:p>
        </w:tc>
        <w:tc>
          <w:tcPr/>
          <w:p>
            <w:pPr>
              <w:pStyle w:val="Compact"/>
              <w:jc w:val="left"/>
            </w:pPr>
            <w:r>
              <w:t xml:space="preserve">Test login with three AD accounts (admin, contributor, read-only) and verify role assignments</w:t>
            </w:r>
          </w:p>
        </w:tc>
        <w:tc>
          <w:tcPr/>
          <w:p>
            <w:pPr>
              <w:pStyle w:val="Compact"/>
              <w:jc w:val="left"/>
            </w:pPr>
            <w:r>
              <w:t xml:space="preserve">1h</w:t>
            </w:r>
          </w:p>
        </w:tc>
        <w:tc>
          <w:tcPr/>
          <w:p>
            <w:pPr>
              <w:pStyle w:val="Compact"/>
              <w:jc w:val="left"/>
            </w:pPr>
            <w:r>
              <w:t xml:space="preserve">T-003.3</w:t>
            </w:r>
          </w:p>
        </w:tc>
        <w:tc>
          <w:tcPr/>
          <w:p>
            <w:pPr>
              <w:pStyle w:val="Compact"/>
              <w:jc w:val="left"/>
            </w:pPr>
            <w:r>
              <w:t xml:space="preserve">Platform Server Build Guide §10</w:t>
            </w:r>
          </w:p>
        </w:tc>
      </w:tr>
    </w:tbl>
    <w:p>
      <w:pPr>
        <w:pStyle w:val="BodyText"/>
      </w:pPr>
      <w:r>
        <w:t xml:space="preserve">M-004 — Entra ID OAuth2 Configured (Week 3)</w:t>
      </w:r>
    </w:p>
    <w:tbl>
      <w:tblPr>
        <w:tblStyle w:val="Table"/>
        <w:tblW w:type="pct" w:w="4946"/>
        <w:tblLayout w:type="fixed"/>
        <w:tblLook w:firstRow="1" w:lastRow="0" w:firstColumn="0" w:lastColumn="0" w:noHBand="0" w:noVBand="0" w:val="0020"/>
      </w:tblPr>
      <w:tblGrid>
        <w:gridCol w:w="473"/>
        <w:gridCol w:w="4046"/>
        <w:gridCol w:w="516"/>
        <w:gridCol w:w="1334"/>
        <w:gridCol w:w="146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T-004.1</w:t>
            </w:r>
          </w:p>
        </w:tc>
        <w:tc>
          <w:tcPr/>
          <w:p>
            <w:pPr>
              <w:pStyle w:val="Compact"/>
              <w:jc w:val="left"/>
            </w:pPr>
            <w:r>
              <w:t xml:space="preserve">Register Gitea as an Enterprise Application in Entra ID; configure redirect URIs</w:t>
            </w:r>
          </w:p>
        </w:tc>
        <w:tc>
          <w:tcPr/>
          <w:p>
            <w:pPr>
              <w:pStyle w:val="Compact"/>
              <w:jc w:val="left"/>
            </w:pPr>
            <w:r>
              <w:t xml:space="preserve">2h</w:t>
            </w:r>
          </w:p>
        </w:tc>
        <w:tc>
          <w:tcPr/>
          <w:p>
            <w:pPr>
              <w:pStyle w:val="Compact"/>
              <w:jc w:val="left"/>
            </w:pPr>
            <w:r>
              <w:t xml:space="preserve">Entra ID Global Admin access</w:t>
            </w:r>
          </w:p>
        </w:tc>
        <w:tc>
          <w:tcPr/>
          <w:p>
            <w:pPr>
              <w:pStyle w:val="Compact"/>
              <w:jc w:val="left"/>
            </w:pPr>
            <w:r>
              <w:t xml:space="preserve">Platform Server Build Guide §11</w:t>
            </w:r>
          </w:p>
        </w:tc>
      </w:tr>
      <w:tr>
        <w:tc>
          <w:tcPr/>
          <w:p>
            <w:pPr>
              <w:pStyle w:val="Compact"/>
              <w:jc w:val="left"/>
            </w:pPr>
            <w:r>
              <w:t xml:space="preserve">T-004.2</w:t>
            </w:r>
          </w:p>
        </w:tc>
        <w:tc>
          <w:tcPr/>
          <w:p>
            <w:pPr>
              <w:pStyle w:val="Compact"/>
              <w:jc w:val="left"/>
            </w:pPr>
            <w:r>
              <w:t xml:space="preserve">Configure Gitea OAuth2 authentication source with OIDC discovery endpoint, client ID/secret</w:t>
            </w:r>
          </w:p>
        </w:tc>
        <w:tc>
          <w:tcPr/>
          <w:p>
            <w:pPr>
              <w:pStyle w:val="Compact"/>
              <w:jc w:val="left"/>
            </w:pPr>
            <w:r>
              <w:t xml:space="preserve">2h</w:t>
            </w:r>
          </w:p>
        </w:tc>
        <w:tc>
          <w:tcPr/>
          <w:p>
            <w:pPr>
              <w:pStyle w:val="Compact"/>
              <w:jc w:val="left"/>
            </w:pPr>
            <w:r>
              <w:t xml:space="preserve">T-004.1, T-002.3</w:t>
            </w:r>
          </w:p>
        </w:tc>
        <w:tc>
          <w:tcPr/>
          <w:p>
            <w:pPr>
              <w:pStyle w:val="Compact"/>
              <w:jc w:val="left"/>
            </w:pPr>
            <w:r>
              <w:t xml:space="preserve">Platform Server Build Guide §11</w:t>
            </w:r>
          </w:p>
        </w:tc>
      </w:tr>
      <w:tr>
        <w:tc>
          <w:tcPr/>
          <w:p>
            <w:pPr>
              <w:pStyle w:val="Compact"/>
              <w:jc w:val="left"/>
            </w:pPr>
            <w:r>
              <w:t xml:space="preserve">T-004.3</w:t>
            </w:r>
          </w:p>
        </w:tc>
        <w:tc>
          <w:tcPr/>
          <w:p>
            <w:pPr>
              <w:pStyle w:val="Compact"/>
              <w:jc w:val="left"/>
            </w:pPr>
            <w:r>
              <w:t xml:space="preserve">Configure Conditional Access policy requiring MFA for Gitea app (report-only initially)</w:t>
            </w:r>
          </w:p>
        </w:tc>
        <w:tc>
          <w:tcPr/>
          <w:p>
            <w:pPr>
              <w:pStyle w:val="Compact"/>
              <w:jc w:val="left"/>
            </w:pPr>
            <w:r>
              <w:t xml:space="preserve">2h</w:t>
            </w:r>
          </w:p>
        </w:tc>
        <w:tc>
          <w:tcPr/>
          <w:p>
            <w:pPr>
              <w:pStyle w:val="Compact"/>
              <w:jc w:val="left"/>
            </w:pPr>
            <w:r>
              <w:t xml:space="preserve">T-004.1</w:t>
            </w:r>
          </w:p>
        </w:tc>
        <w:tc>
          <w:tcPr/>
          <w:p>
            <w:pPr>
              <w:pStyle w:val="Compact"/>
              <w:jc w:val="left"/>
            </w:pPr>
            <w:r>
              <w:t xml:space="preserve">Identity Modernization Guide §8</w:t>
            </w:r>
          </w:p>
        </w:tc>
      </w:tr>
      <w:tr>
        <w:tc>
          <w:tcPr/>
          <w:p>
            <w:pPr>
              <w:pStyle w:val="Compact"/>
              <w:jc w:val="left"/>
            </w:pPr>
            <w:r>
              <w:t xml:space="preserve">T-004.4</w:t>
            </w:r>
          </w:p>
        </w:tc>
        <w:tc>
          <w:tcPr/>
          <w:p>
            <w:pPr>
              <w:pStyle w:val="Compact"/>
              <w:jc w:val="left"/>
            </w:pPr>
            <w:r>
              <w:t xml:space="preserve">Validate SSO login flow, MFA prompt, and account linking between LDAP and OAuth2 identities</w:t>
            </w:r>
          </w:p>
        </w:tc>
        <w:tc>
          <w:tcPr/>
          <w:p>
            <w:pPr>
              <w:pStyle w:val="Compact"/>
              <w:jc w:val="left"/>
            </w:pPr>
            <w:r>
              <w:t xml:space="preserve">2h</w:t>
            </w:r>
          </w:p>
        </w:tc>
        <w:tc>
          <w:tcPr/>
          <w:p>
            <w:pPr>
              <w:pStyle w:val="Compact"/>
              <w:jc w:val="left"/>
            </w:pPr>
            <w:r>
              <w:t xml:space="preserve">T-004.2, T-004.3</w:t>
            </w:r>
          </w:p>
        </w:tc>
        <w:tc>
          <w:tcPr/>
          <w:p>
            <w:pPr>
              <w:pStyle w:val="Compact"/>
              <w:jc w:val="left"/>
            </w:pPr>
            <w:r>
              <w:t xml:space="preserve">Platform Server Build Guide §11</w:t>
            </w:r>
          </w:p>
        </w:tc>
      </w:tr>
    </w:tbl>
    <w:p>
      <w:pPr>
        <w:pStyle w:val="BodyText"/>
      </w:pPr>
      <w:r>
        <w:t xml:space="preserve">M-005 — the Federal Modernization Program Repo Mirrored (Week 3)</w:t>
      </w:r>
    </w:p>
    <w:tbl>
      <w:tblPr>
        <w:tblStyle w:val="Table"/>
        <w:tblW w:type="pct" w:w="4943"/>
        <w:tblLayout w:type="fixed"/>
        <w:tblLook w:firstRow="1" w:lastRow="0" w:firstColumn="0" w:lastColumn="0" w:noHBand="0" w:noVBand="0" w:val="0020"/>
      </w:tblPr>
      <w:tblGrid>
        <w:gridCol w:w="495"/>
        <w:gridCol w:w="4275"/>
        <w:gridCol w:w="540"/>
        <w:gridCol w:w="1170"/>
        <w:gridCol w:w="135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T-005.1</w:t>
            </w:r>
          </w:p>
        </w:tc>
        <w:tc>
          <w:tcPr/>
          <w:p>
            <w:pPr>
              <w:pStyle w:val="Compact"/>
              <w:jc w:val="left"/>
            </w:pPr>
            <w:r>
              <w:t xml:space="preserve">Create the Federal Modernization Program organization in Gitea with team structure (CanonStewar</w:t>
            </w:r>
          </w:p>
        </w:tc>
        <w:tc>
          <w:tcPr/>
          <w:p>
            <w:pPr>
              <w:pStyle w:val="Compact"/>
              <w:jc w:val="left"/>
            </w:pPr>
            <w:r>
              <w:t xml:space="preserve">ds, Contribu</w:t>
            </w:r>
          </w:p>
        </w:tc>
        <w:tc>
          <w:tcPr/>
          <w:p>
            <w:pPr>
              <w:pStyle w:val="Compact"/>
              <w:jc w:val="left"/>
            </w:pPr>
            <w:r>
              <w:t xml:space="preserve">tors, Readers) 1h</w:t>
            </w:r>
          </w:p>
        </w:tc>
        <w:tc>
          <w:tcPr/>
          <w:p>
            <w:pPr>
              <w:pStyle w:val="Compact"/>
              <w:jc w:val="left"/>
            </w:pPr>
            <w:r>
              <w:t xml:space="preserve">M-002 CLI and Operations Guide §4</w:t>
            </w:r>
          </w:p>
        </w:tc>
      </w:tr>
      <w:tr>
        <w:tc>
          <w:tcPr/>
          <w:p>
            <w:pPr>
              <w:pStyle w:val="Compact"/>
              <w:jc w:val="left"/>
            </w:pPr>
            <w:r>
              <w:t xml:space="preserve">T-005.2</w:t>
            </w:r>
          </w:p>
        </w:tc>
        <w:tc>
          <w:tcPr/>
          <w:p>
            <w:pPr>
              <w:pStyle w:val="Compact"/>
              <w:jc w:val="left"/>
            </w:pPr>
            <w:r>
              <w:t xml:space="preserve">Configure Gitea mirror from https://github.com/example-org/fmp with scheduled sync</w:t>
            </w:r>
          </w:p>
        </w:tc>
        <w:tc>
          <w:tcPr/>
          <w:p>
            <w:pPr>
              <w:pStyle w:val="Compact"/>
              <w:jc w:val="left"/>
            </w:pPr>
            <w:r>
              <w:t xml:space="preserve">2h</w:t>
            </w:r>
          </w:p>
        </w:tc>
        <w:tc>
          <w:tcPr/>
          <w:p>
            <w:pPr>
              <w:pStyle w:val="Compact"/>
              <w:jc w:val="left"/>
            </w:pPr>
            <w:r>
              <w:t xml:space="preserve">T-005.1, outbound HTTPS</w:t>
            </w:r>
          </w:p>
        </w:tc>
        <w:tc>
          <w:tcPr/>
          <w:p>
            <w:pPr>
              <w:pStyle w:val="Compact"/>
              <w:jc w:val="left"/>
            </w:pPr>
            <w:r>
              <w:t xml:space="preserve">CLI and Operations Guide §5</w:t>
            </w:r>
          </w:p>
        </w:tc>
      </w:tr>
      <w:tr>
        <w:tc>
          <w:tcPr/>
          <w:p>
            <w:pPr>
              <w:pStyle w:val="Compact"/>
              <w:jc w:val="left"/>
            </w:pPr>
            <w:r>
              <w:t xml:space="preserve">T-005.3</w:t>
            </w:r>
          </w:p>
        </w:tc>
        <w:tc>
          <w:tcPr/>
          <w:p>
            <w:pPr>
              <w:pStyle w:val="Compact"/>
              <w:jc w:val="left"/>
            </w:pPr>
            <w:r>
              <w:t xml:space="preserve">Verify all branches, tags, and full commit history are present; validate commit count</w:t>
            </w:r>
          </w:p>
        </w:tc>
        <w:tc>
          <w:tcPr/>
          <w:p>
            <w:pPr>
              <w:pStyle w:val="Compact"/>
              <w:jc w:val="left"/>
            </w:pPr>
            <w:r>
              <w:t xml:space="preserve">1h</w:t>
            </w:r>
          </w:p>
        </w:tc>
        <w:tc>
          <w:tcPr/>
          <w:p>
            <w:pPr>
              <w:pStyle w:val="Compact"/>
              <w:jc w:val="left"/>
            </w:pPr>
            <w:r>
              <w:t xml:space="preserve">T-005.2</w:t>
            </w:r>
          </w:p>
        </w:tc>
        <w:tc>
          <w:tcPr/>
          <w:p>
            <w:pPr>
              <w:pStyle w:val="Compact"/>
              <w:jc w:val="left"/>
            </w:pPr>
            <w:r>
              <w:t xml:space="preserve">CLI and Operations Guide §5</w:t>
            </w:r>
          </w:p>
        </w:tc>
      </w:tr>
    </w:tbl>
    <w:p>
      <w:pPr>
        <w:pStyle w:val="BodyText"/>
      </w:pPr>
      <w:r>
        <w:t xml:space="preserve">M-006 — Governance Hooks Deployed (Week 3)</w:t>
      </w:r>
    </w:p>
    <w:tbl>
      <w:tblPr>
        <w:tblStyle w:val="Table"/>
        <w:tblW w:type="pct" w:w="4944"/>
        <w:tblLayout w:type="fixed"/>
        <w:tblLook w:firstRow="1" w:lastRow="0" w:firstColumn="0" w:lastColumn="0" w:noHBand="0" w:noVBand="0" w:val="0020"/>
      </w:tblPr>
      <w:tblGrid>
        <w:gridCol w:w="489"/>
        <w:gridCol w:w="4360"/>
        <w:gridCol w:w="533"/>
        <w:gridCol w:w="934"/>
        <w:gridCol w:w="1512"/>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T-006.1</w:t>
            </w:r>
          </w:p>
        </w:tc>
        <w:tc>
          <w:tcPr/>
          <w:p>
            <w:pPr>
              <w:pStyle w:val="Compact"/>
              <w:jc w:val="left"/>
            </w:pPr>
            <w:r>
              <w:t xml:space="preserve">Deploy pre-receive hook: reject commits containing FOUO markings, enforce commit message format</w:t>
            </w:r>
          </w:p>
        </w:tc>
        <w:tc>
          <w:tcPr/>
          <w:p>
            <w:pPr>
              <w:pStyle w:val="Compact"/>
              <w:jc w:val="left"/>
            </w:pPr>
            <w:r>
              <w:t xml:space="preserve">3h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T-006.2</w:t>
            </w:r>
          </w:p>
        </w:tc>
        <w:tc>
          <w:tcPr/>
          <w:p>
            <w:pPr>
              <w:pStyle w:val="Compact"/>
              <w:jc w:val="left"/>
            </w:pPr>
            <w:r>
              <w:t xml:space="preserve">Deploy update hook: enforce branch protection rules (main requires PR, no force push)</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T-006.3</w:t>
            </w:r>
          </w:p>
        </w:tc>
        <w:tc>
          <w:tcPr/>
          <w:p>
            <w:pPr>
              <w:pStyle w:val="Compact"/>
              <w:jc w:val="left"/>
            </w:pPr>
            <w:r>
              <w:t xml:space="preserve">Deploy post-receive hook: trigger notification on merge to main, update AssessmentManifest</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T-006.4</w:t>
            </w:r>
          </w:p>
        </w:tc>
        <w:tc>
          <w:tcPr/>
          <w:p>
            <w:pPr>
              <w:pStyle w:val="Compact"/>
              <w:jc w:val="left"/>
            </w:pPr>
            <w:r>
              <w:t xml:space="preserve">Test all hooks with known-good and known-bad commits; document test results</w:t>
            </w:r>
          </w:p>
        </w:tc>
        <w:tc>
          <w:tcPr/>
          <w:p>
            <w:pPr>
              <w:pStyle w:val="Compact"/>
              <w:jc w:val="left"/>
            </w:pPr>
            <w:r>
              <w:t xml:space="preserve">2h</w:t>
            </w:r>
          </w:p>
        </w:tc>
        <w:tc>
          <w:tcPr/>
          <w:p>
            <w:pPr>
              <w:pStyle w:val="Compact"/>
              <w:jc w:val="left"/>
            </w:pPr>
            <w:r>
              <w:t xml:space="preserve">T-006.1 – T-006.3</w:t>
            </w:r>
          </w:p>
        </w:tc>
        <w:tc>
          <w:tcPr/>
          <w:p>
            <w:pPr>
              <w:pStyle w:val="Compact"/>
              <w:jc w:val="left"/>
            </w:pPr>
            <w:r>
              <w:t xml:space="preserve">Platform Server Build Guide §12</w:t>
            </w:r>
          </w:p>
        </w:tc>
      </w:tr>
    </w:tbl>
    <w:p>
      <w:pPr>
        <w:pStyle w:val="BodyText"/>
      </w:pPr>
      <w:r>
        <w:t xml:space="preserve">M-007 — Azure Arc Enrollment (Week 3)</w:t>
      </w:r>
    </w:p>
    <w:tbl>
      <w:tblPr>
        <w:tblStyle w:val="Table"/>
        <w:tblW w:type="pct" w:w="4945"/>
        <w:tblLayout w:type="fixed"/>
        <w:tblLook w:firstRow="1" w:lastRow="0" w:firstColumn="0" w:lastColumn="0" w:noHBand="0" w:noVBand="0" w:val="0020"/>
      </w:tblPr>
      <w:tblGrid>
        <w:gridCol w:w="478"/>
        <w:gridCol w:w="3829"/>
        <w:gridCol w:w="522"/>
        <w:gridCol w:w="1218"/>
        <w:gridCol w:w="178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T-007.1</w:t>
            </w:r>
          </w:p>
        </w:tc>
        <w:tc>
          <w:tcPr/>
          <w:p>
            <w:pPr>
              <w:pStyle w:val="Compact"/>
              <w:jc w:val="left"/>
            </w:pPr>
            <w:r>
              <w:t xml:space="preserve">Install Azure Connected Machine agent on the Federal Modernization Program Git Server</w:t>
            </w:r>
          </w:p>
        </w:tc>
        <w:tc>
          <w:tcPr/>
          <w:p>
            <w:pPr>
              <w:pStyle w:val="Compact"/>
            </w:pPr>
          </w:p>
        </w:tc>
        <w:tc>
          <w:tcPr/>
          <w:p>
            <w:pPr>
              <w:pStyle w:val="Compact"/>
              <w:jc w:val="left"/>
            </w:pPr>
            <w:r>
              <w:t xml:space="preserve">1h</w:t>
            </w:r>
          </w:p>
        </w:tc>
        <w:tc>
          <w:tcPr/>
          <w:p>
            <w:pPr>
              <w:pStyle w:val="Compact"/>
              <w:jc w:val="left"/>
            </w:pPr>
            <w:r>
              <w:t xml:space="preserve">M-001, Azure subscription AD Computer Object Conversion Guide §8</w:t>
            </w:r>
          </w:p>
        </w:tc>
      </w:tr>
      <w:tr>
        <w:tc>
          <w:tcPr/>
          <w:p>
            <w:pPr>
              <w:pStyle w:val="Compact"/>
              <w:jc w:val="left"/>
            </w:pPr>
            <w:r>
              <w:t xml:space="preserve">T-007.2</w:t>
            </w:r>
          </w:p>
        </w:tc>
        <w:tc>
          <w:tcPr/>
          <w:p>
            <w:pPr>
              <w:pStyle w:val="Compact"/>
              <w:jc w:val="left"/>
            </w:pPr>
            <w:r>
              <w:t xml:space="preserve">Apply resource tags to Arc resource (Region, Site, Department, Role = GitServer)</w:t>
            </w:r>
          </w:p>
        </w:tc>
        <w:tc>
          <w:tcPr/>
          <w:p>
            <w:pPr>
              <w:pStyle w:val="Compact"/>
            </w:pPr>
          </w:p>
        </w:tc>
        <w:tc>
          <w:tcPr/>
          <w:p>
            <w:pPr>
              <w:pStyle w:val="Compact"/>
              <w:jc w:val="left"/>
            </w:pPr>
            <w:r>
              <w:t xml:space="preserve">1h T</w:t>
            </w:r>
          </w:p>
        </w:tc>
        <w:tc>
          <w:tcPr/>
          <w:p>
            <w:pPr>
              <w:pStyle w:val="Compact"/>
              <w:jc w:val="left"/>
            </w:pPr>
            <w:r>
              <w:t xml:space="preserve">-007.1 AD Computer Object Conversion Guide §2</w:t>
            </w:r>
          </w:p>
        </w:tc>
      </w:tr>
      <w:tr>
        <w:tc>
          <w:tcPr/>
          <w:p>
            <w:pPr>
              <w:pStyle w:val="Compact"/>
              <w:jc w:val="left"/>
            </w:pPr>
            <w:r>
              <w:t xml:space="preserve">T-007.3</w:t>
            </w:r>
          </w:p>
        </w:tc>
        <w:tc>
          <w:tcPr/>
          <w:p>
            <w:pPr>
              <w:pStyle w:val="Compact"/>
              <w:jc w:val="left"/>
            </w:pPr>
            <w:r>
              <w:t xml:space="preserve">Assign Azure Policy initiatives for Windows Server 2025 Guest Configuration</w:t>
            </w:r>
          </w:p>
        </w:tc>
        <w:tc>
          <w:tcPr/>
          <w:p>
            <w:pPr>
              <w:pStyle w:val="Compact"/>
              <w:jc w:val="left"/>
            </w:pPr>
            <w:r>
              <w:t xml:space="preserve">2h</w:t>
            </w:r>
          </w:p>
        </w:tc>
        <w:tc>
          <w:tcPr/>
          <w:p>
            <w:pPr>
              <w:pStyle w:val="Compact"/>
              <w:jc w:val="left"/>
            </w:pPr>
            <w:r>
              <w:t xml:space="preserve">T-007.2</w:t>
            </w:r>
          </w:p>
        </w:tc>
        <w:tc>
          <w:tcPr/>
          <w:p>
            <w:pPr>
              <w:pStyle w:val="Compact"/>
              <w:jc w:val="left"/>
            </w:pPr>
            <w:r>
              <w:t xml:space="preserve">AD Computer Object Conversion Guide §8</w:t>
            </w:r>
          </w:p>
        </w:tc>
      </w:tr>
      <w:tr>
        <w:tc>
          <w:tcPr/>
          <w:p>
            <w:pPr>
              <w:pStyle w:val="Compact"/>
              <w:jc w:val="left"/>
            </w:pPr>
            <w:r>
              <w:t xml:space="preserve">T-007.4</w:t>
            </w:r>
          </w:p>
        </w:tc>
        <w:tc>
          <w:tcPr/>
          <w:p>
            <w:pPr>
              <w:pStyle w:val="Compact"/>
              <w:jc w:val="left"/>
            </w:pPr>
            <w:r>
              <w:t xml:space="preserve">Verify Arc agent heartbeat, policy compliance status, and Guest Configuration reports</w:t>
            </w:r>
          </w:p>
        </w:tc>
        <w:tc>
          <w:tcPr/>
          <w:p>
            <w:pPr>
              <w:pStyle w:val="Compact"/>
              <w:jc w:val="left"/>
            </w:pPr>
            <w:r>
              <w:t xml:space="preserve">1h</w:t>
            </w:r>
          </w:p>
        </w:tc>
        <w:tc>
          <w:tcPr/>
          <w:p>
            <w:pPr>
              <w:pStyle w:val="Compact"/>
              <w:jc w:val="left"/>
            </w:pPr>
            <w:r>
              <w:t xml:space="preserve">T-007.3</w:t>
            </w:r>
          </w:p>
        </w:tc>
        <w:tc>
          <w:tcPr/>
          <w:p>
            <w:pPr>
              <w:pStyle w:val="Compact"/>
              <w:jc w:val="left"/>
            </w:pPr>
            <w:r>
              <w:t xml:space="preserve">AD Computer Object Conversion Guide §8</w:t>
            </w:r>
          </w:p>
        </w:tc>
      </w:tr>
    </w:tbl>
    <w:p>
      <w:pPr>
        <w:pStyle w:val="BodyText"/>
      </w:pPr>
      <w:r>
        <w:t xml:space="preserve">3.3 Phase 0 Exit Criteria</w:t>
      </w:r>
    </w:p>
    <w:tbl>
      <w:tblPr>
        <w:tblStyle w:val="Table"/>
        <w:tblW w:type="pct" w:w="5037"/>
        <w:tblLayout w:type="fixed"/>
        <w:tblLook w:firstRow="0" w:lastRow="0" w:firstColumn="0" w:lastColumn="0" w:noHBand="0" w:noVBand="0" w:val="0000"/>
      </w:tblPr>
      <w:tblGrid>
        <w:gridCol w:w="7978"/>
      </w:tblGrid>
      <w:tr>
        <w:tc>
          <w:tcPr/>
          <w:p>
            <w:pPr>
              <w:pStyle w:val="Compact"/>
            </w:pPr>
            <w:r>
              <w:rPr>
                <w:b/>
                <w:bCs/>
              </w:rPr>
              <w:t xml:space="preserve">Phase 0 Gate Review — Go/No-Go Checklist</w:t>
            </w:r>
            <w:r>
              <w:t xml:space="preserve"> </w:t>
            </w:r>
            <w:r>
              <w:t xml:space="preserve">|</w:t>
            </w:r>
            <w:r>
              <w:t xml:space="preserve"> </w:t>
            </w:r>
            <w:r>
              <w:t xml:space="preserve">|</w:t>
            </w:r>
            <w:r>
              <w:t xml:space="preserve"> </w:t>
            </w:r>
            <w:r>
              <w:t xml:space="preserve">&gt; • Gitea web UI accessible at</w:t>
            </w:r>
            <w:r>
              <w:t xml:space="preserve"> </w:t>
            </w:r>
            <w:r>
              <w:rPr>
                <w:b/>
                <w:bCs/>
              </w:rPr>
              <w:t xml:space="preserve">https://git.example.internal</w:t>
            </w:r>
            <w:r>
              <w:t xml:space="preserve"> </w:t>
            </w:r>
            <w:r>
              <w:t xml:space="preserve">|</w:t>
            </w:r>
            <w:r>
              <w:t xml:space="preserve"> </w:t>
            </w:r>
            <w:r>
              <w:t xml:space="preserve">&gt; |</w:t>
            </w:r>
            <w:r>
              <w:t xml:space="preserve"> </w:t>
            </w:r>
            <w:r>
              <w:t xml:space="preserve">&gt; • AD LDAP and Entra ID OAuth2 authentication both operational and tested |</w:t>
            </w:r>
            <w:r>
              <w:t xml:space="preserve"> </w:t>
            </w:r>
            <w:r>
              <w:t xml:space="preserve">&gt; |</w:t>
            </w:r>
            <w:r>
              <w:t xml:space="preserve"> </w:t>
            </w:r>
            <w:r>
              <w:t xml:space="preserve">&gt; • the Federal Modernization Program repository fully mirrored with complete commit history from GitHub</w:t>
            </w:r>
            <w:r>
              <w:t xml:space="preserve"> </w:t>
            </w:r>
            <w:r>
              <w:t xml:space="preserve">&gt; |</w:t>
            </w:r>
            <w:r>
              <w:t xml:space="preserve"> </w:t>
            </w:r>
            <w:r>
              <w:t xml:space="preserve">&gt; • Governance hooks rejecting FOUO markings and enforcing branch protection — test evidence committed |</w:t>
            </w:r>
            <w:r>
              <w:t xml:space="preserve"> </w:t>
            </w:r>
            <w:r>
              <w:t xml:space="preserve">&gt; |</w:t>
            </w:r>
            <w:r>
              <w:t xml:space="preserve"> </w:t>
            </w:r>
            <w:r>
              <w:t xml:space="preserve">&gt; • Azure Arc enrolled with resource tags applied and Guest Configuration policies compliant |</w:t>
            </w:r>
            <w:r>
              <w:t xml:space="preserve"> </w:t>
            </w:r>
            <w:r>
              <w:t xml:space="preserve">&gt; |</w:t>
            </w:r>
            <w:r>
              <w:t xml:space="preserve"> </w:t>
            </w:r>
            <w:r>
              <w:t xml:space="preserve">&gt; • Phase 0 completion report committed to Gitea at</w:t>
            </w:r>
            <w:r>
              <w:t xml:space="preserve"> </w:t>
            </w:r>
            <w:r>
              <w:rPr>
                <w:i/>
                <w:iCs/>
              </w:rPr>
              <w:t xml:space="preserve">reports/phase-gates/phase-0-completion.md</w:t>
            </w:r>
            <w:r>
              <w:t xml:space="preserve"> </w:t>
            </w:r>
            <w:r>
              <w:t xml:space="preserve">|</w:t>
            </w:r>
            <w:r>
              <w:t xml:space="preserve"> </w:t>
            </w:r>
            <w:r>
              <w:t xml:space="preserve">&gt; |</w:t>
            </w:r>
            <w:r>
              <w:t xml:space="preserve"> </w:t>
            </w:r>
            <w:r>
              <w:t xml:space="preserve">&gt; • All milestone deliverables listed in M-001 through M-007 verified and signed off by respective owner |</w:t>
            </w:r>
          </w:p>
        </w:tc>
      </w:tr>
    </w:tbl>
    <w:p>
      <w:pPr>
        <w:pStyle w:val="BodyText"/>
      </w:pPr>
      <w:r>
        <w:t xml:space="preserve">4. Phase 1: Assessment (Weeks 4–9) — Detailed</w:t>
      </w:r>
    </w:p>
    <w:tbl>
      <w:tblPr>
        <w:tblStyle w:val="Table"/>
        <w:tblW w:type="pct" w:w="5014"/>
        <w:tblLayout w:type="fixed"/>
        <w:tblLook w:firstRow="0" w:lastRow="0" w:firstColumn="0" w:lastColumn="0" w:noHBand="0" w:noVBand="0" w:val="0000"/>
      </w:tblPr>
      <w:tblGrid>
        <w:gridCol w:w="7942"/>
      </w:tblGrid>
      <w:tr>
        <w:tc>
          <w:tcPr/>
          <w:p>
            <w:pPr>
              <w:pStyle w:val="FirstParagraph"/>
            </w:pPr>
            <w:r>
              <w:rPr>
                <w:b/>
                <w:bCs/>
              </w:rPr>
              <w:t xml:space="preserve">Critical Phase</w:t>
            </w:r>
          </w:p>
          <w:p>
            <w:pPr>
              <w:pStyle w:val="BodyText"/>
            </w:pPr>
            <w:r>
              <w:t xml:space="preserve">This is the most critical and detailed section of the entire project plan. Phase 1 produces every planning artifact that drives all subsequent phases.</w:t>
            </w:r>
            <w:r>
              <w:t xml:space="preserve"> </w:t>
            </w:r>
            <w:r>
              <w:rPr>
                <w:b/>
                <w:bCs/>
              </w:rPr>
              <w:t xml:space="preserve">No migration activity begins until Phase 1 is complete and approved.</w:t>
            </w:r>
            <w:r>
              <w:t xml:space="preserve"> </w:t>
            </w:r>
            <w:r>
              <w:t xml:space="preserve">The assessment covers 12 domains across the complete AD forest, generating 23 canonical deliverables that feed 8 modernization plans.</w:t>
            </w:r>
          </w:p>
        </w:tc>
      </w:tr>
    </w:tbl>
    <w:p>
      <w:pPr>
        <w:pStyle w:val="BodyText"/>
      </w:pPr>
      <w:r>
        <w:rPr>
          <w:b/>
          <w:bCs/>
        </w:rPr>
        <w:t xml:space="preserve">Reference Documents:</w:t>
      </w:r>
      <w:r>
        <w:t xml:space="preserve"> </w:t>
      </w:r>
      <w:r>
        <w:t xml:space="preserve">the Federal Modernization Program Active Directory Interaction Guide (primary), the Federal Modernization Program Read-Only AD Assessment Guide, the Federal Modernization Program vs Microsoft Native Tools — Gap Analysis.</w:t>
      </w:r>
    </w:p>
    <w:p>
      <w:pPr>
        <w:pStyle w:val="BodyText"/>
      </w:pPr>
      <w:r>
        <w:t xml:space="preserve">4.1 Assessment Scope</w:t>
      </w:r>
    </w:p>
    <w:p>
      <w:pPr>
        <w:pStyle w:val="BodyText"/>
      </w:pPr>
      <w:r>
        <w:t xml:space="preserve">The assessment covers 12 domains across the complete AD forest. Each domain has a dedicated the Federal Modernization Program assessment function, a defined output artifact, and a reference to the companion document containing the detailed procedure.</w:t>
      </w:r>
    </w:p>
    <w:tbl>
      <w:tblPr>
        <w:tblStyle w:val="Table"/>
        <w:tblW w:type="pct" w:w="4937"/>
        <w:tblLayout w:type="fixed"/>
        <w:tblLook w:firstRow="1" w:lastRow="0" w:firstColumn="0" w:lastColumn="0" w:noHBand="0" w:noVBand="0" w:val="0020"/>
      </w:tblPr>
      <w:tblGrid>
        <w:gridCol w:w="1095"/>
        <w:gridCol w:w="1843"/>
        <w:gridCol w:w="2191"/>
        <w:gridCol w:w="2689"/>
      </w:tblGrid>
      <w:tr>
        <w:trPr>
          <w:tblHeader w:val="on"/>
        </w:trPr>
        <w:tc>
          <w:tcPr/>
          <w:p>
            <w:pPr>
              <w:pStyle w:val="Compact"/>
              <w:jc w:val="left"/>
            </w:pPr>
            <w:r>
              <w:rPr>
                <w:b/>
                <w:bCs/>
              </w:rPr>
              <w:t xml:space="preserve">Domain</w:t>
            </w:r>
          </w:p>
        </w:tc>
        <w:tc>
          <w:tcPr/>
          <w:p>
            <w:pPr>
              <w:pStyle w:val="Compact"/>
              <w:jc w:val="left"/>
            </w:pPr>
            <w:r>
              <w:rPr>
                <w:b/>
                <w:bCs/>
              </w:rPr>
              <w:t xml:space="preserve">Assessment Tool</w:t>
            </w:r>
          </w:p>
        </w:tc>
        <w:tc>
          <w:tcPr/>
          <w:p>
            <w:pPr>
              <w:pStyle w:val="Compact"/>
              <w:jc w:val="left"/>
            </w:pPr>
            <w:r>
              <w:rPr>
                <w:b/>
                <w:bCs/>
              </w:rPr>
              <w:t xml:space="preserve">Output</w:t>
            </w:r>
          </w:p>
        </w:tc>
        <w:tc>
          <w:tcPr/>
          <w:p>
            <w:pPr>
              <w:pStyle w:val="Compact"/>
              <w:jc w:val="left"/>
            </w:pPr>
            <w:r>
              <w:rPr>
                <w:b/>
                <w:bCs/>
              </w:rPr>
              <w:t xml:space="preserve">Companion Document</w:t>
            </w:r>
          </w:p>
        </w:tc>
      </w:tr>
      <w:tr>
        <w:tc>
          <w:tcPr/>
          <w:p>
            <w:pPr>
              <w:pStyle w:val="Compact"/>
              <w:jc w:val="left"/>
            </w:pPr>
            <w:r>
              <w:t xml:space="preserve">Forest Topology</w:t>
            </w:r>
          </w:p>
        </w:tc>
        <w:tc>
          <w:tcPr/>
          <w:p>
            <w:pPr>
              <w:pStyle w:val="Compact"/>
              <w:jc w:val="left"/>
            </w:pPr>
            <w:r>
              <w:t xml:space="preserve">Export-FMPForestTopology F</w:t>
            </w:r>
          </w:p>
        </w:tc>
        <w:tc>
          <w:tcPr/>
          <w:p>
            <w:pPr>
              <w:pStyle w:val="Compact"/>
              <w:jc w:val="left"/>
            </w:pPr>
            <w:r>
              <w:t xml:space="preserve">orestTopology.json A</w:t>
            </w:r>
          </w:p>
        </w:tc>
        <w:tc>
          <w:tcPr/>
          <w:p>
            <w:pPr>
              <w:pStyle w:val="Compact"/>
              <w:jc w:val="left"/>
            </w:pPr>
            <w:r>
              <w:t xml:space="preserve">D Interaction Guide §3</w:t>
            </w:r>
          </w:p>
        </w:tc>
      </w:tr>
      <w:tr>
        <w:tc>
          <w:tcPr/>
          <w:p>
            <w:pPr>
              <w:pStyle w:val="Compact"/>
              <w:jc w:val="left"/>
            </w:pPr>
            <w:r>
              <w:t xml:space="preserve">OU Hierarchy</w:t>
            </w:r>
          </w:p>
        </w:tc>
        <w:tc>
          <w:tcPr/>
          <w:p>
            <w:pPr>
              <w:pStyle w:val="Compact"/>
              <w:jc w:val="left"/>
            </w:pPr>
            <w:r>
              <w:t xml:space="preserve">Export-FMPOUHierarchy O</w:t>
            </w:r>
          </w:p>
        </w:tc>
        <w:tc>
          <w:tcPr/>
          <w:p>
            <w:pPr>
              <w:pStyle w:val="Compact"/>
              <w:jc w:val="left"/>
            </w:pPr>
            <w:r>
              <w:t xml:space="preserve">UHierarchy.json, OUTree.txt A</w:t>
            </w:r>
          </w:p>
        </w:tc>
        <w:tc>
          <w:tcPr/>
          <w:p>
            <w:pPr>
              <w:pStyle w:val="Compact"/>
              <w:jc w:val="left"/>
            </w:pPr>
            <w:r>
              <w:t xml:space="preserve">D Interaction Guide §4</w:t>
            </w:r>
          </w:p>
        </w:tc>
      </w:tr>
      <w:tr>
        <w:tc>
          <w:tcPr/>
          <w:p>
            <w:pPr>
              <w:pStyle w:val="Compact"/>
              <w:jc w:val="left"/>
            </w:pPr>
            <w:r>
              <w:t xml:space="preserve">GPO Inventory</w:t>
            </w:r>
          </w:p>
        </w:tc>
        <w:tc>
          <w:tcPr/>
          <w:p>
            <w:pPr>
              <w:pStyle w:val="Compact"/>
              <w:jc w:val="left"/>
            </w:pPr>
            <w:r>
              <w:t xml:space="preserve">Export-FMPGPOInventory G</w:t>
            </w:r>
          </w:p>
        </w:tc>
        <w:tc>
          <w:tcPr/>
          <w:p>
            <w:pPr>
              <w:pStyle w:val="Compact"/>
              <w:jc w:val="left"/>
            </w:pPr>
            <w:r>
              <w:t xml:space="preserve">POInventory.json, XML reports A</w:t>
            </w:r>
          </w:p>
        </w:tc>
        <w:tc>
          <w:tcPr/>
          <w:p>
            <w:pPr>
              <w:pStyle w:val="Compact"/>
              <w:jc w:val="left"/>
            </w:pPr>
            <w:r>
              <w:t xml:space="preserve">D Interaction Guide §5</w:t>
            </w:r>
          </w:p>
        </w:tc>
      </w:tr>
      <w:tr>
        <w:tc>
          <w:tcPr/>
          <w:p>
            <w:pPr>
              <w:pStyle w:val="Compact"/>
              <w:jc w:val="left"/>
            </w:pPr>
            <w:r>
              <w:t xml:space="preserve">DNS Infrastructure</w:t>
            </w:r>
          </w:p>
        </w:tc>
        <w:tc>
          <w:tcPr/>
          <w:p>
            <w:pPr>
              <w:pStyle w:val="Compact"/>
              <w:jc w:val="left"/>
            </w:pPr>
            <w:r>
              <w:t xml:space="preserve">Export-FMPDNSAssessment D</w:t>
            </w:r>
          </w:p>
        </w:tc>
        <w:tc>
          <w:tcPr/>
          <w:p>
            <w:pPr>
              <w:pStyle w:val="Compact"/>
              <w:jc w:val="left"/>
            </w:pPr>
            <w:r>
              <w:t xml:space="preserve">NSInventory.json A</w:t>
            </w:r>
          </w:p>
        </w:tc>
        <w:tc>
          <w:tcPr/>
          <w:p>
            <w:pPr>
              <w:pStyle w:val="Compact"/>
              <w:jc w:val="left"/>
            </w:pPr>
            <w:r>
              <w:t xml:space="preserve">D Interaction Guide §6, DNS Modernization Guide §4</w:t>
            </w:r>
          </w:p>
        </w:tc>
      </w:tr>
      <w:tr>
        <w:tc>
          <w:tcPr/>
          <w:p>
            <w:pPr>
              <w:pStyle w:val="Compact"/>
              <w:jc w:val="left"/>
            </w:pPr>
            <w:r>
              <w:t xml:space="preserve">PKI / ADCS</w:t>
            </w:r>
          </w:p>
        </w:tc>
        <w:tc>
          <w:tcPr/>
          <w:p>
            <w:pPr>
              <w:pStyle w:val="Compact"/>
              <w:jc w:val="left"/>
            </w:pPr>
            <w:r>
              <w:t xml:space="preserve">Export-FMPPKIInventory P</w:t>
            </w:r>
          </w:p>
        </w:tc>
        <w:tc>
          <w:tcPr/>
          <w:p>
            <w:pPr>
              <w:pStyle w:val="Compact"/>
              <w:jc w:val="left"/>
            </w:pPr>
            <w:r>
              <w:t xml:space="preserve">KIInventory.json, ESCVulnerabilities.csv A</w:t>
            </w:r>
          </w:p>
        </w:tc>
        <w:tc>
          <w:tcPr/>
          <w:p>
            <w:pPr>
              <w:pStyle w:val="Compact"/>
              <w:jc w:val="left"/>
            </w:pPr>
            <w:r>
              <w:t xml:space="preserve">D Interaction Guide §7, PKI Modernization Guide §3</w:t>
            </w:r>
          </w:p>
        </w:tc>
      </w:tr>
      <w:tr>
        <w:tc>
          <w:tcPr/>
          <w:p>
            <w:pPr>
              <w:pStyle w:val="Compact"/>
              <w:jc w:val="left"/>
            </w:pPr>
            <w:r>
              <w:t xml:space="preserve">Computer Objects</w:t>
            </w:r>
          </w:p>
        </w:tc>
        <w:tc>
          <w:tcPr/>
          <w:p>
            <w:pPr>
              <w:pStyle w:val="Compact"/>
              <w:jc w:val="left"/>
            </w:pPr>
            <w:r>
              <w:t xml:space="preserve">Export-FMPComputerInventory C</w:t>
            </w:r>
          </w:p>
        </w:tc>
        <w:tc>
          <w:tcPr/>
          <w:p>
            <w:pPr>
              <w:pStyle w:val="Compact"/>
              <w:jc w:val="left"/>
            </w:pPr>
            <w:r>
              <w:t xml:space="preserve">omputerInventory.json A</w:t>
            </w:r>
          </w:p>
        </w:tc>
        <w:tc>
          <w:tcPr/>
          <w:p>
            <w:pPr>
              <w:pStyle w:val="Compact"/>
              <w:jc w:val="left"/>
            </w:pPr>
            <w:r>
              <w:t xml:space="preserve">D Interaction Guide §8</w:t>
            </w:r>
          </w:p>
        </w:tc>
      </w:tr>
      <w:tr>
        <w:tc>
          <w:tcPr/>
          <w:p>
            <w:pPr>
              <w:pStyle w:val="Compact"/>
              <w:jc w:val="left"/>
            </w:pPr>
            <w:r>
              <w:t xml:space="preserve">User Objects</w:t>
            </w:r>
          </w:p>
        </w:tc>
        <w:tc>
          <w:tcPr/>
          <w:p>
            <w:pPr>
              <w:pStyle w:val="Compact"/>
              <w:jc w:val="left"/>
            </w:pPr>
            <w:r>
              <w:t xml:space="preserve">Export-FMPUserInventory U</w:t>
            </w:r>
          </w:p>
        </w:tc>
        <w:tc>
          <w:tcPr/>
          <w:p>
            <w:pPr>
              <w:pStyle w:val="Compact"/>
              <w:jc w:val="left"/>
            </w:pPr>
            <w:r>
              <w:t xml:space="preserve">serInventory.json, PrivilegedUsers.csv A</w:t>
            </w:r>
          </w:p>
        </w:tc>
        <w:tc>
          <w:tcPr/>
          <w:p>
            <w:pPr>
              <w:pStyle w:val="Compact"/>
              <w:jc w:val="left"/>
            </w:pPr>
            <w:r>
              <w:t xml:space="preserve">D Interaction Guide §9</w:t>
            </w:r>
          </w:p>
        </w:tc>
      </w:tr>
      <w:tr>
        <w:tc>
          <w:tcPr/>
          <w:p>
            <w:pPr>
              <w:pStyle w:val="Compact"/>
              <w:jc w:val="left"/>
            </w:pPr>
            <w:r>
              <w:t xml:space="preserve">Group Memberships</w:t>
            </w:r>
          </w:p>
        </w:tc>
        <w:tc>
          <w:tcPr/>
          <w:p>
            <w:pPr>
              <w:pStyle w:val="Compact"/>
              <w:jc w:val="left"/>
            </w:pPr>
            <w:r>
              <w:t xml:space="preserve">Export-FMPGroupInventory G</w:t>
            </w:r>
          </w:p>
        </w:tc>
        <w:tc>
          <w:tcPr/>
          <w:p>
            <w:pPr>
              <w:pStyle w:val="Compact"/>
              <w:jc w:val="left"/>
            </w:pPr>
            <w:r>
              <w:t xml:space="preserve">roupInventory.json A</w:t>
            </w:r>
          </w:p>
        </w:tc>
        <w:tc>
          <w:tcPr/>
          <w:p>
            <w:pPr>
              <w:pStyle w:val="Compact"/>
              <w:jc w:val="left"/>
            </w:pPr>
            <w:r>
              <w:t xml:space="preserve">D Interaction Guide §9</w:t>
            </w:r>
          </w:p>
        </w:tc>
      </w:tr>
      <w:tr>
        <w:tc>
          <w:tcPr/>
          <w:p>
            <w:pPr>
              <w:pStyle w:val="Compact"/>
              <w:jc w:val="left"/>
            </w:pPr>
            <w:r>
              <w:t xml:space="preserve">Trust Relationships</w:t>
            </w:r>
          </w:p>
        </w:tc>
        <w:tc>
          <w:tcPr/>
          <w:p>
            <w:pPr>
              <w:pStyle w:val="Compact"/>
              <w:jc w:val="left"/>
            </w:pPr>
            <w:r>
              <w:t xml:space="preserve">Export-FMPTrustMap T</w:t>
            </w:r>
          </w:p>
        </w:tc>
        <w:tc>
          <w:tcPr/>
          <w:p>
            <w:pPr>
              <w:pStyle w:val="Compact"/>
              <w:jc w:val="left"/>
            </w:pPr>
            <w:r>
              <w:t xml:space="preserve">rustMap.json A</w:t>
            </w:r>
          </w:p>
        </w:tc>
        <w:tc>
          <w:tcPr/>
          <w:p>
            <w:pPr>
              <w:pStyle w:val="Compact"/>
              <w:jc w:val="left"/>
            </w:pPr>
            <w:r>
              <w:t xml:space="preserve">D Interaction Guide §10</w:t>
            </w:r>
          </w:p>
        </w:tc>
      </w:tr>
      <w:tr>
        <w:tc>
          <w:tcPr/>
          <w:p>
            <w:pPr>
              <w:pStyle w:val="Compact"/>
              <w:jc w:val="left"/>
            </w:pPr>
            <w:r>
              <w:t xml:space="preserve">Service Accounts</w:t>
            </w:r>
          </w:p>
        </w:tc>
        <w:tc>
          <w:tcPr/>
          <w:p>
            <w:pPr>
              <w:pStyle w:val="Compact"/>
              <w:jc w:val="left"/>
            </w:pPr>
            <w:r>
              <w:t xml:space="preserve">Export-FMPServiceAccountInventory S</w:t>
            </w:r>
          </w:p>
        </w:tc>
        <w:tc>
          <w:tcPr/>
          <w:p>
            <w:pPr>
              <w:pStyle w:val="Compact"/>
              <w:jc w:val="left"/>
            </w:pPr>
            <w:r>
              <w:t xml:space="preserve">erviceAccounts.csv I</w:t>
            </w:r>
          </w:p>
        </w:tc>
        <w:tc>
          <w:tcPr/>
          <w:p>
            <w:pPr>
              <w:pStyle w:val="Compact"/>
              <w:jc w:val="left"/>
            </w:pPr>
            <w:r>
              <w:t xml:space="preserve">dentity Modernization Guide §6</w:t>
            </w:r>
          </w:p>
        </w:tc>
      </w:tr>
      <w:tr>
        <w:tc>
          <w:tcPr/>
          <w:p>
            <w:pPr>
              <w:pStyle w:val="Compact"/>
              <w:jc w:val="left"/>
            </w:pPr>
            <w:r>
              <w:t xml:space="preserve">ACL / Delegation</w:t>
            </w:r>
          </w:p>
        </w:tc>
        <w:tc>
          <w:tcPr/>
          <w:p>
            <w:pPr>
              <w:pStyle w:val="Compact"/>
              <w:jc w:val="left"/>
            </w:pPr>
            <w:r>
              <w:t xml:space="preserve">Export-FMPACLReport O</w:t>
            </w:r>
          </w:p>
        </w:tc>
        <w:tc>
          <w:tcPr/>
          <w:p>
            <w:pPr>
              <w:pStyle w:val="Compact"/>
              <w:jc w:val="left"/>
            </w:pPr>
            <w:r>
              <w:t xml:space="preserve">UDelegation.json A</w:t>
            </w:r>
          </w:p>
        </w:tc>
        <w:tc>
          <w:tcPr/>
          <w:p>
            <w:pPr>
              <w:pStyle w:val="Compact"/>
              <w:jc w:val="left"/>
            </w:pPr>
            <w:r>
              <w:t xml:space="preserve">D Interaction Guide §11</w:t>
            </w:r>
          </w:p>
        </w:tc>
      </w:tr>
      <w:tr>
        <w:tc>
          <w:tcPr/>
          <w:p>
            <w:pPr>
              <w:pStyle w:val="Compact"/>
              <w:jc w:val="left"/>
            </w:pPr>
            <w:r>
              <w:t xml:space="preserve">Schema Extensions</w:t>
            </w:r>
          </w:p>
        </w:tc>
        <w:tc>
          <w:tcPr/>
          <w:p>
            <w:pPr>
              <w:pStyle w:val="Compact"/>
              <w:jc w:val="left"/>
            </w:pPr>
            <w:r>
              <w:t xml:space="preserve">Export-FMPSchemaExtensions S</w:t>
            </w:r>
          </w:p>
        </w:tc>
        <w:tc>
          <w:tcPr/>
          <w:p>
            <w:pPr>
              <w:pStyle w:val="Compact"/>
              <w:jc w:val="left"/>
            </w:pPr>
            <w:r>
              <w:t xml:space="preserve">chemaExtensions.json A</w:t>
            </w:r>
          </w:p>
        </w:tc>
        <w:tc>
          <w:tcPr/>
          <w:p>
            <w:pPr>
              <w:pStyle w:val="Compact"/>
              <w:jc w:val="left"/>
            </w:pPr>
            <w:r>
              <w:t xml:space="preserve">D Interaction Guide §12</w:t>
            </w:r>
          </w:p>
        </w:tc>
      </w:tr>
    </w:tbl>
    <w:p>
      <w:pPr>
        <w:pStyle w:val="BodyText"/>
      </w:pPr>
      <w:r>
        <w:t xml:space="preserve">4.2 Assessment Execution Sequence</w:t>
      </w:r>
    </w:p>
    <w:tbl>
      <w:tblPr>
        <w:tblStyle w:val="Table"/>
        <w:tblW w:type="pct" w:w="2778"/>
        <w:tblLayout w:type="fixed"/>
        <w:tblLook w:firstRow="0" w:lastRow="0" w:firstColumn="0" w:lastColumn="0" w:noHBand="0" w:noVBand="0" w:val="0000"/>
      </w:tblPr>
      <w:tblGrid>
        <w:gridCol w:w="4400"/>
      </w:tblGrid>
      <w:tr>
        <w:tc>
          <w:tcPr/>
          <w:p>
            <w:pPr>
              <w:pStyle w:val="Compact"/>
              <w:jc w:val="left"/>
            </w:pPr>
            <w:r>
              <w:t xml:space="preserve">Week 4 — Pre-Assessment (Read-Only)</w:t>
            </w:r>
          </w:p>
        </w:tc>
      </w:tr>
    </w:tbl>
    <w:p/>
    <w:tbl>
      <w:tblPr>
        <w:tblStyle w:val="Table"/>
        <w:tblW w:type="pct" w:w="4972"/>
        <w:tblLayout w:type="fixed"/>
        <w:tblLook w:firstRow="1" w:lastRow="0" w:firstColumn="0" w:lastColumn="0" w:noHBand="0" w:noVBand="0" w:val="0020"/>
      </w:tblPr>
      <w:tblGrid>
        <w:gridCol w:w="315"/>
        <w:gridCol w:w="902"/>
        <w:gridCol w:w="5595"/>
        <w:gridCol w:w="270"/>
        <w:gridCol w:w="78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T-4.1</w:t>
            </w:r>
          </w:p>
        </w:tc>
        <w:tc>
          <w:tcPr/>
          <w:p>
            <w:pPr>
              <w:pStyle w:val="Compact"/>
              <w:jc w:val="left"/>
            </w:pPr>
            <w:r>
              <w:t xml:space="preserve">Deploy assessment workstation</w:t>
            </w:r>
          </w:p>
        </w:tc>
        <w:tc>
          <w:tcPr/>
          <w:p>
            <w:pPr>
              <w:pStyle w:val="Compact"/>
              <w:jc w:val="left"/>
            </w:pPr>
            <w:r>
              <w:t xml:space="preserve">Provision PAW or dedicated VM with Windows 11, domain-joined, restricted network access. Install PowerShell 7.x and Git for Windows.</w:t>
            </w:r>
          </w:p>
        </w:tc>
        <w:tc>
          <w:tcPr/>
          <w:p>
            <w:pPr>
              <w:pStyle w:val="Compact"/>
              <w:jc w:val="left"/>
            </w:pPr>
            <w:r>
              <w:t xml:space="preserve">4h</w:t>
            </w:r>
          </w:p>
        </w:tc>
        <w:tc>
          <w:tcPr/>
          <w:p>
            <w:pPr>
              <w:pStyle w:val="Compact"/>
              <w:jc w:val="left"/>
            </w:pPr>
            <w:r>
              <w:t xml:space="preserve">Read-Only AD Assessment Guide §2</w:t>
            </w:r>
          </w:p>
        </w:tc>
      </w:tr>
      <w:tr>
        <w:tc>
          <w:tcPr/>
          <w:p>
            <w:pPr>
              <w:pStyle w:val="Compact"/>
              <w:jc w:val="left"/>
            </w:pPr>
            <w:r>
              <w:t xml:space="preserve">T-4.2</w:t>
            </w:r>
          </w:p>
        </w:tc>
        <w:tc>
          <w:tcPr/>
          <w:p>
            <w:pPr>
              <w:pStyle w:val="Compact"/>
              <w:jc w:val="left"/>
            </w:pPr>
            <w:r>
              <w:t xml:space="preserve">Install RSAT modules</w:t>
            </w:r>
          </w:p>
        </w:tc>
        <w:tc>
          <w:tcPr/>
          <w:p>
            <w:pPr>
              <w:pStyle w:val="Compact"/>
              <w:jc w:val="left"/>
            </w:pPr>
            <w:r>
              <w:t xml:space="preserve">Install ActiveDirectory, GroupPolicy, DnsServer, and ADCSAdministration RSAT modules. Verify module import succeeds.</w:t>
            </w:r>
          </w:p>
        </w:tc>
        <w:tc>
          <w:tcPr/>
          <w:p>
            <w:pPr>
              <w:pStyle w:val="Compact"/>
              <w:jc w:val="left"/>
            </w:pPr>
            <w:r>
              <w:t xml:space="preserve">2h</w:t>
            </w:r>
          </w:p>
        </w:tc>
        <w:tc>
          <w:tcPr/>
          <w:p>
            <w:pPr>
              <w:pStyle w:val="Compact"/>
              <w:jc w:val="left"/>
            </w:pPr>
            <w:r>
              <w:t xml:space="preserve">Read-Only AD Assessment Guide §3</w:t>
            </w:r>
          </w:p>
        </w:tc>
      </w:tr>
      <w:tr>
        <w:tc>
          <w:tcPr/>
          <w:p>
            <w:pPr>
              <w:pStyle w:val="Compact"/>
              <w:jc w:val="left"/>
            </w:pPr>
            <w:r>
              <w:t xml:space="preserve">T-4.3</w:t>
            </w:r>
          </w:p>
        </w:tc>
        <w:tc>
          <w:tcPr/>
          <w:p>
            <w:pPr>
              <w:pStyle w:val="Compact"/>
              <w:jc w:val="left"/>
            </w:pPr>
            <w:r>
              <w:t xml:space="preserve">Run Test-FMPReadAccess E</w:t>
            </w:r>
          </w:p>
        </w:tc>
        <w:tc>
          <w:tcPr/>
          <w:p>
            <w:pPr>
              <w:pStyle w:val="Compact"/>
              <w:jc w:val="left"/>
            </w:pPr>
            <w:r>
              <w:t xml:space="preserve">xecute permission discovery to determine what can be assessed with current user credentials without any delegation. Document accessible vs. restricted domains. 2</w:t>
            </w:r>
          </w:p>
        </w:tc>
        <w:tc>
          <w:tcPr/>
          <w:p>
            <w:pPr>
              <w:pStyle w:val="Compact"/>
              <w:jc w:val="left"/>
            </w:pPr>
            <w:r>
              <w:t xml:space="preserve">h R</w:t>
            </w:r>
          </w:p>
        </w:tc>
        <w:tc>
          <w:tcPr/>
          <w:p>
            <w:pPr>
              <w:pStyle w:val="Compact"/>
              <w:jc w:val="left"/>
            </w:pPr>
            <w:r>
              <w:t xml:space="preserve">ead-Only AD Assessment Guide §4</w:t>
            </w:r>
          </w:p>
        </w:tc>
      </w:tr>
      <w:tr>
        <w:tc>
          <w:tcPr/>
          <w:p>
            <w:pPr>
              <w:pStyle w:val="Compact"/>
              <w:jc w:val="left"/>
            </w:pPr>
            <w:r>
              <w:t xml:space="preserve">T-4.4</w:t>
            </w:r>
          </w:p>
        </w:tc>
        <w:tc>
          <w:tcPr/>
          <w:p>
            <w:pPr>
              <w:pStyle w:val="Compact"/>
              <w:jc w:val="left"/>
            </w:pPr>
            <w:r>
              <w:t xml:space="preserve">Execute Invoke-FMPReadOnlyAssessment R</w:t>
            </w:r>
          </w:p>
        </w:tc>
        <w:tc>
          <w:tcPr/>
          <w:p>
            <w:pPr>
              <w:pStyle w:val="Compact"/>
              <w:jc w:val="left"/>
            </w:pPr>
            <w:r>
              <w:t xml:space="preserve">un the master read-only orchestrator. Captures approximately 87% of total assessment value including forest topology, OU hierarchy, computer objects, user objects, group memberships, and basic GPO inventory — all without elevated permissions. 8</w:t>
            </w:r>
          </w:p>
        </w:tc>
        <w:tc>
          <w:tcPr/>
          <w:p>
            <w:pPr>
              <w:pStyle w:val="Compact"/>
              <w:jc w:val="left"/>
            </w:pPr>
            <w:r>
              <w:t xml:space="preserve">h R</w:t>
            </w:r>
          </w:p>
        </w:tc>
        <w:tc>
          <w:tcPr/>
          <w:p>
            <w:pPr>
              <w:pStyle w:val="Compact"/>
              <w:jc w:val="left"/>
            </w:pPr>
            <w:r>
              <w:t xml:space="preserve">ead-Only AD Assessment Guide §5</w:t>
            </w:r>
          </w:p>
        </w:tc>
      </w:tr>
      <w:tr>
        <w:tc>
          <w:tcPr/>
          <w:p>
            <w:pPr>
              <w:pStyle w:val="Compact"/>
              <w:jc w:val="left"/>
            </w:pPr>
            <w:r>
              <w:t xml:space="preserve">T-4.5</w:t>
            </w:r>
          </w:p>
        </w:tc>
        <w:tc>
          <w:tcPr/>
          <w:p>
            <w:pPr>
              <w:pStyle w:val="Compact"/>
              <w:jc w:val="left"/>
            </w:pPr>
            <w:r>
              <w:t xml:space="preserve">Commit read-only assessment to Gitea</w:t>
            </w:r>
          </w:p>
        </w:tc>
        <w:tc>
          <w:tcPr/>
          <w:p>
            <w:pPr>
              <w:pStyle w:val="Compact"/>
              <w:jc w:val="left"/>
            </w:pPr>
            <w:r>
              <w:t xml:space="preserve">Stage all output under</w:t>
            </w:r>
            <w:r>
              <w:t xml:space="preserve"> </w:t>
            </w:r>
            <w:r>
              <w:rPr>
                <w:i/>
                <w:iCs/>
              </w:rPr>
              <w:t xml:space="preserve">assessments/readonly/{domain}/{timestamp}/</w:t>
            </w:r>
            <w:r>
              <w:t xml:space="preserve"> </w:t>
            </w:r>
            <w:r>
              <w:t xml:space="preserve">and push to feature/phase1-assessment branch. Create pull request for Canon Steward review.</w:t>
            </w:r>
          </w:p>
        </w:tc>
        <w:tc>
          <w:tcPr/>
          <w:p>
            <w:pPr>
              <w:pStyle w:val="Compact"/>
              <w:jc w:val="left"/>
            </w:pPr>
            <w:r>
              <w:t xml:space="preserve">2h</w:t>
            </w:r>
          </w:p>
        </w:tc>
        <w:tc>
          <w:tcPr/>
          <w:p>
            <w:pPr>
              <w:pStyle w:val="Compact"/>
              <w:jc w:val="left"/>
            </w:pPr>
            <w:r>
              <w:t xml:space="preserve">CLI and Operations Guide §6</w:t>
            </w:r>
          </w:p>
        </w:tc>
      </w:tr>
      <w:tr>
        <w:tc>
          <w:tcPr/>
          <w:p>
            <w:pPr>
              <w:pStyle w:val="Compact"/>
              <w:jc w:val="left"/>
            </w:pPr>
            <w:r>
              <w:t xml:space="preserve">T-4.6</w:t>
            </w:r>
          </w:p>
        </w:tc>
        <w:tc>
          <w:tcPr/>
          <w:p>
            <w:pPr>
              <w:pStyle w:val="Compact"/>
              <w:jc w:val="left"/>
            </w:pPr>
            <w:r>
              <w:t xml:space="preserve">Generate Delegation Request</w:t>
            </w:r>
          </w:p>
        </w:tc>
        <w:tc>
          <w:tcPr/>
          <w:p>
            <w:pPr>
              <w:pStyle w:val="Compact"/>
              <w:jc w:val="left"/>
            </w:pPr>
            <w:r>
              <w:t xml:space="preserve">From the read-only results, generate a formal delegation request documenting the specific permissions needed to assess the remaining 13%: DNS zone read, PKI CA Admin read, deleted objects read, GPO backup rights.</w:t>
            </w:r>
          </w:p>
        </w:tc>
        <w:tc>
          <w:tcPr/>
          <w:p>
            <w:pPr>
              <w:pStyle w:val="Compact"/>
              <w:jc w:val="left"/>
            </w:pPr>
            <w:r>
              <w:t xml:space="preserve">3h</w:t>
            </w:r>
          </w:p>
        </w:tc>
        <w:tc>
          <w:tcPr/>
          <w:p>
            <w:pPr>
              <w:pStyle w:val="Compact"/>
              <w:jc w:val="left"/>
            </w:pPr>
            <w:r>
              <w:t xml:space="preserve">Read-Only AD Assessment Guide §8</w:t>
            </w:r>
          </w:p>
        </w:tc>
      </w:tr>
    </w:tbl>
    <w:p/>
    <w:tbl>
      <w:tblPr>
        <w:tblStyle w:val="Table"/>
        <w:tblW w:type="pct" w:w="4930"/>
        <w:tblLayout w:type="fixed"/>
        <w:tblLook w:firstRow="1" w:lastRow="0" w:firstColumn="0" w:lastColumn="0" w:noHBand="0" w:noVBand="0" w:val="0020"/>
      </w:tblPr>
      <w:tblGrid>
        <w:gridCol w:w="2326"/>
        <w:gridCol w:w="498"/>
        <w:gridCol w:w="498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Read-only assessment committed to Gitea</w:t>
            </w:r>
          </w:p>
        </w:tc>
        <w:tc>
          <w:tcPr/>
          <w:p>
            <w:pPr>
              <w:pStyle w:val="Compact"/>
              <w:jc w:val="left"/>
            </w:pPr>
            <w:r>
              <w:t xml:space="preserve">M-008</w:t>
            </w:r>
          </w:p>
        </w:tc>
        <w:tc>
          <w:tcPr/>
          <w:p>
            <w:pPr>
              <w:pStyle w:val="Compact"/>
              <w:jc w:val="left"/>
            </w:pPr>
            <w:r>
              <w:t xml:space="preserve">Read-only assessment reviewed by Canon Steward; delegation request submitted to AD team</w:t>
            </w:r>
          </w:p>
        </w:tc>
      </w:tr>
    </w:tbl>
    <w:p/>
    <w:tbl>
      <w:tblPr>
        <w:tblStyle w:val="Table"/>
        <w:tblW w:type="pct" w:w="2361"/>
        <w:tblLayout w:type="fixed"/>
        <w:tblLook w:firstRow="0" w:lastRow="0" w:firstColumn="0" w:lastColumn="0" w:noHBand="0" w:noVBand="0" w:val="0000"/>
      </w:tblPr>
      <w:tblGrid>
        <w:gridCol w:w="3740"/>
      </w:tblGrid>
      <w:tr>
        <w:tc>
          <w:tcPr/>
          <w:p>
            <w:pPr>
              <w:pStyle w:val="Compact"/>
              <w:jc w:val="left"/>
            </w:pPr>
            <w:r>
              <w:t xml:space="preserve">Week 5 — Delegated Assessment</w:t>
            </w:r>
          </w:p>
        </w:tc>
      </w:tr>
    </w:tbl>
    <w:p/>
    <w:tbl>
      <w:tblPr>
        <w:tblStyle w:val="Table"/>
        <w:tblW w:type="pct" w:w="4970"/>
        <w:tblLayout w:type="fixed"/>
        <w:tblLook w:firstRow="1" w:lastRow="0" w:firstColumn="0" w:lastColumn="0" w:noHBand="0" w:noVBand="0" w:val="0020"/>
      </w:tblPr>
      <w:tblGrid>
        <w:gridCol w:w="337"/>
        <w:gridCol w:w="962"/>
        <w:gridCol w:w="4983"/>
        <w:gridCol w:w="288"/>
        <w:gridCol w:w="129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T-5.1</w:t>
            </w:r>
          </w:p>
        </w:tc>
        <w:tc>
          <w:tcPr/>
          <w:p>
            <w:pPr>
              <w:pStyle w:val="Compact"/>
              <w:jc w:val="left"/>
            </w:pPr>
            <w:r>
              <w:t xml:space="preserve">Receive delegated read access</w:t>
            </w:r>
          </w:p>
        </w:tc>
        <w:tc>
          <w:tcPr/>
          <w:p>
            <w:pPr>
              <w:pStyle w:val="Compact"/>
              <w:jc w:val="left"/>
            </w:pPr>
            <w:r>
              <w:t xml:space="preserve">AD team grants read-only delegated access for DNS zones, PKI certificate authority, deleted objects container, and GPO backup permissions. Verify with Test-FMPReadAccess re-run. 2</w:t>
            </w:r>
          </w:p>
        </w:tc>
        <w:tc>
          <w:tcPr/>
          <w:p>
            <w:pPr>
              <w:pStyle w:val="Compact"/>
              <w:jc w:val="left"/>
            </w:pPr>
            <w:r>
              <w:t xml:space="preserve">h R</w:t>
            </w:r>
          </w:p>
        </w:tc>
        <w:tc>
          <w:tcPr/>
          <w:p>
            <w:pPr>
              <w:pStyle w:val="Compact"/>
              <w:jc w:val="left"/>
            </w:pPr>
            <w:r>
              <w:t xml:space="preserve">ead-Only AD Assessment Guide §8</w:t>
            </w:r>
          </w:p>
        </w:tc>
      </w:tr>
      <w:tr>
        <w:tc>
          <w:tcPr/>
          <w:p>
            <w:pPr>
              <w:pStyle w:val="Compact"/>
              <w:jc w:val="left"/>
            </w:pPr>
            <w:r>
              <w:t xml:space="preserve">T-5.2</w:t>
            </w:r>
          </w:p>
        </w:tc>
        <w:tc>
          <w:tcPr/>
          <w:p>
            <w:pPr>
              <w:pStyle w:val="Compact"/>
              <w:jc w:val="left"/>
            </w:pPr>
            <w:r>
              <w:t xml:space="preserve">Execute full DNS assessment</w:t>
            </w:r>
          </w:p>
        </w:tc>
        <w:tc>
          <w:tcPr/>
          <w:p>
            <w:pPr>
              <w:pStyle w:val="Compact"/>
              <w:jc w:val="left"/>
            </w:pPr>
            <w:r>
              <w:t xml:space="preserve">Run Get-FMPDNSAssessment with DnsServer module access. Enumerate all forward/reverse zones, zone types (AD-integrated, primary, stub, conditional forwarder), aging/scavenging settings, and record counts. 4</w:t>
            </w:r>
          </w:p>
        </w:tc>
        <w:tc>
          <w:tcPr/>
          <w:p>
            <w:pPr>
              <w:pStyle w:val="Compact"/>
              <w:jc w:val="left"/>
            </w:pPr>
            <w:r>
              <w:t xml:space="preserve">h A</w:t>
            </w:r>
          </w:p>
        </w:tc>
        <w:tc>
          <w:tcPr/>
          <w:p>
            <w:pPr>
              <w:pStyle w:val="Compact"/>
              <w:jc w:val="left"/>
            </w:pPr>
            <w:r>
              <w:t xml:space="preserve">D Interaction Guide §6, DNS Modernization Guide §4</w:t>
            </w:r>
          </w:p>
        </w:tc>
      </w:tr>
      <w:tr>
        <w:tc>
          <w:tcPr/>
          <w:p>
            <w:pPr>
              <w:pStyle w:val="Compact"/>
              <w:jc w:val="left"/>
            </w:pPr>
            <w:r>
              <w:t xml:space="preserve">T-5.3</w:t>
            </w:r>
          </w:p>
        </w:tc>
        <w:tc>
          <w:tcPr/>
          <w:p>
            <w:pPr>
              <w:pStyle w:val="Compact"/>
              <w:jc w:val="left"/>
            </w:pPr>
            <w:r>
              <w:t xml:space="preserve">Execute full PKI assessment</w:t>
            </w:r>
          </w:p>
        </w:tc>
        <w:tc>
          <w:tcPr/>
          <w:p>
            <w:pPr>
              <w:pStyle w:val="Compact"/>
              <w:jc w:val="left"/>
            </w:pPr>
            <w:r>
              <w:t xml:space="preserve">Run Get-FMPPKIInventory with CA Admin read access. Enumerate all CAs (root, issuing, policy), certificate templates, enrollment permissions, template security descriptors, and CRL distribution points. 6</w:t>
            </w:r>
          </w:p>
        </w:tc>
        <w:tc>
          <w:tcPr/>
          <w:p>
            <w:pPr>
              <w:pStyle w:val="Compact"/>
              <w:jc w:val="left"/>
            </w:pPr>
            <w:r>
              <w:t xml:space="preserve">h A</w:t>
            </w:r>
          </w:p>
        </w:tc>
        <w:tc>
          <w:tcPr/>
          <w:p>
            <w:pPr>
              <w:pStyle w:val="Compact"/>
              <w:jc w:val="left"/>
            </w:pPr>
            <w:r>
              <w:t xml:space="preserve">D Interaction Guide §7, PKI Modernization Guide §3</w:t>
            </w:r>
          </w:p>
        </w:tc>
      </w:tr>
      <w:tr>
        <w:tc>
          <w:tcPr/>
          <w:p>
            <w:pPr>
              <w:pStyle w:val="Compact"/>
              <w:jc w:val="left"/>
            </w:pPr>
            <w:r>
              <w:t xml:space="preserve">T-5.4</w:t>
            </w:r>
          </w:p>
        </w:tc>
        <w:tc>
          <w:tcPr/>
          <w:p>
            <w:pPr>
              <w:pStyle w:val="Compact"/>
              <w:jc w:val="left"/>
            </w:pPr>
            <w:r>
              <w:t xml:space="preserve">Execute full GPO backup</w:t>
            </w:r>
          </w:p>
        </w:tc>
        <w:tc>
          <w:tcPr/>
          <w:p>
            <w:pPr>
              <w:pStyle w:val="Compact"/>
              <w:jc w:val="left"/>
            </w:pPr>
            <w:r>
              <w:t xml:space="preserve">Run Backup-GPO -All to capture all GPO settings as XML. Parse XML reports with Export-FMPGPOInventory to create structured JSON with per-setting classification. 4</w:t>
            </w:r>
          </w:p>
        </w:tc>
        <w:tc>
          <w:tcPr/>
          <w:p>
            <w:pPr>
              <w:pStyle w:val="Compact"/>
              <w:jc w:val="left"/>
            </w:pPr>
            <w:r>
              <w:t xml:space="preserve">h A</w:t>
            </w:r>
          </w:p>
        </w:tc>
        <w:tc>
          <w:tcPr/>
          <w:p>
            <w:pPr>
              <w:pStyle w:val="Compact"/>
              <w:jc w:val="left"/>
            </w:pPr>
            <w:r>
              <w:t xml:space="preserve">D Interaction Guide §5</w:t>
            </w:r>
          </w:p>
        </w:tc>
      </w:tr>
      <w:tr>
        <w:tc>
          <w:tcPr/>
          <w:p>
            <w:pPr>
              <w:pStyle w:val="Compact"/>
              <w:jc w:val="left"/>
            </w:pPr>
            <w:r>
              <w:t xml:space="preserve">T-5.5</w:t>
            </w:r>
          </w:p>
        </w:tc>
        <w:tc>
          <w:tcPr/>
          <w:p>
            <w:pPr>
              <w:pStyle w:val="Compact"/>
              <w:jc w:val="left"/>
            </w:pPr>
            <w:r>
              <w:t xml:space="preserve">Execute deleted objects enumeration</w:t>
            </w:r>
          </w:p>
        </w:tc>
        <w:tc>
          <w:tcPr/>
          <w:p>
            <w:pPr>
              <w:pStyle w:val="Compact"/>
              <w:jc w:val="left"/>
            </w:pPr>
            <w:r>
              <w:t xml:space="preserve">Enumerate tombstoned objects in the AD recycled objects container to identify recently deleted accounts, groups, and computer objects that may impact migration planning.</w:t>
            </w:r>
          </w:p>
        </w:tc>
        <w:tc>
          <w:tcPr/>
          <w:p>
            <w:pPr>
              <w:pStyle w:val="Compact"/>
              <w:jc w:val="left"/>
            </w:pPr>
            <w:r>
              <w:t xml:space="preserve">2h</w:t>
            </w:r>
          </w:p>
        </w:tc>
        <w:tc>
          <w:tcPr/>
          <w:p>
            <w:pPr>
              <w:pStyle w:val="Compact"/>
              <w:jc w:val="left"/>
            </w:pPr>
            <w:r>
              <w:t xml:space="preserve">AD Interaction Guide §12</w:t>
            </w:r>
          </w:p>
        </w:tc>
      </w:tr>
      <w:tr>
        <w:tc>
          <w:tcPr/>
          <w:p>
            <w:pPr>
              <w:pStyle w:val="Compact"/>
              <w:jc w:val="left"/>
            </w:pPr>
            <w:r>
              <w:t xml:space="preserve">T-5.6</w:t>
            </w:r>
          </w:p>
        </w:tc>
        <w:tc>
          <w:tcPr/>
          <w:p>
            <w:pPr>
              <w:pStyle w:val="Compact"/>
              <w:jc w:val="left"/>
            </w:pPr>
            <w:r>
              <w:t xml:space="preserve">Commit full assessment delta to Gitea</w:t>
            </w:r>
          </w:p>
        </w:tc>
        <w:tc>
          <w:tcPr/>
          <w:p>
            <w:pPr>
              <w:pStyle w:val="Compact"/>
              <w:jc w:val="left"/>
            </w:pPr>
            <w:r>
              <w:t xml:space="preserve">Stage all new and updated artifacts under</w:t>
            </w:r>
            <w:r>
              <w:t xml:space="preserve"> </w:t>
            </w:r>
            <w:r>
              <w:rPr>
                <w:i/>
                <w:iCs/>
              </w:rPr>
              <w:t xml:space="preserve">assessments/full/{domain}/{timestamp}/</w:t>
            </w:r>
            <w:r>
              <w:t xml:space="preserve">. Merge into feature/phase1-assessment branch. Update AssessmentManifest.json.</w:t>
            </w:r>
          </w:p>
        </w:tc>
        <w:tc>
          <w:tcPr/>
          <w:p>
            <w:pPr>
              <w:pStyle w:val="Compact"/>
              <w:jc w:val="left"/>
            </w:pPr>
            <w:r>
              <w:t xml:space="preserve">2h</w:t>
            </w:r>
          </w:p>
        </w:tc>
        <w:tc>
          <w:tcPr/>
          <w:p>
            <w:pPr>
              <w:pStyle w:val="Compact"/>
              <w:jc w:val="left"/>
            </w:pPr>
            <w:r>
              <w:t xml:space="preserve">CLI and Operations Guide §6</w:t>
            </w:r>
          </w:p>
        </w:tc>
      </w:tr>
    </w:tbl>
    <w:p/>
    <w:tbl>
      <w:tblPr>
        <w:tblStyle w:val="Table"/>
        <w:tblW w:type="pct" w:w="4921"/>
        <w:tblLayout w:type="fixed"/>
        <w:tblLook w:firstRow="1" w:lastRow="0" w:firstColumn="0" w:lastColumn="0" w:noHBand="0" w:noVBand="0" w:val="0020"/>
      </w:tblPr>
      <w:tblGrid>
        <w:gridCol w:w="2307"/>
        <w:gridCol w:w="561"/>
        <w:gridCol w:w="4926"/>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Full assessment committed to Gitea</w:t>
            </w:r>
          </w:p>
        </w:tc>
        <w:tc>
          <w:tcPr/>
          <w:p>
            <w:pPr>
              <w:pStyle w:val="Compact"/>
              <w:jc w:val="left"/>
            </w:pPr>
            <w:r>
              <w:t xml:space="preserve">M-009</w:t>
            </w:r>
          </w:p>
        </w:tc>
        <w:tc>
          <w:tcPr/>
          <w:p>
            <w:pPr>
              <w:pStyle w:val="Compact"/>
              <w:jc w:val="left"/>
            </w:pPr>
            <w:r>
              <w:t xml:space="preserve">Full assessment reviewed; no critical gaps remaining; all 12 domains covered</w:t>
            </w:r>
          </w:p>
        </w:tc>
      </w:tr>
    </w:tbl>
    <w:p/>
    <w:tbl>
      <w:tblPr>
        <w:tblStyle w:val="Table"/>
        <w:tblW w:type="pct" w:w="2292"/>
        <w:tblLayout w:type="fixed"/>
        <w:tblLook w:firstRow="0" w:lastRow="0" w:firstColumn="0" w:lastColumn="0" w:noHBand="0" w:noVBand="0" w:val="0000"/>
      </w:tblPr>
      <w:tblGrid>
        <w:gridCol w:w="3630"/>
      </w:tblGrid>
      <w:tr>
        <w:tc>
          <w:tcPr/>
          <w:p>
            <w:pPr>
              <w:pStyle w:val="Compact"/>
              <w:jc w:val="left"/>
            </w:pPr>
            <w:r>
              <w:t xml:space="preserve">Week 6 — Security Assessment</w:t>
            </w:r>
          </w:p>
        </w:tc>
      </w:tr>
    </w:tbl>
    <w:p/>
    <w:tbl>
      <w:tblPr>
        <w:tblStyle w:val="Table"/>
        <w:tblW w:type="pct" w:w="4970"/>
        <w:tblLayout w:type="fixed"/>
        <w:tblLook w:firstRow="1" w:lastRow="0" w:firstColumn="0" w:lastColumn="0" w:noHBand="0" w:noVBand="0" w:val="0020"/>
      </w:tblPr>
      <w:tblGrid>
        <w:gridCol w:w="328"/>
        <w:gridCol w:w="1148"/>
        <w:gridCol w:w="4873"/>
        <w:gridCol w:w="281"/>
        <w:gridCol w:w="12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T-6.1</w:t>
            </w:r>
          </w:p>
        </w:tc>
        <w:tc>
          <w:tcPr/>
          <w:p>
            <w:pPr>
              <w:pStyle w:val="Compact"/>
              <w:jc w:val="left"/>
            </w:pPr>
            <w:r>
              <w:t xml:space="preserve">Run ESC vulnerability analysis</w:t>
            </w:r>
          </w:p>
        </w:tc>
        <w:tc>
          <w:tcPr/>
          <w:p>
            <w:pPr>
              <w:pStyle w:val="Compact"/>
              <w:jc w:val="left"/>
            </w:pPr>
            <w:r>
              <w:t xml:space="preserve">Execute Test-FMPESCVulnerabilities against all certificate templates. Identify ESC1 through ESC8 misconfigurations. Output ESCVulnerabilities.csv with per-template severity and remediation recommendation. 6</w:t>
            </w:r>
          </w:p>
        </w:tc>
        <w:tc>
          <w:tcPr/>
          <w:p>
            <w:pPr>
              <w:pStyle w:val="Compact"/>
              <w:jc w:val="left"/>
            </w:pPr>
            <w:r>
              <w:t xml:space="preserve">h P</w:t>
            </w:r>
          </w:p>
        </w:tc>
        <w:tc>
          <w:tcPr/>
          <w:p>
            <w:pPr>
              <w:pStyle w:val="Compact"/>
              <w:jc w:val="left"/>
            </w:pPr>
            <w:r>
              <w:t xml:space="preserve">KI Modernization Guide §3</w:t>
            </w:r>
          </w:p>
        </w:tc>
      </w:tr>
      <w:tr>
        <w:tc>
          <w:tcPr/>
          <w:p>
            <w:pPr>
              <w:pStyle w:val="Compact"/>
              <w:jc w:val="left"/>
            </w:pPr>
            <w:r>
              <w:t xml:space="preserve">T-6.2</w:t>
            </w:r>
          </w:p>
        </w:tc>
        <w:tc>
          <w:tcPr/>
          <w:p>
            <w:pPr>
              <w:pStyle w:val="Compact"/>
              <w:jc w:val="left"/>
            </w:pPr>
            <w:r>
              <w:t xml:space="preserve">Run privileged access audit</w:t>
            </w:r>
          </w:p>
        </w:tc>
        <w:tc>
          <w:tcPr/>
          <w:p>
            <w:pPr>
              <w:pStyle w:val="Compact"/>
              <w:jc w:val="left"/>
            </w:pPr>
            <w:r>
              <w:t xml:space="preserve">Enumerate all accounts with AdminCount=1, Kerberoastable SPNs, unconstrained delegation, AS-REP roastable accounts, password-never-expires, and stale privileged accounts (&gt;90 days inactive).</w:t>
            </w:r>
          </w:p>
        </w:tc>
        <w:tc>
          <w:tcPr/>
          <w:p>
            <w:pPr>
              <w:pStyle w:val="Compact"/>
              <w:jc w:val="left"/>
            </w:pPr>
            <w:r>
              <w:t xml:space="preserve">4h</w:t>
            </w:r>
          </w:p>
        </w:tc>
        <w:tc>
          <w:tcPr/>
          <w:p>
            <w:pPr>
              <w:pStyle w:val="Compact"/>
              <w:jc w:val="left"/>
            </w:pPr>
            <w:r>
              <w:t xml:space="preserve">Identity Modernization Guide §5</w:t>
            </w:r>
          </w:p>
        </w:tc>
      </w:tr>
      <w:tr>
        <w:tc>
          <w:tcPr/>
          <w:p>
            <w:pPr>
              <w:pStyle w:val="Compact"/>
              <w:jc w:val="left"/>
            </w:pPr>
            <w:r>
              <w:t xml:space="preserve">T-6.3</w:t>
            </w:r>
          </w:p>
        </w:tc>
        <w:tc>
          <w:tcPr/>
          <w:p>
            <w:pPr>
              <w:pStyle w:val="Compact"/>
              <w:jc w:val="left"/>
            </w:pPr>
            <w:r>
              <w:t xml:space="preserve">Import Defender for Identity findings</w:t>
            </w:r>
          </w:p>
        </w:tc>
        <w:tc>
          <w:tcPr/>
          <w:p>
            <w:pPr>
              <w:pStyle w:val="Compact"/>
              <w:jc w:val="left"/>
            </w:pPr>
            <w:r>
              <w:t xml:space="preserve">If Microsoft Defender for Identity is deployed, export Secure Score findings and import via Import-DefenderForIdentityFindings adapter. Merge with the Federal Modernization Program findings.</w:t>
            </w:r>
          </w:p>
        </w:tc>
        <w:tc>
          <w:tcPr/>
          <w:p>
            <w:pPr>
              <w:pStyle w:val="Compact"/>
            </w:pPr>
          </w:p>
        </w:tc>
        <w:tc>
          <w:tcPr/>
          <w:p>
            <w:pPr>
              <w:pStyle w:val="Compact"/>
              <w:jc w:val="left"/>
            </w:pPr>
            <w:r>
              <w:t xml:space="preserve">3h the Federal Modernization Program vs Microsoft Native Tools — Gap Analysis §7</w:t>
            </w:r>
          </w:p>
        </w:tc>
      </w:tr>
      <w:tr>
        <w:tc>
          <w:tcPr/>
          <w:p>
            <w:pPr>
              <w:pStyle w:val="Compact"/>
              <w:jc w:val="left"/>
            </w:pPr>
            <w:r>
              <w:t xml:space="preserve">T-6.4</w:t>
            </w:r>
          </w:p>
        </w:tc>
        <w:tc>
          <w:tcPr/>
          <w:p>
            <w:pPr>
              <w:pStyle w:val="Compact"/>
              <w:jc w:val="left"/>
            </w:pPr>
            <w:r>
              <w:t xml:space="preserve">Import PingCastle / Purple Knight results</w:t>
            </w:r>
          </w:p>
        </w:tc>
        <w:tc>
          <w:tcPr/>
          <w:p>
            <w:pPr>
              <w:pStyle w:val="Compact"/>
              <w:jc w:val="left"/>
            </w:pPr>
            <w:r>
              <w:t xml:space="preserve">If third-party AD security tools have been run, import and correlate findings with the Federal Modernization Program assessment data. Reconcile overlapping findings to eliminate duplicates.</w:t>
            </w:r>
          </w:p>
        </w:tc>
        <w:tc>
          <w:tcPr/>
          <w:p>
            <w:pPr>
              <w:pStyle w:val="Compact"/>
            </w:pPr>
          </w:p>
        </w:tc>
        <w:tc>
          <w:tcPr/>
          <w:p>
            <w:pPr>
              <w:pStyle w:val="Compact"/>
              <w:jc w:val="left"/>
            </w:pPr>
            <w:r>
              <w:t xml:space="preserve">3h the Federal Modernization Program vs Microsoft Native Tools — Gap Analysis §9</w:t>
            </w:r>
          </w:p>
        </w:tc>
      </w:tr>
      <w:tr>
        <w:tc>
          <w:tcPr/>
          <w:p>
            <w:pPr>
              <w:pStyle w:val="Compact"/>
              <w:jc w:val="left"/>
            </w:pPr>
            <w:r>
              <w:t xml:space="preserve">T-6.5</w:t>
            </w:r>
          </w:p>
        </w:tc>
        <w:tc>
          <w:tcPr/>
          <w:p>
            <w:pPr>
              <w:pStyle w:val="Compact"/>
              <w:jc w:val="left"/>
            </w:pPr>
            <w:r>
              <w:t xml:space="preserve">Generate consolidated security findings report</w:t>
            </w:r>
          </w:p>
        </w:tc>
        <w:tc>
          <w:tcPr/>
          <w:p>
            <w:pPr>
              <w:pStyle w:val="Compact"/>
              <w:jc w:val="left"/>
            </w:pPr>
            <w:r>
              <w:t xml:space="preserve">Merge all sources (the Federal Modernization Program, Defender for Identity, PingCastle) into a single SecurityFindings.json with deduplicated, normalized findings.</w:t>
            </w:r>
          </w:p>
        </w:tc>
        <w:tc>
          <w:tcPr/>
          <w:p>
            <w:pPr>
              <w:pStyle w:val="Compact"/>
            </w:pPr>
          </w:p>
        </w:tc>
        <w:tc>
          <w:tcPr/>
          <w:p>
            <w:pPr>
              <w:pStyle w:val="Compact"/>
              <w:jc w:val="left"/>
            </w:pPr>
            <w:r>
              <w:t xml:space="preserve">4h —</w:t>
            </w:r>
          </w:p>
        </w:tc>
      </w:tr>
      <w:tr>
        <w:tc>
          <w:tcPr/>
          <w:p>
            <w:pPr>
              <w:pStyle w:val="Compact"/>
              <w:jc w:val="left"/>
            </w:pPr>
            <w:r>
              <w:t xml:space="preserve">T-6.6</w:t>
            </w:r>
          </w:p>
        </w:tc>
        <w:tc>
          <w:tcPr/>
          <w:p>
            <w:pPr>
              <w:pStyle w:val="Compact"/>
              <w:jc w:val="left"/>
            </w:pPr>
            <w:r>
              <w:t xml:space="preserve">Classify findings by severity</w:t>
            </w:r>
          </w:p>
        </w:tc>
        <w:tc>
          <w:tcPr/>
          <w:p>
            <w:pPr>
              <w:pStyle w:val="Compact"/>
              <w:jc w:val="left"/>
            </w:pPr>
            <w:r>
              <w:t xml:space="preserve">Assign each finding:</w:t>
            </w:r>
            <w:r>
              <w:t xml:space="preserve"> </w:t>
            </w:r>
            <w:r>
              <w:rPr>
                <w:b/>
                <w:bCs/>
              </w:rPr>
              <w:t xml:space="preserve">Critical</w:t>
            </w:r>
            <w:r>
              <w:t xml:space="preserve"> </w:t>
            </w:r>
            <w:r>
              <w:t xml:space="preserve">(blocks migration),</w:t>
            </w:r>
            <w:r>
              <w:t xml:space="preserve"> </w:t>
            </w:r>
            <w:r>
              <w:rPr>
                <w:b/>
                <w:bCs/>
              </w:rPr>
              <w:t xml:space="preserve">High</w:t>
            </w:r>
            <w:r>
              <w:t xml:space="preserve"> </w:t>
            </w:r>
            <w:r>
              <w:t xml:space="preserve">(must remediate before Phase 3),</w:t>
            </w:r>
            <w:r>
              <w:t xml:space="preserve"> </w:t>
            </w:r>
            <w:r>
              <w:rPr>
                <w:b/>
                <w:bCs/>
              </w:rPr>
              <w:t xml:space="preserve">Medium</w:t>
            </w:r>
            <w:r>
              <w:t xml:space="preserve"> </w:t>
            </w:r>
            <w:r>
              <w:t xml:space="preserve">(remediate during Phase 4),</w:t>
            </w:r>
            <w:r>
              <w:t xml:space="preserve"> </w:t>
            </w:r>
            <w:r>
              <w:rPr>
                <w:b/>
                <w:bCs/>
              </w:rPr>
              <w:t xml:space="preserve">Low</w:t>
            </w:r>
            <w:r>
              <w:t xml:space="preserve"> </w:t>
            </w:r>
            <w:r>
              <w:t xml:space="preserve">(accept or track).</w:t>
            </w:r>
          </w:p>
        </w:tc>
        <w:tc>
          <w:tcPr/>
          <w:p>
            <w:pPr>
              <w:pStyle w:val="Compact"/>
              <w:jc w:val="left"/>
            </w:pPr>
            <w:r>
              <w:t xml:space="preserve">4h</w:t>
            </w:r>
          </w:p>
        </w:tc>
        <w:tc>
          <w:tcPr/>
          <w:p>
            <w:pPr>
              <w:pStyle w:val="Compact"/>
              <w:jc w:val="left"/>
            </w:pPr>
            <w:r>
              <w:t xml:space="preserve">—</w:t>
            </w:r>
          </w:p>
        </w:tc>
      </w:tr>
      <w:tr>
        <w:tc>
          <w:tcPr/>
          <w:p>
            <w:pPr>
              <w:pStyle w:val="Compact"/>
              <w:jc w:val="left"/>
            </w:pPr>
            <w:r>
              <w:t xml:space="preserve">T-6.7</w:t>
            </w:r>
          </w:p>
        </w:tc>
        <w:tc>
          <w:tcPr/>
          <w:p>
            <w:pPr>
              <w:pStyle w:val="Compact"/>
              <w:jc w:val="left"/>
            </w:pPr>
            <w:r>
              <w:t xml:space="preserve">Commit security assessment to Gitea</w:t>
            </w:r>
          </w:p>
        </w:tc>
        <w:tc>
          <w:tcPr/>
          <w:p>
            <w:pPr>
              <w:pStyle w:val="Compact"/>
              <w:jc w:val="left"/>
            </w:pPr>
            <w:r>
              <w:t xml:space="preserve">Commit all security artifacts under</w:t>
            </w:r>
            <w:r>
              <w:t xml:space="preserve"> </w:t>
            </w:r>
            <w:r>
              <w:rPr>
                <w:i/>
                <w:iCs/>
              </w:rPr>
              <w:t xml:space="preserve">assessments/security/{timestamp}/</w:t>
            </w:r>
            <w:r>
              <w:t xml:space="preserve"> </w:t>
            </w:r>
            <w:r>
              <w:t xml:space="preserve">and update AssessmentManifest.json.</w:t>
            </w:r>
          </w:p>
        </w:tc>
        <w:tc>
          <w:tcPr/>
          <w:p>
            <w:pPr>
              <w:pStyle w:val="Compact"/>
              <w:jc w:val="left"/>
            </w:pPr>
            <w:r>
              <w:t xml:space="preserve">1h</w:t>
            </w:r>
          </w:p>
        </w:tc>
        <w:tc>
          <w:tcPr/>
          <w:p>
            <w:pPr>
              <w:pStyle w:val="Compact"/>
              <w:jc w:val="left"/>
            </w:pPr>
            <w:r>
              <w:t xml:space="preserve">CLI and Operations Guide §6</w:t>
            </w:r>
          </w:p>
        </w:tc>
      </w:tr>
    </w:tbl>
    <w:p/>
    <w:tbl>
      <w:tblPr>
        <w:tblStyle w:val="Table"/>
        <w:tblW w:type="pct" w:w="4939"/>
        <w:tblLayout w:type="fixed"/>
        <w:tblLook w:firstRow="1" w:lastRow="0" w:firstColumn="0" w:lastColumn="0" w:noHBand="0" w:noVBand="0" w:val="0020"/>
      </w:tblPr>
      <w:tblGrid>
        <w:gridCol w:w="2511"/>
        <w:gridCol w:w="434"/>
        <w:gridCol w:w="4877"/>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Security assessment complete, findings classified</w:t>
            </w:r>
          </w:p>
        </w:tc>
        <w:tc>
          <w:tcPr/>
          <w:p>
            <w:pPr>
              <w:pStyle w:val="Compact"/>
              <w:jc w:val="left"/>
            </w:pPr>
            <w:r>
              <w:t xml:space="preserve">M-010</w:t>
            </w:r>
          </w:p>
        </w:tc>
        <w:tc>
          <w:tcPr/>
          <w:p>
            <w:pPr>
              <w:pStyle w:val="Compact"/>
              <w:jc w:val="left"/>
            </w:pPr>
            <w:r>
              <w:t xml:space="preserve">Critical findings identified with remediation plan drafted; High findings scheduled before Phase 3</w:t>
            </w:r>
          </w:p>
        </w:tc>
      </w:tr>
    </w:tbl>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7 — Planning Document Generation</w:t>
            </w:r>
          </w:p>
        </w:tc>
      </w:tr>
    </w:tbl>
    <w:p>
      <w:pPr>
        <w:pStyle w:val="BodyText"/>
      </w:pPr>
      <w:r>
        <w:t xml:space="preserve">From the assessment data, the following eight planning documents are generated. Each planning document is machine-readable JSON, produced by a Federal Modernization Program plan generator function, and driven entirely by assessment output — not by manual design.</w:t>
      </w:r>
    </w:p>
    <w:tbl>
      <w:tblPr>
        <w:tblStyle w:val="Table"/>
        <w:tblW w:type="pct" w:w="4975"/>
        <w:tblLayout w:type="fixed"/>
        <w:tblLook w:firstRow="1" w:lastRow="0" w:firstColumn="0" w:lastColumn="0" w:noHBand="0" w:noVBand="0" w:val="0020"/>
      </w:tblPr>
      <w:tblGrid>
        <w:gridCol w:w="271"/>
        <w:gridCol w:w="718"/>
        <w:gridCol w:w="4445"/>
        <w:gridCol w:w="1222"/>
        <w:gridCol w:w="1222"/>
      </w:tblGrid>
      <w:tr>
        <w:trPr>
          <w:tblHeader w:val="on"/>
        </w:trPr>
        <w:tc>
          <w:tcPr/>
          <w:p>
            <w:pPr>
              <w:pStyle w:val="Compact"/>
              <w:jc w:val="left"/>
            </w:pPr>
            <w:r>
              <w:rPr>
                <w:b/>
                <w:bCs/>
              </w:rPr>
              <w:t xml:space="preserve">Task ID</w:t>
            </w:r>
          </w:p>
        </w:tc>
        <w:tc>
          <w:tcPr/>
          <w:p>
            <w:pPr>
              <w:pStyle w:val="Compact"/>
              <w:jc w:val="left"/>
            </w:pPr>
            <w:r>
              <w:rPr>
                <w:b/>
                <w:bCs/>
              </w:rPr>
              <w:t xml:space="preserve">Planning Document</w:t>
            </w:r>
          </w:p>
        </w:tc>
        <w:tc>
          <w:tcPr/>
          <w:p>
            <w:pPr>
              <w:pStyle w:val="Compact"/>
              <w:jc w:val="left"/>
            </w:pPr>
            <w:r>
              <w:rPr>
                <w:b/>
                <w:bCs/>
              </w:rPr>
              <w:t xml:space="preserve">Description</w:t>
            </w:r>
          </w:p>
        </w:tc>
        <w:tc>
          <w:tcPr/>
          <w:p>
            <w:pPr>
              <w:pStyle w:val="Compact"/>
              <w:jc w:val="left"/>
            </w:pPr>
            <w:r>
              <w:rPr>
                <w:b/>
                <w:bCs/>
              </w:rPr>
              <w:t xml:space="preserve">Input Artifacts</w:t>
            </w:r>
          </w:p>
        </w:tc>
        <w:tc>
          <w:tcPr/>
          <w:p>
            <w:pPr>
              <w:pStyle w:val="Compact"/>
              <w:jc w:val="left"/>
            </w:pPr>
            <w:r>
              <w:rPr>
                <w:b/>
                <w:bCs/>
              </w:rPr>
              <w:t xml:space="preserve">Reference</w:t>
            </w:r>
          </w:p>
        </w:tc>
      </w:tr>
      <w:tr>
        <w:tc>
          <w:tcPr/>
          <w:p>
            <w:pPr>
              <w:pStyle w:val="Compact"/>
              <w:jc w:val="left"/>
            </w:pPr>
            <w:r>
              <w:t xml:space="preserve">T-7.1</w:t>
            </w:r>
          </w:p>
        </w:tc>
        <w:tc>
          <w:tcPr/>
          <w:p>
            <w:pPr>
              <w:pStyle w:val="Compact"/>
              <w:jc w:val="left"/>
            </w:pPr>
            <w:r>
              <w:rPr>
                <w:b/>
                <w:bCs/>
              </w:rPr>
              <w:t xml:space="preserve">ComputerModernizationPlan.json</w:t>
            </w:r>
          </w:p>
        </w:tc>
        <w:tc>
          <w:tcPr/>
          <w:p>
            <w:pPr>
              <w:pStyle w:val="Compact"/>
              <w:jc w:val="left"/>
            </w:pPr>
            <w:r>
              <w:t xml:space="preserve">Classify every computer object into migration path: Entra Join, Hybrid Join, Azure Arc, Retain, or Decommission. Include OS version, last logon, extension attribute assignment, and target Intune policy group.</w:t>
            </w:r>
          </w:p>
        </w:tc>
        <w:tc>
          <w:tcPr/>
          <w:p>
            <w:pPr>
              <w:pStyle w:val="Compact"/>
              <w:jc w:val="left"/>
            </w:pPr>
            <w:r>
              <w:t xml:space="preserve">ComputerInventory.json</w:t>
            </w:r>
          </w:p>
        </w:tc>
        <w:tc>
          <w:tcPr/>
          <w:p>
            <w:pPr>
              <w:pStyle w:val="Compact"/>
              <w:jc w:val="left"/>
            </w:pPr>
            <w:r>
              <w:t xml:space="preserve">AD Computer Object Conversion Guide</w:t>
            </w:r>
          </w:p>
        </w:tc>
      </w:tr>
      <w:tr>
        <w:tc>
          <w:tcPr/>
          <w:p>
            <w:pPr>
              <w:pStyle w:val="Compact"/>
              <w:jc w:val="left"/>
            </w:pPr>
            <w:r>
              <w:t xml:space="preserve">T-7.2</w:t>
            </w:r>
          </w:p>
        </w:tc>
        <w:tc>
          <w:tcPr/>
          <w:p>
            <w:pPr>
              <w:pStyle w:val="Compact"/>
              <w:jc w:val="left"/>
            </w:pPr>
            <w:r>
              <w:rPr>
                <w:b/>
                <w:bCs/>
              </w:rPr>
              <w:t xml:space="preserve">IdentityModernizationPlan.json</w:t>
            </w:r>
          </w:p>
        </w:tc>
        <w:tc>
          <w:tcPr/>
          <w:p>
            <w:pPr>
              <w:pStyle w:val="Compact"/>
              <w:jc w:val="left"/>
            </w:pPr>
            <w:r>
              <w:t xml:space="preserve">Classify every user, group, and service account into migration path: Cloud-only, Synced, gMSA conversion, Workload Identity, or Retain. Map privileged accounts to PIM roles.</w:t>
            </w:r>
          </w:p>
        </w:tc>
        <w:tc>
          <w:tcPr/>
          <w:p>
            <w:pPr>
              <w:pStyle w:val="Compact"/>
              <w:jc w:val="left"/>
            </w:pPr>
            <w:r>
              <w:t xml:space="preserve">UserInventory.json, GroupInventory.json, ServiceAccounts.csv</w:t>
            </w:r>
          </w:p>
        </w:tc>
        <w:tc>
          <w:tcPr/>
          <w:p>
            <w:pPr>
              <w:pStyle w:val="Compact"/>
              <w:jc w:val="left"/>
            </w:pPr>
            <w:r>
              <w:t xml:space="preserve">Identity Modernization Guide</w:t>
            </w:r>
          </w:p>
        </w:tc>
      </w:tr>
      <w:tr>
        <w:tc>
          <w:tcPr/>
          <w:p>
            <w:pPr>
              <w:pStyle w:val="Compact"/>
              <w:jc w:val="left"/>
            </w:pPr>
            <w:r>
              <w:t xml:space="preserve">T-7.3</w:t>
            </w:r>
          </w:p>
        </w:tc>
        <w:tc>
          <w:tcPr/>
          <w:p>
            <w:pPr>
              <w:pStyle w:val="Compact"/>
              <w:jc w:val="left"/>
            </w:pPr>
            <w:r>
              <w:rPr>
                <w:b/>
                <w:bCs/>
              </w:rPr>
              <w:t xml:space="preserve">GPOMigrationPlan.json</w:t>
            </w:r>
          </w:p>
        </w:tc>
        <w:tc>
          <w:tcPr/>
          <w:p>
            <w:pPr>
              <w:pStyle w:val="Compact"/>
              <w:jc w:val="left"/>
            </w:pPr>
            <w:r>
              <w:t xml:space="preserve">Decompose every GPO into individual configuration intents. Classify each intent into Intune policy type (Settings Catalog, Endpoint Security, ADMX template, custom OMA-URI, or no equivalent). Track per-intent migration status.</w:t>
            </w:r>
          </w:p>
        </w:tc>
        <w:tc>
          <w:tcPr/>
          <w:p>
            <w:pPr>
              <w:pStyle w:val="Compact"/>
              <w:jc w:val="left"/>
            </w:pPr>
            <w:r>
              <w:t xml:space="preserve">GPOInventory.json</w:t>
            </w:r>
          </w:p>
        </w:tc>
        <w:tc>
          <w:tcPr/>
          <w:p>
            <w:pPr>
              <w:pStyle w:val="Compact"/>
              <w:jc w:val="left"/>
            </w:pPr>
            <w:r>
              <w:t xml:space="preserve">AD Computer Object Conversion Guide §4</w:t>
            </w:r>
          </w:p>
        </w:tc>
      </w:tr>
      <w:tr>
        <w:tc>
          <w:tcPr/>
          <w:p>
            <w:pPr>
              <w:pStyle w:val="Compact"/>
              <w:jc w:val="left"/>
            </w:pPr>
            <w:r>
              <w:t xml:space="preserve">T-7.4</w:t>
            </w:r>
          </w:p>
        </w:tc>
        <w:tc>
          <w:tcPr/>
          <w:p>
            <w:pPr>
              <w:pStyle w:val="Compact"/>
              <w:jc w:val="left"/>
            </w:pPr>
            <w:r>
              <w:rPr>
                <w:b/>
                <w:bCs/>
              </w:rPr>
              <w:t xml:space="preserve">DNSModernizationPlan.json</w:t>
            </w:r>
          </w:p>
        </w:tc>
        <w:tc>
          <w:tcPr/>
          <w:p>
            <w:pPr>
              <w:pStyle w:val="Compact"/>
              <w:jc w:val="left"/>
            </w:pPr>
            <w:r>
              <w:t xml:space="preserve">Classify every DNS zone and record into migration path: Azure DNS Private Zone, Azure DNS Public Zone, Private Resolver Forwarding, Retain AD-Integrated, or Decommission.</w:t>
            </w:r>
          </w:p>
        </w:tc>
        <w:tc>
          <w:tcPr/>
          <w:p>
            <w:pPr>
              <w:pStyle w:val="Compact"/>
              <w:jc w:val="left"/>
            </w:pPr>
            <w:r>
              <w:t xml:space="preserve">DNSInventory.json</w:t>
            </w:r>
          </w:p>
        </w:tc>
        <w:tc>
          <w:tcPr/>
          <w:p>
            <w:pPr>
              <w:pStyle w:val="Compact"/>
              <w:jc w:val="left"/>
            </w:pPr>
            <w:r>
              <w:t xml:space="preserve">DNS Modernization Guide</w:t>
            </w:r>
          </w:p>
        </w:tc>
      </w:tr>
      <w:tr>
        <w:tc>
          <w:tcPr/>
          <w:p>
            <w:pPr>
              <w:pStyle w:val="Compact"/>
              <w:jc w:val="left"/>
            </w:pPr>
            <w:r>
              <w:t xml:space="preserve">T-7.5</w:t>
            </w:r>
          </w:p>
        </w:tc>
        <w:tc>
          <w:tcPr/>
          <w:p>
            <w:pPr>
              <w:pStyle w:val="Compact"/>
              <w:jc w:val="left"/>
            </w:pPr>
            <w:r>
              <w:rPr>
                <w:b/>
                <w:bCs/>
              </w:rPr>
              <w:t xml:space="preserve">PKIModernizationPlan.json</w:t>
            </w:r>
          </w:p>
        </w:tc>
        <w:tc>
          <w:tcPr/>
          <w:p>
            <w:pPr>
              <w:pStyle w:val="Compact"/>
              <w:jc w:val="left"/>
            </w:pPr>
            <w:r>
              <w:t xml:space="preserve">Classify every certificate template into MIGRATE (Cloud PKI), BRIDGE (hybrid issuance), RETAIN (on-prem only), or RETIRE. Include ESC remediation status per template.</w:t>
            </w:r>
          </w:p>
        </w:tc>
        <w:tc>
          <w:tcPr/>
          <w:p>
            <w:pPr>
              <w:pStyle w:val="Compact"/>
              <w:jc w:val="left"/>
            </w:pPr>
            <w:r>
              <w:t xml:space="preserve">PKIInventory.json</w:t>
            </w:r>
          </w:p>
        </w:tc>
        <w:tc>
          <w:tcPr/>
          <w:p>
            <w:pPr>
              <w:pStyle w:val="Compact"/>
              <w:jc w:val="left"/>
            </w:pPr>
            <w:r>
              <w:t xml:space="preserve">PKI Modernization Guide §4</w:t>
            </w:r>
          </w:p>
        </w:tc>
      </w:tr>
      <w:tr>
        <w:tc>
          <w:tcPr/>
          <w:p>
            <w:pPr>
              <w:pStyle w:val="Compact"/>
              <w:jc w:val="left"/>
            </w:pPr>
            <w:r>
              <w:t xml:space="preserve">T-7.6</w:t>
            </w:r>
          </w:p>
        </w:tc>
        <w:tc>
          <w:tcPr/>
          <w:p>
            <w:pPr>
              <w:pStyle w:val="Compact"/>
              <w:jc w:val="left"/>
            </w:pPr>
            <w:r>
              <w:rPr>
                <w:b/>
                <w:bCs/>
              </w:rPr>
              <w:t xml:space="preserve">AttributeDesign.json</w:t>
            </w:r>
          </w:p>
        </w:tc>
        <w:tc>
          <w:tcPr/>
          <w:p>
            <w:pPr>
              <w:pStyle w:val="Compact"/>
              <w:jc w:val="left"/>
            </w:pPr>
            <w:r>
              <w:t xml:space="preserve">Define canonical extension attribute dimensions (Region, Site, Department, Role, Environment) and value lists. Map OU hierarchy analysis to extension attribute dimension values. Define extension attribu</w:t>
            </w:r>
          </w:p>
        </w:tc>
        <w:tc>
          <w:tcPr/>
          <w:p>
            <w:pPr>
              <w:pStyle w:val="Compact"/>
              <w:jc w:val="left"/>
            </w:pPr>
            <w:r>
              <w:t xml:space="preserve">te assignments.</w:t>
            </w:r>
          </w:p>
        </w:tc>
        <w:tc>
          <w:tcPr/>
          <w:p>
            <w:pPr>
              <w:pStyle w:val="Compact"/>
              <w:jc w:val="left"/>
            </w:pPr>
            <w:r>
              <w:t xml:space="preserve">OUHierarchy.json AD Computer Object Conversion Guide §2</w:t>
            </w:r>
          </w:p>
        </w:tc>
      </w:tr>
      <w:tr>
        <w:tc>
          <w:tcPr/>
          <w:p>
            <w:pPr>
              <w:pStyle w:val="Compact"/>
              <w:jc w:val="left"/>
            </w:pPr>
            <w:r>
              <w:t xml:space="preserve">T-7.7</w:t>
            </w:r>
          </w:p>
        </w:tc>
        <w:tc>
          <w:tcPr/>
          <w:p>
            <w:pPr>
              <w:pStyle w:val="Compact"/>
              <w:jc w:val="left"/>
            </w:pPr>
            <w:r>
              <w:rPr>
                <w:b/>
                <w:bCs/>
              </w:rPr>
              <w:t xml:space="preserve">TrustDecommissionPlan.json</w:t>
            </w:r>
          </w:p>
        </w:tc>
        <w:tc>
          <w:tcPr/>
          <w:p>
            <w:pPr>
              <w:pStyle w:val="Compact"/>
              <w:jc w:val="left"/>
            </w:pPr>
            <w:r>
              <w:t xml:space="preserve">Map trust reduction sequence: identify each trust, classify as essential/non-essential, define decommission prerequisites and validation steps.</w:t>
            </w:r>
          </w:p>
        </w:tc>
        <w:tc>
          <w:tcPr/>
          <w:p>
            <w:pPr>
              <w:pStyle w:val="Compact"/>
              <w:jc w:val="left"/>
            </w:pPr>
            <w:r>
              <w:t xml:space="preserve">TrustMap.json</w:t>
            </w:r>
          </w:p>
        </w:tc>
        <w:tc>
          <w:tcPr/>
          <w:p>
            <w:pPr>
              <w:pStyle w:val="Compact"/>
              <w:jc w:val="left"/>
            </w:pPr>
            <w:r>
              <w:t xml:space="preserve">Identity Modernization Guide §10</w:t>
            </w:r>
          </w:p>
        </w:tc>
      </w:tr>
      <w:tr>
        <w:tc>
          <w:tcPr/>
          <w:p>
            <w:pPr>
              <w:pStyle w:val="Compact"/>
              <w:jc w:val="left"/>
            </w:pPr>
            <w:r>
              <w:t xml:space="preserve">T-7.8</w:t>
            </w:r>
          </w:p>
        </w:tc>
        <w:tc>
          <w:tcPr/>
          <w:p>
            <w:pPr>
              <w:pStyle w:val="Compact"/>
              <w:jc w:val="left"/>
            </w:pPr>
            <w:r>
              <w:rPr>
                <w:b/>
                <w:bCs/>
              </w:rPr>
              <w:t xml:space="preserve">SecurityRemediationPlan.json</w:t>
            </w:r>
          </w:p>
        </w:tc>
        <w:tc>
          <w:tcPr/>
          <w:p>
            <w:pPr>
              <w:pStyle w:val="Compact"/>
              <w:jc w:val="left"/>
            </w:pPr>
            <w:r>
              <w:t xml:space="preserve">Remediation steps for every finding with assigned owner, SLA based on severity, and verification procedure. Critical/High findings must have remediation completed before Phase 3 gate.</w:t>
            </w:r>
          </w:p>
        </w:tc>
        <w:tc>
          <w:tcPr/>
          <w:p>
            <w:pPr>
              <w:pStyle w:val="Compact"/>
              <w:jc w:val="left"/>
            </w:pPr>
            <w:r>
              <w:t xml:space="preserve">SecurityFindings.json</w:t>
            </w:r>
          </w:p>
        </w:tc>
        <w:tc>
          <w:tcPr/>
          <w:p>
            <w:pPr>
              <w:pStyle w:val="Compact"/>
              <w:jc w:val="left"/>
            </w:pPr>
            <w:r>
              <w:t xml:space="preserve">PKI Modernization Guide §3, Identity Modernization Guide §5</w:t>
            </w:r>
          </w:p>
        </w:tc>
      </w:tr>
    </w:tbl>
    <w:p/>
    <w:tbl>
      <w:tblPr>
        <w:tblStyle w:val="Table"/>
        <w:tblW w:type="pct" w:w="4937"/>
        <w:tblLayout w:type="fixed"/>
        <w:tblLook w:firstRow="1" w:lastRow="0" w:firstColumn="0" w:lastColumn="0" w:noHBand="0" w:noVBand="0" w:val="0020"/>
      </w:tblPr>
      <w:tblGrid>
        <w:gridCol w:w="2889"/>
        <w:gridCol w:w="448"/>
        <w:gridCol w:w="4483"/>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generated and committed to Gitea</w:t>
            </w:r>
          </w:p>
        </w:tc>
        <w:tc>
          <w:tcPr/>
          <w:p>
            <w:pPr>
              <w:pStyle w:val="Compact"/>
              <w:jc w:val="left"/>
            </w:pPr>
            <w:r>
              <w:t xml:space="preserve">M-011</w:t>
            </w:r>
          </w:p>
        </w:tc>
        <w:tc>
          <w:tcPr/>
          <w:p>
            <w:pPr>
              <w:pStyle w:val="Compact"/>
              <w:jc w:val="left"/>
            </w:pPr>
            <w:r>
              <w:t xml:space="preserve">Eight planning documents committed under</w:t>
            </w:r>
            <w:r>
              <w:t xml:space="preserve"> </w:t>
            </w:r>
            <w:r>
              <w:rPr>
                <w:i/>
                <w:iCs/>
              </w:rPr>
              <w:t xml:space="preserve">plans/</w:t>
            </w:r>
            <w:r>
              <w:t xml:space="preserve"> </w:t>
            </w:r>
            <w:r>
              <w:t xml:space="preserve">directory; all pass schema validation</w:t>
            </w:r>
          </w:p>
        </w:tc>
      </w:tr>
    </w:tbl>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8 — Planning Review and Approval</w:t>
            </w:r>
          </w:p>
        </w:tc>
      </w:tr>
    </w:tbl>
    <w:p/>
    <w:tbl>
      <w:tblPr>
        <w:tblStyle w:val="Table"/>
        <w:tblW w:type="pct" w:w="4964"/>
        <w:tblLayout w:type="fixed"/>
        <w:tblLook w:firstRow="1" w:lastRow="0" w:firstColumn="0" w:lastColumn="0" w:noHBand="0" w:noVBand="0" w:val="0020"/>
      </w:tblPr>
      <w:tblGrid>
        <w:gridCol w:w="398"/>
        <w:gridCol w:w="1452"/>
        <w:gridCol w:w="5669"/>
        <w:gridCol w:w="3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r>
      <w:tr>
        <w:tc>
          <w:tcPr/>
          <w:p>
            <w:pPr>
              <w:pStyle w:val="Compact"/>
              <w:jc w:val="left"/>
            </w:pPr>
            <w:r>
              <w:t xml:space="preserve">T-8.1</w:t>
            </w:r>
          </w:p>
        </w:tc>
        <w:tc>
          <w:tcPr/>
          <w:p>
            <w:pPr>
              <w:pStyle w:val="Compact"/>
              <w:jc w:val="left"/>
            </w:pPr>
            <w:r>
              <w:t xml:space="preserve">Canon Steward reviews all planning documents</w:t>
            </w:r>
          </w:p>
        </w:tc>
        <w:tc>
          <w:tcPr/>
          <w:p>
            <w:pPr>
              <w:pStyle w:val="Compact"/>
              <w:jc w:val="left"/>
            </w:pPr>
            <w:r>
              <w:t xml:space="preserve">Full review of all eight planning documents for completeness, consistency, and governance compliance. Verify cross-references between plans are accurate.</w:t>
            </w:r>
          </w:p>
        </w:tc>
        <w:tc>
          <w:tcPr/>
          <w:p>
            <w:pPr>
              <w:pStyle w:val="Compact"/>
              <w:jc w:val="left"/>
            </w:pPr>
            <w:r>
              <w:t xml:space="preserve">16h</w:t>
            </w:r>
          </w:p>
        </w:tc>
      </w:tr>
      <w:tr>
        <w:tc>
          <w:tcPr/>
          <w:p>
            <w:pPr>
              <w:pStyle w:val="Compact"/>
              <w:jc w:val="left"/>
            </w:pPr>
            <w:r>
              <w:t xml:space="preserve">T-8.2</w:t>
            </w:r>
          </w:p>
        </w:tc>
        <w:tc>
          <w:tcPr/>
          <w:p>
            <w:pPr>
              <w:pStyle w:val="Compact"/>
              <w:jc w:val="left"/>
            </w:pPr>
            <w:r>
              <w:t xml:space="preserve">Pillar leads review their respective plans</w:t>
            </w:r>
          </w:p>
        </w:tc>
        <w:tc>
          <w:tcPr/>
          <w:p>
            <w:pPr>
              <w:pStyle w:val="Compact"/>
              <w:jc w:val="left"/>
            </w:pPr>
            <w:r>
              <w:t xml:space="preserve">Each pillar lead reviews their domain-specific plan: Identity Lead reviews Identity + Trust plans, Endpoint Lead reviews Computer + GPO plans, DNS Lead reviews DNS plan, PKI Lead reviews PKI plan.</w:t>
            </w:r>
          </w:p>
        </w:tc>
        <w:tc>
          <w:tcPr/>
          <w:p>
            <w:pPr>
              <w:pStyle w:val="Compact"/>
              <w:jc w:val="left"/>
            </w:pPr>
            <w:r>
              <w:t xml:space="preserve">8h each</w:t>
            </w:r>
          </w:p>
        </w:tc>
      </w:tr>
      <w:tr>
        <w:tc>
          <w:tcPr/>
          <w:p>
            <w:pPr>
              <w:pStyle w:val="Compact"/>
              <w:jc w:val="left"/>
            </w:pPr>
            <w:r>
              <w:t xml:space="preserve">T-8.3</w:t>
            </w:r>
          </w:p>
        </w:tc>
        <w:tc>
          <w:tcPr/>
          <w:p>
            <w:pPr>
              <w:pStyle w:val="Compact"/>
              <w:jc w:val="left"/>
            </w:pPr>
            <w:r>
              <w:t xml:space="preserve">Security Lead approves security remediation plan</w:t>
            </w:r>
          </w:p>
        </w:tc>
        <w:tc>
          <w:tcPr/>
          <w:p>
            <w:pPr>
              <w:pStyle w:val="Compact"/>
              <w:jc w:val="left"/>
            </w:pPr>
            <w:r>
              <w:t xml:space="preserve">Security Lead validates severity classifications, remediation steps, SLAs, and owner assignments. Confirms no critical findings are unaddressed.</w:t>
            </w:r>
          </w:p>
        </w:tc>
        <w:tc>
          <w:tcPr/>
          <w:p>
            <w:pPr>
              <w:pStyle w:val="Compact"/>
              <w:jc w:val="left"/>
            </w:pPr>
            <w:r>
              <w:t xml:space="preserve">8h</w:t>
            </w:r>
          </w:p>
        </w:tc>
      </w:tr>
      <w:tr>
        <w:tc>
          <w:tcPr/>
          <w:p>
            <w:pPr>
              <w:pStyle w:val="Compact"/>
              <w:jc w:val="left"/>
            </w:pPr>
            <w:r>
              <w:t xml:space="preserve">T-8.4</w:t>
            </w:r>
          </w:p>
        </w:tc>
        <w:tc>
          <w:tcPr/>
          <w:p>
            <w:pPr>
              <w:pStyle w:val="Compact"/>
              <w:jc w:val="left"/>
            </w:pPr>
            <w:r>
              <w:t xml:space="preserve">Steering committee approval of combined plan</w:t>
            </w:r>
          </w:p>
        </w:tc>
        <w:tc>
          <w:tcPr/>
          <w:p>
            <w:pPr>
              <w:pStyle w:val="Compact"/>
              <w:jc w:val="left"/>
            </w:pPr>
            <w:r>
              <w:t xml:space="preserve">Formal steering committee meeting to approve the combined assessment and planning output. Go/No-Go decision for Phase 2.</w:t>
            </w:r>
          </w:p>
        </w:tc>
        <w:tc>
          <w:tcPr/>
          <w:p>
            <w:pPr>
              <w:pStyle w:val="Compact"/>
              <w:jc w:val="left"/>
            </w:pPr>
            <w:r>
              <w:t xml:space="preserve">4h</w:t>
            </w:r>
          </w:p>
        </w:tc>
      </w:tr>
      <w:tr>
        <w:tc>
          <w:tcPr/>
          <w:p>
            <w:pPr>
              <w:pStyle w:val="Compact"/>
              <w:jc w:val="left"/>
            </w:pPr>
            <w:r>
              <w:t xml:space="preserve">T-8.5</w:t>
            </w:r>
          </w:p>
        </w:tc>
        <w:tc>
          <w:tcPr/>
          <w:p>
            <w:pPr>
              <w:pStyle w:val="Compact"/>
              <w:jc w:val="left"/>
            </w:pPr>
            <w:r>
              <w:t xml:space="preserve">Resolve conflicts, update plans, re-commit</w:t>
            </w:r>
          </w:p>
        </w:tc>
        <w:tc>
          <w:tcPr/>
          <w:p>
            <w:pPr>
              <w:pStyle w:val="Compact"/>
              <w:jc w:val="left"/>
            </w:pPr>
            <w:r>
              <w:t xml:space="preserve">Address all review comments, resolve cross-plan conflicts (e.g., PKI plan depends on Identity plan timing), update, and re-commit to Gitea.</w:t>
            </w:r>
          </w:p>
        </w:tc>
        <w:tc>
          <w:tcPr/>
          <w:p>
            <w:pPr>
              <w:pStyle w:val="Compact"/>
              <w:jc w:val="left"/>
            </w:pPr>
            <w:r>
              <w:t xml:space="preserve">8h</w:t>
            </w:r>
          </w:p>
        </w:tc>
      </w:tr>
    </w:tbl>
    <w:p/>
    <w:tbl>
      <w:tblPr>
        <w:tblStyle w:val="Table"/>
        <w:tblW w:type="pct" w:w="4933"/>
        <w:tblLayout w:type="fixed"/>
        <w:tblLook w:firstRow="1" w:lastRow="0" w:firstColumn="0" w:lastColumn="0" w:noHBand="0" w:noVBand="0" w:val="0020"/>
      </w:tblPr>
      <w:tblGrid>
        <w:gridCol w:w="2164"/>
        <w:gridCol w:w="475"/>
        <w:gridCol w:w="517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APPROVED status</w:t>
            </w:r>
          </w:p>
        </w:tc>
        <w:tc>
          <w:tcPr/>
          <w:p>
            <w:pPr>
              <w:pStyle w:val="Compact"/>
              <w:jc w:val="left"/>
            </w:pPr>
            <w:r>
              <w:t xml:space="preserve">M-012</w:t>
            </w:r>
          </w:p>
        </w:tc>
        <w:tc>
          <w:tcPr/>
          <w:p>
            <w:pPr>
              <w:pStyle w:val="Compact"/>
              <w:jc w:val="left"/>
            </w:pPr>
            <w:r>
              <w:t xml:space="preserve">Combined plan approved by Canon Steward and steering committee; all documents status = APPROVED</w:t>
            </w:r>
          </w:p>
        </w:tc>
      </w:tr>
    </w:tbl>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Week 9 — Pre-Pilot Preparation</w:t>
            </w:r>
          </w:p>
        </w:tc>
      </w:tr>
    </w:tbl>
    <w:p/>
    <w:tbl>
      <w:tblPr>
        <w:tblStyle w:val="Table"/>
        <w:tblW w:type="pct" w:w="4968"/>
        <w:tblLayout w:type="fixed"/>
        <w:tblLook w:firstRow="1" w:lastRow="0" w:firstColumn="0" w:lastColumn="0" w:noHBand="0" w:noVBand="0" w:val="0020"/>
      </w:tblPr>
      <w:tblGrid>
        <w:gridCol w:w="353"/>
        <w:gridCol w:w="1286"/>
        <w:gridCol w:w="4540"/>
        <w:gridCol w:w="302"/>
        <w:gridCol w:w="1387"/>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T-9.1</w:t>
            </w:r>
          </w:p>
        </w:tc>
        <w:tc>
          <w:tcPr/>
          <w:p>
            <w:pPr>
              <w:pStyle w:val="Compact"/>
              <w:jc w:val="left"/>
            </w:pPr>
            <w:r>
              <w:t xml:space="preserve">Identify pilot groups</w:t>
            </w:r>
          </w:p>
        </w:tc>
        <w:tc>
          <w:tcPr/>
          <w:p>
            <w:pPr>
              <w:pStyle w:val="Compact"/>
              <w:jc w:val="left"/>
            </w:pPr>
            <w:r>
              <w:t xml:space="preserve">Select 50–100 devices, 20–50 users per pillar, 2–3 servers, and 1–2 certificate use cases. Selection criteria: representative of environment, low-risk, willing participants.</w:t>
            </w:r>
          </w:p>
        </w:tc>
        <w:tc>
          <w:tcPr/>
          <w:p>
            <w:pPr>
              <w:pStyle w:val="Compact"/>
              <w:jc w:val="left"/>
            </w:pPr>
            <w:r>
              <w:t xml:space="preserve">4h</w:t>
            </w:r>
          </w:p>
        </w:tc>
        <w:tc>
          <w:tcPr/>
          <w:p>
            <w:pPr>
              <w:pStyle w:val="Compact"/>
              <w:jc w:val="left"/>
            </w:pPr>
            <w:r>
              <w:t xml:space="preserve">ComputerModernizationPlan, IdentityModernizationPlan</w:t>
            </w:r>
          </w:p>
        </w:tc>
      </w:tr>
      <w:tr>
        <w:tc>
          <w:tcPr/>
          <w:p>
            <w:pPr>
              <w:pStyle w:val="Compact"/>
              <w:jc w:val="left"/>
            </w:pPr>
            <w:r>
              <w:t xml:space="preserve">T-9.2</w:t>
            </w:r>
          </w:p>
        </w:tc>
        <w:tc>
          <w:tcPr/>
          <w:p>
            <w:pPr>
              <w:pStyle w:val="Compact"/>
              <w:jc w:val="left"/>
            </w:pPr>
            <w:r>
              <w:t xml:space="preserve">Create attribute-based dynamic groups for pilot sco</w:t>
            </w:r>
          </w:p>
        </w:tc>
        <w:tc>
          <w:tcPr/>
          <w:p>
            <w:pPr>
              <w:pStyle w:val="Compact"/>
              <w:jc w:val="left"/>
            </w:pPr>
            <w:r>
              <w:t xml:space="preserve">pe Build Entra ID dynamic groups using extension attributes to target pilot devices and users. Validate group membership accuracy.</w:t>
            </w:r>
          </w:p>
        </w:tc>
        <w:tc>
          <w:tcPr/>
          <w:p>
            <w:pPr>
              <w:pStyle w:val="Compact"/>
            </w:pPr>
          </w:p>
        </w:tc>
        <w:tc>
          <w:tcPr/>
          <w:p>
            <w:pPr>
              <w:pStyle w:val="Compact"/>
              <w:jc w:val="left"/>
            </w:pPr>
            <w:r>
              <w:t xml:space="preserve">4h AD Computer Object Conversion Guide §3</w:t>
            </w:r>
          </w:p>
        </w:tc>
      </w:tr>
      <w:tr>
        <w:tc>
          <w:tcPr/>
          <w:p>
            <w:pPr>
              <w:pStyle w:val="Compact"/>
              <w:jc w:val="left"/>
            </w:pPr>
            <w:r>
              <w:t xml:space="preserve">T-9.3</w:t>
            </w:r>
          </w:p>
        </w:tc>
        <w:tc>
          <w:tcPr/>
          <w:p>
            <w:pPr>
              <w:pStyle w:val="Compact"/>
              <w:jc w:val="left"/>
            </w:pPr>
            <w:r>
              <w:t xml:space="preserve">Begin critical/high security finding remediation</w:t>
            </w:r>
          </w:p>
        </w:tc>
        <w:tc>
          <w:tcPr/>
          <w:p>
            <w:pPr>
              <w:pStyle w:val="Compact"/>
              <w:jc w:val="left"/>
            </w:pPr>
            <w:r>
              <w:t xml:space="preserve">Execute remediation steps for Critical and High severity findings identified in Week 6. Verify remediation with re-scan. All Critical findings must be resolved before Phase 3.</w:t>
            </w:r>
          </w:p>
        </w:tc>
        <w:tc>
          <w:tcPr/>
          <w:p>
            <w:pPr>
              <w:pStyle w:val="Compact"/>
              <w:jc w:val="left"/>
            </w:pPr>
            <w:r>
              <w:t xml:space="preserve">20h</w:t>
            </w:r>
          </w:p>
        </w:tc>
        <w:tc>
          <w:tcPr/>
          <w:p>
            <w:pPr>
              <w:pStyle w:val="Compact"/>
              <w:jc w:val="left"/>
            </w:pPr>
            <w:r>
              <w:t xml:space="preserve">SecurityRemediationPlan.json</w:t>
            </w:r>
          </w:p>
        </w:tc>
      </w:tr>
      <w:tr>
        <w:tc>
          <w:tcPr/>
          <w:p>
            <w:pPr>
              <w:pStyle w:val="Compact"/>
              <w:jc w:val="left"/>
            </w:pPr>
            <w:r>
              <w:t xml:space="preserve">T-9.4</w:t>
            </w:r>
          </w:p>
        </w:tc>
        <w:tc>
          <w:tcPr/>
          <w:p>
            <w:pPr>
              <w:pStyle w:val="Compact"/>
              <w:jc w:val="left"/>
            </w:pPr>
            <w:r>
              <w:t xml:space="preserve">Configure Intune for pilot policies</w:t>
            </w:r>
          </w:p>
        </w:tc>
        <w:tc>
          <w:tcPr/>
          <w:p>
            <w:pPr>
              <w:pStyle w:val="Compact"/>
              <w:jc w:val="left"/>
            </w:pPr>
            <w:r>
              <w:t xml:space="preserve">Create Intune configuration profiles and compliance policies from GPOMigrationPlan.json. Assign to pilot dynamic groups but set to</w:t>
            </w:r>
            <w:r>
              <w:t xml:space="preserve"> </w:t>
            </w:r>
            <w:r>
              <w:rPr>
                <w:i/>
                <w:iCs/>
              </w:rPr>
              <w:t xml:space="preserve">Not Applicable</w:t>
            </w:r>
            <w:r>
              <w:t xml:space="preserve"> </w:t>
            </w:r>
            <w:r>
              <w:t xml:space="preserve">until Phase 3.</w:t>
            </w:r>
          </w:p>
        </w:tc>
        <w:tc>
          <w:tcPr/>
          <w:p>
            <w:pPr>
              <w:pStyle w:val="Compact"/>
              <w:jc w:val="left"/>
            </w:pPr>
            <w:r>
              <w:t xml:space="preserve">12h</w:t>
            </w:r>
          </w:p>
        </w:tc>
        <w:tc>
          <w:tcPr/>
          <w:p>
            <w:pPr>
              <w:pStyle w:val="Compact"/>
              <w:jc w:val="left"/>
            </w:pPr>
            <w:r>
              <w:t xml:space="preserve">AD Computer Object Conversion Guide §4</w:t>
            </w:r>
          </w:p>
        </w:tc>
      </w:tr>
      <w:tr>
        <w:tc>
          <w:tcPr/>
          <w:p>
            <w:pPr>
              <w:pStyle w:val="Compact"/>
              <w:jc w:val="left"/>
            </w:pPr>
            <w:r>
              <w:t xml:space="preserve">T-9.5</w:t>
            </w:r>
          </w:p>
        </w:tc>
        <w:tc>
          <w:tcPr/>
          <w:p>
            <w:pPr>
              <w:pStyle w:val="Compact"/>
              <w:jc w:val="left"/>
            </w:pPr>
            <w:r>
              <w:t xml:space="preserve">Configure Conditional Access in report-only mode</w:t>
            </w:r>
          </w:p>
        </w:tc>
        <w:tc>
          <w:tcPr/>
          <w:p>
            <w:pPr>
              <w:pStyle w:val="Compact"/>
              <w:jc w:val="left"/>
            </w:pPr>
            <w:r>
              <w:t xml:space="preserve">Deploy 15+ Conditional Access policies per Identity Modernization Guide in report-only mode targeting pilot users. Monitor sign-in logs for impact analysis.</w:t>
            </w:r>
          </w:p>
        </w:tc>
        <w:tc>
          <w:tcPr/>
          <w:p>
            <w:pPr>
              <w:pStyle w:val="Compact"/>
              <w:jc w:val="left"/>
            </w:pPr>
            <w:r>
              <w:t xml:space="preserve">8h</w:t>
            </w:r>
          </w:p>
        </w:tc>
        <w:tc>
          <w:tcPr/>
          <w:p>
            <w:pPr>
              <w:pStyle w:val="Compact"/>
              <w:jc w:val="left"/>
            </w:pPr>
            <w:r>
              <w:t xml:space="preserve">Identity Modernization Guide §8</w:t>
            </w:r>
          </w:p>
        </w:tc>
      </w:tr>
      <w:tr>
        <w:tc>
          <w:tcPr/>
          <w:p>
            <w:pPr>
              <w:pStyle w:val="Compact"/>
              <w:jc w:val="left"/>
            </w:pPr>
            <w:r>
              <w:t xml:space="preserve">T-9.6</w:t>
            </w:r>
          </w:p>
        </w:tc>
        <w:tc>
          <w:tcPr/>
          <w:p>
            <w:pPr>
              <w:pStyle w:val="Compact"/>
              <w:jc w:val="left"/>
            </w:pPr>
            <w:r>
              <w:t xml:space="preserve">Provision Cloud PKI</w:t>
            </w:r>
          </w:p>
        </w:tc>
        <w:tc>
          <w:tcPr/>
          <w:p>
            <w:pPr>
              <w:pStyle w:val="Compact"/>
              <w:jc w:val="left"/>
            </w:pPr>
            <w:r>
              <w:t xml:space="preserve">Deploy Cloud PKI Root CA or configure BYOCA per PKI Modernization Plan. Create initial SCEP profile for pilot certificate template.</w:t>
            </w:r>
          </w:p>
        </w:tc>
        <w:tc>
          <w:tcPr/>
          <w:p>
            <w:pPr>
              <w:pStyle w:val="Compact"/>
              <w:jc w:val="left"/>
            </w:pPr>
            <w:r>
              <w:t xml:space="preserve">8h</w:t>
            </w:r>
          </w:p>
        </w:tc>
        <w:tc>
          <w:tcPr/>
          <w:p>
            <w:pPr>
              <w:pStyle w:val="Compact"/>
              <w:jc w:val="left"/>
            </w:pPr>
            <w:r>
              <w:t xml:space="preserve">PKI Modernization Guide §5</w:t>
            </w:r>
          </w:p>
        </w:tc>
      </w:tr>
      <w:tr>
        <w:tc>
          <w:tcPr/>
          <w:p>
            <w:pPr>
              <w:pStyle w:val="Compact"/>
              <w:jc w:val="left"/>
            </w:pPr>
            <w:r>
              <w:t xml:space="preserve">T-9.7</w:t>
            </w:r>
          </w:p>
        </w:tc>
        <w:tc>
          <w:tcPr/>
          <w:p>
            <w:pPr>
              <w:pStyle w:val="Compact"/>
              <w:jc w:val="left"/>
            </w:pPr>
            <w:r>
              <w:t xml:space="preserve">Deploy Azure DNS Private Resolver</w:t>
            </w:r>
          </w:p>
        </w:tc>
        <w:tc>
          <w:tcPr/>
          <w:p>
            <w:pPr>
              <w:pStyle w:val="Compact"/>
              <w:jc w:val="left"/>
            </w:pPr>
            <w:r>
              <w:t xml:space="preserve">Deploy Private Resolver in hub VNet per DNS Modernization Plan. Configure forwarding rulesets for AD DNS zones. Do not enable conditional forwarding changes yet.</w:t>
            </w:r>
          </w:p>
        </w:tc>
        <w:tc>
          <w:tcPr/>
          <w:p>
            <w:pPr>
              <w:pStyle w:val="Compact"/>
              <w:jc w:val="left"/>
            </w:pPr>
            <w:r>
              <w:t xml:space="preserve">6h</w:t>
            </w:r>
          </w:p>
        </w:tc>
        <w:tc>
          <w:tcPr/>
          <w:p>
            <w:pPr>
              <w:pStyle w:val="Compact"/>
              <w:jc w:val="left"/>
            </w:pPr>
            <w:r>
              <w:t xml:space="preserve">DNS Modernization Guide §6</w:t>
            </w:r>
          </w:p>
        </w:tc>
      </w:tr>
    </w:tbl>
    <w:p/>
    <w:tbl>
      <w:tblPr>
        <w:tblStyle w:val="Table"/>
        <w:tblW w:type="pct" w:w="4953"/>
        <w:tblLayout w:type="fixed"/>
        <w:tblLook w:firstRow="1" w:lastRow="0" w:firstColumn="0" w:lastColumn="0" w:noHBand="0" w:noVBand="0" w:val="0020"/>
      </w:tblPr>
      <w:tblGrid>
        <w:gridCol w:w="1221"/>
        <w:gridCol w:w="333"/>
        <w:gridCol w:w="6291"/>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Pre-pilot infrastructure ready</w:t>
            </w:r>
          </w:p>
        </w:tc>
        <w:tc>
          <w:tcPr/>
          <w:p>
            <w:pPr>
              <w:pStyle w:val="Compact"/>
              <w:jc w:val="left"/>
            </w:pPr>
            <w:r>
              <w:t xml:space="preserve">M-013</w:t>
            </w:r>
          </w:p>
        </w:tc>
        <w:tc>
          <w:tcPr/>
          <w:p>
            <w:pPr>
              <w:pStyle w:val="Compact"/>
              <w:jc w:val="left"/>
            </w:pPr>
            <w:r>
              <w:t xml:space="preserve">Pilot scope defined; infrastructure provisioned; critical security findings remediated; Conditional Access running in report-only for 7+ days with no unexpected impact</w:t>
            </w:r>
          </w:p>
        </w:tc>
      </w:tr>
    </w:tbl>
    <w:p>
      <w:pPr>
        <w:pStyle w:val="BodyText"/>
      </w:pPr>
      <w:r>
        <w:t xml:space="preserve">4.3 Assessment Phase Deliverables Summary</w:t>
      </w:r>
    </w:p>
    <w:tbl>
      <w:tblPr>
        <w:tblStyle w:val="Table"/>
        <w:tblW w:type="pct" w:w="4935"/>
        <w:tblLayout w:type="fixed"/>
        <w:tblLook w:firstRow="1" w:lastRow="0" w:firstColumn="0" w:lastColumn="0" w:noHBand="0" w:noVBand="0" w:val="0020"/>
      </w:tblPr>
      <w:tblGrid>
        <w:gridCol w:w="1697"/>
        <w:gridCol w:w="668"/>
        <w:gridCol w:w="1645"/>
        <w:gridCol w:w="1902"/>
        <w:gridCol w:w="1902"/>
      </w:tblGrid>
      <w:tr>
        <w:trPr>
          <w:tblHeader w:val="on"/>
        </w:trPr>
        <w:tc>
          <w:tcPr/>
          <w:p>
            <w:pPr>
              <w:pStyle w:val="Compact"/>
              <w:jc w:val="left"/>
            </w:pPr>
            <w:r>
              <w:rPr>
                <w:b/>
                <w:bCs/>
              </w:rPr>
              <w:t xml:space="preserve">Deliverable</w:t>
            </w:r>
          </w:p>
        </w:tc>
        <w:tc>
          <w:tcPr/>
          <w:p>
            <w:pPr>
              <w:pStyle w:val="Compact"/>
              <w:jc w:val="left"/>
            </w:pPr>
            <w:r>
              <w:rPr>
                <w:b/>
                <w:bCs/>
              </w:rPr>
              <w:t xml:space="preserve">Format</w:t>
            </w:r>
          </w:p>
        </w:tc>
        <w:tc>
          <w:tcPr/>
          <w:p>
            <w:pPr>
              <w:pStyle w:val="Compact"/>
              <w:jc w:val="left"/>
            </w:pPr>
            <w:r>
              <w:rPr>
                <w:b/>
                <w:bCs/>
              </w:rPr>
              <w:t xml:space="preserve">Gitea Path</w:t>
            </w:r>
          </w:p>
        </w:tc>
        <w:tc>
          <w:tcPr/>
          <w:p>
            <w:pPr>
              <w:pStyle w:val="Compact"/>
              <w:jc w:val="left"/>
            </w:pPr>
            <w:r>
              <w:rPr>
                <w:b/>
                <w:bCs/>
              </w:rPr>
              <w:t xml:space="preserve">Produced By</w:t>
            </w:r>
          </w:p>
        </w:tc>
        <w:tc>
          <w:tcPr/>
          <w:p>
            <w:pPr>
              <w:pStyle w:val="Compact"/>
              <w:jc w:val="left"/>
            </w:pPr>
            <w:r>
              <w:rPr>
                <w:b/>
                <w:bCs/>
              </w:rPr>
              <w:t xml:space="preserve">Consumed By</w:t>
            </w:r>
          </w:p>
        </w:tc>
      </w:tr>
      <w:tr>
        <w:tc>
          <w:tcPr/>
          <w:p>
            <w:pPr>
              <w:pStyle w:val="Compact"/>
              <w:jc w:val="left"/>
            </w:pPr>
            <w:r>
              <w:t xml:space="preserve">ForestTopology.json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A</w:t>
            </w:r>
          </w:p>
        </w:tc>
        <w:tc>
          <w:tcPr/>
          <w:p>
            <w:pPr>
              <w:pStyle w:val="Compact"/>
              <w:jc w:val="left"/>
            </w:pPr>
            <w:r>
              <w:t xml:space="preserve">ll planning documents</w:t>
            </w:r>
          </w:p>
        </w:tc>
      </w:tr>
      <w:tr>
        <w:tc>
          <w:tcPr/>
          <w:p>
            <w:pPr>
              <w:pStyle w:val="Compact"/>
              <w:jc w:val="left"/>
            </w:pPr>
            <w:r>
              <w:t xml:space="preserve">OUHierarchy.json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Export-FMPOUHierarchy A</w:t>
            </w:r>
          </w:p>
        </w:tc>
        <w:tc>
          <w:tcPr/>
          <w:p>
            <w:pPr>
              <w:pStyle w:val="Compact"/>
              <w:jc w:val="left"/>
            </w:pPr>
            <w:r>
              <w:t xml:space="preserve">ttribute Design, GPO Migration Plan</w:t>
            </w:r>
          </w:p>
        </w:tc>
      </w:tr>
      <w:tr>
        <w:tc>
          <w:tcPr/>
          <w:p>
            <w:pPr>
              <w:pStyle w:val="Compact"/>
              <w:jc w:val="left"/>
            </w:pPr>
            <w:r>
              <w:t xml:space="preserve">GPOInventory.json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Export-FMPGPOInventory G</w:t>
            </w:r>
          </w:p>
        </w:tc>
        <w:tc>
          <w:tcPr/>
          <w:p>
            <w:pPr>
              <w:pStyle w:val="Compact"/>
              <w:jc w:val="left"/>
            </w:pPr>
            <w:r>
              <w:t xml:space="preserve">PO Migration Plan</w:t>
            </w:r>
          </w:p>
        </w:tc>
      </w:tr>
      <w:tr>
        <w:tc>
          <w:tcPr/>
          <w:p>
            <w:pPr>
              <w:pStyle w:val="Compact"/>
              <w:jc w:val="left"/>
            </w:pPr>
            <w:r>
              <w:t xml:space="preserve">GPO XML Reports</w:t>
            </w:r>
          </w:p>
        </w:tc>
        <w:tc>
          <w:tcPr/>
          <w:p>
            <w:pPr>
              <w:pStyle w:val="Compact"/>
              <w:jc w:val="left"/>
            </w:pPr>
            <w:r>
              <w:t xml:space="preserve">XML</w:t>
            </w:r>
          </w:p>
        </w:tc>
        <w:tc>
          <w:tcPr/>
          <w:p>
            <w:pPr>
              <w:pStyle w:val="Compact"/>
              <w:jc w:val="left"/>
            </w:pPr>
            <w:r>
              <w:t xml:space="preserve">assessments/full/GPO/Reports/</w:t>
            </w:r>
          </w:p>
        </w:tc>
        <w:tc>
          <w:tcPr/>
          <w:p>
            <w:pPr>
              <w:pStyle w:val="Compact"/>
              <w:jc w:val="left"/>
            </w:pPr>
            <w:r>
              <w:t xml:space="preserve">Get-GPOReport</w:t>
            </w:r>
          </w:p>
        </w:tc>
        <w:tc>
          <w:tcPr/>
          <w:p>
            <w:pPr>
              <w:pStyle w:val="Compact"/>
              <w:jc w:val="left"/>
            </w:pPr>
            <w:r>
              <w:t xml:space="preserve">GPO Migration Plan</w:t>
            </w:r>
          </w:p>
        </w:tc>
      </w:tr>
      <w:tr>
        <w:tc>
          <w:tcPr/>
          <w:p>
            <w:pPr>
              <w:pStyle w:val="Compact"/>
              <w:jc w:val="left"/>
            </w:pPr>
            <w:r>
              <w:t xml:space="preserve">DNSInventory.json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Export-FMPDNSAssessment D</w:t>
            </w:r>
          </w:p>
        </w:tc>
        <w:tc>
          <w:tcPr/>
          <w:p>
            <w:pPr>
              <w:pStyle w:val="Compact"/>
              <w:jc w:val="left"/>
            </w:pPr>
            <w:r>
              <w:t xml:space="preserve">NS Modernization Plan</w:t>
            </w:r>
          </w:p>
        </w:tc>
      </w:tr>
      <w:tr>
        <w:tc>
          <w:tcPr/>
          <w:p>
            <w:pPr>
              <w:pStyle w:val="Compact"/>
              <w:jc w:val="left"/>
            </w:pPr>
            <w:r>
              <w:t xml:space="preserve">PKIInventory.json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Export-FMPPKIInventory P</w:t>
            </w:r>
          </w:p>
        </w:tc>
        <w:tc>
          <w:tcPr/>
          <w:p>
            <w:pPr>
              <w:pStyle w:val="Compact"/>
              <w:jc w:val="left"/>
            </w:pPr>
            <w:r>
              <w:t xml:space="preserve">KI Modernization Plan</w:t>
            </w:r>
          </w:p>
        </w:tc>
      </w:tr>
      <w:tr>
        <w:tc>
          <w:tcPr/>
          <w:p>
            <w:pPr>
              <w:pStyle w:val="Compact"/>
              <w:jc w:val="left"/>
            </w:pPr>
            <w:r>
              <w:t xml:space="preserve">ESCVulnerabilities.csv</w:t>
            </w:r>
          </w:p>
        </w:tc>
        <w:tc>
          <w:tcPr/>
          <w:p>
            <w:pPr>
              <w:pStyle w:val="Compact"/>
              <w:jc w:val="left"/>
            </w:pPr>
            <w:r>
              <w:t xml:space="preserve">CSV</w:t>
            </w:r>
          </w:p>
        </w:tc>
        <w:tc>
          <w:tcPr/>
          <w:p>
            <w:pPr>
              <w:pStyle w:val="Compact"/>
              <w:jc w:val="left"/>
            </w:pPr>
            <w:r>
              <w:t xml:space="preserve">assessments/full/PKI/</w:t>
            </w:r>
          </w:p>
        </w:tc>
        <w:tc>
          <w:tcPr/>
          <w:p>
            <w:pPr>
              <w:pStyle w:val="Compact"/>
              <w:jc w:val="left"/>
            </w:pPr>
            <w:r>
              <w:t xml:space="preserve">Test-FMPESCVulnerabilities S</w:t>
            </w:r>
          </w:p>
        </w:tc>
        <w:tc>
          <w:tcPr/>
          <w:p>
            <w:pPr>
              <w:pStyle w:val="Compact"/>
              <w:jc w:val="left"/>
            </w:pPr>
            <w:r>
              <w:t xml:space="preserve">ecurity Remediation Plan</w:t>
            </w:r>
          </w:p>
        </w:tc>
      </w:tr>
      <w:tr>
        <w:tc>
          <w:tcPr/>
          <w:p>
            <w:pPr>
              <w:pStyle w:val="Compact"/>
              <w:jc w:val="left"/>
            </w:pPr>
            <w:r>
              <w:t xml:space="preserve">ComputerInventory.json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Export-FMPComputerInventory C</w:t>
            </w:r>
          </w:p>
        </w:tc>
        <w:tc>
          <w:tcPr/>
          <w:p>
            <w:pPr>
              <w:pStyle w:val="Compact"/>
              <w:jc w:val="left"/>
            </w:pPr>
            <w:r>
              <w:t xml:space="preserve">omputer Modernization Plan</w:t>
            </w:r>
          </w:p>
        </w:tc>
      </w:tr>
      <w:tr>
        <w:tc>
          <w:tcPr/>
          <w:p>
            <w:pPr>
              <w:pStyle w:val="Compact"/>
              <w:jc w:val="left"/>
            </w:pPr>
            <w:r>
              <w:t xml:space="preserve">UserInventory.json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Export-FMPUserInventory I</w:t>
            </w:r>
          </w:p>
        </w:tc>
        <w:tc>
          <w:tcPr/>
          <w:p>
            <w:pPr>
              <w:pStyle w:val="Compact"/>
              <w:jc w:val="left"/>
            </w:pPr>
            <w:r>
              <w:t xml:space="preserve">dentity Modernization Plan</w:t>
            </w:r>
          </w:p>
        </w:tc>
      </w:tr>
      <w:tr>
        <w:tc>
          <w:tcPr/>
          <w:p>
            <w:pPr>
              <w:pStyle w:val="Compact"/>
              <w:jc w:val="left"/>
            </w:pPr>
            <w:r>
              <w:t xml:space="preserve">GroupInventory.json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Export-FMPGroupInventory I</w:t>
            </w:r>
          </w:p>
        </w:tc>
        <w:tc>
          <w:tcPr/>
          <w:p>
            <w:pPr>
              <w:pStyle w:val="Compact"/>
              <w:jc w:val="left"/>
            </w:pPr>
            <w:r>
              <w:t xml:space="preserve">dentity Modernization Plan</w:t>
            </w:r>
          </w:p>
        </w:tc>
      </w:tr>
      <w:tr>
        <w:tc>
          <w:tcPr/>
          <w:p>
            <w:pPr>
              <w:pStyle w:val="Compact"/>
              <w:jc w:val="left"/>
            </w:pPr>
            <w:r>
              <w:t xml:space="preserve">ServiceAccounts.csv</w:t>
            </w:r>
          </w:p>
        </w:tc>
        <w:tc>
          <w:tcPr/>
          <w:p>
            <w:pPr>
              <w:pStyle w:val="Compact"/>
              <w:jc w:val="left"/>
            </w:pPr>
            <w:r>
              <w:t xml:space="preserve">CSV</w:t>
            </w:r>
          </w:p>
        </w:tc>
        <w:tc>
          <w:tcPr/>
          <w:p>
            <w:pPr>
              <w:pStyle w:val="Compact"/>
              <w:jc w:val="left"/>
            </w:pPr>
            <w:r>
              <w:t xml:space="preserve">assessments/full/</w:t>
            </w:r>
          </w:p>
        </w:tc>
        <w:tc>
          <w:tcPr/>
          <w:p>
            <w:pPr>
              <w:pStyle w:val="Compact"/>
              <w:jc w:val="left"/>
            </w:pPr>
            <w:r>
              <w:t xml:space="preserve">Export-FMPServiceAccountInventory I</w:t>
            </w:r>
          </w:p>
        </w:tc>
        <w:tc>
          <w:tcPr/>
          <w:p>
            <w:pPr>
              <w:pStyle w:val="Compact"/>
              <w:jc w:val="left"/>
            </w:pPr>
            <w:r>
              <w:t xml:space="preserve">dentity Modernization Plan</w:t>
            </w:r>
          </w:p>
        </w:tc>
      </w:tr>
      <w:tr>
        <w:tc>
          <w:tcPr/>
          <w:p>
            <w:pPr>
              <w:pStyle w:val="Compact"/>
              <w:jc w:val="left"/>
            </w:pPr>
            <w:r>
              <w:t xml:space="preserve">TrustMap.json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Export-FMPTrustMap T</w:t>
            </w:r>
          </w:p>
        </w:tc>
        <w:tc>
          <w:tcPr/>
          <w:p>
            <w:pPr>
              <w:pStyle w:val="Compact"/>
              <w:jc w:val="left"/>
            </w:pPr>
            <w:r>
              <w:t xml:space="preserve">rust Decommission Plan</w:t>
            </w:r>
          </w:p>
        </w:tc>
      </w:tr>
      <w:tr>
        <w:tc>
          <w:tcPr/>
          <w:p>
            <w:pPr>
              <w:pStyle w:val="Compact"/>
              <w:jc w:val="left"/>
            </w:pPr>
            <w:r>
              <w:t xml:space="preserve">OUDelegation.json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Export-FMPACLReport I</w:t>
            </w:r>
          </w:p>
        </w:tc>
        <w:tc>
          <w:tcPr/>
          <w:p>
            <w:pPr>
              <w:pStyle w:val="Compact"/>
              <w:jc w:val="left"/>
            </w:pPr>
            <w:r>
              <w:t xml:space="preserve">dentity Modernization Plan</w:t>
            </w:r>
          </w:p>
        </w:tc>
      </w:tr>
      <w:tr>
        <w:tc>
          <w:tcPr/>
          <w:p>
            <w:pPr>
              <w:pStyle w:val="Compact"/>
              <w:jc w:val="left"/>
            </w:pPr>
            <w:r>
              <w:t xml:space="preserve">SchemaExtensions.json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Export-FMPSchemaExtensions A</w:t>
            </w:r>
          </w:p>
        </w:tc>
        <w:tc>
          <w:tcPr/>
          <w:p>
            <w:pPr>
              <w:pStyle w:val="Compact"/>
              <w:jc w:val="left"/>
            </w:pPr>
            <w:r>
              <w:t xml:space="preserve">ttribute Design</w:t>
            </w:r>
          </w:p>
        </w:tc>
      </w:tr>
      <w:tr>
        <w:tc>
          <w:tcPr/>
          <w:p>
            <w:pPr>
              <w:pStyle w:val="Compact"/>
              <w:jc w:val="left"/>
            </w:pPr>
            <w:r>
              <w:t xml:space="preserve">AssessmentManifest.json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G</w:t>
            </w:r>
          </w:p>
        </w:tc>
        <w:tc>
          <w:tcPr/>
          <w:p>
            <w:pPr>
              <w:pStyle w:val="Compact"/>
              <w:jc w:val="left"/>
            </w:pPr>
            <w:r>
              <w:t xml:space="preserve">overnance tracking</w:t>
            </w:r>
          </w:p>
        </w:tc>
      </w:tr>
      <w:tr>
        <w:tc>
          <w:tcPr/>
          <w:p>
            <w:pPr>
              <w:pStyle w:val="Compact"/>
              <w:jc w:val="left"/>
            </w:pPr>
            <w:r>
              <w:t xml:space="preserve">ComputerModernizationPlan.json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IdentityModernizationPlan.json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GPOMigrationPlan.json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DNSModernizationPlan.json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PKIModernizationPlan.json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AttributeDesign.json</w:t>
            </w:r>
          </w:p>
        </w:tc>
        <w:tc>
          <w:tcPr/>
          <w:p>
            <w:pPr>
              <w:pStyle w:val="Compact"/>
            </w:pPr>
          </w:p>
        </w:tc>
        <w:tc>
          <w:tcPr/>
          <w:p>
            <w:pPr>
              <w:pStyle w:val="Compact"/>
              <w:jc w:val="left"/>
            </w:pPr>
            <w:r>
              <w:t xml:space="preserve">JSON plans</w:t>
            </w:r>
          </w:p>
        </w:tc>
        <w:tc>
          <w:tcPr/>
          <w:p>
            <w:pPr>
              <w:pStyle w:val="Compact"/>
              <w:jc w:val="left"/>
            </w:pPr>
            <w:r>
              <w:t xml:space="preserve">/ Phase 1 We</w:t>
            </w:r>
          </w:p>
        </w:tc>
        <w:tc>
          <w:tcPr/>
          <w:p>
            <w:pPr>
              <w:pStyle w:val="Compact"/>
              <w:jc w:val="left"/>
            </w:pPr>
            <w:r>
              <w:t xml:space="preserve">ek 7 Phase 2–6</w:t>
            </w:r>
          </w:p>
        </w:tc>
      </w:tr>
      <w:tr>
        <w:tc>
          <w:tcPr/>
          <w:p>
            <w:pPr>
              <w:pStyle w:val="Compact"/>
              <w:jc w:val="left"/>
            </w:pPr>
            <w:r>
              <w:t xml:space="preserve">SecurityRemediationPlan.json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2–5</w:t>
            </w:r>
          </w:p>
        </w:tc>
      </w:tr>
      <w:tr>
        <w:tc>
          <w:tcPr/>
          <w:p>
            <w:pPr>
              <w:pStyle w:val="Compact"/>
              <w:jc w:val="left"/>
            </w:pPr>
            <w:r>
              <w:t xml:space="preserve">TrustDecommissionPlan.json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5</w:t>
            </w:r>
          </w:p>
        </w:tc>
      </w:tr>
    </w:tbl>
    <w:p>
      <w:pPr>
        <w:pStyle w:val="BodyText"/>
      </w:pPr>
      <w:r>
        <w:t xml:space="preserve">5. Phase 2: Planning and Design (Weeks 10–13)</w:t>
      </w:r>
    </w:p>
    <w:p>
      <w:pPr>
        <w:pStyle w:val="BodyText"/>
      </w:pPr>
      <w:r>
        <w:rPr>
          <w:b/>
          <w:bCs/>
        </w:rPr>
        <w:t xml:space="preserve">Objective:</w:t>
      </w:r>
      <w:r>
        <w:t xml:space="preserve"> </w:t>
      </w:r>
      <w:r>
        <w:t xml:space="preserve">Transform assessment-driven planning documents into detailed technical designs, tested configurations, and approved blueprints ready for pilot deployment.</w:t>
      </w:r>
    </w:p>
    <w:p>
      <w:pPr>
        <w:pStyle w:val="BodyText"/>
      </w:pPr>
      <w:r>
        <w:rPr>
          <w:b/>
          <w:bCs/>
        </w:rPr>
        <w:t xml:space="preserve">Reference Documents:</w:t>
      </w:r>
      <w:r>
        <w:t xml:space="preserve"> </w:t>
      </w:r>
      <w:r>
        <w:t xml:space="preserve">AD Computer Object Conversion Guide, Identity Modernization Guide, DNS Modernization Guide, PKI Modernization Guide.</w:t>
      </w:r>
    </w:p>
    <w:p>
      <w:pPr>
        <w:pStyle w:val="BodyText"/>
      </w:pPr>
      <w:r>
        <w:t xml:space="preserve">5.1 Phase 2 Milestones</w:t>
      </w:r>
    </w:p>
    <w:tbl>
      <w:tblPr>
        <w:tblStyle w:val="Table"/>
        <w:tblW w:type="pct" w:w="4937"/>
        <w:tblLayout w:type="fixed"/>
        <w:tblLook w:firstRow="1" w:lastRow="0" w:firstColumn="0" w:lastColumn="0" w:noHBand="0" w:noVBand="0" w:val="0020"/>
      </w:tblPr>
      <w:tblGrid>
        <w:gridCol w:w="451"/>
        <w:gridCol w:w="1804"/>
        <w:gridCol w:w="551"/>
        <w:gridCol w:w="4210"/>
        <w:gridCol w:w="80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jc w:val="left"/>
            </w:pPr>
            <w:r>
              <w:t xml:space="preserve">W10 Extension attribute mapping, canonical value lists, gover</w:t>
            </w:r>
          </w:p>
        </w:tc>
        <w:tc>
          <w:tcPr/>
          <w:p>
            <w:pPr>
              <w:pStyle w:val="Compact"/>
              <w:jc w:val="left"/>
            </w:pPr>
            <w:r>
              <w:t xml:space="preserve">nance rules committed Identity Lead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W10</w:t>
            </w:r>
          </w:p>
        </w:tc>
        <w:tc>
          <w:tcPr/>
          <w:p>
            <w:pPr>
              <w:pStyle w:val="Compact"/>
              <w:jc w:val="left"/>
            </w:pPr>
            <w:r>
              <w:t xml:space="preserve">All dynamic group rules documented and tested in non-production</w:t>
            </w:r>
          </w:p>
        </w:tc>
        <w:tc>
          <w:tcPr/>
          <w:p>
            <w:pPr>
              <w:pStyle w:val="Compact"/>
              <w:jc w:val="left"/>
            </w:pPr>
            <w:r>
              <w:t xml:space="preserve">Endpoint Lead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W11</w:t>
            </w:r>
          </w:p>
        </w:tc>
        <w:tc>
          <w:tcPr/>
          <w:p>
            <w:pPr>
              <w:pStyle w:val="Compact"/>
              <w:jc w:val="left"/>
            </w:pPr>
            <w:r>
              <w:t xml:space="preserve">All GPO-to-Intune policy mappings with Settings Catalog configurations</w:t>
            </w:r>
          </w:p>
        </w:tc>
        <w:tc>
          <w:tcPr/>
          <w:p>
            <w:pPr>
              <w:pStyle w:val="Compact"/>
              <w:jc w:val="left"/>
            </w:pPr>
            <w:r>
              <w:t xml:space="preserve">Endpoint Lead</w:t>
            </w:r>
          </w:p>
        </w:tc>
      </w:tr>
      <w:tr>
        <w:tc>
          <w:tcPr/>
          <w:p>
            <w:pPr>
              <w:pStyle w:val="Compact"/>
              <w:jc w:val="left"/>
            </w:pPr>
            <w:r>
              <w:t xml:space="preserve">M-017</w:t>
            </w:r>
          </w:p>
        </w:tc>
        <w:tc>
          <w:tcPr/>
          <w:p>
            <w:pPr>
              <w:pStyle w:val="Compact"/>
              <w:jc w:val="left"/>
            </w:pPr>
            <w:r>
              <w:t xml:space="preserve">Conditional Access policy design</w:t>
            </w:r>
          </w:p>
        </w:tc>
        <w:tc>
          <w:tcPr/>
          <w:p>
            <w:pPr>
              <w:pStyle w:val="Compact"/>
              <w:jc w:val="left"/>
            </w:pPr>
            <w:r>
              <w:t xml:space="preserve">W11</w:t>
            </w:r>
          </w:p>
        </w:tc>
        <w:tc>
          <w:tcPr/>
          <w:p>
            <w:pPr>
              <w:pStyle w:val="Compact"/>
              <w:jc w:val="left"/>
            </w:pPr>
            <w:r>
              <w:t xml:space="preserve">15+ CA policies designed and running in report-only mode for 7+ days</w:t>
            </w:r>
          </w:p>
        </w:tc>
        <w:tc>
          <w:tcPr/>
          <w:p>
            <w:pPr>
              <w:pStyle w:val="Compact"/>
              <w:jc w:val="left"/>
            </w:pPr>
            <w:r>
              <w:t xml:space="preserve">Security Lead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W12</w:t>
            </w:r>
          </w:p>
        </w:tc>
        <w:tc>
          <w:tcPr/>
          <w:p>
            <w:pPr>
              <w:pStyle w:val="Compact"/>
              <w:jc w:val="left"/>
            </w:pPr>
            <w:r>
              <w:t xml:space="preserve">Filtering rules, attribute flow, sync method (PHS/PTA) documented</w:t>
            </w:r>
          </w:p>
        </w:tc>
        <w:tc>
          <w:tcPr/>
          <w:p>
            <w:pPr>
              <w:pStyle w:val="Compact"/>
              <w:jc w:val="left"/>
            </w:pPr>
            <w:r>
              <w:t xml:space="preserve">Identity Lead</w:t>
            </w:r>
          </w:p>
        </w:tc>
      </w:tr>
      <w:tr>
        <w:tc>
          <w:tcPr/>
          <w:p>
            <w:pPr>
              <w:pStyle w:val="Compact"/>
              <w:jc w:val="left"/>
            </w:pPr>
            <w:r>
              <w:t xml:space="preserve">M-019</w:t>
            </w:r>
          </w:p>
        </w:tc>
        <w:tc>
          <w:tcPr/>
          <w:p>
            <w:pPr>
              <w:pStyle w:val="Compact"/>
              <w:jc w:val="left"/>
            </w:pPr>
            <w:r>
              <w:t xml:space="preserve">Azure DNS Private Resolver design</w:t>
            </w:r>
          </w:p>
        </w:tc>
        <w:tc>
          <w:tcPr/>
          <w:p>
            <w:pPr>
              <w:pStyle w:val="Compact"/>
              <w:jc w:val="left"/>
            </w:pPr>
            <w:r>
              <w:t xml:space="preserve">W12</w:t>
            </w:r>
          </w:p>
        </w:tc>
        <w:tc>
          <w:tcPr/>
          <w:p>
            <w:pPr>
              <w:pStyle w:val="Compact"/>
              <w:jc w:val="left"/>
            </w:pPr>
            <w:r>
              <w:t xml:space="preserve">Hub-spoke topology, forwarding rulesets, split-brain patterns documented</w:t>
            </w:r>
          </w:p>
        </w:tc>
        <w:tc>
          <w:tcPr/>
          <w:p>
            <w:pPr>
              <w:pStyle w:val="Compact"/>
              <w:jc w:val="left"/>
            </w:pPr>
            <w:r>
              <w:t xml:space="preserve">DNS Lead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W13</w:t>
            </w:r>
          </w:p>
        </w:tc>
        <w:tc>
          <w:tcPr/>
          <w:p>
            <w:pPr>
              <w:pStyle w:val="Compact"/>
              <w:jc w:val="left"/>
            </w:pPr>
            <w:r>
              <w:t xml:space="preserve">Root or BYOCA decision finalized, template migration matrix, SCEP profile designs</w:t>
            </w:r>
          </w:p>
        </w:tc>
        <w:tc>
          <w:tcPr/>
          <w:p>
            <w:pPr>
              <w:pStyle w:val="Compact"/>
              <w:jc w:val="left"/>
            </w:pPr>
            <w:r>
              <w:t xml:space="preserve">PKI Lead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W13</w:t>
            </w:r>
          </w:p>
        </w:tc>
        <w:tc>
          <w:tcPr/>
          <w:p>
            <w:pPr>
              <w:pStyle w:val="Compact"/>
              <w:jc w:val="left"/>
            </w:pPr>
            <w:r>
              <w:t xml:space="preserve">All designs approved by Canon Steward and steering committee</w:t>
            </w:r>
          </w:p>
        </w:tc>
        <w:tc>
          <w:tcPr/>
          <w:p>
            <w:pPr>
              <w:pStyle w:val="Compact"/>
              <w:jc w:val="left"/>
            </w:pPr>
            <w:r>
              <w:t xml:space="preserve">Canon Steward</w:t>
            </w:r>
          </w:p>
        </w:tc>
      </w:tr>
    </w:tbl>
    <w:p>
      <w:pPr>
        <w:pStyle w:val="BodyText"/>
      </w:pPr>
      <w:r>
        <w:t xml:space="preserve">5.2 Detailed Task Breakdown</w:t>
      </w:r>
    </w:p>
    <w:p>
      <w:pPr>
        <w:pStyle w:val="BodyText"/>
      </w:pPr>
      <w:r>
        <w:t xml:space="preserve">M-014 — Extension Attribute Taxonomy (Week 10)</w:t>
      </w:r>
    </w:p>
    <w:tbl>
      <w:tblPr>
        <w:tblStyle w:val="Table"/>
        <w:tblW w:type="pct" w:w="4949"/>
        <w:tblLayout w:type="fixed"/>
        <w:tblLook w:firstRow="1" w:lastRow="0" w:firstColumn="0" w:lastColumn="0" w:noHBand="0" w:noVBand="0" w:val="0020"/>
      </w:tblPr>
      <w:tblGrid>
        <w:gridCol w:w="440"/>
        <w:gridCol w:w="4000"/>
        <w:gridCol w:w="480"/>
        <w:gridCol w:w="1280"/>
        <w:gridCol w:w="164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T-14.1</w:t>
            </w:r>
          </w:p>
        </w:tc>
        <w:tc>
          <w:tcPr/>
          <w:p>
            <w:pPr>
              <w:pStyle w:val="Compact"/>
              <w:jc w:val="left"/>
            </w:pPr>
            <w:r>
              <w:t xml:space="preserve">Define extension attribute dimensions from OU hierarchy analysis: Region, Site, Department, Role, En</w:t>
            </w:r>
          </w:p>
        </w:tc>
        <w:tc>
          <w:tcPr/>
          <w:p>
            <w:pPr>
              <w:pStyle w:val="Compact"/>
              <w:jc w:val="left"/>
            </w:pPr>
            <w:r>
              <w:t xml:space="preserve">vironment</w:t>
            </w:r>
          </w:p>
        </w:tc>
        <w:tc>
          <w:tcPr/>
          <w:p>
            <w:pPr>
              <w:pStyle w:val="Compact"/>
              <w:jc w:val="left"/>
            </w:pPr>
            <w:r>
              <w:t xml:space="preserve">4h Attri</w:t>
            </w:r>
          </w:p>
        </w:tc>
        <w:tc>
          <w:tcPr/>
          <w:p>
            <w:pPr>
              <w:pStyle w:val="Compact"/>
              <w:jc w:val="left"/>
            </w:pPr>
            <w:r>
              <w:t xml:space="preserve">buteDesign.json AD Computer Object Conversion Guide §2</w:t>
            </w:r>
          </w:p>
        </w:tc>
      </w:tr>
      <w:tr>
        <w:tc>
          <w:tcPr/>
          <w:p>
            <w:pPr>
              <w:pStyle w:val="Compact"/>
              <w:jc w:val="left"/>
            </w:pPr>
            <w:r>
              <w:t xml:space="preserve">T-14.2</w:t>
            </w:r>
          </w:p>
        </w:tc>
        <w:tc>
          <w:tcPr/>
          <w:p>
            <w:pPr>
              <w:pStyle w:val="Compact"/>
              <w:jc w:val="left"/>
            </w:pPr>
            <w:r>
              <w:t xml:space="preserve">Map dimensions to Entra ID extension attributes (extensionAttribute1–15)</w:t>
            </w:r>
          </w:p>
        </w:tc>
        <w:tc>
          <w:tcPr/>
          <w:p>
            <w:pPr>
              <w:pStyle w:val="Compact"/>
              <w:jc w:val="left"/>
            </w:pPr>
            <w:r>
              <w:t xml:space="preserve">3h</w:t>
            </w:r>
          </w:p>
        </w:tc>
        <w:tc>
          <w:tcPr/>
          <w:p>
            <w:pPr>
              <w:pStyle w:val="Compact"/>
              <w:jc w:val="left"/>
            </w:pPr>
            <w:r>
              <w:t xml:space="preserve">T-14.1, SchemaExtensions.json</w:t>
            </w:r>
          </w:p>
        </w:tc>
        <w:tc>
          <w:tcPr/>
          <w:p>
            <w:pPr>
              <w:pStyle w:val="Compact"/>
              <w:jc w:val="left"/>
            </w:pPr>
            <w:r>
              <w:t xml:space="preserve">AD Computer Object Conversion Guide §2</w:t>
            </w:r>
          </w:p>
        </w:tc>
      </w:tr>
      <w:tr>
        <w:tc>
          <w:tcPr/>
          <w:p>
            <w:pPr>
              <w:pStyle w:val="Compact"/>
              <w:jc w:val="left"/>
            </w:pPr>
            <w:r>
              <w:t xml:space="preserve">T-14.3</w:t>
            </w:r>
          </w:p>
        </w:tc>
        <w:tc>
          <w:tcPr/>
          <w:p>
            <w:pPr>
              <w:pStyle w:val="Compact"/>
              <w:jc w:val="left"/>
            </w:pPr>
            <w:r>
              <w:t xml:space="preserve">Create canonical value lists with validation rules (e.g., Region must be from approved list)</w:t>
            </w:r>
          </w:p>
        </w:tc>
        <w:tc>
          <w:tcPr/>
          <w:p>
            <w:pPr>
              <w:pStyle w:val="Compact"/>
              <w:jc w:val="left"/>
            </w:pPr>
            <w:r>
              <w:t xml:space="preserve">4h</w:t>
            </w:r>
          </w:p>
        </w:tc>
        <w:tc>
          <w:tcPr/>
          <w:p>
            <w:pPr>
              <w:pStyle w:val="Compact"/>
              <w:jc w:val="left"/>
            </w:pPr>
            <w:r>
              <w:t xml:space="preserve">T-14.1</w:t>
            </w:r>
          </w:p>
        </w:tc>
        <w:tc>
          <w:tcPr/>
          <w:p>
            <w:pPr>
              <w:pStyle w:val="Compact"/>
              <w:jc w:val="left"/>
            </w:pPr>
            <w:r>
              <w:t xml:space="preserve">AD Computer Object Conversion Guide §2</w:t>
            </w:r>
          </w:p>
        </w:tc>
      </w:tr>
      <w:tr>
        <w:tc>
          <w:tcPr/>
          <w:p>
            <w:pPr>
              <w:pStyle w:val="Compact"/>
              <w:jc w:val="left"/>
            </w:pPr>
            <w:r>
              <w:t xml:space="preserve">T-14.4</w:t>
            </w:r>
          </w:p>
        </w:tc>
        <w:tc>
          <w:tcPr/>
          <w:p>
            <w:pPr>
              <w:pStyle w:val="Compact"/>
              <w:jc w:val="left"/>
            </w:pPr>
            <w:r>
              <w:t xml:space="preserve">Define extension attribute governance rules: who can modify, approval workflow, drift detection</w:t>
            </w:r>
          </w:p>
        </w:tc>
        <w:tc>
          <w:tcPr/>
          <w:p>
            <w:pPr>
              <w:pStyle w:val="Compact"/>
            </w:pPr>
          </w:p>
        </w:tc>
        <w:tc>
          <w:tcPr/>
          <w:p>
            <w:pPr>
              <w:pStyle w:val="Compact"/>
              <w:jc w:val="left"/>
            </w:pPr>
            <w:r>
              <w:t xml:space="preserve">2h T-14.</w:t>
            </w:r>
          </w:p>
        </w:tc>
        <w:tc>
          <w:tcPr/>
          <w:p>
            <w:pPr>
              <w:pStyle w:val="Compact"/>
              <w:jc w:val="left"/>
            </w:pPr>
            <w:r>
              <w:t xml:space="preserve">3 CLI and Operations Guide §7</w:t>
            </w:r>
          </w:p>
        </w:tc>
      </w:tr>
      <w:tr>
        <w:tc>
          <w:tcPr/>
          <w:p>
            <w:pPr>
              <w:pStyle w:val="Compact"/>
              <w:jc w:val="left"/>
            </w:pPr>
            <w:r>
              <w:t xml:space="preserve">T-14.5</w:t>
            </w:r>
          </w:p>
        </w:tc>
        <w:tc>
          <w:tcPr/>
          <w:p>
            <w:pPr>
              <w:pStyle w:val="Compact"/>
              <w:jc w:val="left"/>
            </w:pPr>
            <w:r>
              <w:t xml:space="preserve">Commit AttributeTaxonomy.json to Gitea with APPROVED status</w:t>
            </w:r>
          </w:p>
        </w:tc>
        <w:tc>
          <w:tcPr/>
          <w:p>
            <w:pPr>
              <w:pStyle w:val="Compact"/>
            </w:pPr>
          </w:p>
        </w:tc>
        <w:tc>
          <w:tcPr/>
          <w:p>
            <w:pPr>
              <w:pStyle w:val="Compact"/>
              <w:jc w:val="left"/>
            </w:pPr>
            <w:r>
              <w:t xml:space="preserve">1h T-14.</w:t>
            </w:r>
          </w:p>
        </w:tc>
        <w:tc>
          <w:tcPr/>
          <w:p>
            <w:pPr>
              <w:pStyle w:val="Compact"/>
              <w:jc w:val="left"/>
            </w:pPr>
            <w:r>
              <w:t xml:space="preserve">4 —</w:t>
            </w:r>
          </w:p>
        </w:tc>
      </w:tr>
    </w:tbl>
    <w:p>
      <w:pPr>
        <w:pStyle w:val="BodyText"/>
      </w:pPr>
      <w:r>
        <w:t xml:space="preserve">M-015 — Dynamic Group Design (Week 10)</w:t>
      </w:r>
    </w:p>
    <w:tbl>
      <w:tblPr>
        <w:tblStyle w:val="Table"/>
        <w:tblW w:type="pct" w:w="4944"/>
        <w:tblLayout w:type="fixed"/>
        <w:tblLook w:firstRow="1" w:lastRow="0" w:firstColumn="0" w:lastColumn="0" w:noHBand="0" w:noVBand="0" w:val="0020"/>
      </w:tblPr>
      <w:tblGrid>
        <w:gridCol w:w="492"/>
        <w:gridCol w:w="4116"/>
        <w:gridCol w:w="536"/>
        <w:gridCol w:w="850"/>
        <w:gridCol w:w="183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T-15.1</w:t>
            </w:r>
          </w:p>
        </w:tc>
        <w:tc>
          <w:tcPr/>
          <w:p>
            <w:pPr>
              <w:pStyle w:val="Compact"/>
              <w:jc w:val="left"/>
            </w:pPr>
            <w:r>
              <w:t xml:space="preserve">Design dynamic group rules for each extension attribute dimension combination used in migrat</w:t>
            </w:r>
          </w:p>
        </w:tc>
        <w:tc>
          <w:tcPr/>
          <w:p>
            <w:pPr>
              <w:pStyle w:val="Compact"/>
              <w:jc w:val="left"/>
            </w:pPr>
            <w:r>
              <w:t xml:space="preserve">ion waves</w:t>
            </w:r>
          </w:p>
        </w:tc>
        <w:tc>
          <w:tcPr/>
          <w:p>
            <w:pPr>
              <w:pStyle w:val="Compact"/>
              <w:jc w:val="left"/>
            </w:pPr>
            <w:r>
              <w:t xml:space="preserve">6h</w:t>
            </w:r>
          </w:p>
        </w:tc>
        <w:tc>
          <w:tcPr/>
          <w:p>
            <w:pPr>
              <w:pStyle w:val="Compact"/>
              <w:jc w:val="left"/>
            </w:pPr>
            <w:r>
              <w:t xml:space="preserve">M-014 AD Computer Object Conversion Guide §3</w:t>
            </w:r>
          </w:p>
        </w:tc>
      </w:tr>
      <w:tr>
        <w:tc>
          <w:tcPr/>
          <w:p>
            <w:pPr>
              <w:pStyle w:val="Compact"/>
              <w:jc w:val="left"/>
            </w:pPr>
            <w:r>
              <w:t xml:space="preserve">T-15.2</w:t>
            </w:r>
          </w:p>
        </w:tc>
        <w:tc>
          <w:tcPr/>
          <w:p>
            <w:pPr>
              <w:pStyle w:val="Compact"/>
              <w:jc w:val="left"/>
            </w:pPr>
            <w:r>
              <w:t xml:space="preserve">Create test dynamic groups in non-production Entra ID tenant and validate membership</w:t>
            </w:r>
          </w:p>
        </w:tc>
        <w:tc>
          <w:tcPr/>
          <w:p>
            <w:pPr>
              <w:pStyle w:val="Compact"/>
              <w:jc w:val="left"/>
            </w:pPr>
            <w:r>
              <w:t xml:space="preserve">4h</w:t>
            </w:r>
          </w:p>
        </w:tc>
        <w:tc>
          <w:tcPr/>
          <w:p>
            <w:pPr>
              <w:pStyle w:val="Compact"/>
              <w:jc w:val="left"/>
            </w:pPr>
            <w:r>
              <w:t xml:space="preserve">T-15.1</w:t>
            </w:r>
          </w:p>
        </w:tc>
        <w:tc>
          <w:tcPr/>
          <w:p>
            <w:pPr>
              <w:pStyle w:val="Compact"/>
              <w:jc w:val="left"/>
            </w:pPr>
            <w:r>
              <w:t xml:space="preserve">AD Computer Object Conversion Guide §3</w:t>
            </w:r>
          </w:p>
        </w:tc>
      </w:tr>
      <w:tr>
        <w:tc>
          <w:tcPr/>
          <w:p>
            <w:pPr>
              <w:pStyle w:val="Compact"/>
              <w:jc w:val="left"/>
            </w:pPr>
            <w:r>
              <w:t xml:space="preserve">T-15.3</w:t>
            </w:r>
          </w:p>
        </w:tc>
        <w:tc>
          <w:tcPr/>
          <w:p>
            <w:pPr>
              <w:pStyle w:val="Compact"/>
              <w:jc w:val="left"/>
            </w:pPr>
            <w:r>
              <w:t xml:space="preserve">Document group naming convention and lifecycle management procedures</w:t>
            </w:r>
          </w:p>
        </w:tc>
        <w:tc>
          <w:tcPr/>
          <w:p>
            <w:pPr>
              <w:pStyle w:val="Compact"/>
              <w:jc w:val="left"/>
            </w:pPr>
            <w:r>
              <w:t xml:space="preserve">2h</w:t>
            </w:r>
          </w:p>
        </w:tc>
        <w:tc>
          <w:tcPr/>
          <w:p>
            <w:pPr>
              <w:pStyle w:val="Compact"/>
              <w:jc w:val="left"/>
            </w:pPr>
            <w:r>
              <w:t xml:space="preserve">T-15.1</w:t>
            </w:r>
          </w:p>
        </w:tc>
        <w:tc>
          <w:tcPr/>
          <w:p>
            <w:pPr>
              <w:pStyle w:val="Compact"/>
              <w:jc w:val="left"/>
            </w:pPr>
            <w:r>
              <w:t xml:space="preserve">—</w:t>
            </w:r>
          </w:p>
        </w:tc>
      </w:tr>
      <w:tr>
        <w:tc>
          <w:tcPr/>
          <w:p>
            <w:pPr>
              <w:pStyle w:val="Compact"/>
              <w:jc w:val="left"/>
            </w:pPr>
            <w:r>
              <w:t xml:space="preserve">T-15.4</w:t>
            </w:r>
          </w:p>
        </w:tc>
        <w:tc>
          <w:tcPr/>
          <w:p>
            <w:pPr>
              <w:pStyle w:val="Compact"/>
              <w:jc w:val="left"/>
            </w:pPr>
            <w:r>
              <w:t xml:space="preserve">Validate dynamic group processing time is within acceptable thresholds (&lt;15 min refresh)</w:t>
            </w:r>
          </w:p>
        </w:tc>
        <w:tc>
          <w:tcPr/>
          <w:p>
            <w:pPr>
              <w:pStyle w:val="Compact"/>
              <w:jc w:val="left"/>
            </w:pPr>
            <w:r>
              <w:t xml:space="preserve">2h</w:t>
            </w:r>
          </w:p>
        </w:tc>
        <w:tc>
          <w:tcPr/>
          <w:p>
            <w:pPr>
              <w:pStyle w:val="Compact"/>
              <w:jc w:val="left"/>
            </w:pPr>
            <w:r>
              <w:t xml:space="preserve">T-15.2</w:t>
            </w:r>
          </w:p>
        </w:tc>
        <w:tc>
          <w:tcPr/>
          <w:p>
            <w:pPr>
              <w:pStyle w:val="Compact"/>
              <w:jc w:val="left"/>
            </w:pPr>
            <w:r>
              <w:t xml:space="preserve">—</w:t>
            </w:r>
          </w:p>
        </w:tc>
      </w:tr>
    </w:tbl>
    <w:p>
      <w:pPr>
        <w:pStyle w:val="BodyText"/>
      </w:pPr>
      <w:r>
        <w:t xml:space="preserve">M-016 — Intune Policy Design (Week 11)</w:t>
      </w:r>
    </w:p>
    <w:tbl>
      <w:tblPr>
        <w:tblStyle w:val="Table"/>
        <w:tblW w:type="pct" w:w="4953"/>
        <w:tblLayout w:type="fixed"/>
        <w:tblLook w:firstRow="1" w:lastRow="0" w:firstColumn="0" w:lastColumn="0" w:noHBand="0" w:noVBand="0" w:val="0020"/>
      </w:tblPr>
      <w:tblGrid>
        <w:gridCol w:w="409"/>
        <w:gridCol w:w="3941"/>
        <w:gridCol w:w="446"/>
        <w:gridCol w:w="892"/>
        <w:gridCol w:w="2156"/>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T-16.1</w:t>
            </w:r>
          </w:p>
        </w:tc>
        <w:tc>
          <w:tcPr/>
          <w:p>
            <w:pPr>
              <w:pStyle w:val="Compact"/>
              <w:jc w:val="left"/>
            </w:pPr>
            <w:r>
              <w:t xml:space="preserve">Map each GPO intent from GPOMigrationPlan.json to Settings Catalog, Endpoint Security, or ADMX template</w:t>
            </w:r>
          </w:p>
        </w:tc>
        <w:tc>
          <w:tcPr/>
          <w:p>
            <w:pPr>
              <w:pStyle w:val="Compact"/>
              <w:jc w:val="left"/>
            </w:pPr>
            <w:r>
              <w:t xml:space="preserve">16h</w:t>
            </w:r>
          </w:p>
        </w:tc>
        <w:tc>
          <w:tcPr/>
          <w:p>
            <w:pPr>
              <w:pStyle w:val="Compact"/>
              <w:jc w:val="left"/>
            </w:pPr>
            <w:r>
              <w:t xml:space="preserve">GPOMigrationPlan.json</w:t>
            </w:r>
          </w:p>
        </w:tc>
        <w:tc>
          <w:tcPr/>
          <w:p>
            <w:pPr>
              <w:pStyle w:val="Compact"/>
              <w:jc w:val="left"/>
            </w:pPr>
            <w:r>
              <w:t xml:space="preserve">AD Computer Object Conversion Guide §4, Gap Analysis §4</w:t>
            </w:r>
          </w:p>
        </w:tc>
      </w:tr>
      <w:tr>
        <w:tc>
          <w:tcPr/>
          <w:p>
            <w:pPr>
              <w:pStyle w:val="Compact"/>
              <w:jc w:val="left"/>
            </w:pPr>
            <w:r>
              <w:t xml:space="preserve">T-16.2</w:t>
            </w:r>
          </w:p>
        </w:tc>
        <w:tc>
          <w:tcPr/>
          <w:p>
            <w:pPr>
              <w:pStyle w:val="Compact"/>
              <w:jc w:val="left"/>
            </w:pPr>
            <w:r>
              <w:t xml:space="preserve">Identify GPO intents with no Intune equivalent; document workarounds or acceptance decisions</w:t>
            </w:r>
          </w:p>
        </w:tc>
        <w:tc>
          <w:tcPr/>
          <w:p>
            <w:pPr>
              <w:pStyle w:val="Compact"/>
              <w:jc w:val="left"/>
            </w:pPr>
            <w:r>
              <w:t xml:space="preserve">8h</w:t>
            </w:r>
          </w:p>
        </w:tc>
        <w:tc>
          <w:tcPr/>
          <w:p>
            <w:pPr>
              <w:pStyle w:val="Compact"/>
              <w:jc w:val="left"/>
            </w:pPr>
            <w:r>
              <w:t xml:space="preserve">T-16.1</w:t>
            </w:r>
          </w:p>
        </w:tc>
        <w:tc>
          <w:tcPr/>
          <w:p>
            <w:pPr>
              <w:pStyle w:val="Compact"/>
              <w:jc w:val="left"/>
            </w:pPr>
            <w:r>
              <w:t xml:space="preserve">Gap Analysis §4</w:t>
            </w:r>
          </w:p>
        </w:tc>
      </w:tr>
      <w:tr>
        <w:tc>
          <w:tcPr/>
          <w:p>
            <w:pPr>
              <w:pStyle w:val="Compact"/>
              <w:jc w:val="left"/>
            </w:pPr>
            <w:r>
              <w:t xml:space="preserve">T-16.3</w:t>
            </w:r>
          </w:p>
        </w:tc>
        <w:tc>
          <w:tcPr/>
          <w:p>
            <w:pPr>
              <w:pStyle w:val="Compact"/>
              <w:jc w:val="left"/>
            </w:pPr>
            <w:r>
              <w:t xml:space="preserve">Build Intune configuration profiles in non-production and export as JSON</w:t>
            </w:r>
          </w:p>
        </w:tc>
        <w:tc>
          <w:tcPr/>
          <w:p>
            <w:pPr>
              <w:pStyle w:val="Compact"/>
              <w:jc w:val="left"/>
            </w:pPr>
            <w:r>
              <w:t xml:space="preserve">12h</w:t>
            </w:r>
          </w:p>
        </w:tc>
        <w:tc>
          <w:tcPr/>
          <w:p>
            <w:pPr>
              <w:pStyle w:val="Compact"/>
              <w:jc w:val="left"/>
            </w:pPr>
            <w:r>
              <w:t xml:space="preserve">T-16.1</w:t>
            </w:r>
          </w:p>
        </w:tc>
        <w:tc>
          <w:tcPr/>
          <w:p>
            <w:pPr>
              <w:pStyle w:val="Compact"/>
              <w:jc w:val="left"/>
            </w:pPr>
            <w:r>
              <w:t xml:space="preserve">AD Computer Object Conversion Guide §4</w:t>
            </w:r>
          </w:p>
        </w:tc>
      </w:tr>
      <w:tr>
        <w:tc>
          <w:tcPr/>
          <w:p>
            <w:pPr>
              <w:pStyle w:val="Compact"/>
              <w:jc w:val="left"/>
            </w:pPr>
            <w:r>
              <w:t xml:space="preserve">T-16.4</w:t>
            </w:r>
          </w:p>
        </w:tc>
        <w:tc>
          <w:tcPr/>
          <w:p>
            <w:pPr>
              <w:pStyle w:val="Compact"/>
              <w:jc w:val="left"/>
            </w:pPr>
            <w:r>
              <w:t xml:space="preserve">Create compliance policies aligned with configuration profiles</w:t>
            </w:r>
          </w:p>
        </w:tc>
        <w:tc>
          <w:tcPr/>
          <w:p>
            <w:pPr>
              <w:pStyle w:val="Compact"/>
              <w:jc w:val="left"/>
            </w:pPr>
            <w:r>
              <w:t xml:space="preserve">4h</w:t>
            </w:r>
          </w:p>
        </w:tc>
        <w:tc>
          <w:tcPr/>
          <w:p>
            <w:pPr>
              <w:pStyle w:val="Compact"/>
              <w:jc w:val="left"/>
            </w:pPr>
            <w:r>
              <w:t xml:space="preserve">T-16.3</w:t>
            </w:r>
          </w:p>
        </w:tc>
        <w:tc>
          <w:tcPr/>
          <w:p>
            <w:pPr>
              <w:pStyle w:val="Compact"/>
              <w:jc w:val="left"/>
            </w:pPr>
            <w:r>
              <w:t xml:space="preserve">AD Computer Object Conversion Guide §5</w:t>
            </w:r>
          </w:p>
        </w:tc>
      </w:tr>
      <w:tr>
        <w:tc>
          <w:tcPr/>
          <w:p>
            <w:pPr>
              <w:pStyle w:val="Compact"/>
              <w:jc w:val="left"/>
            </w:pPr>
            <w:r>
              <w:t xml:space="preserve">T-16.5</w:t>
            </w:r>
          </w:p>
        </w:tc>
        <w:tc>
          <w:tcPr/>
          <w:p>
            <w:pPr>
              <w:pStyle w:val="Compact"/>
              <w:jc w:val="left"/>
            </w:pPr>
            <w:r>
              <w:t xml:space="preserve">Commit IntunePolicy.json exports to Gitea under plans/intune/</w:t>
            </w:r>
          </w:p>
        </w:tc>
        <w:tc>
          <w:tcPr/>
          <w:p>
            <w:pPr>
              <w:pStyle w:val="Compact"/>
              <w:jc w:val="left"/>
            </w:pPr>
            <w:r>
              <w:t xml:space="preserve">2h</w:t>
            </w:r>
          </w:p>
        </w:tc>
        <w:tc>
          <w:tcPr/>
          <w:p>
            <w:pPr>
              <w:pStyle w:val="Compact"/>
              <w:jc w:val="left"/>
            </w:pPr>
            <w:r>
              <w:t xml:space="preserve">T-16.4</w:t>
            </w:r>
          </w:p>
        </w:tc>
        <w:tc>
          <w:tcPr/>
          <w:p>
            <w:pPr>
              <w:pStyle w:val="Compact"/>
              <w:jc w:val="left"/>
            </w:pPr>
            <w:r>
              <w:t xml:space="preserve">—</w:t>
            </w:r>
          </w:p>
        </w:tc>
      </w:tr>
    </w:tbl>
    <w:p>
      <w:pPr>
        <w:pStyle w:val="BodyText"/>
      </w:pPr>
      <w:r>
        <w:t xml:space="preserve">M-017 — Conditional Access Policy Design (Week 11)</w:t>
      </w:r>
    </w:p>
    <w:tbl>
      <w:tblPr>
        <w:tblStyle w:val="Table"/>
        <w:tblW w:type="pct" w:w="4957"/>
        <w:tblLayout w:type="fixed"/>
        <w:tblLook w:firstRow="1" w:lastRow="0" w:firstColumn="0" w:lastColumn="0" w:noHBand="0" w:noVBand="0" w:val="0020"/>
      </w:tblPr>
      <w:tblGrid>
        <w:gridCol w:w="377"/>
        <w:gridCol w:w="4765"/>
        <w:gridCol w:w="411"/>
        <w:gridCol w:w="1131"/>
        <w:gridCol w:w="1165"/>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T-17.1</w:t>
            </w:r>
          </w:p>
        </w:tc>
        <w:tc>
          <w:tcPr/>
          <w:p>
            <w:pPr>
              <w:pStyle w:val="Compact"/>
              <w:jc w:val="left"/>
            </w:pPr>
            <w:r>
              <w:t xml:space="preserve">Design 15+ Conditional Access policies covering: MFA, device compliance, app protection, location, authentication strength, sign-in risk</w:t>
            </w:r>
          </w:p>
        </w:tc>
        <w:tc>
          <w:tcPr/>
          <w:p>
            <w:pPr>
              <w:pStyle w:val="Compact"/>
              <w:jc w:val="left"/>
            </w:pPr>
            <w:r>
              <w:t xml:space="preserve">12h</w:t>
            </w:r>
          </w:p>
        </w:tc>
        <w:tc>
          <w:tcPr/>
          <w:p>
            <w:pPr>
              <w:pStyle w:val="Compact"/>
              <w:jc w:val="left"/>
            </w:pPr>
            <w:r>
              <w:t xml:space="preserve">IdentityModernizationPlan.json</w:t>
            </w:r>
          </w:p>
        </w:tc>
        <w:tc>
          <w:tcPr/>
          <w:p>
            <w:pPr>
              <w:pStyle w:val="Compact"/>
              <w:jc w:val="left"/>
            </w:pPr>
            <w:r>
              <w:t xml:space="preserve">Identity Modernization Guide §8</w:t>
            </w:r>
          </w:p>
        </w:tc>
      </w:tr>
      <w:tr>
        <w:tc>
          <w:tcPr/>
          <w:p>
            <w:pPr>
              <w:pStyle w:val="Compact"/>
              <w:jc w:val="left"/>
            </w:pPr>
            <w:r>
              <w:t xml:space="preserve">T-17.2</w:t>
            </w:r>
          </w:p>
        </w:tc>
        <w:tc>
          <w:tcPr/>
          <w:p>
            <w:pPr>
              <w:pStyle w:val="Compact"/>
              <w:jc w:val="left"/>
            </w:pPr>
            <w:r>
              <w:t xml:space="preserve">Deploy all policies in report-only mode; monitor sign-in logs for 7+ days</w:t>
            </w:r>
          </w:p>
        </w:tc>
        <w:tc>
          <w:tcPr/>
          <w:p>
            <w:pPr>
              <w:pStyle w:val="Compact"/>
              <w:jc w:val="left"/>
            </w:pPr>
            <w:r>
              <w:t xml:space="preserve">4h</w:t>
            </w:r>
          </w:p>
        </w:tc>
        <w:tc>
          <w:tcPr/>
          <w:p>
            <w:pPr>
              <w:pStyle w:val="Compact"/>
              <w:jc w:val="left"/>
            </w:pPr>
            <w:r>
              <w:t xml:space="preserve">T-17.1</w:t>
            </w:r>
          </w:p>
        </w:tc>
        <w:tc>
          <w:tcPr/>
          <w:p>
            <w:pPr>
              <w:pStyle w:val="Compact"/>
              <w:jc w:val="left"/>
            </w:pPr>
            <w:r>
              <w:t xml:space="preserve">Identity Modernization Guide §8</w:t>
            </w:r>
          </w:p>
        </w:tc>
      </w:tr>
      <w:tr>
        <w:tc>
          <w:tcPr/>
          <w:p>
            <w:pPr>
              <w:pStyle w:val="Compact"/>
              <w:jc w:val="left"/>
            </w:pPr>
            <w:r>
              <w:t xml:space="preserve">T-17.3</w:t>
            </w:r>
          </w:p>
        </w:tc>
        <w:tc>
          <w:tcPr/>
          <w:p>
            <w:pPr>
              <w:pStyle w:val="Compact"/>
              <w:jc w:val="left"/>
            </w:pPr>
            <w:r>
              <w:t xml:space="preserve">Analyze report-only impact: identify users/apps that would be blocked or challenged</w:t>
            </w:r>
          </w:p>
        </w:tc>
        <w:tc>
          <w:tcPr/>
          <w:p>
            <w:pPr>
              <w:pStyle w:val="Compact"/>
              <w:jc w:val="left"/>
            </w:pPr>
            <w:r>
              <w:t xml:space="preserve">4h</w:t>
            </w:r>
          </w:p>
        </w:tc>
        <w:tc>
          <w:tcPr/>
          <w:p>
            <w:pPr>
              <w:pStyle w:val="Compact"/>
              <w:jc w:val="left"/>
            </w:pPr>
            <w:r>
              <w:t xml:space="preserve">T-17.2</w:t>
            </w:r>
          </w:p>
        </w:tc>
        <w:tc>
          <w:tcPr/>
          <w:p>
            <w:pPr>
              <w:pStyle w:val="Compact"/>
              <w:jc w:val="left"/>
            </w:pPr>
            <w:r>
              <w:t xml:space="preserve">Identity Modernization Guide §8</w:t>
            </w:r>
          </w:p>
        </w:tc>
      </w:tr>
      <w:tr>
        <w:tc>
          <w:tcPr/>
          <w:p>
            <w:pPr>
              <w:pStyle w:val="Compact"/>
              <w:jc w:val="left"/>
            </w:pPr>
            <w:r>
              <w:t xml:space="preserve">T-17.4</w:t>
            </w:r>
          </w:p>
        </w:tc>
        <w:tc>
          <w:tcPr/>
          <w:p>
            <w:pPr>
              <w:pStyle w:val="Compact"/>
              <w:jc w:val="left"/>
            </w:pPr>
            <w:r>
              <w:t xml:space="preserve">Document exception policies and break-glass accounts</w:t>
            </w:r>
          </w:p>
        </w:tc>
        <w:tc>
          <w:tcPr/>
          <w:p>
            <w:pPr>
              <w:pStyle w:val="Compact"/>
              <w:jc w:val="left"/>
            </w:pPr>
            <w:r>
              <w:t xml:space="preserve">2h</w:t>
            </w:r>
          </w:p>
        </w:tc>
        <w:tc>
          <w:tcPr/>
          <w:p>
            <w:pPr>
              <w:pStyle w:val="Compact"/>
              <w:jc w:val="left"/>
            </w:pPr>
            <w:r>
              <w:t xml:space="preserve">T-17.3</w:t>
            </w:r>
          </w:p>
        </w:tc>
        <w:tc>
          <w:tcPr/>
          <w:p>
            <w:pPr>
              <w:pStyle w:val="Compact"/>
              <w:jc w:val="left"/>
            </w:pPr>
            <w:r>
              <w:t xml:space="preserve">Identity Modernization Guide §7</w:t>
            </w:r>
          </w:p>
        </w:tc>
      </w:tr>
    </w:tbl>
    <w:p>
      <w:pPr>
        <w:pStyle w:val="BodyText"/>
      </w:pPr>
      <w:r>
        <w:t xml:space="preserve">M-018 — Entra Connect Sync Design (Week 12)</w:t>
      </w:r>
    </w:p>
    <w:tbl>
      <w:tblPr>
        <w:tblStyle w:val="Table"/>
        <w:tblW w:type="pct" w:w="4949"/>
        <w:tblLayout w:type="fixed"/>
        <w:tblLook w:firstRow="1" w:lastRow="0" w:firstColumn="0" w:lastColumn="0" w:noHBand="0" w:noVBand="0" w:val="0020"/>
      </w:tblPr>
      <w:tblGrid>
        <w:gridCol w:w="444"/>
        <w:gridCol w:w="4202"/>
        <w:gridCol w:w="484"/>
        <w:gridCol w:w="1333"/>
        <w:gridCol w:w="137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T-18.1</w:t>
            </w:r>
          </w:p>
        </w:tc>
        <w:tc>
          <w:tcPr/>
          <w:p>
            <w:pPr>
              <w:pStyle w:val="Compact"/>
              <w:jc w:val="left"/>
            </w:pPr>
            <w:r>
              <w:t xml:space="preserve">Define OU-based and attribute-based sync scope filtering rules from IdentityModernizationPlan.json</w:t>
            </w:r>
          </w:p>
        </w:tc>
        <w:tc>
          <w:tcPr/>
          <w:p>
            <w:pPr>
              <w:pStyle w:val="Compact"/>
              <w:jc w:val="left"/>
            </w:pPr>
            <w:r>
              <w:t xml:space="preserve">4h</w:t>
            </w:r>
          </w:p>
        </w:tc>
        <w:tc>
          <w:tcPr/>
          <w:p>
            <w:pPr>
              <w:pStyle w:val="Compact"/>
              <w:jc w:val="left"/>
            </w:pPr>
            <w:r>
              <w:t xml:space="preserve">IdentityModernizationPlan.json</w:t>
            </w:r>
          </w:p>
        </w:tc>
        <w:tc>
          <w:tcPr/>
          <w:p>
            <w:pPr>
              <w:pStyle w:val="Compact"/>
              <w:jc w:val="left"/>
            </w:pPr>
            <w:r>
              <w:t xml:space="preserve">Identity Modernization Guide §3</w:t>
            </w:r>
          </w:p>
        </w:tc>
      </w:tr>
      <w:tr>
        <w:tc>
          <w:tcPr/>
          <w:p>
            <w:pPr>
              <w:pStyle w:val="Compact"/>
              <w:jc w:val="left"/>
            </w:pPr>
            <w:r>
              <w:t xml:space="preserve">T-18.2</w:t>
            </w:r>
          </w:p>
        </w:tc>
        <w:tc>
          <w:tcPr/>
          <w:p>
            <w:pPr>
              <w:pStyle w:val="Compact"/>
              <w:jc w:val="left"/>
            </w:pPr>
            <w:r>
              <w:t xml:space="preserve">Design attribute flow rules including extension attributes to Entra ID</w:t>
            </w:r>
          </w:p>
        </w:tc>
        <w:tc>
          <w:tcPr/>
          <w:p>
            <w:pPr>
              <w:pStyle w:val="Compact"/>
            </w:pPr>
          </w:p>
        </w:tc>
        <w:tc>
          <w:tcPr/>
          <w:p>
            <w:pPr>
              <w:pStyle w:val="Compact"/>
              <w:jc w:val="left"/>
            </w:pPr>
            <w:r>
              <w:t xml:space="preserve">4h T-18.1</w:t>
            </w:r>
          </w:p>
        </w:tc>
        <w:tc>
          <w:tcPr/>
          <w:p>
            <w:pPr>
              <w:pStyle w:val="Compact"/>
              <w:jc w:val="left"/>
            </w:pPr>
            <w:r>
              <w:t xml:space="preserve">, M-014 Identity Modernization Guide §3</w:t>
            </w:r>
          </w:p>
        </w:tc>
      </w:tr>
      <w:tr>
        <w:tc>
          <w:tcPr/>
          <w:p>
            <w:pPr>
              <w:pStyle w:val="Compact"/>
              <w:jc w:val="left"/>
            </w:pPr>
            <w:r>
              <w:t xml:space="preserve">T-18.3</w:t>
            </w:r>
          </w:p>
        </w:tc>
        <w:tc>
          <w:tcPr/>
          <w:p>
            <w:pPr>
              <w:pStyle w:val="Compact"/>
              <w:jc w:val="left"/>
            </w:pPr>
            <w:r>
              <w:t xml:space="preserve">Select sync method: Password Hash Sync (PHS) recommended, with Pass-Through Auth (PTA) as alternative</w:t>
            </w:r>
          </w:p>
        </w:tc>
        <w:tc>
          <w:tcPr/>
          <w:p>
            <w:pPr>
              <w:pStyle w:val="Compact"/>
              <w:jc w:val="left"/>
            </w:pPr>
            <w:r>
              <w:t xml:space="preserve">2h</w:t>
            </w:r>
          </w:p>
        </w:tc>
        <w:tc>
          <w:tcPr/>
          <w:p>
            <w:pPr>
              <w:pStyle w:val="Compact"/>
              <w:jc w:val="left"/>
            </w:pPr>
            <w:r>
              <w:t xml:space="preserve">—</w:t>
            </w:r>
          </w:p>
        </w:tc>
        <w:tc>
          <w:tcPr/>
          <w:p>
            <w:pPr>
              <w:pStyle w:val="Compact"/>
              <w:jc w:val="left"/>
            </w:pPr>
            <w:r>
              <w:t xml:space="preserve">Identity Modernization Guide §3</w:t>
            </w:r>
          </w:p>
        </w:tc>
      </w:tr>
      <w:tr>
        <w:tc>
          <w:tcPr/>
          <w:p>
            <w:pPr>
              <w:pStyle w:val="Compact"/>
              <w:jc w:val="left"/>
            </w:pPr>
            <w:r>
              <w:t xml:space="preserve">T-18.4</w:t>
            </w:r>
          </w:p>
        </w:tc>
        <w:tc>
          <w:tcPr/>
          <w:p>
            <w:pPr>
              <w:pStyle w:val="Compact"/>
              <w:jc w:val="left"/>
            </w:pPr>
            <w:r>
              <w:t xml:space="preserve">Document staging mode deployment plan for safe initial sync</w:t>
            </w:r>
          </w:p>
        </w:tc>
        <w:tc>
          <w:tcPr/>
          <w:p>
            <w:pPr>
              <w:pStyle w:val="Compact"/>
              <w:jc w:val="left"/>
            </w:pPr>
            <w:r>
              <w:t xml:space="preserve">2h</w:t>
            </w:r>
          </w:p>
        </w:tc>
        <w:tc>
          <w:tcPr/>
          <w:p>
            <w:pPr>
              <w:pStyle w:val="Compact"/>
              <w:jc w:val="left"/>
            </w:pPr>
            <w:r>
              <w:t xml:space="preserve">T-18.1–T-18.3</w:t>
            </w:r>
          </w:p>
        </w:tc>
        <w:tc>
          <w:tcPr/>
          <w:p>
            <w:pPr>
              <w:pStyle w:val="Compact"/>
              <w:jc w:val="left"/>
            </w:pPr>
            <w:r>
              <w:t xml:space="preserve">Identity Modernization Guide §3</w:t>
            </w:r>
          </w:p>
        </w:tc>
      </w:tr>
    </w:tbl>
    <w:p>
      <w:pPr>
        <w:pStyle w:val="BodyText"/>
      </w:pPr>
      <w:r>
        <w:t xml:space="preserve">M-019 — Azure DNS Private Resolver Design (Week 12)</w:t>
      </w:r>
    </w:p>
    <w:tbl>
      <w:tblPr>
        <w:tblStyle w:val="Table"/>
        <w:tblW w:type="pct" w:w="4944"/>
        <w:tblLayout w:type="fixed"/>
        <w:tblLook w:firstRow="1" w:lastRow="0" w:firstColumn="0" w:lastColumn="0" w:noHBand="0" w:noVBand="0" w:val="0020"/>
      </w:tblPr>
      <w:tblGrid>
        <w:gridCol w:w="484"/>
        <w:gridCol w:w="4268"/>
        <w:gridCol w:w="528"/>
        <w:gridCol w:w="1232"/>
        <w:gridCol w:w="132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T-19.1</w:t>
            </w:r>
          </w:p>
        </w:tc>
        <w:tc>
          <w:tcPr/>
          <w:p>
            <w:pPr>
              <w:pStyle w:val="Compact"/>
              <w:jc w:val="left"/>
            </w:pPr>
            <w:r>
              <w:t xml:space="preserve">Design hub-spoke DNS topology: hub VNet with Private Resolver, spoke VNets linked to hub</w:t>
            </w:r>
          </w:p>
        </w:tc>
        <w:tc>
          <w:tcPr/>
          <w:p>
            <w:pPr>
              <w:pStyle w:val="Compact"/>
              <w:jc w:val="left"/>
            </w:pPr>
            <w:r>
              <w:t xml:space="preserve">6h</w:t>
            </w:r>
          </w:p>
        </w:tc>
        <w:tc>
          <w:tcPr/>
          <w:p>
            <w:pPr>
              <w:pStyle w:val="Compact"/>
              <w:jc w:val="left"/>
            </w:pPr>
            <w:r>
              <w:t xml:space="preserve">DNSModernizationPlan.json</w:t>
            </w:r>
          </w:p>
        </w:tc>
        <w:tc>
          <w:tcPr/>
          <w:p>
            <w:pPr>
              <w:pStyle w:val="Compact"/>
              <w:jc w:val="left"/>
            </w:pPr>
            <w:r>
              <w:t xml:space="preserve">DNS Modernization Guide §6</w:t>
            </w:r>
          </w:p>
        </w:tc>
      </w:tr>
      <w:tr>
        <w:tc>
          <w:tcPr/>
          <w:p>
            <w:pPr>
              <w:pStyle w:val="Compact"/>
              <w:jc w:val="left"/>
            </w:pPr>
            <w:r>
              <w:t xml:space="preserve">T-19.2</w:t>
            </w:r>
          </w:p>
        </w:tc>
        <w:tc>
          <w:tcPr/>
          <w:p>
            <w:pPr>
              <w:pStyle w:val="Compact"/>
              <w:jc w:val="left"/>
            </w:pPr>
            <w:r>
              <w:t xml:space="preserve">Define forwarding rulesets: AD DNS zones → on-prem DCs, Azure Private Zones → resolver inbound</w:t>
            </w:r>
          </w:p>
        </w:tc>
        <w:tc>
          <w:tcPr/>
          <w:p>
            <w:pPr>
              <w:pStyle w:val="Compact"/>
              <w:jc w:val="left"/>
            </w:pPr>
            <w:r>
              <w:t xml:space="preserve">4h</w:t>
            </w:r>
          </w:p>
        </w:tc>
        <w:tc>
          <w:tcPr/>
          <w:p>
            <w:pPr>
              <w:pStyle w:val="Compact"/>
              <w:jc w:val="left"/>
            </w:pPr>
            <w:r>
              <w:t xml:space="preserve">T-19.1</w:t>
            </w:r>
          </w:p>
        </w:tc>
        <w:tc>
          <w:tcPr/>
          <w:p>
            <w:pPr>
              <w:pStyle w:val="Compact"/>
              <w:jc w:val="left"/>
            </w:pPr>
            <w:r>
              <w:t xml:space="preserve">DNS Modernization Guide §7</w:t>
            </w:r>
          </w:p>
        </w:tc>
      </w:tr>
      <w:tr>
        <w:tc>
          <w:tcPr/>
          <w:p>
            <w:pPr>
              <w:pStyle w:val="Compact"/>
              <w:jc w:val="left"/>
            </w:pPr>
            <w:r>
              <w:t xml:space="preserve">T-19.3</w:t>
            </w:r>
          </w:p>
        </w:tc>
        <w:tc>
          <w:tcPr/>
          <w:p>
            <w:pPr>
              <w:pStyle w:val="Compact"/>
              <w:jc w:val="left"/>
            </w:pPr>
            <w:r>
              <w:t xml:space="preserve">Document split-brain patterns for zones served by both on-prem and Azure DNS</w:t>
            </w:r>
          </w:p>
        </w:tc>
        <w:tc>
          <w:tcPr/>
          <w:p>
            <w:pPr>
              <w:pStyle w:val="Compact"/>
              <w:jc w:val="left"/>
            </w:pPr>
            <w:r>
              <w:t xml:space="preserve">4h</w:t>
            </w:r>
          </w:p>
        </w:tc>
        <w:tc>
          <w:tcPr/>
          <w:p>
            <w:pPr>
              <w:pStyle w:val="Compact"/>
              <w:jc w:val="left"/>
            </w:pPr>
            <w:r>
              <w:t xml:space="preserve">T-19.2</w:t>
            </w:r>
          </w:p>
        </w:tc>
        <w:tc>
          <w:tcPr/>
          <w:p>
            <w:pPr>
              <w:pStyle w:val="Compact"/>
              <w:jc w:val="left"/>
            </w:pPr>
            <w:r>
              <w:t xml:space="preserve">DNS Modernization Guide §8</w:t>
            </w:r>
          </w:p>
        </w:tc>
      </w:tr>
      <w:tr>
        <w:tc>
          <w:tcPr/>
          <w:p>
            <w:pPr>
              <w:pStyle w:val="Compact"/>
              <w:jc w:val="left"/>
            </w:pPr>
            <w:r>
              <w:t xml:space="preserve">T-19.4</w:t>
            </w:r>
          </w:p>
        </w:tc>
        <w:tc>
          <w:tcPr/>
          <w:p>
            <w:pPr>
              <w:pStyle w:val="Compact"/>
              <w:jc w:val="left"/>
            </w:pPr>
            <w:r>
              <w:t xml:space="preserve">Design monitoring and alerting for DNS resolution failures</w:t>
            </w:r>
          </w:p>
        </w:tc>
        <w:tc>
          <w:tcPr/>
          <w:p>
            <w:pPr>
              <w:pStyle w:val="Compact"/>
              <w:jc w:val="left"/>
            </w:pPr>
            <w:r>
              <w:t xml:space="preserve">2h</w:t>
            </w:r>
          </w:p>
        </w:tc>
        <w:tc>
          <w:tcPr/>
          <w:p>
            <w:pPr>
              <w:pStyle w:val="Compact"/>
              <w:jc w:val="left"/>
            </w:pPr>
            <w:r>
              <w:t xml:space="preserve">T-19.1</w:t>
            </w:r>
          </w:p>
        </w:tc>
        <w:tc>
          <w:tcPr/>
          <w:p>
            <w:pPr>
              <w:pStyle w:val="Compact"/>
              <w:jc w:val="left"/>
            </w:pPr>
            <w:r>
              <w:t xml:space="preserve">DNS Modernization Guide §10</w:t>
            </w:r>
          </w:p>
        </w:tc>
      </w:tr>
    </w:tbl>
    <w:p>
      <w:pPr>
        <w:pStyle w:val="BodyText"/>
      </w:pPr>
      <w:r>
        <w:t xml:space="preserve">M-020 — Cloud PKI Design (Week 13)</w:t>
      </w:r>
    </w:p>
    <w:tbl>
      <w:tblPr>
        <w:tblStyle w:val="Table"/>
        <w:tblW w:type="pct" w:w="4945"/>
        <w:tblLayout w:type="fixed"/>
        <w:tblLook w:firstRow="1" w:lastRow="0" w:firstColumn="0" w:lastColumn="0" w:noHBand="0" w:noVBand="0" w:val="0020"/>
      </w:tblPr>
      <w:tblGrid>
        <w:gridCol w:w="481"/>
        <w:gridCol w:w="4331"/>
        <w:gridCol w:w="525"/>
        <w:gridCol w:w="1225"/>
        <w:gridCol w:w="12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T-20.1</w:t>
            </w:r>
          </w:p>
        </w:tc>
        <w:tc>
          <w:tcPr/>
          <w:p>
            <w:pPr>
              <w:pStyle w:val="Compact"/>
              <w:jc w:val="left"/>
            </w:pPr>
            <w:r>
              <w:t xml:space="preserve">Finalize Root CA decision: Cloud PKI Root vs. BYOCA (Bring Your Own CA). Document ADR.</w:t>
            </w:r>
          </w:p>
        </w:tc>
        <w:tc>
          <w:tcPr/>
          <w:p>
            <w:pPr>
              <w:pStyle w:val="Compact"/>
              <w:jc w:val="left"/>
            </w:pPr>
            <w:r>
              <w:t xml:space="preserve">4h</w:t>
            </w:r>
          </w:p>
        </w:tc>
        <w:tc>
          <w:tcPr/>
          <w:p>
            <w:pPr>
              <w:pStyle w:val="Compact"/>
              <w:jc w:val="left"/>
            </w:pPr>
            <w:r>
              <w:t xml:space="preserve">PKIModernizationPlan.json</w:t>
            </w:r>
          </w:p>
        </w:tc>
        <w:tc>
          <w:tcPr/>
          <w:p>
            <w:pPr>
              <w:pStyle w:val="Compact"/>
              <w:jc w:val="left"/>
            </w:pPr>
            <w:r>
              <w:t xml:space="preserve">PKI Modernization Guide §5</w:t>
            </w:r>
          </w:p>
        </w:tc>
      </w:tr>
      <w:tr>
        <w:tc>
          <w:tcPr/>
          <w:p>
            <w:pPr>
              <w:pStyle w:val="Compact"/>
              <w:jc w:val="left"/>
            </w:pPr>
            <w:r>
              <w:t xml:space="preserve">T-20.2</w:t>
            </w:r>
          </w:p>
        </w:tc>
        <w:tc>
          <w:tcPr/>
          <w:p>
            <w:pPr>
              <w:pStyle w:val="Compact"/>
              <w:jc w:val="left"/>
            </w:pPr>
            <w:r>
              <w:t xml:space="preserve">Design SCEP profile configurations for each migrating certificate template</w:t>
            </w:r>
          </w:p>
        </w:tc>
        <w:tc>
          <w:tcPr/>
          <w:p>
            <w:pPr>
              <w:pStyle w:val="Compact"/>
              <w:jc w:val="left"/>
            </w:pPr>
            <w:r>
              <w:t xml:space="preserve">8h</w:t>
            </w:r>
          </w:p>
        </w:tc>
        <w:tc>
          <w:tcPr/>
          <w:p>
            <w:pPr>
              <w:pStyle w:val="Compact"/>
              <w:jc w:val="left"/>
            </w:pPr>
            <w:r>
              <w:t xml:space="preserve">T-20.1</w:t>
            </w:r>
          </w:p>
        </w:tc>
        <w:tc>
          <w:tcPr/>
          <w:p>
            <w:pPr>
              <w:pStyle w:val="Compact"/>
              <w:jc w:val="left"/>
            </w:pPr>
            <w:r>
              <w:t xml:space="preserve">PKI Modernization Guide §6</w:t>
            </w:r>
          </w:p>
        </w:tc>
      </w:tr>
      <w:tr>
        <w:tc>
          <w:tcPr/>
          <w:p>
            <w:pPr>
              <w:pStyle w:val="Compact"/>
              <w:jc w:val="left"/>
            </w:pPr>
            <w:r>
              <w:t xml:space="preserve">T-20.3</w:t>
            </w:r>
          </w:p>
        </w:tc>
        <w:tc>
          <w:tcPr/>
          <w:p>
            <w:pPr>
              <w:pStyle w:val="Compact"/>
              <w:jc w:val="left"/>
            </w:pPr>
            <w:r>
              <w:t xml:space="preserve">Design Entra CBA binding rules: certificate-to-user mapping, authentication strength integration</w:t>
            </w:r>
          </w:p>
        </w:tc>
        <w:tc>
          <w:tcPr/>
          <w:p>
            <w:pPr>
              <w:pStyle w:val="Compact"/>
              <w:jc w:val="left"/>
            </w:pPr>
            <w:r>
              <w:t xml:space="preserve">4h</w:t>
            </w:r>
          </w:p>
        </w:tc>
        <w:tc>
          <w:tcPr/>
          <w:p>
            <w:pPr>
              <w:pStyle w:val="Compact"/>
              <w:jc w:val="left"/>
            </w:pPr>
            <w:r>
              <w:t xml:space="preserve">T-20.1</w:t>
            </w:r>
          </w:p>
        </w:tc>
        <w:tc>
          <w:tcPr/>
          <w:p>
            <w:pPr>
              <w:pStyle w:val="Compact"/>
              <w:jc w:val="left"/>
            </w:pPr>
            <w:r>
              <w:t xml:space="preserve">PKI Modernization Guide §7</w:t>
            </w:r>
          </w:p>
        </w:tc>
      </w:tr>
      <w:tr>
        <w:tc>
          <w:tcPr/>
          <w:p>
            <w:pPr>
              <w:pStyle w:val="Compact"/>
              <w:jc w:val="left"/>
            </w:pPr>
            <w:r>
              <w:t xml:space="preserve">T-20.4</w:t>
            </w:r>
          </w:p>
        </w:tc>
        <w:tc>
          <w:tcPr/>
          <w:p>
            <w:pPr>
              <w:pStyle w:val="Compact"/>
              <w:jc w:val="left"/>
            </w:pPr>
            <w:r>
              <w:t xml:space="preserve">Document certificate lifecycle: issuance, renewal, revocation, and monitoring procedures</w:t>
            </w:r>
          </w:p>
        </w:tc>
        <w:tc>
          <w:tcPr/>
          <w:p>
            <w:pPr>
              <w:pStyle w:val="Compact"/>
              <w:jc w:val="left"/>
            </w:pPr>
            <w:r>
              <w:t xml:space="preserve">4h</w:t>
            </w:r>
          </w:p>
        </w:tc>
        <w:tc>
          <w:tcPr/>
          <w:p>
            <w:pPr>
              <w:pStyle w:val="Compact"/>
              <w:jc w:val="left"/>
            </w:pPr>
            <w:r>
              <w:t xml:space="preserve">T-20.2</w:t>
            </w:r>
          </w:p>
        </w:tc>
        <w:tc>
          <w:tcPr/>
          <w:p>
            <w:pPr>
              <w:pStyle w:val="Compact"/>
              <w:jc w:val="left"/>
            </w:pPr>
            <w:r>
              <w:t xml:space="preserve">PKI Modernization Guide §8</w:t>
            </w:r>
          </w:p>
        </w:tc>
      </w:tr>
      <w:tr>
        <w:tc>
          <w:tcPr/>
          <w:p>
            <w:pPr>
              <w:pStyle w:val="Compact"/>
              <w:jc w:val="left"/>
            </w:pPr>
            <w:r>
              <w:t xml:space="preserve">T-20.5</w:t>
            </w:r>
          </w:p>
        </w:tc>
        <w:tc>
          <w:tcPr/>
          <w:p>
            <w:pPr>
              <w:pStyle w:val="Compact"/>
              <w:jc w:val="left"/>
            </w:pPr>
            <w:r>
              <w:t xml:space="preserve">Commit all PKI design artifacts to Gitea</w:t>
            </w:r>
          </w:p>
        </w:tc>
        <w:tc>
          <w:tcPr/>
          <w:p>
            <w:pPr>
              <w:pStyle w:val="Compact"/>
              <w:jc w:val="left"/>
            </w:pPr>
            <w:r>
              <w:t xml:space="preserve">1h</w:t>
            </w:r>
          </w:p>
        </w:tc>
        <w:tc>
          <w:tcPr/>
          <w:p>
            <w:pPr>
              <w:pStyle w:val="Compact"/>
              <w:jc w:val="left"/>
            </w:pPr>
            <w:r>
              <w:t xml:space="preserve">T-20.4</w:t>
            </w:r>
          </w:p>
        </w:tc>
        <w:tc>
          <w:tcPr/>
          <w:p>
            <w:pPr>
              <w:pStyle w:val="Compact"/>
              <w:jc w:val="left"/>
            </w:pPr>
            <w:r>
              <w:t xml:space="preserve">—</w:t>
            </w:r>
          </w:p>
        </w:tc>
      </w:tr>
    </w:tbl>
    <w:p>
      <w:pPr>
        <w:pStyle w:val="BodyText"/>
      </w:pPr>
      <w:r>
        <w:t xml:space="preserve">6. Phase 3: Pilot (Weeks 14–21)</w:t>
      </w:r>
    </w:p>
    <w:p>
      <w:pPr>
        <w:pStyle w:val="BodyText"/>
      </w:pPr>
      <w:r>
        <w:rPr>
          <w:b/>
          <w:bCs/>
        </w:rPr>
        <w:t xml:space="preserve">Objective:</w:t>
      </w:r>
      <w:r>
        <w:t xml:space="preserve"> </w:t>
      </w:r>
      <w:r>
        <w:t xml:space="preserve">Validate the complete modernization stack — Identity, Devices, DNS, PKI, and Server Management — against a representative pilot group before scaling to the full environment.</w:t>
      </w:r>
    </w:p>
    <w:p>
      <w:pPr>
        <w:pStyle w:val="BodyText"/>
      </w:pPr>
      <w:r>
        <w:t xml:space="preserve">6.1 Pilot Scope Definition</w:t>
      </w:r>
    </w:p>
    <w:tbl>
      <w:tblPr>
        <w:tblStyle w:val="Table"/>
        <w:tblW w:type="pct" w:w="4919"/>
        <w:tblLayout w:type="fixed"/>
        <w:tblLook w:firstRow="1" w:lastRow="0" w:firstColumn="0" w:lastColumn="0" w:noHBand="0" w:noVBand="0" w:val="0020"/>
      </w:tblPr>
      <w:tblGrid>
        <w:gridCol w:w="830"/>
        <w:gridCol w:w="2490"/>
        <w:gridCol w:w="4470"/>
      </w:tblGrid>
      <w:tr>
        <w:trPr>
          <w:tblHeader w:val="on"/>
        </w:trPr>
        <w:tc>
          <w:tcPr/>
          <w:p>
            <w:pPr>
              <w:pStyle w:val="Compact"/>
              <w:jc w:val="left"/>
            </w:pPr>
            <w:r>
              <w:rPr>
                <w:b/>
                <w:bCs/>
              </w:rPr>
              <w:t xml:space="preserve">Pillar</w:t>
            </w:r>
          </w:p>
        </w:tc>
        <w:tc>
          <w:tcPr/>
          <w:p>
            <w:pPr>
              <w:pStyle w:val="Compact"/>
              <w:jc w:val="left"/>
            </w:pPr>
            <w:r>
              <w:rPr>
                <w:b/>
                <w:bCs/>
              </w:rPr>
              <w:t xml:space="preserve">Pilot Scope</w:t>
            </w:r>
          </w:p>
        </w:tc>
        <w:tc>
          <w:tcPr/>
          <w:p>
            <w:pPr>
              <w:pStyle w:val="Compact"/>
              <w:jc w:val="left"/>
            </w:pPr>
            <w:r>
              <w:rPr>
                <w:b/>
                <w:bCs/>
              </w:rPr>
              <w:t xml:space="preserve">Selection Criteria</w:t>
            </w:r>
          </w:p>
        </w:tc>
      </w:tr>
      <w:tr>
        <w:tc>
          <w:tcPr/>
          <w:p>
            <w:pPr>
              <w:pStyle w:val="Compact"/>
              <w:jc w:val="left"/>
            </w:pPr>
            <w:r>
              <w:t xml:space="preserve">Devices</w:t>
            </w:r>
          </w:p>
        </w:tc>
        <w:tc>
          <w:tcPr/>
          <w:p>
            <w:pPr>
              <w:pStyle w:val="Compact"/>
              <w:jc w:val="left"/>
            </w:pPr>
            <w:r>
              <w:t xml:space="preserve">50–100 devices across 2–3 sites</w:t>
            </w:r>
          </w:p>
        </w:tc>
        <w:tc>
          <w:tcPr/>
          <w:p>
            <w:pPr>
              <w:pStyle w:val="Compact"/>
              <w:jc w:val="left"/>
            </w:pPr>
            <w:r>
              <w:t xml:space="preserve">Mix of Windows 10/11, laptop/desktop, representative extension attribute values</w:t>
            </w:r>
          </w:p>
        </w:tc>
      </w:tr>
      <w:tr>
        <w:tc>
          <w:tcPr/>
          <w:p>
            <w:pPr>
              <w:pStyle w:val="Compact"/>
              <w:jc w:val="left"/>
            </w:pPr>
            <w:r>
              <w:t xml:space="preserve">Identity</w:t>
            </w:r>
          </w:p>
        </w:tc>
        <w:tc>
          <w:tcPr/>
          <w:p>
            <w:pPr>
              <w:pStyle w:val="Compact"/>
              <w:jc w:val="left"/>
            </w:pPr>
            <w:r>
              <w:t xml:space="preserve">20–50 users across 3–4 departments</w:t>
            </w:r>
          </w:p>
        </w:tc>
        <w:tc>
          <w:tcPr/>
          <w:p>
            <w:pPr>
              <w:pStyle w:val="Compact"/>
              <w:jc w:val="left"/>
            </w:pPr>
            <w:r>
              <w:t xml:space="preserve">Mix of standard users, power users, and 2–3 pilot admins</w:t>
            </w:r>
          </w:p>
        </w:tc>
      </w:tr>
      <w:tr>
        <w:tc>
          <w:tcPr/>
          <w:p>
            <w:pPr>
              <w:pStyle w:val="Compact"/>
              <w:jc w:val="left"/>
            </w:pPr>
            <w:r>
              <w:t xml:space="preserve">Servers</w:t>
            </w:r>
          </w:p>
        </w:tc>
        <w:tc>
          <w:tcPr/>
          <w:p>
            <w:pPr>
              <w:pStyle w:val="Compact"/>
              <w:jc w:val="left"/>
            </w:pPr>
            <w:r>
              <w:t xml:space="preserve">2–3 servers for Arc enrollment</w:t>
            </w:r>
          </w:p>
        </w:tc>
        <w:tc>
          <w:tcPr/>
          <w:p>
            <w:pPr>
              <w:pStyle w:val="Compact"/>
              <w:jc w:val="left"/>
            </w:pPr>
            <w:r>
              <w:t xml:space="preserve">Non-critical tier, representative OS versions</w:t>
            </w:r>
          </w:p>
        </w:tc>
      </w:tr>
      <w:tr>
        <w:tc>
          <w:tcPr/>
          <w:p>
            <w:pPr>
              <w:pStyle w:val="Compact"/>
              <w:jc w:val="left"/>
            </w:pPr>
            <w:r>
              <w:t xml:space="preserve">PKI</w:t>
            </w:r>
          </w:p>
        </w:tc>
        <w:tc>
          <w:tcPr/>
          <w:p>
            <w:pPr>
              <w:pStyle w:val="Compact"/>
              <w:jc w:val="left"/>
            </w:pPr>
            <w:r>
              <w:t xml:space="preserve">1–2 certificate use cases</w:t>
            </w:r>
          </w:p>
        </w:tc>
        <w:tc>
          <w:tcPr/>
          <w:p>
            <w:pPr>
              <w:pStyle w:val="Compact"/>
              <w:jc w:val="left"/>
            </w:pPr>
            <w:r>
              <w:t xml:space="preserve">Wi-Fi authentication certificate and/or VPN certificate</w:t>
            </w:r>
          </w:p>
        </w:tc>
      </w:tr>
      <w:tr>
        <w:tc>
          <w:tcPr/>
          <w:p>
            <w:pPr>
              <w:pStyle w:val="Compact"/>
              <w:jc w:val="left"/>
            </w:pPr>
            <w:r>
              <w:t xml:space="preserve">DNS</w:t>
            </w:r>
          </w:p>
        </w:tc>
        <w:tc>
          <w:tcPr/>
          <w:p>
            <w:pPr>
              <w:pStyle w:val="Compact"/>
              <w:jc w:val="left"/>
            </w:pPr>
            <w:r>
              <w:t xml:space="preserve">Pilot sites only</w:t>
            </w:r>
          </w:p>
        </w:tc>
        <w:tc>
          <w:tcPr/>
          <w:p>
            <w:pPr>
              <w:pStyle w:val="Compact"/>
              <w:jc w:val="left"/>
            </w:pPr>
            <w:r>
              <w:t xml:space="preserve">Sites with both on-prem and Azure workloads</w:t>
            </w:r>
          </w:p>
        </w:tc>
      </w:tr>
    </w:tbl>
    <w:p>
      <w:pPr>
        <w:pStyle w:val="BodyText"/>
      </w:pPr>
      <w:r>
        <w:t xml:space="preserve">6.2 Phase 3 Milestones</w:t>
      </w:r>
    </w:p>
    <w:tbl>
      <w:tblPr>
        <w:tblStyle w:val="Table"/>
        <w:tblW w:type="pct" w:w="4938"/>
        <w:tblLayout w:type="fixed"/>
        <w:tblLook w:firstRow="1" w:lastRow="0" w:firstColumn="0" w:lastColumn="0" w:noHBand="0" w:noVBand="0" w:val="0020"/>
      </w:tblPr>
      <w:tblGrid>
        <w:gridCol w:w="440"/>
        <w:gridCol w:w="2248"/>
        <w:gridCol w:w="537"/>
        <w:gridCol w:w="3813"/>
        <w:gridCol w:w="78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W14</w:t>
            </w:r>
          </w:p>
        </w:tc>
        <w:tc>
          <w:tcPr/>
          <w:p>
            <w:pPr>
              <w:pStyle w:val="Compact"/>
              <w:jc w:val="left"/>
            </w:pPr>
            <w:r>
              <w:t xml:space="preserve">Sync operational with PHS; staging mode validated; pilot users synced</w:t>
            </w:r>
          </w:p>
        </w:tc>
        <w:tc>
          <w:tcPr/>
          <w:p>
            <w:pPr>
              <w:pStyle w:val="Compact"/>
              <w:jc w:val="left"/>
            </w:pPr>
            <w:r>
              <w:t xml:space="preserve">Identity Lead</w:t>
            </w:r>
          </w:p>
        </w:tc>
      </w:tr>
      <w:tr>
        <w:tc>
          <w:tcPr/>
          <w:p>
            <w:pPr>
              <w:pStyle w:val="Compact"/>
              <w:jc w:val="left"/>
            </w:pPr>
            <w:r>
              <w:t xml:space="preserve">M-023</w:t>
            </w:r>
          </w:p>
        </w:tc>
        <w:tc>
          <w:tcPr/>
          <w:p>
            <w:pPr>
              <w:pStyle w:val="Compact"/>
              <w:jc w:val="left"/>
            </w:pPr>
            <w:r>
              <w:t xml:space="preserve">Pilot devices Entra-joined or hybrid-joined</w:t>
            </w:r>
          </w:p>
        </w:tc>
        <w:tc>
          <w:tcPr/>
          <w:p>
            <w:pPr>
              <w:pStyle w:val="Compact"/>
              <w:jc w:val="left"/>
            </w:pPr>
            <w:r>
              <w:t xml:space="preserve">W15</w:t>
            </w:r>
          </w:p>
        </w:tc>
        <w:tc>
          <w:tcPr/>
          <w:p>
            <w:pPr>
              <w:pStyle w:val="Compact"/>
              <w:jc w:val="left"/>
            </w:pPr>
            <w:r>
              <w:t xml:space="preserve">50+ devices registered with extension attributes populated in Entra ID</w:t>
            </w:r>
          </w:p>
        </w:tc>
        <w:tc>
          <w:tcPr/>
          <w:p>
            <w:pPr>
              <w:pStyle w:val="Compact"/>
              <w:jc w:val="left"/>
            </w:pPr>
            <w:r>
              <w:t xml:space="preserve">Endpoint Lead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W16</w:t>
            </w:r>
          </w:p>
        </w:tc>
        <w:tc>
          <w:tcPr/>
          <w:p>
            <w:pPr>
              <w:pStyle w:val="Compact"/>
              <w:jc w:val="left"/>
            </w:pPr>
            <w:r>
              <w:t xml:space="preserve">GPO-equivalent policies deployed via attribute-based dynamic groups</w:t>
            </w:r>
          </w:p>
        </w:tc>
        <w:tc>
          <w:tcPr/>
          <w:p>
            <w:pPr>
              <w:pStyle w:val="Compact"/>
              <w:jc w:val="left"/>
            </w:pPr>
            <w:r>
              <w:t xml:space="preserve">Endpoint Lead</w:t>
            </w:r>
          </w:p>
        </w:tc>
      </w:tr>
      <w:tr>
        <w:tc>
          <w:tcPr/>
          <w:p>
            <w:pPr>
              <w:pStyle w:val="Compact"/>
              <w:jc w:val="left"/>
            </w:pPr>
            <w:r>
              <w:t xml:space="preserve">M-025</w:t>
            </w:r>
          </w:p>
        </w:tc>
        <w:tc>
          <w:tcPr/>
          <w:p>
            <w:pPr>
              <w:pStyle w:val="Compact"/>
              <w:jc w:val="left"/>
            </w:pPr>
            <w:r>
              <w:t xml:space="preserve">Conditional Access enforced for pilot</w:t>
            </w:r>
          </w:p>
        </w:tc>
        <w:tc>
          <w:tcPr/>
          <w:p>
            <w:pPr>
              <w:pStyle w:val="Compact"/>
              <w:jc w:val="left"/>
            </w:pPr>
            <w:r>
              <w:t xml:space="preserve">W17</w:t>
            </w:r>
          </w:p>
        </w:tc>
        <w:tc>
          <w:tcPr/>
          <w:p>
            <w:pPr>
              <w:pStyle w:val="Compact"/>
              <w:jc w:val="left"/>
            </w:pPr>
            <w:r>
              <w:t xml:space="preserve">MFA, device compliance, and authentication strength policies active</w:t>
            </w:r>
          </w:p>
        </w:tc>
        <w:tc>
          <w:tcPr/>
          <w:p>
            <w:pPr>
              <w:pStyle w:val="Compact"/>
              <w:jc w:val="left"/>
            </w:pPr>
            <w:r>
              <w:t xml:space="preserve">Security Lead</w:t>
            </w:r>
          </w:p>
        </w:tc>
      </w:tr>
      <w:tr>
        <w:tc>
          <w:tcPr/>
          <w:p>
            <w:pPr>
              <w:pStyle w:val="Compact"/>
              <w:jc w:val="left"/>
            </w:pPr>
            <w:r>
              <w:t xml:space="preserve">M-026</w:t>
            </w:r>
          </w:p>
        </w:tc>
        <w:tc>
          <w:tcPr/>
          <w:p>
            <w:pPr>
              <w:pStyle w:val="Compact"/>
              <w:jc w:val="left"/>
            </w:pPr>
            <w:r>
              <w:t xml:space="preserve">PIM configured for privileged roles</w:t>
            </w:r>
          </w:p>
        </w:tc>
        <w:tc>
          <w:tcPr/>
          <w:p>
            <w:pPr>
              <w:pStyle w:val="Compact"/>
              <w:jc w:val="left"/>
            </w:pPr>
            <w:r>
              <w:t xml:space="preserve">W18</w:t>
            </w:r>
          </w:p>
        </w:tc>
        <w:tc>
          <w:tcPr/>
          <w:p>
            <w:pPr>
              <w:pStyle w:val="Compact"/>
              <w:jc w:val="left"/>
            </w:pPr>
            <w:r>
              <w:t xml:space="preserve">All pilot admin accounts PIM-eligible; zero permanent Global Admins</w:t>
            </w:r>
          </w:p>
        </w:tc>
        <w:tc>
          <w:tcPr/>
          <w:p>
            <w:pPr>
              <w:pStyle w:val="Compact"/>
              <w:jc w:val="left"/>
            </w:pPr>
            <w:r>
              <w:t xml:space="preserve">Identity Lead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W19</w:t>
            </w:r>
          </w:p>
        </w:tc>
        <w:tc>
          <w:tcPr/>
          <w:p>
            <w:pPr>
              <w:pStyle w:val="Compact"/>
              <w:jc w:val="left"/>
            </w:pPr>
            <w:r>
              <w:t xml:space="preserve">On-prem → Azure and Azure → on-prem resolution confirmed at pilot sites</w:t>
            </w:r>
          </w:p>
        </w:tc>
        <w:tc>
          <w:tcPr/>
          <w:p>
            <w:pPr>
              <w:pStyle w:val="Compact"/>
              <w:jc w:val="left"/>
            </w:pPr>
            <w:r>
              <w:t xml:space="preserve">DNS Lead</w:t>
            </w:r>
          </w:p>
        </w:tc>
      </w:tr>
      <w:tr>
        <w:tc>
          <w:tcPr/>
          <w:p>
            <w:pPr>
              <w:pStyle w:val="Compact"/>
              <w:jc w:val="left"/>
            </w:pPr>
            <w:r>
              <w:t xml:space="preserve">M-028</w:t>
            </w:r>
          </w:p>
        </w:tc>
        <w:tc>
          <w:tcPr/>
          <w:p>
            <w:pPr>
              <w:pStyle w:val="Compact"/>
              <w:jc w:val="left"/>
            </w:pPr>
            <w:r>
              <w:t xml:space="preserve">Cloud PKI certificates issued to pilot</w:t>
            </w:r>
          </w:p>
        </w:tc>
        <w:tc>
          <w:tcPr/>
          <w:p>
            <w:pPr>
              <w:pStyle w:val="Compact"/>
              <w:jc w:val="left"/>
            </w:pPr>
            <w:r>
              <w:t xml:space="preserve">W20</w:t>
            </w:r>
          </w:p>
        </w:tc>
        <w:tc>
          <w:tcPr/>
          <w:p>
            <w:pPr>
              <w:pStyle w:val="Compact"/>
              <w:jc w:val="left"/>
            </w:pPr>
            <w:r>
              <w:t xml:space="preserve">SCEP profiles deployed; Wi-Fi/VPN auth verified with Cloud PKI certificates</w:t>
            </w:r>
          </w:p>
        </w:tc>
        <w:tc>
          <w:tcPr/>
          <w:p>
            <w:pPr>
              <w:pStyle w:val="Compact"/>
              <w:jc w:val="left"/>
            </w:pPr>
            <w:r>
              <w:t xml:space="preserve">PKI Lead</w:t>
            </w:r>
          </w:p>
        </w:tc>
      </w:tr>
      <w:tr>
        <w:tc>
          <w:tcPr/>
          <w:p>
            <w:pPr>
              <w:pStyle w:val="Compact"/>
              <w:jc w:val="left"/>
            </w:pPr>
            <w:r>
              <w:t xml:space="preserve">M-029</w:t>
            </w:r>
          </w:p>
        </w:tc>
        <w:tc>
          <w:tcPr/>
          <w:p>
            <w:pPr>
              <w:pStyle w:val="Compact"/>
              <w:jc w:val="left"/>
            </w:pPr>
            <w:r>
              <w:t xml:space="preserve">Entra CBA validated for pilot users</w:t>
            </w:r>
          </w:p>
        </w:tc>
        <w:tc>
          <w:tcPr/>
          <w:p>
            <w:pPr>
              <w:pStyle w:val="Compact"/>
              <w:jc w:val="left"/>
            </w:pPr>
            <w:r>
              <w:t xml:space="preserve">W20</w:t>
            </w:r>
          </w:p>
        </w:tc>
        <w:tc>
          <w:tcPr/>
          <w:p>
            <w:pPr>
              <w:pStyle w:val="Compact"/>
              <w:jc w:val="left"/>
            </w:pPr>
            <w:r>
              <w:t xml:space="preserve">Certificate-based SSO working with staged rollout for pilot users</w:t>
            </w:r>
          </w:p>
        </w:tc>
        <w:tc>
          <w:tcPr/>
          <w:p>
            <w:pPr>
              <w:pStyle w:val="Compact"/>
              <w:jc w:val="left"/>
            </w:pPr>
            <w:r>
              <w:t xml:space="preserve">PKI Lead</w:t>
            </w:r>
          </w:p>
        </w:tc>
      </w:tr>
      <w:tr>
        <w:tc>
          <w:tcPr/>
          <w:p>
            <w:pPr>
              <w:pStyle w:val="Compact"/>
              <w:jc w:val="left"/>
            </w:pPr>
            <w:r>
              <w:t xml:space="preserve">M-030</w:t>
            </w:r>
          </w:p>
        </w:tc>
        <w:tc>
          <w:tcPr/>
          <w:p>
            <w:pPr>
              <w:pStyle w:val="Compact"/>
              <w:jc w:val="left"/>
            </w:pPr>
            <w:r>
              <w:t xml:space="preserve">Arc pilot servers enrolled and compliant</w:t>
            </w:r>
          </w:p>
        </w:tc>
        <w:tc>
          <w:tcPr/>
          <w:p>
            <w:pPr>
              <w:pStyle w:val="Compact"/>
              <w:jc w:val="left"/>
            </w:pPr>
            <w:r>
              <w:t xml:space="preserve">W21</w:t>
            </w:r>
          </w:p>
        </w:tc>
        <w:tc>
          <w:tcPr/>
          <w:p>
            <w:pPr>
              <w:pStyle w:val="Compact"/>
              <w:jc w:val="left"/>
            </w:pPr>
            <w:r>
              <w:t xml:space="preserve">Guest Configuration policies applied; Azure Policy compliance confirmed</w:t>
            </w:r>
          </w:p>
        </w:tc>
        <w:tc>
          <w:tcPr/>
          <w:p>
            <w:pPr>
              <w:pStyle w:val="Compact"/>
              <w:jc w:val="left"/>
            </w:pPr>
            <w:r>
              <w:t xml:space="preserve">Infra Lead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W21</w:t>
            </w:r>
          </w:p>
        </w:tc>
        <w:tc>
          <w:tcPr/>
          <w:p>
            <w:pPr>
              <w:pStyle w:val="Compact"/>
              <w:jc w:val="left"/>
            </w:pPr>
            <w:r>
              <w:t xml:space="preserve">&gt;95% policy compliance, zero auth failures, all tests passed</w:t>
            </w:r>
          </w:p>
        </w:tc>
        <w:tc>
          <w:tcPr/>
          <w:p>
            <w:pPr>
              <w:pStyle w:val="Compact"/>
              <w:jc w:val="left"/>
            </w:pPr>
            <w:r>
              <w:t xml:space="preserve">PM</w:t>
            </w:r>
          </w:p>
        </w:tc>
      </w:tr>
    </w:tbl>
    <w:p>
      <w:pPr>
        <w:pStyle w:val="BodyText"/>
      </w:pPr>
      <w:r>
        <w:t xml:space="preserve">6.3 Pilot Success Criteria</w:t>
      </w:r>
    </w:p>
    <w:tbl>
      <w:tblPr>
        <w:tblStyle w:val="Table"/>
        <w:tblW w:type="pct" w:w="4922"/>
        <w:tblLayout w:type="fixed"/>
        <w:tblLook w:firstRow="1" w:lastRow="0" w:firstColumn="0" w:lastColumn="0" w:noHBand="0" w:noVBand="0" w:val="0020"/>
      </w:tblPr>
      <w:tblGrid>
        <w:gridCol w:w="2041"/>
        <w:gridCol w:w="1361"/>
        <w:gridCol w:w="2784"/>
        <w:gridCol w:w="1608"/>
      </w:tblGrid>
      <w:tr>
        <w:trPr>
          <w:tblHeader w:val="on"/>
        </w:trPr>
        <w:tc>
          <w:tcPr/>
          <w:p>
            <w:pPr>
              <w:pStyle w:val="Compact"/>
              <w:jc w:val="left"/>
            </w:pPr>
            <w:r>
              <w:rPr>
                <w:b/>
                <w:bCs/>
              </w:rPr>
              <w:t xml:space="preserve">Criteria</w:t>
            </w:r>
          </w:p>
        </w:tc>
        <w:tc>
          <w:tcPr/>
          <w:p>
            <w:pPr>
              <w:pStyle w:val="Compact"/>
              <w:jc w:val="left"/>
            </w:pPr>
            <w:r>
              <w:rPr>
                <w:b/>
                <w:bCs/>
              </w:rPr>
              <w:t xml:space="preserve">Target</w:t>
            </w:r>
          </w:p>
        </w:tc>
        <w:tc>
          <w:tcPr/>
          <w:p>
            <w:pPr>
              <w:pStyle w:val="Compact"/>
              <w:jc w:val="left"/>
            </w:pPr>
            <w:r>
              <w:rPr>
                <w:b/>
                <w:bCs/>
              </w:rPr>
              <w:t xml:space="preserve">Measurement</w:t>
            </w:r>
          </w:p>
        </w:tc>
        <w:tc>
          <w:tcPr/>
          <w:p>
            <w:pPr>
              <w:pStyle w:val="Compact"/>
              <w:jc w:val="left"/>
            </w:pPr>
            <w:r>
              <w:rPr>
                <w:b/>
                <w:bCs/>
              </w:rPr>
              <w:t xml:space="preserve">Pass/Fail Threshold</w:t>
            </w:r>
          </w:p>
        </w:tc>
      </w:tr>
      <w:tr>
        <w:tc>
          <w:tcPr/>
          <w:p>
            <w:pPr>
              <w:pStyle w:val="Compact"/>
              <w:jc w:val="left"/>
            </w:pPr>
            <w:r>
              <w:t xml:space="preserve">Device enrollment success rate</w:t>
            </w:r>
          </w:p>
        </w:tc>
        <w:tc>
          <w:tcPr/>
          <w:p>
            <w:pPr>
              <w:pStyle w:val="Compact"/>
              <w:jc w:val="left"/>
            </w:pPr>
            <w:r>
              <w:t xml:space="preserve">&gt;98%</w:t>
            </w:r>
          </w:p>
        </w:tc>
        <w:tc>
          <w:tcPr/>
          <w:p>
            <w:pPr>
              <w:pStyle w:val="Compact"/>
              <w:jc w:val="left"/>
            </w:pPr>
            <w:r>
              <w:t xml:space="preserve">Intune enrollment report</w:t>
            </w:r>
          </w:p>
        </w:tc>
        <w:tc>
          <w:tcPr/>
          <w:p>
            <w:pPr>
              <w:pStyle w:val="Compact"/>
              <w:jc w:val="left"/>
            </w:pPr>
            <w:r>
              <w:t xml:space="preserve">&lt;95% =</w:t>
            </w:r>
            <w:r>
              <w:t xml:space="preserve"> </w:t>
            </w:r>
            <w:r>
              <w:rPr>
                <w:b/>
                <w:bCs/>
              </w:rPr>
              <w:t xml:space="preserve">FAIL</w:t>
            </w:r>
          </w:p>
        </w:tc>
      </w:tr>
      <w:tr>
        <w:tc>
          <w:tcPr/>
          <w:p>
            <w:pPr>
              <w:pStyle w:val="Compact"/>
              <w:jc w:val="left"/>
            </w:pPr>
            <w:r>
              <w:t xml:space="preserve">Policy compliance rate</w:t>
            </w:r>
          </w:p>
        </w:tc>
        <w:tc>
          <w:tcPr/>
          <w:p>
            <w:pPr>
              <w:pStyle w:val="Compact"/>
              <w:jc w:val="left"/>
            </w:pPr>
            <w:r>
              <w:t xml:space="preserve">&gt;95%</w:t>
            </w:r>
          </w:p>
        </w:tc>
        <w:tc>
          <w:tcPr/>
          <w:p>
            <w:pPr>
              <w:pStyle w:val="Compact"/>
              <w:jc w:val="left"/>
            </w:pPr>
            <w:r>
              <w:t xml:space="preserve">Intune compliance dashboard</w:t>
            </w:r>
          </w:p>
        </w:tc>
        <w:tc>
          <w:tcPr/>
          <w:p>
            <w:pPr>
              <w:pStyle w:val="Compact"/>
              <w:jc w:val="left"/>
            </w:pPr>
            <w:r>
              <w:t xml:space="preserve">&lt;90% =</w:t>
            </w:r>
            <w:r>
              <w:t xml:space="preserve"> </w:t>
            </w:r>
            <w:r>
              <w:rPr>
                <w:b/>
                <w:bCs/>
              </w:rPr>
              <w:t xml:space="preserve">FAIL</w:t>
            </w:r>
          </w:p>
        </w:tc>
      </w:tr>
      <w:tr>
        <w:tc>
          <w:tcPr/>
          <w:p>
            <w:pPr>
              <w:pStyle w:val="Compact"/>
              <w:jc w:val="left"/>
            </w:pPr>
            <w:r>
              <w:t xml:space="preserve">Authentication success rate</w:t>
            </w:r>
          </w:p>
        </w:tc>
        <w:tc>
          <w:tcPr/>
          <w:p>
            <w:pPr>
              <w:pStyle w:val="Compact"/>
              <w:jc w:val="left"/>
            </w:pPr>
            <w:r>
              <w:t xml:space="preserve">&gt;99%</w:t>
            </w:r>
          </w:p>
        </w:tc>
        <w:tc>
          <w:tcPr/>
          <w:p>
            <w:pPr>
              <w:pStyle w:val="Compact"/>
              <w:jc w:val="left"/>
            </w:pPr>
            <w:r>
              <w:t xml:space="preserve">Entra sign-in logs</w:t>
            </w:r>
          </w:p>
        </w:tc>
        <w:tc>
          <w:tcPr/>
          <w:p>
            <w:pPr>
              <w:pStyle w:val="Compact"/>
              <w:jc w:val="left"/>
            </w:pPr>
            <w:r>
              <w:t xml:space="preserve">&lt;97% =</w:t>
            </w:r>
            <w:r>
              <w:t xml:space="preserve"> </w:t>
            </w:r>
            <w:r>
              <w:rPr>
                <w:b/>
                <w:bCs/>
              </w:rPr>
              <w:t xml:space="preserve">FAIL</w:t>
            </w:r>
          </w:p>
        </w:tc>
      </w:tr>
      <w:tr>
        <w:tc>
          <w:tcPr/>
          <w:p>
            <w:pPr>
              <w:pStyle w:val="Compact"/>
              <w:jc w:val="left"/>
            </w:pPr>
            <w:r>
              <w:t xml:space="preserve">Certificate issuance success</w:t>
            </w:r>
          </w:p>
        </w:tc>
        <w:tc>
          <w:tcPr/>
          <w:p>
            <w:pPr>
              <w:pStyle w:val="Compact"/>
              <w:jc w:val="left"/>
            </w:pPr>
            <w:r>
              <w:t xml:space="preserve">&gt;95%</w:t>
            </w:r>
          </w:p>
        </w:tc>
        <w:tc>
          <w:tcPr/>
          <w:p>
            <w:pPr>
              <w:pStyle w:val="Compact"/>
              <w:jc w:val="left"/>
            </w:pPr>
            <w:r>
              <w:t xml:space="preserve">Intune certificate report</w:t>
            </w:r>
          </w:p>
        </w:tc>
        <w:tc>
          <w:tcPr/>
          <w:p>
            <w:pPr>
              <w:pStyle w:val="Compact"/>
              <w:jc w:val="left"/>
            </w:pPr>
            <w:r>
              <w:t xml:space="preserve">&lt;90% =</w:t>
            </w:r>
            <w:r>
              <w:t xml:space="preserve"> </w:t>
            </w:r>
            <w:r>
              <w:rPr>
                <w:b/>
                <w:bCs/>
              </w:rPr>
              <w:t xml:space="preserve">FAIL</w:t>
            </w:r>
          </w:p>
        </w:tc>
      </w:tr>
      <w:tr>
        <w:tc>
          <w:tcPr/>
          <w:p>
            <w:pPr>
              <w:pStyle w:val="Compact"/>
              <w:jc w:val="left"/>
            </w:pPr>
            <w:r>
              <w:t xml:space="preserve">DNS resolution success</w:t>
            </w:r>
          </w:p>
        </w:tc>
        <w:tc>
          <w:tcPr/>
          <w:p>
            <w:pPr>
              <w:pStyle w:val="Compact"/>
              <w:jc w:val="left"/>
            </w:pPr>
            <w:r>
              <w:t xml:space="preserve">&gt;99.5%</w:t>
            </w:r>
          </w:p>
        </w:tc>
        <w:tc>
          <w:tcPr/>
          <w:p>
            <w:pPr>
              <w:pStyle w:val="Compact"/>
              <w:jc w:val="left"/>
            </w:pPr>
            <w:r>
              <w:t xml:space="preserve">Monitoring queries (synthetic and organic)</w:t>
            </w:r>
          </w:p>
        </w:tc>
        <w:tc>
          <w:tcPr/>
          <w:p>
            <w:pPr>
              <w:pStyle w:val="Compact"/>
              <w:jc w:val="left"/>
            </w:pPr>
            <w:r>
              <w:t xml:space="preserve">&lt;99% =</w:t>
            </w:r>
            <w:r>
              <w:t xml:space="preserve"> </w:t>
            </w:r>
            <w:r>
              <w:rPr>
                <w:b/>
                <w:bCs/>
              </w:rPr>
              <w:t xml:space="preserve">FAIL</w:t>
            </w:r>
          </w:p>
        </w:tc>
      </w:tr>
      <w:tr>
        <w:tc>
          <w:tcPr/>
          <w:p>
            <w:pPr>
              <w:pStyle w:val="Compact"/>
              <w:jc w:val="left"/>
            </w:pPr>
            <w:r>
              <w:t xml:space="preserve">User satisfaction (survey)</w:t>
            </w:r>
          </w:p>
        </w:tc>
        <w:tc>
          <w:tcPr/>
          <w:p>
            <w:pPr>
              <w:pStyle w:val="Compact"/>
              <w:jc w:val="left"/>
            </w:pPr>
            <w:r>
              <w:t xml:space="preserve">&gt;80% positive</w:t>
            </w:r>
          </w:p>
        </w:tc>
        <w:tc>
          <w:tcPr/>
          <w:p>
            <w:pPr>
              <w:pStyle w:val="Compact"/>
              <w:jc w:val="left"/>
            </w:pPr>
            <w:r>
              <w:t xml:space="preserve">Pilot user survey</w:t>
            </w:r>
          </w:p>
        </w:tc>
        <w:tc>
          <w:tcPr/>
          <w:p>
            <w:pPr>
              <w:pStyle w:val="Compact"/>
              <w:jc w:val="left"/>
            </w:pPr>
            <w:r>
              <w:t xml:space="preserve">&lt;70% =</w:t>
            </w:r>
            <w:r>
              <w:t xml:space="preserve"> </w:t>
            </w:r>
            <w:r>
              <w:rPr>
                <w:b/>
                <w:bCs/>
              </w:rPr>
              <w:t xml:space="preserve">FAIL</w:t>
            </w:r>
          </w:p>
        </w:tc>
      </w:tr>
      <w:tr>
        <w:tc>
          <w:tcPr/>
          <w:p>
            <w:pPr>
              <w:pStyle w:val="Compact"/>
              <w:jc w:val="left"/>
            </w:pPr>
            <w:r>
              <w:t xml:space="preserve">Help desk ticket volume</w:t>
            </w:r>
          </w:p>
        </w:tc>
        <w:tc>
          <w:tcPr/>
          <w:p>
            <w:pPr>
              <w:pStyle w:val="Compact"/>
              <w:jc w:val="left"/>
            </w:pPr>
            <w:r>
              <w:t xml:space="preserve">&lt;5% of pilot users</w:t>
            </w:r>
          </w:p>
        </w:tc>
        <w:tc>
          <w:tcPr/>
          <w:p>
            <w:pPr>
              <w:pStyle w:val="Compact"/>
              <w:jc w:val="left"/>
            </w:pPr>
            <w:r>
              <w:t xml:space="preserve">Ticket tracking system</w:t>
            </w:r>
          </w:p>
        </w:tc>
        <w:tc>
          <w:tcPr/>
          <w:p>
            <w:pPr>
              <w:pStyle w:val="Compact"/>
              <w:jc w:val="left"/>
            </w:pPr>
            <w:r>
              <w:t xml:space="preserve">&gt;10% =</w:t>
            </w:r>
            <w:r>
              <w:t xml:space="preserve"> </w:t>
            </w:r>
            <w:r>
              <w:rPr>
                <w:b/>
                <w:bCs/>
              </w:rPr>
              <w:t xml:space="preserve">FAIL</w:t>
            </w:r>
          </w:p>
        </w:tc>
      </w:tr>
      <w:tr>
        <w:tc>
          <w:tcPr/>
          <w:p>
            <w:pPr>
              <w:pStyle w:val="Compact"/>
              <w:jc w:val="left"/>
            </w:pPr>
            <w:r>
              <w:t xml:space="preserve">Mean time to compliance</w:t>
            </w:r>
          </w:p>
        </w:tc>
        <w:tc>
          <w:tcPr/>
          <w:p>
            <w:pPr>
              <w:pStyle w:val="Compact"/>
              <w:jc w:val="left"/>
            </w:pPr>
            <w:r>
              <w:t xml:space="preserve">&lt;4 hours</w:t>
            </w:r>
          </w:p>
        </w:tc>
        <w:tc>
          <w:tcPr/>
          <w:p>
            <w:pPr>
              <w:pStyle w:val="Compact"/>
              <w:jc w:val="left"/>
            </w:pPr>
            <w:r>
              <w:t xml:space="preserve">Intune reporting</w:t>
            </w:r>
          </w:p>
        </w:tc>
        <w:tc>
          <w:tcPr/>
          <w:p>
            <w:pPr>
              <w:pStyle w:val="Compact"/>
              <w:jc w:val="left"/>
            </w:pPr>
            <w:r>
              <w:t xml:space="preserve">&gt;24 hours =</w:t>
            </w:r>
            <w:r>
              <w:t xml:space="preserve"> </w:t>
            </w:r>
            <w:r>
              <w:rPr>
                <w:b/>
                <w:bCs/>
              </w:rPr>
              <w:t xml:space="preserve">FAIL</w:t>
            </w:r>
          </w:p>
        </w:tc>
      </w:tr>
    </w:tbl>
    <w:p>
      <w:pPr>
        <w:pStyle w:val="BodyText"/>
      </w:pPr>
      <w:r>
        <w:t xml:space="preserve">6.4 Rollback Procedures</w:t>
      </w:r>
    </w:p>
    <w:tbl>
      <w:tblPr>
        <w:tblStyle w:val="Table"/>
        <w:tblW w:type="pct" w:w="4960"/>
        <w:tblLayout w:type="fixed"/>
        <w:tblLook w:firstRow="1" w:lastRow="0" w:firstColumn="0" w:lastColumn="0" w:noHBand="0" w:noVBand="0" w:val="0020"/>
      </w:tblPr>
      <w:tblGrid>
        <w:gridCol w:w="978"/>
        <w:gridCol w:w="2114"/>
        <w:gridCol w:w="4133"/>
        <w:gridCol w:w="631"/>
      </w:tblGrid>
      <w:tr>
        <w:trPr>
          <w:tblHeader w:val="on"/>
        </w:trPr>
        <w:tc>
          <w:tcPr/>
          <w:p>
            <w:pPr>
              <w:pStyle w:val="Compact"/>
              <w:jc w:val="left"/>
            </w:pPr>
            <w:r>
              <w:rPr>
                <w:b/>
                <w:bCs/>
              </w:rPr>
              <w:t xml:space="preserve">Pillar</w:t>
            </w:r>
          </w:p>
        </w:tc>
        <w:tc>
          <w:tcPr/>
          <w:p>
            <w:pPr>
              <w:pStyle w:val="Compact"/>
              <w:jc w:val="left"/>
            </w:pPr>
            <w:r>
              <w:rPr>
                <w:b/>
                <w:bCs/>
              </w:rPr>
              <w:t xml:space="preserve">Rollback Trigger</w:t>
            </w:r>
          </w:p>
        </w:tc>
        <w:tc>
          <w:tcPr/>
          <w:p>
            <w:pPr>
              <w:pStyle w:val="Compact"/>
              <w:jc w:val="left"/>
            </w:pPr>
            <w:r>
              <w:rPr>
                <w:b/>
                <w:bCs/>
              </w:rPr>
              <w:t xml:space="preserve">Rollback Procedure</w:t>
            </w:r>
          </w:p>
        </w:tc>
        <w:tc>
          <w:tcPr/>
          <w:p>
            <w:pPr>
              <w:pStyle w:val="Compact"/>
              <w:jc w:val="left"/>
            </w:pPr>
            <w:r>
              <w:rPr>
                <w:b/>
                <w:bCs/>
              </w:rPr>
              <w:t xml:space="preserve">Recovery Time</w:t>
            </w:r>
          </w:p>
        </w:tc>
      </w:tr>
      <w:tr>
        <w:tc>
          <w:tcPr/>
          <w:p>
            <w:pPr>
              <w:pStyle w:val="Compact"/>
              <w:jc w:val="left"/>
            </w:pPr>
            <w:r>
              <w:rPr>
                <w:b/>
                <w:bCs/>
              </w:rPr>
              <w:t xml:space="preserve">Identity (Entra Connect)</w:t>
            </w:r>
          </w:p>
        </w:tc>
        <w:tc>
          <w:tcPr/>
          <w:p>
            <w:pPr>
              <w:pStyle w:val="Compact"/>
              <w:jc w:val="left"/>
            </w:pPr>
            <w:r>
              <w:t xml:space="preserve">Sync corruption, duplicate objects, authentication failures</w:t>
            </w:r>
          </w:p>
        </w:tc>
        <w:tc>
          <w:tcPr/>
          <w:p>
            <w:pPr>
              <w:pStyle w:val="Compact"/>
              <w:jc w:val="left"/>
            </w:pPr>
            <w:r>
              <w:t xml:space="preserve">Disable sync scheduler, restore from staging mode server, re-enable AD-only auth in Gitea. Per Identity Modernization Guide §12.</w:t>
            </w:r>
          </w:p>
        </w:tc>
        <w:tc>
          <w:tcPr/>
          <w:p>
            <w:pPr>
              <w:pStyle w:val="Compact"/>
              <w:jc w:val="left"/>
            </w:pPr>
            <w:r>
              <w:t xml:space="preserve">&lt;2 hours</w:t>
            </w:r>
          </w:p>
        </w:tc>
      </w:tr>
      <w:tr>
        <w:tc>
          <w:tcPr/>
          <w:p>
            <w:pPr>
              <w:pStyle w:val="Compact"/>
              <w:jc w:val="left"/>
            </w:pPr>
            <w:r>
              <w:rPr>
                <w:b/>
                <w:bCs/>
              </w:rPr>
              <w:t xml:space="preserve">Devices (Intune)</w:t>
            </w:r>
          </w:p>
        </w:tc>
        <w:tc>
          <w:tcPr/>
          <w:p>
            <w:pPr>
              <w:pStyle w:val="Compact"/>
              <w:jc w:val="left"/>
            </w:pPr>
            <w:r>
              <w:t xml:space="preserve">Policy conflict causes device lockout, compliance failures &gt;10%</w:t>
            </w:r>
          </w:p>
        </w:tc>
        <w:tc>
          <w:tcPr/>
          <w:p>
            <w:pPr>
              <w:pStyle w:val="Compact"/>
              <w:jc w:val="left"/>
            </w:pPr>
            <w:r>
              <w:t xml:space="preserve">Unassign Intune profiles from pilot group, re-enable GPO links for pilot OUs. Per AD Computer Object Conversion Guide §7.</w:t>
            </w:r>
          </w:p>
        </w:tc>
        <w:tc>
          <w:tcPr/>
          <w:p>
            <w:pPr>
              <w:pStyle w:val="Compact"/>
              <w:jc w:val="left"/>
            </w:pPr>
            <w:r>
              <w:t xml:space="preserve">&lt;4 hours</w:t>
            </w:r>
          </w:p>
        </w:tc>
      </w:tr>
      <w:tr>
        <w:tc>
          <w:tcPr/>
          <w:p>
            <w:pPr>
              <w:pStyle w:val="Compact"/>
              <w:jc w:val="left"/>
            </w:pPr>
            <w:r>
              <w:rPr>
                <w:b/>
                <w:bCs/>
              </w:rPr>
              <w:t xml:space="preserve">Conditional Access</w:t>
            </w:r>
          </w:p>
        </w:tc>
        <w:tc>
          <w:tcPr/>
          <w:p>
            <w:pPr>
              <w:pStyle w:val="Compact"/>
              <w:jc w:val="left"/>
            </w:pPr>
            <w:r>
              <w:t xml:space="preserve">Legitimate users blocked, break-glass needed repeatedly</w:t>
            </w:r>
          </w:p>
        </w:tc>
        <w:tc>
          <w:tcPr/>
          <w:p>
            <w:pPr>
              <w:pStyle w:val="Compact"/>
              <w:jc w:val="left"/>
            </w:pPr>
            <w:r>
              <w:t xml:space="preserve">Switch all policies back to report-only mode. Per Identity Modernization Guide §8.</w:t>
            </w:r>
          </w:p>
        </w:tc>
        <w:tc>
          <w:tcPr/>
          <w:p>
            <w:pPr>
              <w:pStyle w:val="Compact"/>
              <w:jc w:val="left"/>
            </w:pPr>
            <w:r>
              <w:t xml:space="preserve">&lt;30 min</w:t>
            </w:r>
          </w:p>
        </w:tc>
      </w:tr>
      <w:tr>
        <w:tc>
          <w:tcPr/>
          <w:p>
            <w:pPr>
              <w:pStyle w:val="Compact"/>
              <w:jc w:val="left"/>
            </w:pPr>
            <w:r>
              <w:rPr>
                <w:b/>
                <w:bCs/>
              </w:rPr>
              <w:t xml:space="preserve">DNS</w:t>
            </w:r>
          </w:p>
        </w:tc>
        <w:tc>
          <w:tcPr/>
          <w:p>
            <w:pPr>
              <w:pStyle w:val="Compact"/>
              <w:jc w:val="left"/>
            </w:pPr>
            <w:r>
              <w:t xml:space="preserve">Resolution failures &gt;1%, SRV record lookup failures</w:t>
            </w:r>
          </w:p>
        </w:tc>
        <w:tc>
          <w:tcPr/>
          <w:p>
            <w:pPr>
              <w:pStyle w:val="Compact"/>
              <w:jc w:val="left"/>
            </w:pPr>
            <w:r>
              <w:t xml:space="preserve">Revert conditional forwarder changes on-prem, disable Private Resolver forwarding rules. Per DNS Modernization Guide §11.</w:t>
            </w:r>
          </w:p>
        </w:tc>
        <w:tc>
          <w:tcPr/>
          <w:p>
            <w:pPr>
              <w:pStyle w:val="Compact"/>
              <w:jc w:val="left"/>
            </w:pPr>
            <w:r>
              <w:t xml:space="preserve">&lt;1 hour</w:t>
            </w:r>
          </w:p>
        </w:tc>
      </w:tr>
      <w:tr>
        <w:tc>
          <w:tcPr/>
          <w:p>
            <w:pPr>
              <w:pStyle w:val="Compact"/>
              <w:jc w:val="left"/>
            </w:pPr>
            <w:r>
              <w:rPr>
                <w:b/>
                <w:bCs/>
              </w:rPr>
              <w:t xml:space="preserve">PKI (Cloud PKI)</w:t>
            </w:r>
          </w:p>
        </w:tc>
        <w:tc>
          <w:tcPr/>
          <w:p>
            <w:pPr>
              <w:pStyle w:val="Compact"/>
              <w:jc w:val="left"/>
            </w:pPr>
            <w:r>
              <w:t xml:space="preserve">Certificate issuance failures, auth failures with new certs</w:t>
            </w:r>
          </w:p>
        </w:tc>
        <w:tc>
          <w:tcPr/>
          <w:p>
            <w:pPr>
              <w:pStyle w:val="Compact"/>
              <w:jc w:val="left"/>
            </w:pPr>
            <w:r>
              <w:t xml:space="preserve">Re-enable ADCS auto-enrollment for pilot templates, remove SCEP profiles from pilot group. Per PKI Modernization Guide §10.</w:t>
            </w:r>
          </w:p>
        </w:tc>
        <w:tc>
          <w:tcPr/>
          <w:p>
            <w:pPr>
              <w:pStyle w:val="Compact"/>
              <w:jc w:val="left"/>
            </w:pPr>
            <w:r>
              <w:t xml:space="preserve">&lt;4 hours</w:t>
            </w:r>
          </w:p>
        </w:tc>
      </w:tr>
      <w:tr>
        <w:tc>
          <w:tcPr/>
          <w:p>
            <w:pPr>
              <w:pStyle w:val="Compact"/>
              <w:jc w:val="left"/>
            </w:pPr>
            <w:r>
              <w:rPr>
                <w:b/>
                <w:bCs/>
              </w:rPr>
              <w:t xml:space="preserve">Servers (Azure Arc)</w:t>
            </w:r>
          </w:p>
        </w:tc>
        <w:tc>
          <w:tcPr/>
          <w:p>
            <w:pPr>
              <w:pStyle w:val="Compact"/>
              <w:jc w:val="left"/>
            </w:pPr>
            <w:r>
              <w:t xml:space="preserve">Arc agent causes performance degradation, policy conflicts</w:t>
            </w:r>
          </w:p>
        </w:tc>
        <w:tc>
          <w:tcPr/>
          <w:p>
            <w:pPr>
              <w:pStyle w:val="Compact"/>
              <w:jc w:val="left"/>
            </w:pPr>
            <w:r>
              <w:t xml:space="preserve">Uninstall Connected Machine agent, remove Arc resource from Azure. Per AD Computer Object Conversion Guide §8.</w:t>
            </w:r>
          </w:p>
        </w:tc>
        <w:tc>
          <w:tcPr/>
          <w:p>
            <w:pPr>
              <w:pStyle w:val="Compact"/>
              <w:jc w:val="left"/>
            </w:pPr>
            <w:r>
              <w:t xml:space="preserve">&lt;1 hour</w:t>
            </w:r>
          </w:p>
        </w:tc>
      </w:tr>
    </w:tbl>
    <w:p>
      <w:pPr>
        <w:pStyle w:val="BodyText"/>
      </w:pPr>
      <w:r>
        <w:t xml:space="preserve">7. Phase 4: Scale (Weeks 22–33)</w:t>
      </w:r>
    </w:p>
    <w:p>
      <w:pPr>
        <w:pStyle w:val="BodyText"/>
      </w:pPr>
      <w:r>
        <w:rPr>
          <w:b/>
          <w:bCs/>
        </w:rPr>
        <w:t xml:space="preserve">Objective:</w:t>
      </w:r>
      <w:r>
        <w:t xml:space="preserve"> </w:t>
      </w:r>
      <w:r>
        <w:t xml:space="preserve">Extend the validated modernization stack from pilot to the full production environment through a wave-based rollout organized by extension attribute dimensions.</w:t>
      </w:r>
    </w:p>
    <w:p>
      <w:pPr>
        <w:pStyle w:val="BodyText"/>
      </w:pPr>
      <w:r>
        <w:t xml:space="preserve">7.1 Scaling Strategy</w:t>
      </w:r>
    </w:p>
    <w:p>
      <w:pPr>
        <w:numPr>
          <w:ilvl w:val="0"/>
          <w:numId w:val="1305"/>
        </w:numPr>
      </w:pPr>
      <w:r>
        <w:rPr>
          <w:b/>
          <w:bCs/>
        </w:rPr>
        <w:t xml:space="preserve">Wave-based rollout</w:t>
      </w:r>
      <w:r>
        <w:t xml:space="preserve"> </w:t>
      </w:r>
      <w:r>
        <w:t xml:space="preserve">organized by extension attribute dimensions: Region → Site → Department</w:t>
      </w:r>
    </w:p>
    <w:p>
      <w:pPr>
        <w:numPr>
          <w:ilvl w:val="0"/>
          <w:numId w:val="1305"/>
        </w:numPr>
      </w:pPr>
      <w:r>
        <w:rPr>
          <w:b/>
          <w:bCs/>
        </w:rPr>
        <w:t xml:space="preserve">4 waves</w:t>
      </w:r>
      <w:r>
        <w:t xml:space="preserve"> </w:t>
      </w:r>
      <w:r>
        <w:t xml:space="preserve">of approximately 25% scope each, 3 weeks per wave</w:t>
      </w:r>
    </w:p>
    <w:p>
      <w:pPr>
        <w:numPr>
          <w:ilvl w:val="0"/>
          <w:numId w:val="1305"/>
        </w:numPr>
      </w:pPr>
      <w:r>
        <w:t xml:space="preserve">Each wave follows the same validation checklist proven during pilot (Section 6.3)</w:t>
      </w:r>
    </w:p>
    <w:p>
      <w:pPr>
        <w:numPr>
          <w:ilvl w:val="0"/>
          <w:numId w:val="1305"/>
        </w:numPr>
      </w:pPr>
      <w:r>
        <w:rPr>
          <w:b/>
          <w:bCs/>
        </w:rPr>
        <w:t xml:space="preserve">Drift detection active</w:t>
      </w:r>
      <w:r>
        <w:t xml:space="preserve"> </w:t>
      </w:r>
      <w:r>
        <w:t xml:space="preserve">from Wave 1 — Invoke-FMPDriftDetection runs daily against migrated scope</w:t>
      </w:r>
    </w:p>
    <w:p>
      <w:pPr>
        <w:numPr>
          <w:ilvl w:val="0"/>
          <w:numId w:val="1305"/>
        </w:numPr>
      </w:pPr>
      <w:r>
        <w:t xml:space="preserve">Wave 1 starts with the lowest-risk region; each subsequent wave expands to higher-complexity environments</w:t>
      </w:r>
    </w:p>
    <w:p>
      <w:pPr>
        <w:pStyle w:val="FirstParagraph"/>
      </w:pPr>
      <w:r>
        <w:t xml:space="preserve">7.2 Phase 4 Milestones</w:t>
      </w:r>
    </w:p>
    <w:tbl>
      <w:tblPr>
        <w:tblStyle w:val="Table"/>
        <w:tblW w:type="pct" w:w="4924"/>
        <w:tblLayout w:type="fixed"/>
        <w:tblLook w:firstRow="1" w:lastRow="0" w:firstColumn="0" w:lastColumn="0" w:noHBand="0" w:noVBand="0" w:val="0020"/>
      </w:tblPr>
      <w:tblGrid>
        <w:gridCol w:w="544"/>
        <w:gridCol w:w="2720"/>
        <w:gridCol w:w="665"/>
        <w:gridCol w:w="2901"/>
        <w:gridCol w:w="967"/>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Scope</w:t>
            </w:r>
          </w:p>
        </w:tc>
        <w:tc>
          <w:tcPr/>
          <w:p>
            <w:pPr>
              <w:pStyle w:val="Compact"/>
              <w:jc w:val="left"/>
            </w:pPr>
            <w:r>
              <w:rPr>
                <w:b/>
                <w:bCs/>
              </w:rPr>
              <w:t xml:space="preserve">Owner</w:t>
            </w:r>
          </w:p>
        </w:tc>
      </w:tr>
      <w:tr>
        <w:tc>
          <w:tcPr/>
          <w:p>
            <w:pPr>
              <w:pStyle w:val="Compact"/>
              <w:jc w:val="left"/>
            </w:pPr>
            <w:r>
              <w:t xml:space="preserve">M-032</w:t>
            </w:r>
          </w:p>
        </w:tc>
        <w:tc>
          <w:tcPr/>
          <w:p>
            <w:pPr>
              <w:pStyle w:val="Compact"/>
              <w:jc w:val="left"/>
            </w:pPr>
            <w:r>
              <w:t xml:space="preserve">Wave 1 complete (Region 1)</w:t>
            </w:r>
          </w:p>
        </w:tc>
        <w:tc>
          <w:tcPr/>
          <w:p>
            <w:pPr>
              <w:pStyle w:val="Compact"/>
              <w:jc w:val="left"/>
            </w:pPr>
            <w:r>
              <w:t xml:space="preserve">W24</w:t>
            </w:r>
          </w:p>
        </w:tc>
        <w:tc>
          <w:tcPr/>
          <w:p>
            <w:pPr>
              <w:pStyle w:val="Compact"/>
              <w:jc w:val="left"/>
            </w:pPr>
            <w:r>
              <w:t xml:space="preserve">~25% of devices, users, and servers migrated</w:t>
            </w:r>
          </w:p>
        </w:tc>
        <w:tc>
          <w:tcPr/>
          <w:p>
            <w:pPr>
              <w:pStyle w:val="Compact"/>
              <w:jc w:val="left"/>
            </w:pPr>
            <w:r>
              <w:t xml:space="preserve">All Leads</w:t>
            </w:r>
          </w:p>
        </w:tc>
      </w:tr>
      <w:tr>
        <w:tc>
          <w:tcPr/>
          <w:p>
            <w:pPr>
              <w:pStyle w:val="Compact"/>
              <w:jc w:val="left"/>
            </w:pPr>
            <w:r>
              <w:t xml:space="preserve">M-033</w:t>
            </w:r>
          </w:p>
        </w:tc>
        <w:tc>
          <w:tcPr/>
          <w:p>
            <w:pPr>
              <w:pStyle w:val="Compact"/>
              <w:jc w:val="left"/>
            </w:pPr>
            <w:r>
              <w:t xml:space="preserve">Wave 2 complete (Region 2)</w:t>
            </w:r>
          </w:p>
        </w:tc>
        <w:tc>
          <w:tcPr/>
          <w:p>
            <w:pPr>
              <w:pStyle w:val="Compact"/>
              <w:jc w:val="left"/>
            </w:pPr>
            <w:r>
              <w:t xml:space="preserve">W27</w:t>
            </w:r>
          </w:p>
        </w:tc>
        <w:tc>
          <w:tcPr/>
          <w:p>
            <w:pPr>
              <w:pStyle w:val="Compact"/>
              <w:jc w:val="left"/>
            </w:pPr>
            <w:r>
              <w:t xml:space="preserve">~50% cumulative</w:t>
            </w:r>
          </w:p>
        </w:tc>
        <w:tc>
          <w:tcPr/>
          <w:p>
            <w:pPr>
              <w:pStyle w:val="Compact"/>
              <w:jc w:val="left"/>
            </w:pPr>
            <w:r>
              <w:t xml:space="preserve">All Leads</w:t>
            </w:r>
          </w:p>
        </w:tc>
      </w:tr>
      <w:tr>
        <w:tc>
          <w:tcPr/>
          <w:p>
            <w:pPr>
              <w:pStyle w:val="Compact"/>
              <w:jc w:val="left"/>
            </w:pPr>
            <w:r>
              <w:t xml:space="preserve">M-034</w:t>
            </w:r>
          </w:p>
        </w:tc>
        <w:tc>
          <w:tcPr/>
          <w:p>
            <w:pPr>
              <w:pStyle w:val="Compact"/>
              <w:jc w:val="left"/>
            </w:pPr>
            <w:r>
              <w:t xml:space="preserve">Wave 3 complete (Region 3)</w:t>
            </w:r>
          </w:p>
        </w:tc>
        <w:tc>
          <w:tcPr/>
          <w:p>
            <w:pPr>
              <w:pStyle w:val="Compact"/>
              <w:jc w:val="left"/>
            </w:pPr>
            <w:r>
              <w:t xml:space="preserve">W30</w:t>
            </w:r>
          </w:p>
        </w:tc>
        <w:tc>
          <w:tcPr/>
          <w:p>
            <w:pPr>
              <w:pStyle w:val="Compact"/>
              <w:jc w:val="left"/>
            </w:pPr>
            <w:r>
              <w:t xml:space="preserve">~75% cumulative</w:t>
            </w:r>
          </w:p>
        </w:tc>
        <w:tc>
          <w:tcPr/>
          <w:p>
            <w:pPr>
              <w:pStyle w:val="Compact"/>
              <w:jc w:val="left"/>
            </w:pPr>
            <w:r>
              <w:t xml:space="preserve">All Leads</w:t>
            </w:r>
          </w:p>
        </w:tc>
      </w:tr>
      <w:tr>
        <w:tc>
          <w:tcPr/>
          <w:p>
            <w:pPr>
              <w:pStyle w:val="Compact"/>
              <w:jc w:val="left"/>
            </w:pPr>
            <w:r>
              <w:t xml:space="preserve">M-035</w:t>
            </w:r>
          </w:p>
        </w:tc>
        <w:tc>
          <w:tcPr/>
          <w:p>
            <w:pPr>
              <w:pStyle w:val="Compact"/>
              <w:jc w:val="left"/>
            </w:pPr>
            <w:r>
              <w:t xml:space="preserve">Wave 4 complete (All remaining)</w:t>
            </w:r>
          </w:p>
        </w:tc>
        <w:tc>
          <w:tcPr/>
          <w:p>
            <w:pPr>
              <w:pStyle w:val="Compact"/>
              <w:jc w:val="left"/>
            </w:pPr>
            <w:r>
              <w:t xml:space="preserve">W33</w:t>
            </w:r>
          </w:p>
        </w:tc>
        <w:tc>
          <w:tcPr/>
          <w:p>
            <w:pPr>
              <w:pStyle w:val="Compact"/>
              <w:jc w:val="left"/>
            </w:pPr>
            <w:r>
              <w:t xml:space="preserve">100% migrated</w:t>
            </w:r>
          </w:p>
        </w:tc>
        <w:tc>
          <w:tcPr/>
          <w:p>
            <w:pPr>
              <w:pStyle w:val="Compact"/>
              <w:jc w:val="left"/>
            </w:pPr>
            <w:r>
              <w:t xml:space="preserve">All Leads</w:t>
            </w:r>
          </w:p>
        </w:tc>
      </w:tr>
      <w:tr>
        <w:tc>
          <w:tcPr/>
          <w:p>
            <w:pPr>
              <w:pStyle w:val="Compact"/>
              <w:jc w:val="left"/>
            </w:pPr>
            <w:r>
              <w:t xml:space="preserve">M-036</w:t>
            </w:r>
          </w:p>
        </w:tc>
        <w:tc>
          <w:tcPr/>
          <w:p>
            <w:pPr>
              <w:pStyle w:val="Compact"/>
              <w:jc w:val="left"/>
            </w:pPr>
            <w:r>
              <w:t xml:space="preserve">Legacy GPO disabled for migrated OUs</w:t>
            </w:r>
          </w:p>
        </w:tc>
        <w:tc>
          <w:tcPr/>
          <w:p>
            <w:pPr>
              <w:pStyle w:val="Compact"/>
              <w:jc w:val="left"/>
            </w:pPr>
            <w:r>
              <w:t xml:space="preserve">W33</w:t>
            </w:r>
          </w:p>
        </w:tc>
        <w:tc>
          <w:tcPr/>
          <w:p>
            <w:pPr>
              <w:pStyle w:val="Compact"/>
              <w:jc w:val="left"/>
            </w:pPr>
            <w:r>
              <w:t xml:space="preserve">No GPO links remain on migrated OUs</w:t>
            </w:r>
          </w:p>
        </w:tc>
        <w:tc>
          <w:tcPr/>
          <w:p>
            <w:pPr>
              <w:pStyle w:val="Compact"/>
              <w:jc w:val="left"/>
            </w:pPr>
            <w:r>
              <w:t xml:space="preserve">Endpoint Lead</w:t>
            </w:r>
          </w:p>
        </w:tc>
      </w:tr>
      <w:tr>
        <w:tc>
          <w:tcPr/>
          <w:p>
            <w:pPr>
              <w:pStyle w:val="Compact"/>
              <w:jc w:val="left"/>
            </w:pPr>
            <w:r>
              <w:t xml:space="preserve">M-037</w:t>
            </w:r>
          </w:p>
        </w:tc>
        <w:tc>
          <w:tcPr/>
          <w:p>
            <w:pPr>
              <w:pStyle w:val="Compact"/>
              <w:jc w:val="left"/>
            </w:pPr>
            <w:r>
              <w:t xml:space="preserve">All dynamic groups populated and validated</w:t>
            </w:r>
          </w:p>
        </w:tc>
        <w:tc>
          <w:tcPr/>
          <w:p>
            <w:pPr>
              <w:pStyle w:val="Compact"/>
              <w:jc w:val="left"/>
            </w:pPr>
            <w:r>
              <w:t xml:space="preserve">W33</w:t>
            </w:r>
          </w:p>
        </w:tc>
        <w:tc>
          <w:tcPr/>
          <w:p>
            <w:pPr>
              <w:pStyle w:val="Compact"/>
              <w:jc w:val="left"/>
            </w:pPr>
            <w:r>
              <w:t xml:space="preserve">extension attribute coverage = 100%</w:t>
            </w:r>
          </w:p>
        </w:tc>
        <w:tc>
          <w:tcPr/>
          <w:p>
            <w:pPr>
              <w:pStyle w:val="Compact"/>
              <w:jc w:val="left"/>
            </w:pPr>
            <w:r>
              <w:t xml:space="preserve">Identity Lead</w:t>
            </w:r>
          </w:p>
        </w:tc>
      </w:tr>
    </w:tbl>
    <w:p>
      <w:pPr>
        <w:pStyle w:val="BodyText"/>
      </w:pPr>
      <w:r>
        <w:t xml:space="preserve">7.3 Scaling Risk Management</w:t>
      </w:r>
    </w:p>
    <w:tbl>
      <w:tblPr>
        <w:tblStyle w:val="Table"/>
        <w:tblW w:type="pct" w:w="4965"/>
        <w:tblLayout w:type="fixed"/>
        <w:tblLook w:firstRow="1" w:lastRow="0" w:firstColumn="0" w:lastColumn="0" w:noHBand="0" w:noVBand="0" w:val="0020"/>
      </w:tblPr>
      <w:tblGrid>
        <w:gridCol w:w="1695"/>
        <w:gridCol w:w="1500"/>
        <w:gridCol w:w="2695"/>
        <w:gridCol w:w="1973"/>
      </w:tblGrid>
      <w:tr>
        <w:trPr>
          <w:tblHeader w:val="on"/>
        </w:trPr>
        <w:tc>
          <w:tcPr/>
          <w:p>
            <w:pPr>
              <w:pStyle w:val="Compact"/>
              <w:jc w:val="left"/>
            </w:pPr>
            <w:r>
              <w:rPr>
                <w:b/>
                <w:bCs/>
              </w:rPr>
              <w:t xml:space="preserve">Risk</w:t>
            </w:r>
          </w:p>
        </w:tc>
        <w:tc>
          <w:tcPr/>
          <w:p>
            <w:pPr>
              <w:pStyle w:val="Compact"/>
              <w:jc w:val="left"/>
            </w:pPr>
            <w:r>
              <w:rPr>
                <w:b/>
                <w:bCs/>
              </w:rPr>
              <w:t xml:space="preserve">Impact</w:t>
            </w:r>
          </w:p>
        </w:tc>
        <w:tc>
          <w:tcPr/>
          <w:p>
            <w:pPr>
              <w:pStyle w:val="Compact"/>
              <w:jc w:val="left"/>
            </w:pPr>
            <w:r>
              <w:rPr>
                <w:b/>
                <w:bCs/>
              </w:rPr>
              <w:t xml:space="preserve">Mitigation</w:t>
            </w:r>
          </w:p>
        </w:tc>
        <w:tc>
          <w:tcPr/>
          <w:p>
            <w:pPr>
              <w:pStyle w:val="Compact"/>
              <w:jc w:val="left"/>
            </w:pPr>
            <w:r>
              <w:rPr>
                <w:b/>
                <w:bCs/>
              </w:rPr>
              <w:t xml:space="preserve">Contingency</w:t>
            </w:r>
          </w:p>
        </w:tc>
      </w:tr>
      <w:tr>
        <w:tc>
          <w:tcPr/>
          <w:p>
            <w:pPr>
              <w:pStyle w:val="Compact"/>
              <w:jc w:val="left"/>
            </w:pPr>
            <w:r>
              <w:t xml:space="preserve">Wave N exposes applications not found in pilot</w:t>
            </w:r>
          </w:p>
        </w:tc>
        <w:tc>
          <w:tcPr/>
          <w:p>
            <w:pPr>
              <w:pStyle w:val="Compact"/>
              <w:jc w:val="left"/>
            </w:pPr>
            <w:r>
              <w:t xml:space="preserve">Authentication failures, business disruption</w:t>
            </w:r>
          </w:p>
        </w:tc>
        <w:tc>
          <w:tcPr/>
          <w:p>
            <w:pPr>
              <w:pStyle w:val="Compact"/>
              <w:jc w:val="left"/>
            </w:pPr>
            <w:r>
              <w:t xml:space="preserve">Pre-wave application discovery scan; Conditional Access report-only for 48h before enforcement</w:t>
            </w:r>
          </w:p>
        </w:tc>
        <w:tc>
          <w:tcPr/>
          <w:p>
            <w:pPr>
              <w:pStyle w:val="Compact"/>
              <w:jc w:val="left"/>
            </w:pPr>
            <w:r>
              <w:t xml:space="preserve">Exclude application from Conditional Access; add to exception policy</w:t>
            </w:r>
          </w:p>
        </w:tc>
      </w:tr>
      <w:tr>
        <w:tc>
          <w:tcPr/>
          <w:p>
            <w:pPr>
              <w:pStyle w:val="Compact"/>
              <w:jc w:val="left"/>
            </w:pPr>
            <w:r>
              <w:t xml:space="preserve">GPO-to-Intune parity gaps discovered at scale</w:t>
            </w:r>
          </w:p>
        </w:tc>
        <w:tc>
          <w:tcPr/>
          <w:p>
            <w:pPr>
              <w:pStyle w:val="Compact"/>
              <w:jc w:val="left"/>
            </w:pPr>
            <w:r>
              <w:t xml:space="preserve">Configuration drift, compliance failures</w:t>
            </w:r>
          </w:p>
        </w:tc>
        <w:tc>
          <w:tcPr/>
          <w:p>
            <w:pPr>
              <w:pStyle w:val="Compact"/>
              <w:jc w:val="left"/>
            </w:pPr>
            <w:r>
              <w:t xml:space="preserve">Maintain GPO links in parallel during wave; only unlink after 7-day compliance validation</w:t>
            </w:r>
          </w:p>
        </w:tc>
        <w:tc>
          <w:tcPr/>
          <w:p>
            <w:pPr>
              <w:pStyle w:val="Compact"/>
              <w:jc w:val="left"/>
            </w:pPr>
            <w:r>
              <w:t xml:space="preserve">Re-enable GPO for affected OUs; file Intune feature request</w:t>
            </w:r>
          </w:p>
        </w:tc>
      </w:tr>
      <w:tr>
        <w:tc>
          <w:tcPr/>
          <w:p>
            <w:pPr>
              <w:pStyle w:val="Compact"/>
              <w:jc w:val="left"/>
            </w:pPr>
            <w:r>
              <w:t xml:space="preserve">Dynamic group processing delays at high user counts</w:t>
            </w:r>
          </w:p>
        </w:tc>
        <w:tc>
          <w:tcPr/>
          <w:p>
            <w:pPr>
              <w:pStyle w:val="Compact"/>
              <w:jc w:val="left"/>
            </w:pPr>
            <w:r>
              <w:t xml:space="preserve">Policy assignment delays, enrollment gaps</w:t>
            </w:r>
          </w:p>
        </w:tc>
        <w:tc>
          <w:tcPr/>
          <w:p>
            <w:pPr>
              <w:pStyle w:val="Compact"/>
              <w:jc w:val="left"/>
            </w:pPr>
            <w:r>
              <w:t xml:space="preserve">Stagger extension attribute writes; monitor dynamic group processing time</w:t>
            </w:r>
          </w:p>
        </w:tc>
        <w:tc>
          <w:tcPr/>
          <w:p>
            <w:pPr>
              <w:pStyle w:val="Compact"/>
              <w:jc w:val="left"/>
            </w:pPr>
            <w:r>
              <w:t xml:space="preserve">Convert to assigned groups for critical policies</w:t>
            </w:r>
          </w:p>
        </w:tc>
      </w:tr>
      <w:tr>
        <w:tc>
          <w:tcPr/>
          <w:p>
            <w:pPr>
              <w:pStyle w:val="Compact"/>
              <w:jc w:val="left"/>
            </w:pPr>
            <w:r>
              <w:t xml:space="preserve">Cloud PKI capacity limits during mass certificate issuance</w:t>
            </w:r>
          </w:p>
        </w:tc>
        <w:tc>
          <w:tcPr/>
          <w:p>
            <w:pPr>
              <w:pStyle w:val="Compact"/>
              <w:jc w:val="left"/>
            </w:pPr>
            <w:r>
              <w:t xml:space="preserve">Certificate issuance failures, VPN/Wi-Fi disruption</w:t>
            </w:r>
          </w:p>
        </w:tc>
        <w:tc>
          <w:tcPr/>
          <w:p>
            <w:pPr>
              <w:pStyle w:val="Compact"/>
              <w:jc w:val="left"/>
            </w:pPr>
            <w:r>
              <w:t xml:space="preserve">Stagger SCEP profile deployment across wave days; monitor issuance rate</w:t>
            </w:r>
          </w:p>
        </w:tc>
        <w:tc>
          <w:tcPr/>
          <w:p>
            <w:pPr>
              <w:pStyle w:val="Compact"/>
              <w:jc w:val="left"/>
            </w:pPr>
            <w:r>
              <w:t xml:space="preserve">Throttle enrollment; extend wave duration</w:t>
            </w:r>
          </w:p>
        </w:tc>
      </w:tr>
      <w:tr>
        <w:tc>
          <w:tcPr/>
          <w:p>
            <w:pPr>
              <w:pStyle w:val="Compact"/>
              <w:jc w:val="left"/>
            </w:pPr>
            <w:r>
              <w:t xml:space="preserve">DNS split-brain inconsistencies at multi-site scale</w:t>
            </w:r>
          </w:p>
        </w:tc>
        <w:tc>
          <w:tcPr/>
          <w:p>
            <w:pPr>
              <w:pStyle w:val="Compact"/>
              <w:jc w:val="left"/>
            </w:pPr>
            <w:r>
              <w:t xml:space="preserve">Name resolution failures for hybrid resources</w:t>
            </w:r>
          </w:p>
        </w:tc>
        <w:tc>
          <w:tcPr/>
          <w:p>
            <w:pPr>
              <w:pStyle w:val="Compact"/>
              <w:jc w:val="left"/>
            </w:pPr>
            <w:r>
              <w:t xml:space="preserve">Deploy monitoring probes at each site; test forward and reverse resolution</w:t>
            </w:r>
          </w:p>
        </w:tc>
        <w:tc>
          <w:tcPr/>
          <w:p>
            <w:pPr>
              <w:pStyle w:val="Compact"/>
              <w:jc w:val="left"/>
            </w:pPr>
            <w:r>
              <w:t xml:space="preserve">Revert specific forwarding rules; retain AD DNS for affected zones</w:t>
            </w:r>
          </w:p>
        </w:tc>
      </w:tr>
      <w:tr>
        <w:tc>
          <w:tcPr/>
          <w:p>
            <w:pPr>
              <w:pStyle w:val="Compact"/>
              <w:jc w:val="left"/>
            </w:pPr>
            <w:r>
              <w:t xml:space="preserve">User resistance increases with scale</w:t>
            </w:r>
          </w:p>
        </w:tc>
        <w:tc>
          <w:tcPr/>
          <w:p>
            <w:pPr>
              <w:pStyle w:val="Compact"/>
              <w:jc w:val="left"/>
            </w:pPr>
            <w:r>
              <w:t xml:space="preserve">Help desk volume spikes, negative sentiment</w:t>
            </w:r>
          </w:p>
        </w:tc>
        <w:tc>
          <w:tcPr/>
          <w:p>
            <w:pPr>
              <w:pStyle w:val="Compact"/>
              <w:jc w:val="left"/>
            </w:pPr>
            <w:r>
              <w:t xml:space="preserve">Pre-wave communications, training materials, department champions</w:t>
            </w:r>
          </w:p>
        </w:tc>
        <w:tc>
          <w:tcPr/>
          <w:p>
            <w:pPr>
              <w:pStyle w:val="Compact"/>
              <w:jc w:val="left"/>
            </w:pPr>
            <w:r>
              <w:t xml:space="preserve">Pause wave; increase training; add support resources</w:t>
            </w:r>
          </w:p>
        </w:tc>
      </w:tr>
      <w:tr>
        <w:tc>
          <w:tcPr/>
          <w:p>
            <w:pPr>
              <w:pStyle w:val="Compact"/>
              <w:jc w:val="left"/>
            </w:pPr>
            <w:r>
              <w:t xml:space="preserve">Key personnel unavailable during critical wave</w:t>
            </w:r>
          </w:p>
        </w:tc>
        <w:tc>
          <w:tcPr/>
          <w:p>
            <w:pPr>
              <w:pStyle w:val="Compact"/>
              <w:jc w:val="left"/>
            </w:pPr>
            <w:r>
              <w:t xml:space="preserve">Wave delayed, knowledge gaps</w:t>
            </w:r>
          </w:p>
        </w:tc>
        <w:tc>
          <w:tcPr/>
          <w:p>
            <w:pPr>
              <w:pStyle w:val="Compact"/>
              <w:jc w:val="left"/>
            </w:pPr>
            <w:r>
              <w:t xml:space="preserve">Cross-train 2 people per pillar; document all procedures in Gitea</w:t>
            </w:r>
          </w:p>
        </w:tc>
        <w:tc>
          <w:tcPr/>
          <w:p>
            <w:pPr>
              <w:pStyle w:val="Compact"/>
              <w:jc w:val="left"/>
            </w:pPr>
            <w:r>
              <w:t xml:space="preserve">Shift wave schedule; activate backup personnel</w:t>
            </w:r>
          </w:p>
        </w:tc>
      </w:tr>
    </w:tbl>
    <w:p>
      <w:pPr>
        <w:pStyle w:val="BodyText"/>
      </w:pPr>
      <w:r>
        <w:t xml:space="preserve">8. Phase 5: Cutover (Weeks 34–41)</w:t>
      </w:r>
    </w:p>
    <w:p>
      <w:pPr>
        <w:pStyle w:val="BodyText"/>
      </w:pPr>
      <w:r>
        <w:rPr>
          <w:b/>
          <w:bCs/>
        </w:rPr>
        <w:t xml:space="preserve">Objective:</w:t>
      </w:r>
      <w:r>
        <w:t xml:space="preserve"> </w:t>
      </w:r>
      <w:r>
        <w:t xml:space="preserve">Decommission legacy infrastructure components that have been fully replaced by modernized equivalents. Each cutover action is irreversible and requires formal gate approval.</w:t>
      </w:r>
    </w:p>
    <w:p>
      <w:pPr>
        <w:pStyle w:val="BodyText"/>
      </w:pPr>
      <w:r>
        <w:t xml:space="preserve">8.1 Phase 5 Milestones</w:t>
      </w:r>
    </w:p>
    <w:tbl>
      <w:tblPr>
        <w:tblStyle w:val="Table"/>
        <w:tblW w:type="pct" w:w="4942"/>
        <w:tblLayout w:type="fixed"/>
        <w:tblLook w:firstRow="1" w:lastRow="0" w:firstColumn="0" w:lastColumn="0" w:noHBand="0" w:noVBand="0" w:val="0020"/>
      </w:tblPr>
      <w:tblGrid>
        <w:gridCol w:w="414"/>
        <w:gridCol w:w="1887"/>
        <w:gridCol w:w="506"/>
        <w:gridCol w:w="4282"/>
        <w:gridCol w:w="736"/>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Action</w:t>
            </w:r>
          </w:p>
        </w:tc>
        <w:tc>
          <w:tcPr/>
          <w:p>
            <w:pPr>
              <w:pStyle w:val="Compact"/>
              <w:jc w:val="left"/>
            </w:pPr>
            <w:r>
              <w:rPr>
                <w:b/>
                <w:bCs/>
              </w:rPr>
              <w:t xml:space="preserve">Owner</w:t>
            </w:r>
          </w:p>
        </w:tc>
      </w:tr>
      <w:tr>
        <w:tc>
          <w:tcPr/>
          <w:p>
            <w:pPr>
              <w:pStyle w:val="Compact"/>
              <w:jc w:val="left"/>
            </w:pPr>
            <w:r>
              <w:t xml:space="preserve">M-038</w:t>
            </w:r>
          </w:p>
        </w:tc>
        <w:tc>
          <w:tcPr/>
          <w:p>
            <w:pPr>
              <w:pStyle w:val="Compact"/>
              <w:jc w:val="left"/>
            </w:pPr>
            <w:r>
              <w:t xml:space="preserve">ADFS decommission (if applicable)</w:t>
            </w:r>
          </w:p>
        </w:tc>
        <w:tc>
          <w:tcPr/>
          <w:p>
            <w:pPr>
              <w:pStyle w:val="Compact"/>
              <w:jc w:val="left"/>
            </w:pPr>
            <w:r>
              <w:t xml:space="preserve">W35</w:t>
            </w:r>
          </w:p>
        </w:tc>
        <w:tc>
          <w:tcPr/>
          <w:p>
            <w:pPr>
              <w:pStyle w:val="Compact"/>
              <w:jc w:val="left"/>
            </w:pPr>
            <w:r>
              <w:t xml:space="preserve">Convert federated domains to managed; disable ADFS farm</w:t>
            </w:r>
          </w:p>
        </w:tc>
        <w:tc>
          <w:tcPr/>
          <w:p>
            <w:pPr>
              <w:pStyle w:val="Compact"/>
              <w:jc w:val="left"/>
            </w:pPr>
            <w:r>
              <w:t xml:space="preserve">Identity Lead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W36</w:t>
            </w:r>
          </w:p>
        </w:tc>
        <w:tc>
          <w:tcPr/>
          <w:p>
            <w:pPr>
              <w:pStyle w:val="Compact"/>
              <w:jc w:val="left"/>
            </w:pPr>
            <w:r>
              <w:t xml:space="preserve">Auto-enrollment disabled; certificate templates locked; CA set to maintenance-only for CRL</w:t>
            </w:r>
          </w:p>
        </w:tc>
        <w:tc>
          <w:tcPr/>
          <w:p>
            <w:pPr>
              <w:pStyle w:val="Compact"/>
              <w:jc w:val="left"/>
            </w:pPr>
            <w:r>
              <w:t xml:space="preserve">PKI Lead</w:t>
            </w:r>
          </w:p>
        </w:tc>
      </w:tr>
      <w:tr>
        <w:tc>
          <w:tcPr/>
          <w:p>
            <w:pPr>
              <w:pStyle w:val="Compact"/>
              <w:jc w:val="left"/>
            </w:pPr>
            <w:r>
              <w:t xml:space="preserve">M-040</w:t>
            </w:r>
          </w:p>
        </w:tc>
        <w:tc>
          <w:tcPr/>
          <w:p>
            <w:pPr>
              <w:pStyle w:val="Compact"/>
              <w:jc w:val="left"/>
            </w:pPr>
            <w:r>
              <w:t xml:space="preserve">AD DNS conditional forwarders migrated</w:t>
            </w:r>
          </w:p>
        </w:tc>
        <w:tc>
          <w:tcPr/>
          <w:p>
            <w:pPr>
              <w:pStyle w:val="Compact"/>
              <w:jc w:val="left"/>
            </w:pPr>
            <w:r>
              <w:t xml:space="preserve">W37</w:t>
            </w:r>
          </w:p>
        </w:tc>
        <w:tc>
          <w:tcPr/>
          <w:p>
            <w:pPr>
              <w:pStyle w:val="Compact"/>
              <w:jc w:val="left"/>
            </w:pPr>
            <w:r>
              <w:t xml:space="preserve">All conditional forwarding via Azure DNS Private Resolver; on-prem forwarders removed</w:t>
            </w:r>
          </w:p>
        </w:tc>
        <w:tc>
          <w:tcPr/>
          <w:p>
            <w:pPr>
              <w:pStyle w:val="Compact"/>
              <w:jc w:val="left"/>
            </w:pPr>
            <w:r>
              <w:t xml:space="preserve">DNS Lead</w:t>
            </w:r>
          </w:p>
        </w:tc>
      </w:tr>
      <w:tr>
        <w:tc>
          <w:tcPr/>
          <w:p>
            <w:pPr>
              <w:pStyle w:val="Compact"/>
              <w:jc w:val="left"/>
            </w:pPr>
            <w:r>
              <w:t xml:space="preserve">M-041</w:t>
            </w:r>
          </w:p>
        </w:tc>
        <w:tc>
          <w:tcPr/>
          <w:p>
            <w:pPr>
              <w:pStyle w:val="Compact"/>
              <w:jc w:val="left"/>
            </w:pPr>
            <w:r>
              <w:t xml:space="preserve">Legacy GPO links removed</w:t>
            </w:r>
          </w:p>
        </w:tc>
        <w:tc>
          <w:tcPr/>
          <w:p>
            <w:pPr>
              <w:pStyle w:val="Compact"/>
              <w:jc w:val="left"/>
            </w:pPr>
            <w:r>
              <w:t xml:space="preserve">W38</w:t>
            </w:r>
          </w:p>
        </w:tc>
        <w:tc>
          <w:tcPr/>
          <w:p>
            <w:pPr>
              <w:pStyle w:val="Compact"/>
              <w:jc w:val="left"/>
            </w:pPr>
            <w:r>
              <w:t xml:space="preserve">All GPOs unlinked from all OUs; GPO objects retained for audit but non-functional</w:t>
            </w:r>
          </w:p>
        </w:tc>
        <w:tc>
          <w:tcPr/>
          <w:p>
            <w:pPr>
              <w:pStyle w:val="Compact"/>
              <w:jc w:val="left"/>
            </w:pPr>
            <w:r>
              <w:t xml:space="preserve">Endpoint Lead</w:t>
            </w:r>
          </w:p>
        </w:tc>
      </w:tr>
      <w:tr>
        <w:tc>
          <w:tcPr/>
          <w:p>
            <w:pPr>
              <w:pStyle w:val="Compact"/>
              <w:jc w:val="left"/>
            </w:pPr>
            <w:r>
              <w:t xml:space="preserve">M-042</w:t>
            </w:r>
          </w:p>
        </w:tc>
        <w:tc>
          <w:tcPr/>
          <w:p>
            <w:pPr>
              <w:pStyle w:val="Compact"/>
              <w:jc w:val="left"/>
            </w:pPr>
            <w:r>
              <w:t xml:space="preserve">Trust relationships reduced</w:t>
            </w:r>
          </w:p>
        </w:tc>
        <w:tc>
          <w:tcPr/>
          <w:p>
            <w:pPr>
              <w:pStyle w:val="Compact"/>
              <w:jc w:val="left"/>
            </w:pPr>
            <w:r>
              <w:t xml:space="preserve">W39</w:t>
            </w:r>
          </w:p>
        </w:tc>
        <w:tc>
          <w:tcPr/>
          <w:p>
            <w:pPr>
              <w:pStyle w:val="Compact"/>
              <w:jc w:val="left"/>
            </w:pPr>
            <w:r>
              <w:t xml:space="preserve">Non-essential trusts removed per TrustDecommissionPlan.json</w:t>
            </w:r>
          </w:p>
        </w:tc>
        <w:tc>
          <w:tcPr/>
          <w:p>
            <w:pPr>
              <w:pStyle w:val="Compact"/>
              <w:jc w:val="left"/>
            </w:pPr>
            <w:r>
              <w:t xml:space="preserve">Identity Lead</w:t>
            </w:r>
          </w:p>
        </w:tc>
      </w:tr>
      <w:tr>
        <w:tc>
          <w:tcPr/>
          <w:p>
            <w:pPr>
              <w:pStyle w:val="Compact"/>
              <w:jc w:val="left"/>
            </w:pPr>
            <w:r>
              <w:t xml:space="preserve">M-043</w:t>
            </w:r>
          </w:p>
        </w:tc>
        <w:tc>
          <w:tcPr/>
          <w:p>
            <w:pPr>
              <w:pStyle w:val="Compact"/>
              <w:jc w:val="left"/>
            </w:pPr>
            <w:r>
              <w:t xml:space="preserve">Legacy server decommission begins</w:t>
            </w:r>
          </w:p>
        </w:tc>
        <w:tc>
          <w:tcPr/>
          <w:p>
            <w:pPr>
              <w:pStyle w:val="Compact"/>
              <w:jc w:val="left"/>
            </w:pPr>
            <w:r>
              <w:t xml:space="preserve">W40</w:t>
            </w:r>
          </w:p>
        </w:tc>
        <w:tc>
          <w:tcPr/>
          <w:p>
            <w:pPr>
              <w:pStyle w:val="Compact"/>
              <w:jc w:val="left"/>
            </w:pPr>
            <w:r>
              <w:t xml:space="preserve">NDES servers, secondary Issuing CAs, and secondary DNS servers decommissioned</w:t>
            </w:r>
          </w:p>
        </w:tc>
        <w:tc>
          <w:tcPr/>
          <w:p>
            <w:pPr>
              <w:pStyle w:val="Compact"/>
              <w:jc w:val="left"/>
            </w:pPr>
            <w:r>
              <w:t xml:space="preserve">Infra Lead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W41</w:t>
            </w:r>
          </w:p>
        </w:tc>
        <w:tc>
          <w:tcPr/>
          <w:p>
            <w:pPr>
              <w:pStyle w:val="Compact"/>
              <w:jc w:val="left"/>
            </w:pPr>
            <w:r>
              <w:t xml:space="preserve">All modernization plans show 100% completion in Gitea; no legacy dependencies</w:t>
            </w:r>
          </w:p>
        </w:tc>
        <w:tc>
          <w:tcPr/>
          <w:p>
            <w:pPr>
              <w:pStyle w:val="Compact"/>
              <w:jc w:val="left"/>
            </w:pPr>
            <w:r>
              <w:t xml:space="preserve">Canon Steward</w:t>
            </w:r>
          </w:p>
        </w:tc>
      </w:tr>
    </w:tbl>
    <w:p>
      <w:pPr>
        <w:pStyle w:val="BodyText"/>
      </w:pPr>
      <w:r>
        <w:t xml:space="preserve">8.2 Cutover Validation Checklist</w:t>
      </w:r>
    </w:p>
    <w:tbl>
      <w:tblPr>
        <w:tblStyle w:val="Table"/>
        <w:tblW w:type="pct" w:w="4939"/>
        <w:tblLayout w:type="fixed"/>
        <w:tblLook w:firstRow="1" w:lastRow="0" w:firstColumn="0" w:lastColumn="0" w:noHBand="0" w:noVBand="0" w:val="0020"/>
      </w:tblPr>
      <w:tblGrid>
        <w:gridCol w:w="434"/>
        <w:gridCol w:w="3428"/>
        <w:gridCol w:w="3187"/>
        <w:gridCol w:w="772"/>
      </w:tblGrid>
      <w:tr>
        <w:trPr>
          <w:tblHeader w:val="on"/>
        </w:trPr>
        <w:tc>
          <w:tcPr/>
          <w:p>
            <w:pPr>
              <w:pStyle w:val="Compact"/>
              <w:jc w:val="left"/>
            </w:pPr>
            <w:r>
              <w:rPr>
                <w:b/>
                <w:bCs/>
              </w:rPr>
              <w:t xml:space="preserve">#</w:t>
            </w:r>
          </w:p>
        </w:tc>
        <w:tc>
          <w:tcPr/>
          <w:p>
            <w:pPr>
              <w:pStyle w:val="Compact"/>
              <w:jc w:val="left"/>
            </w:pPr>
            <w:r>
              <w:rPr>
                <w:b/>
                <w:bCs/>
              </w:rPr>
              <w:t xml:space="preserve">Validation Item</w:t>
            </w:r>
          </w:p>
        </w:tc>
        <w:tc>
          <w:tcPr/>
          <w:p>
            <w:pPr>
              <w:pStyle w:val="Compact"/>
              <w:jc w:val="left"/>
            </w:pPr>
            <w:r>
              <w:rPr>
                <w:b/>
                <w:bCs/>
              </w:rPr>
              <w:t xml:space="preserve">Method</w:t>
            </w:r>
          </w:p>
        </w:tc>
        <w:tc>
          <w:tcPr/>
          <w:p>
            <w:pPr>
              <w:pStyle w:val="Compact"/>
              <w:jc w:val="left"/>
            </w:pPr>
            <w:r>
              <w:rPr>
                <w:b/>
                <w:bCs/>
              </w:rPr>
              <w:t xml:space="preserve">Owner</w:t>
            </w:r>
          </w:p>
        </w:tc>
      </w:tr>
      <w:tr>
        <w:tc>
          <w:tcPr/>
          <w:p>
            <w:pPr>
              <w:pStyle w:val="Compact"/>
              <w:jc w:val="left"/>
            </w:pPr>
            <w:r>
              <w:t xml:space="preserve">1</w:t>
            </w:r>
          </w:p>
        </w:tc>
        <w:tc>
          <w:tcPr/>
          <w:p>
            <w:pPr>
              <w:pStyle w:val="Compact"/>
              <w:jc w:val="left"/>
            </w:pPr>
            <w:r>
              <w:t xml:space="preserve">All user accounts synced to Entra ID with correct extension attributes</w:t>
            </w:r>
          </w:p>
        </w:tc>
        <w:tc>
          <w:tcPr/>
          <w:p>
            <w:pPr>
              <w:pStyle w:val="Compact"/>
              <w:jc w:val="left"/>
            </w:pPr>
            <w:r>
              <w:t xml:space="preserve">Entra ID export vs. IdentityModernizati</w:t>
            </w:r>
          </w:p>
        </w:tc>
        <w:tc>
          <w:tcPr/>
          <w:p>
            <w:pPr>
              <w:pStyle w:val="Compact"/>
              <w:jc w:val="left"/>
            </w:pPr>
            <w:r>
              <w:t xml:space="preserve">onPlan.json Identity Lead</w:t>
            </w:r>
          </w:p>
        </w:tc>
      </w:tr>
      <w:tr>
        <w:tc>
          <w:tcPr/>
          <w:p>
            <w:pPr>
              <w:pStyle w:val="Compact"/>
              <w:jc w:val="left"/>
            </w:pPr>
            <w:r>
              <w:t xml:space="preserve">2</w:t>
            </w:r>
          </w:p>
        </w:tc>
        <w:tc>
          <w:tcPr/>
          <w:p>
            <w:pPr>
              <w:pStyle w:val="Compact"/>
              <w:jc w:val="left"/>
            </w:pPr>
            <w:r>
              <w:t xml:space="preserve">Zero permanent Global Admin assignments</w:t>
            </w:r>
          </w:p>
        </w:tc>
        <w:tc>
          <w:tcPr/>
          <w:p>
            <w:pPr>
              <w:pStyle w:val="Compact"/>
              <w:jc w:val="left"/>
            </w:pPr>
            <w:r>
              <w:t xml:space="preserve">PIM role assignment report</w:t>
            </w:r>
          </w:p>
        </w:tc>
        <w:tc>
          <w:tcPr/>
          <w:p>
            <w:pPr>
              <w:pStyle w:val="Compact"/>
              <w:jc w:val="left"/>
            </w:pPr>
            <w:r>
              <w:t xml:space="preserve">Identity Lead</w:t>
            </w:r>
          </w:p>
        </w:tc>
      </w:tr>
      <w:tr>
        <w:tc>
          <w:tcPr/>
          <w:p>
            <w:pPr>
              <w:pStyle w:val="Compact"/>
              <w:jc w:val="left"/>
            </w:pPr>
            <w:r>
              <w:t xml:space="preserve">3</w:t>
            </w:r>
          </w:p>
        </w:tc>
        <w:tc>
          <w:tcPr/>
          <w:p>
            <w:pPr>
              <w:pStyle w:val="Compact"/>
              <w:jc w:val="left"/>
            </w:pPr>
            <w:r>
              <w:t xml:space="preserve">All Conditional Access policies in enforced mode</w:t>
            </w:r>
          </w:p>
        </w:tc>
        <w:tc>
          <w:tcPr/>
          <w:p>
            <w:pPr>
              <w:pStyle w:val="Compact"/>
              <w:jc w:val="left"/>
            </w:pPr>
            <w:r>
              <w:t xml:space="preserve">CA policy status report</w:t>
            </w:r>
          </w:p>
        </w:tc>
        <w:tc>
          <w:tcPr/>
          <w:p>
            <w:pPr>
              <w:pStyle w:val="Compact"/>
              <w:jc w:val="left"/>
            </w:pPr>
            <w:r>
              <w:t xml:space="preserve">Security Lead</w:t>
            </w:r>
          </w:p>
        </w:tc>
      </w:tr>
      <w:tr>
        <w:tc>
          <w:tcPr/>
          <w:p>
            <w:pPr>
              <w:pStyle w:val="Compact"/>
              <w:jc w:val="left"/>
            </w:pPr>
            <w:r>
              <w:t xml:space="preserve">4</w:t>
            </w:r>
          </w:p>
        </w:tc>
        <w:tc>
          <w:tcPr/>
          <w:p>
            <w:pPr>
              <w:pStyle w:val="Compact"/>
              <w:jc w:val="left"/>
            </w:pPr>
            <w:r>
              <w:t xml:space="preserve">All devices enrolled in Intune with compliant status</w:t>
            </w:r>
          </w:p>
        </w:tc>
        <w:tc>
          <w:tcPr/>
          <w:p>
            <w:pPr>
              <w:pStyle w:val="Compact"/>
              <w:jc w:val="left"/>
            </w:pPr>
            <w:r>
              <w:t xml:space="preserve">Intune compliance dashboard</w:t>
            </w:r>
          </w:p>
        </w:tc>
        <w:tc>
          <w:tcPr/>
          <w:p>
            <w:pPr>
              <w:pStyle w:val="Compact"/>
              <w:jc w:val="left"/>
            </w:pPr>
            <w:r>
              <w:t xml:space="preserve">Endpoint Lead</w:t>
            </w:r>
          </w:p>
        </w:tc>
      </w:tr>
      <w:tr>
        <w:tc>
          <w:tcPr/>
          <w:p>
            <w:pPr>
              <w:pStyle w:val="Compact"/>
              <w:jc w:val="left"/>
            </w:pPr>
            <w:r>
              <w:t xml:space="preserve">5</w:t>
            </w:r>
          </w:p>
        </w:tc>
        <w:tc>
          <w:tcPr/>
          <w:p>
            <w:pPr>
              <w:pStyle w:val="Compact"/>
              <w:jc w:val="left"/>
            </w:pPr>
            <w:r>
              <w:t xml:space="preserve">All GPO links removed from all OUs</w:t>
            </w:r>
          </w:p>
        </w:tc>
        <w:tc>
          <w:tcPr/>
          <w:p>
            <w:pPr>
              <w:pStyle w:val="Compact"/>
              <w:jc w:val="left"/>
            </w:pPr>
            <w:r>
              <w:t xml:space="preserve">Get-GPLink across all OUs returns empty</w:t>
            </w:r>
          </w:p>
        </w:tc>
        <w:tc>
          <w:tcPr/>
          <w:p>
            <w:pPr>
              <w:pStyle w:val="Compact"/>
              <w:jc w:val="left"/>
            </w:pPr>
            <w:r>
              <w:t xml:space="preserve">Endpoint Lead</w:t>
            </w:r>
          </w:p>
        </w:tc>
      </w:tr>
      <w:tr>
        <w:tc>
          <w:tcPr/>
          <w:p>
            <w:pPr>
              <w:pStyle w:val="Compact"/>
              <w:jc w:val="left"/>
            </w:pPr>
            <w:r>
              <w:t xml:space="preserve">6</w:t>
            </w:r>
          </w:p>
        </w:tc>
        <w:tc>
          <w:tcPr/>
          <w:p>
            <w:pPr>
              <w:pStyle w:val="Compact"/>
              <w:jc w:val="left"/>
            </w:pPr>
            <w:r>
              <w:t xml:space="preserve">No device receiving GPO-delivered settings</w:t>
            </w:r>
          </w:p>
        </w:tc>
        <w:tc>
          <w:tcPr/>
          <w:p>
            <w:pPr>
              <w:pStyle w:val="Compact"/>
              <w:jc w:val="left"/>
            </w:pPr>
            <w:r>
              <w:t xml:space="preserve">gpresult /r on sample devices returns no applied GPOs</w:t>
            </w:r>
          </w:p>
        </w:tc>
        <w:tc>
          <w:tcPr/>
          <w:p>
            <w:pPr>
              <w:pStyle w:val="Compact"/>
              <w:jc w:val="left"/>
            </w:pPr>
            <w:r>
              <w:t xml:space="preserve">Endpoint Lead</w:t>
            </w:r>
          </w:p>
        </w:tc>
      </w:tr>
      <w:tr>
        <w:tc>
          <w:tcPr/>
          <w:p>
            <w:pPr>
              <w:pStyle w:val="Compact"/>
              <w:jc w:val="left"/>
            </w:pPr>
            <w:r>
              <w:t xml:space="preserve">7</w:t>
            </w:r>
          </w:p>
        </w:tc>
        <w:tc>
          <w:tcPr/>
          <w:p>
            <w:pPr>
              <w:pStyle w:val="Compact"/>
              <w:jc w:val="left"/>
            </w:pPr>
            <w:r>
              <w:t xml:space="preserve">All SCEP/PKCS certificates issued by Cloud PKI</w:t>
            </w:r>
          </w:p>
        </w:tc>
        <w:tc>
          <w:tcPr/>
          <w:p>
            <w:pPr>
              <w:pStyle w:val="Compact"/>
              <w:jc w:val="left"/>
            </w:pPr>
            <w:r>
              <w:t xml:space="preserve">Intune certificate report — 0 ADCS issuances in last 30 days</w:t>
            </w:r>
          </w:p>
        </w:tc>
        <w:tc>
          <w:tcPr/>
          <w:p>
            <w:pPr>
              <w:pStyle w:val="Compact"/>
              <w:jc w:val="left"/>
            </w:pPr>
            <w:r>
              <w:t xml:space="preserve">PKI Lead</w:t>
            </w:r>
          </w:p>
        </w:tc>
      </w:tr>
      <w:tr>
        <w:tc>
          <w:tcPr/>
          <w:p>
            <w:pPr>
              <w:pStyle w:val="Compact"/>
              <w:jc w:val="left"/>
            </w:pPr>
            <w:r>
              <w:t xml:space="preserve">8</w:t>
            </w:r>
          </w:p>
        </w:tc>
        <w:tc>
          <w:tcPr/>
          <w:p>
            <w:pPr>
              <w:pStyle w:val="Compact"/>
              <w:jc w:val="left"/>
            </w:pPr>
            <w:r>
              <w:t xml:space="preserve">ADCS auto-enrollment disabled on all templates</w:t>
            </w:r>
          </w:p>
        </w:tc>
        <w:tc>
          <w:tcPr/>
          <w:p>
            <w:pPr>
              <w:pStyle w:val="Compact"/>
              <w:jc w:val="left"/>
            </w:pPr>
            <w:r>
              <w:t xml:space="preserve">certutil -template audit</w:t>
            </w:r>
          </w:p>
        </w:tc>
        <w:tc>
          <w:tcPr/>
          <w:p>
            <w:pPr>
              <w:pStyle w:val="Compact"/>
              <w:jc w:val="left"/>
            </w:pPr>
            <w:r>
              <w:t xml:space="preserve">PKI Lead</w:t>
            </w:r>
          </w:p>
        </w:tc>
      </w:tr>
      <w:tr>
        <w:tc>
          <w:tcPr/>
          <w:p>
            <w:pPr>
              <w:pStyle w:val="Compact"/>
              <w:jc w:val="left"/>
            </w:pPr>
            <w:r>
              <w:t xml:space="preserve">9</w:t>
            </w:r>
          </w:p>
        </w:tc>
        <w:tc>
          <w:tcPr/>
          <w:p>
            <w:pPr>
              <w:pStyle w:val="Compact"/>
              <w:jc w:val="left"/>
            </w:pPr>
            <w:r>
              <w:t xml:space="preserve">All ESC vulnerabilities remediated or accepted with documentation</w:t>
            </w:r>
          </w:p>
        </w:tc>
        <w:tc>
          <w:tcPr/>
          <w:p>
            <w:pPr>
              <w:pStyle w:val="Compact"/>
              <w:jc w:val="left"/>
            </w:pPr>
            <w:r>
              <w:t xml:space="preserve">SecurityRemediationPlan.json — all items closed</w:t>
            </w:r>
          </w:p>
        </w:tc>
        <w:tc>
          <w:tcPr/>
          <w:p>
            <w:pPr>
              <w:pStyle w:val="Compact"/>
              <w:jc w:val="left"/>
            </w:pPr>
            <w:r>
              <w:t xml:space="preserve">Security Lead</w:t>
            </w:r>
          </w:p>
        </w:tc>
      </w:tr>
      <w:tr>
        <w:tc>
          <w:tcPr/>
          <w:p>
            <w:pPr>
              <w:pStyle w:val="Compact"/>
              <w:jc w:val="left"/>
            </w:pPr>
            <w:r>
              <w:t xml:space="preserve">10</w:t>
            </w:r>
          </w:p>
        </w:tc>
        <w:tc>
          <w:tcPr/>
          <w:p>
            <w:pPr>
              <w:pStyle w:val="Compact"/>
              <w:jc w:val="left"/>
            </w:pPr>
            <w:r>
              <w:t xml:space="preserve">CRL distribution points still accessible for existing certificates</w:t>
            </w:r>
          </w:p>
        </w:tc>
        <w:tc>
          <w:tcPr/>
          <w:p>
            <w:pPr>
              <w:pStyle w:val="Compact"/>
              <w:jc w:val="left"/>
            </w:pPr>
            <w:r>
              <w:t xml:space="preserve">certutil -verify against issued certificates</w:t>
            </w:r>
          </w:p>
        </w:tc>
        <w:tc>
          <w:tcPr/>
          <w:p>
            <w:pPr>
              <w:pStyle w:val="Compact"/>
              <w:jc w:val="left"/>
            </w:pPr>
            <w:r>
              <w:t xml:space="preserve">PKI Lead</w:t>
            </w:r>
          </w:p>
        </w:tc>
      </w:tr>
      <w:tr>
        <w:tc>
          <w:tcPr/>
          <w:p>
            <w:pPr>
              <w:pStyle w:val="Compact"/>
              <w:jc w:val="left"/>
            </w:pPr>
            <w:r>
              <w:t xml:space="preserve">11</w:t>
            </w:r>
          </w:p>
        </w:tc>
        <w:tc>
          <w:tcPr/>
          <w:p>
            <w:pPr>
              <w:pStyle w:val="Compact"/>
              <w:jc w:val="left"/>
            </w:pPr>
            <w:r>
              <w:t xml:space="preserve">DNS resolution working for all zones via Private Resolver</w:t>
            </w:r>
          </w:p>
        </w:tc>
        <w:tc>
          <w:tcPr/>
          <w:p>
            <w:pPr>
              <w:pStyle w:val="Compact"/>
              <w:jc w:val="left"/>
            </w:pPr>
            <w:r>
              <w:t xml:space="preserve">nslookup/dig tests from all sites</w:t>
            </w:r>
          </w:p>
        </w:tc>
        <w:tc>
          <w:tcPr/>
          <w:p>
            <w:pPr>
              <w:pStyle w:val="Compact"/>
              <w:jc w:val="left"/>
            </w:pPr>
            <w:r>
              <w:t xml:space="preserve">DNS Lead</w:t>
            </w:r>
          </w:p>
        </w:tc>
      </w:tr>
      <w:tr>
        <w:tc>
          <w:tcPr/>
          <w:p>
            <w:pPr>
              <w:pStyle w:val="Compact"/>
              <w:jc w:val="left"/>
            </w:pPr>
            <w:r>
              <w:t xml:space="preserve">12</w:t>
            </w:r>
          </w:p>
        </w:tc>
        <w:tc>
          <w:tcPr/>
          <w:p>
            <w:pPr>
              <w:pStyle w:val="Compact"/>
              <w:jc w:val="left"/>
            </w:pPr>
            <w:r>
              <w:t xml:space="preserve">No conditional forwarders remaining on on-prem DNS servers</w:t>
            </w:r>
          </w:p>
        </w:tc>
        <w:tc>
          <w:tcPr/>
          <w:p>
            <w:pPr>
              <w:pStyle w:val="Compact"/>
              <w:jc w:val="left"/>
            </w:pPr>
            <w:r>
              <w:t xml:space="preserve">DNS server configuration audit</w:t>
            </w:r>
          </w:p>
        </w:tc>
        <w:tc>
          <w:tcPr/>
          <w:p>
            <w:pPr>
              <w:pStyle w:val="Compact"/>
              <w:jc w:val="left"/>
            </w:pPr>
            <w:r>
              <w:t xml:space="preserve">DNS Lead</w:t>
            </w:r>
          </w:p>
        </w:tc>
      </w:tr>
      <w:tr>
        <w:tc>
          <w:tcPr/>
          <w:p>
            <w:pPr>
              <w:pStyle w:val="Compact"/>
              <w:jc w:val="left"/>
            </w:pPr>
            <w:r>
              <w:t xml:space="preserve">13</w:t>
            </w:r>
          </w:p>
        </w:tc>
        <w:tc>
          <w:tcPr/>
          <w:p>
            <w:pPr>
              <w:pStyle w:val="Compact"/>
              <w:jc w:val="left"/>
            </w:pPr>
            <w:r>
              <w:t xml:space="preserve">SRV records for AD services still resolvable (AD remains for auth)</w:t>
            </w:r>
          </w:p>
        </w:tc>
        <w:tc>
          <w:tcPr/>
          <w:p>
            <w:pPr>
              <w:pStyle w:val="Compact"/>
              <w:jc w:val="left"/>
            </w:pPr>
            <w:r>
              <w:t xml:space="preserve">nslookup -type=SRV _ldap._tcp.domain</w:t>
            </w:r>
          </w:p>
        </w:tc>
        <w:tc>
          <w:tcPr/>
          <w:p>
            <w:pPr>
              <w:pStyle w:val="Compact"/>
              <w:jc w:val="left"/>
            </w:pPr>
            <w:r>
              <w:t xml:space="preserve">DNS Lead</w:t>
            </w:r>
          </w:p>
        </w:tc>
      </w:tr>
      <w:tr>
        <w:tc>
          <w:tcPr/>
          <w:p>
            <w:pPr>
              <w:pStyle w:val="Compact"/>
              <w:jc w:val="left"/>
            </w:pPr>
            <w:r>
              <w:t xml:space="preserve">14</w:t>
            </w:r>
          </w:p>
        </w:tc>
        <w:tc>
          <w:tcPr/>
          <w:p>
            <w:pPr>
              <w:pStyle w:val="Compact"/>
              <w:jc w:val="left"/>
            </w:pPr>
            <w:r>
              <w:t xml:space="preserve">Azure Arc enrolled for all in-scope servers</w:t>
            </w:r>
          </w:p>
        </w:tc>
        <w:tc>
          <w:tcPr/>
          <w:p>
            <w:pPr>
              <w:pStyle w:val="Compact"/>
              <w:jc w:val="left"/>
            </w:pPr>
            <w:r>
              <w:t xml:space="preserve">Arc resource inventory vs. ComputerModernizationPlan.json</w:t>
            </w:r>
          </w:p>
        </w:tc>
        <w:tc>
          <w:tcPr/>
          <w:p>
            <w:pPr>
              <w:pStyle w:val="Compact"/>
              <w:jc w:val="left"/>
            </w:pPr>
            <w:r>
              <w:t xml:space="preserve">Infra Lead</w:t>
            </w:r>
          </w:p>
        </w:tc>
      </w:tr>
      <w:tr>
        <w:tc>
          <w:tcPr/>
          <w:p>
            <w:pPr>
              <w:pStyle w:val="Compact"/>
              <w:jc w:val="left"/>
            </w:pPr>
            <w:r>
              <w:t xml:space="preserve">15</w:t>
            </w:r>
          </w:p>
        </w:tc>
        <w:tc>
          <w:tcPr/>
          <w:p>
            <w:pPr>
              <w:pStyle w:val="Compact"/>
              <w:jc w:val="left"/>
            </w:pPr>
            <w:r>
              <w:t xml:space="preserve">Guest Configuration policies compliant on all Arc servers</w:t>
            </w:r>
          </w:p>
        </w:tc>
        <w:tc>
          <w:tcPr/>
          <w:p>
            <w:pPr>
              <w:pStyle w:val="Compact"/>
              <w:jc w:val="left"/>
            </w:pPr>
            <w:r>
              <w:t xml:space="preserve">Azure Policy compliance dashboard</w:t>
            </w:r>
          </w:p>
        </w:tc>
        <w:tc>
          <w:tcPr/>
          <w:p>
            <w:pPr>
              <w:pStyle w:val="Compact"/>
              <w:jc w:val="left"/>
            </w:pPr>
            <w:r>
              <w:t xml:space="preserve">Infra Lead</w:t>
            </w:r>
          </w:p>
        </w:tc>
      </w:tr>
      <w:tr>
        <w:tc>
          <w:tcPr/>
          <w:p>
            <w:pPr>
              <w:pStyle w:val="Compact"/>
              <w:jc w:val="left"/>
            </w:pPr>
            <w:r>
              <w:t xml:space="preserve">16</w:t>
            </w:r>
          </w:p>
        </w:tc>
        <w:tc>
          <w:tcPr/>
          <w:p>
            <w:pPr>
              <w:pStyle w:val="Compact"/>
              <w:jc w:val="left"/>
            </w:pPr>
            <w:r>
              <w:t xml:space="preserve">All trusts marked for removal have been removed</w:t>
            </w:r>
          </w:p>
        </w:tc>
        <w:tc>
          <w:tcPr/>
          <w:p>
            <w:pPr>
              <w:pStyle w:val="Compact"/>
              <w:jc w:val="left"/>
            </w:pPr>
            <w:r>
              <w:t xml:space="preserve">TrustDecommissionPlan.json — all non-essential trusts removed</w:t>
            </w:r>
          </w:p>
        </w:tc>
        <w:tc>
          <w:tcPr/>
          <w:p>
            <w:pPr>
              <w:pStyle w:val="Compact"/>
              <w:jc w:val="left"/>
            </w:pPr>
            <w:r>
              <w:t xml:space="preserve">Identity Lead</w:t>
            </w:r>
          </w:p>
        </w:tc>
      </w:tr>
      <w:tr>
        <w:tc>
          <w:tcPr/>
          <w:p>
            <w:pPr>
              <w:pStyle w:val="Compact"/>
              <w:jc w:val="left"/>
            </w:pPr>
            <w:r>
              <w:t xml:space="preserve">17</w:t>
            </w:r>
          </w:p>
        </w:tc>
        <w:tc>
          <w:tcPr/>
          <w:p>
            <w:pPr>
              <w:pStyle w:val="Compact"/>
              <w:jc w:val="left"/>
            </w:pPr>
            <w:r>
              <w:t xml:space="preserve">ADFS farm disabled (if applicable)</w:t>
            </w:r>
          </w:p>
        </w:tc>
        <w:tc>
          <w:tcPr/>
          <w:p>
            <w:pPr>
              <w:pStyle w:val="Compact"/>
              <w:jc w:val="left"/>
            </w:pPr>
            <w:r>
              <w:t xml:space="preserve">ADFS service stopped; no federated domains remain</w:t>
            </w:r>
          </w:p>
        </w:tc>
        <w:tc>
          <w:tcPr/>
          <w:p>
            <w:pPr>
              <w:pStyle w:val="Compact"/>
              <w:jc w:val="left"/>
            </w:pPr>
            <w:r>
              <w:t xml:space="preserve">Identity Lead</w:t>
            </w:r>
          </w:p>
        </w:tc>
      </w:tr>
      <w:tr>
        <w:tc>
          <w:tcPr/>
          <w:p>
            <w:pPr>
              <w:pStyle w:val="Compact"/>
              <w:jc w:val="left"/>
            </w:pPr>
            <w:r>
              <w:t xml:space="preserve">18</w:t>
            </w:r>
          </w:p>
        </w:tc>
        <w:tc>
          <w:tcPr/>
          <w:p>
            <w:pPr>
              <w:pStyle w:val="Compact"/>
              <w:jc w:val="left"/>
            </w:pPr>
            <w:r>
              <w:t xml:space="preserve">Service accounts migrated to gMSA or Workload Identity</w:t>
            </w:r>
          </w:p>
        </w:tc>
        <w:tc>
          <w:tcPr/>
          <w:p>
            <w:pPr>
              <w:pStyle w:val="Compact"/>
              <w:jc w:val="left"/>
            </w:pPr>
            <w:r>
              <w:t xml:space="preserve">ServiceAccounts.csv — all migrated or documented exception</w:t>
            </w:r>
          </w:p>
        </w:tc>
        <w:tc>
          <w:tcPr/>
          <w:p>
            <w:pPr>
              <w:pStyle w:val="Compact"/>
              <w:jc w:val="left"/>
            </w:pPr>
            <w:r>
              <w:t xml:space="preserve">Identity Lead</w:t>
            </w:r>
          </w:p>
        </w:tc>
      </w:tr>
      <w:tr>
        <w:tc>
          <w:tcPr/>
          <w:p>
            <w:pPr>
              <w:pStyle w:val="Compact"/>
              <w:jc w:val="left"/>
            </w:pPr>
            <w:r>
              <w:t xml:space="preserve">19</w:t>
            </w:r>
          </w:p>
        </w:tc>
        <w:tc>
          <w:tcPr/>
          <w:p>
            <w:pPr>
              <w:pStyle w:val="Compact"/>
              <w:jc w:val="left"/>
            </w:pPr>
            <w:r>
              <w:t xml:space="preserve">Drift detection running and producing weekly reports</w:t>
            </w:r>
          </w:p>
        </w:tc>
        <w:tc>
          <w:tcPr/>
          <w:p>
            <w:pPr>
              <w:pStyle w:val="Compact"/>
              <w:jc w:val="left"/>
            </w:pPr>
            <w:r>
              <w:t xml:space="preserve">Gitea commit history shows weekly assessment diffs</w:t>
            </w:r>
          </w:p>
        </w:tc>
        <w:tc>
          <w:tcPr/>
          <w:p>
            <w:pPr>
              <w:pStyle w:val="Compact"/>
              <w:jc w:val="left"/>
            </w:pPr>
            <w:r>
              <w:t xml:space="preserve">Canon Steward</w:t>
            </w:r>
          </w:p>
        </w:tc>
      </w:tr>
      <w:tr>
        <w:tc>
          <w:tcPr/>
          <w:p>
            <w:pPr>
              <w:pStyle w:val="Compact"/>
              <w:jc w:val="left"/>
            </w:pPr>
            <w:r>
              <w:t xml:space="preserve">20</w:t>
            </w:r>
          </w:p>
        </w:tc>
        <w:tc>
          <w:tcPr/>
          <w:p>
            <w:pPr>
              <w:pStyle w:val="Compact"/>
              <w:jc w:val="left"/>
            </w:pPr>
            <w:r>
              <w:t xml:space="preserve">All planning documents updated to CURRENT status</w:t>
            </w:r>
          </w:p>
        </w:tc>
        <w:tc>
          <w:tcPr/>
          <w:p>
            <w:pPr>
              <w:pStyle w:val="Compact"/>
              <w:jc w:val="left"/>
            </w:pPr>
            <w:r>
              <w:t xml:space="preserve">Gitea file status audit</w:t>
            </w:r>
          </w:p>
        </w:tc>
        <w:tc>
          <w:tcPr/>
          <w:p>
            <w:pPr>
              <w:pStyle w:val="Compact"/>
              <w:jc w:val="left"/>
            </w:pPr>
            <w:r>
              <w:t xml:space="preserve">Canon Steward</w:t>
            </w:r>
          </w:p>
        </w:tc>
      </w:tr>
      <w:tr>
        <w:tc>
          <w:tcPr/>
          <w:p>
            <w:pPr>
              <w:pStyle w:val="Compact"/>
              <w:jc w:val="left"/>
            </w:pPr>
            <w:r>
              <w:t xml:space="preserve">21</w:t>
            </w:r>
          </w:p>
        </w:tc>
        <w:tc>
          <w:tcPr/>
          <w:p>
            <w:pPr>
              <w:pStyle w:val="Compact"/>
              <w:jc w:val="left"/>
            </w:pPr>
            <w:r>
              <w:t xml:space="preserve">Decommissioned servers removed from AD computer objects</w:t>
            </w:r>
          </w:p>
        </w:tc>
        <w:tc>
          <w:tcPr/>
          <w:p>
            <w:pPr>
              <w:pStyle w:val="Compact"/>
              <w:jc w:val="left"/>
            </w:pPr>
            <w:r>
              <w:t xml:space="preserve">ComputerInventory.json re-scan shows removal</w:t>
            </w:r>
          </w:p>
        </w:tc>
        <w:tc>
          <w:tcPr/>
          <w:p>
            <w:pPr>
              <w:pStyle w:val="Compact"/>
              <w:jc w:val="left"/>
            </w:pPr>
            <w:r>
              <w:t xml:space="preserve">Infra Lead</w:t>
            </w:r>
          </w:p>
        </w:tc>
      </w:tr>
      <w:tr>
        <w:tc>
          <w:tcPr/>
          <w:p>
            <w:pPr>
              <w:pStyle w:val="Compact"/>
              <w:jc w:val="left"/>
            </w:pPr>
            <w:r>
              <w:t xml:space="preserve">22</w:t>
            </w:r>
          </w:p>
        </w:tc>
        <w:tc>
          <w:tcPr/>
          <w:p>
            <w:pPr>
              <w:pStyle w:val="Compact"/>
              <w:jc w:val="left"/>
            </w:pPr>
            <w:r>
              <w:t xml:space="preserve">Monitoring and alerting configured for all modernized services</w:t>
            </w:r>
          </w:p>
        </w:tc>
        <w:tc>
          <w:tcPr/>
          <w:p>
            <w:pPr>
              <w:pStyle w:val="Compact"/>
              <w:jc w:val="left"/>
            </w:pPr>
            <w:r>
              <w:t xml:space="preserve">Alert test verification for each pillar</w:t>
            </w:r>
          </w:p>
        </w:tc>
        <w:tc>
          <w:tcPr/>
          <w:p>
            <w:pPr>
              <w:pStyle w:val="Compact"/>
              <w:jc w:val="left"/>
            </w:pPr>
            <w:r>
              <w:t xml:space="preserve">All Leads</w:t>
            </w:r>
          </w:p>
        </w:tc>
      </w:tr>
      <w:tr>
        <w:tc>
          <w:tcPr/>
          <w:p>
            <w:pPr>
              <w:pStyle w:val="Compact"/>
              <w:jc w:val="left"/>
            </w:pPr>
            <w:r>
              <w:t xml:space="preserve">23</w:t>
            </w:r>
          </w:p>
        </w:tc>
        <w:tc>
          <w:tcPr/>
          <w:p>
            <w:pPr>
              <w:pStyle w:val="Compact"/>
              <w:jc w:val="left"/>
            </w:pPr>
            <w:r>
              <w:t xml:space="preserve">Break-glass accounts tested and documented</w:t>
            </w:r>
          </w:p>
        </w:tc>
        <w:tc>
          <w:tcPr/>
          <w:p>
            <w:pPr>
              <w:pStyle w:val="Compact"/>
              <w:jc w:val="left"/>
            </w:pPr>
            <w:r>
              <w:t xml:space="preserve">Break-glass login test successful</w:t>
            </w:r>
          </w:p>
        </w:tc>
        <w:tc>
          <w:tcPr/>
          <w:p>
            <w:pPr>
              <w:pStyle w:val="Compact"/>
              <w:jc w:val="left"/>
            </w:pPr>
            <w:r>
              <w:t xml:space="preserve">Security Lead</w:t>
            </w:r>
          </w:p>
        </w:tc>
      </w:tr>
      <w:tr>
        <w:tc>
          <w:tcPr/>
          <w:p>
            <w:pPr>
              <w:pStyle w:val="Compact"/>
              <w:jc w:val="left"/>
            </w:pPr>
            <w:r>
              <w:t xml:space="preserve">24</w:t>
            </w:r>
          </w:p>
        </w:tc>
        <w:tc>
          <w:tcPr/>
          <w:p>
            <w:pPr>
              <w:pStyle w:val="Compact"/>
              <w:jc w:val="left"/>
            </w:pPr>
            <w:r>
              <w:t xml:space="preserve">Operational runbooks drafted for steady-state operations</w:t>
            </w:r>
          </w:p>
        </w:tc>
        <w:tc>
          <w:tcPr/>
          <w:p>
            <w:pPr>
              <w:pStyle w:val="Compact"/>
              <w:jc w:val="left"/>
            </w:pPr>
            <w:r>
              <w:t xml:space="preserve">Runbooks committed to Gitea</w:t>
            </w:r>
          </w:p>
        </w:tc>
        <w:tc>
          <w:tcPr/>
          <w:p>
            <w:pPr>
              <w:pStyle w:val="Compact"/>
              <w:jc w:val="left"/>
            </w:pPr>
            <w:r>
              <w:t xml:space="preserve">All Leads</w:t>
            </w:r>
          </w:p>
        </w:tc>
      </w:tr>
      <w:tr>
        <w:tc>
          <w:tcPr/>
          <w:p>
            <w:pPr>
              <w:pStyle w:val="Compact"/>
              <w:jc w:val="left"/>
            </w:pPr>
            <w:r>
              <w:t xml:space="preserve">25</w:t>
            </w:r>
          </w:p>
        </w:tc>
        <w:tc>
          <w:tcPr/>
          <w:p>
            <w:pPr>
              <w:pStyle w:val="Compact"/>
              <w:jc w:val="left"/>
            </w:pPr>
            <w:r>
              <w:t xml:space="preserve">Phase 5 completion report committed to Gitea</w:t>
            </w:r>
          </w:p>
        </w:tc>
        <w:tc>
          <w:tcPr/>
          <w:p>
            <w:pPr>
              <w:pStyle w:val="Compact"/>
              <w:jc w:val="left"/>
            </w:pPr>
            <w:r>
              <w:t xml:space="preserve">Gate review report at reports/phase-gates/phase-5-completion.md</w:t>
            </w:r>
          </w:p>
        </w:tc>
        <w:tc>
          <w:tcPr/>
          <w:p>
            <w:pPr>
              <w:pStyle w:val="Compact"/>
              <w:jc w:val="left"/>
            </w:pPr>
            <w:r>
              <w:t xml:space="preserve">PM</w:t>
            </w:r>
          </w:p>
        </w:tc>
      </w:tr>
    </w:tbl>
    <w:p>
      <w:pPr>
        <w:pStyle w:val="BodyText"/>
      </w:pPr>
      <w:r>
        <w:t xml:space="preserve">8.3 Rollback Plan for Cutover Actions</w:t>
      </w:r>
    </w:p>
    <w:tbl>
      <w:tblPr>
        <w:tblStyle w:val="Table"/>
        <w:tblW w:type="pct" w:w="4949"/>
        <w:tblLayout w:type="fixed"/>
        <w:tblLook w:firstRow="1" w:lastRow="0" w:firstColumn="0" w:lastColumn="0" w:noHBand="0" w:noVBand="0" w:val="0020"/>
      </w:tblPr>
      <w:tblGrid>
        <w:gridCol w:w="1050"/>
        <w:gridCol w:w="1091"/>
        <w:gridCol w:w="4121"/>
        <w:gridCol w:w="1575"/>
      </w:tblGrid>
      <w:tr>
        <w:trPr>
          <w:tblHeader w:val="on"/>
        </w:trPr>
        <w:tc>
          <w:tcPr/>
          <w:p>
            <w:pPr>
              <w:pStyle w:val="Compact"/>
              <w:jc w:val="left"/>
            </w:pPr>
            <w:r>
              <w:rPr>
                <w:b/>
                <w:bCs/>
              </w:rPr>
              <w:t xml:space="preserve">Cutover Action</w:t>
            </w:r>
          </w:p>
        </w:tc>
        <w:tc>
          <w:tcPr/>
          <w:p>
            <w:pPr>
              <w:pStyle w:val="Compact"/>
              <w:jc w:val="left"/>
            </w:pPr>
            <w:r>
              <w:rPr>
                <w:b/>
                <w:bCs/>
              </w:rPr>
              <w:t xml:space="preserve">Rollback Possibility</w:t>
            </w:r>
          </w:p>
        </w:tc>
        <w:tc>
          <w:tcPr/>
          <w:p>
            <w:pPr>
              <w:pStyle w:val="Compact"/>
              <w:jc w:val="left"/>
            </w:pPr>
            <w:r>
              <w:rPr>
                <w:b/>
                <w:bCs/>
              </w:rPr>
              <w:t xml:space="preserve">Procedure</w:t>
            </w:r>
          </w:p>
        </w:tc>
        <w:tc>
          <w:tcPr/>
          <w:p>
            <w:pPr>
              <w:pStyle w:val="Compact"/>
              <w:jc w:val="left"/>
            </w:pPr>
            <w:r>
              <w:rPr>
                <w:b/>
                <w:bCs/>
              </w:rPr>
              <w:t xml:space="preserve">Time Window</w:t>
            </w:r>
          </w:p>
        </w:tc>
      </w:tr>
      <w:tr>
        <w:tc>
          <w:tcPr/>
          <w:p>
            <w:pPr>
              <w:pStyle w:val="Compact"/>
              <w:jc w:val="left"/>
            </w:pPr>
            <w:r>
              <w:t xml:space="preserve">ADFS decommission</w:t>
            </w:r>
          </w:p>
        </w:tc>
        <w:tc>
          <w:tcPr/>
          <w:p>
            <w:pPr>
              <w:pStyle w:val="Compact"/>
              <w:jc w:val="left"/>
            </w:pPr>
            <w:r>
              <w:t xml:space="preserve">Reversible within 72h</w:t>
            </w:r>
          </w:p>
        </w:tc>
        <w:tc>
          <w:tcPr/>
          <w:p>
            <w:pPr>
              <w:pStyle w:val="Compact"/>
              <w:jc w:val="left"/>
            </w:pPr>
            <w:r>
              <w:t xml:space="preserve">Re-enable ADFS service; convert managed domains back to federated via PowerShell</w:t>
            </w:r>
          </w:p>
        </w:tc>
        <w:tc>
          <w:tcPr/>
          <w:p>
            <w:pPr>
              <w:pStyle w:val="Compact"/>
              <w:jc w:val="left"/>
            </w:pPr>
            <w:r>
              <w:t xml:space="preserve">72 hours</w:t>
            </w:r>
          </w:p>
        </w:tc>
      </w:tr>
      <w:tr>
        <w:tc>
          <w:tcPr/>
          <w:p>
            <w:pPr>
              <w:pStyle w:val="Compact"/>
              <w:jc w:val="left"/>
            </w:pPr>
            <w:r>
              <w:t xml:space="preserve">ADCS issuance stopped</w:t>
            </w:r>
          </w:p>
        </w:tc>
        <w:tc>
          <w:tcPr/>
          <w:p>
            <w:pPr>
              <w:pStyle w:val="Compact"/>
              <w:jc w:val="left"/>
            </w:pPr>
            <w:r>
              <w:t xml:space="preserve">Reversible</w:t>
            </w:r>
          </w:p>
        </w:tc>
        <w:tc>
          <w:tcPr/>
          <w:p>
            <w:pPr>
              <w:pStyle w:val="Compact"/>
              <w:jc w:val="left"/>
            </w:pPr>
            <w:r>
              <w:t xml:space="preserve">Re-enable auto-enrollment on templates; restart CA issuance. CRL must remain valid.</w:t>
            </w:r>
          </w:p>
        </w:tc>
        <w:tc>
          <w:tcPr/>
          <w:p>
            <w:pPr>
              <w:pStyle w:val="Compact"/>
              <w:jc w:val="left"/>
            </w:pPr>
            <w:r>
              <w:t xml:space="preserve">Indefinite (while CA online)</w:t>
            </w:r>
          </w:p>
        </w:tc>
      </w:tr>
      <w:tr>
        <w:tc>
          <w:tcPr/>
          <w:p>
            <w:pPr>
              <w:pStyle w:val="Compact"/>
              <w:jc w:val="left"/>
            </w:pPr>
            <w:r>
              <w:t xml:space="preserve">DNS forwarder migration</w:t>
            </w:r>
          </w:p>
        </w:tc>
        <w:tc>
          <w:tcPr/>
          <w:p>
            <w:pPr>
              <w:pStyle w:val="Compact"/>
              <w:jc w:val="left"/>
            </w:pPr>
            <w:r>
              <w:t xml:space="preserve">Reversible</w:t>
            </w:r>
          </w:p>
        </w:tc>
        <w:tc>
          <w:tcPr/>
          <w:p>
            <w:pPr>
              <w:pStyle w:val="Compact"/>
              <w:jc w:val="left"/>
            </w:pPr>
            <w:r>
              <w:t xml:space="preserve">Re-create conditional forwarders on on-prem DNS servers; disable Private Resolver rules</w:t>
            </w:r>
          </w:p>
        </w:tc>
        <w:tc>
          <w:tcPr/>
          <w:p>
            <w:pPr>
              <w:pStyle w:val="Compact"/>
              <w:jc w:val="left"/>
            </w:pPr>
            <w:r>
              <w:t xml:space="preserve">Indefinite</w:t>
            </w:r>
          </w:p>
        </w:tc>
      </w:tr>
      <w:tr>
        <w:tc>
          <w:tcPr/>
          <w:p>
            <w:pPr>
              <w:pStyle w:val="Compact"/>
              <w:jc w:val="left"/>
            </w:pPr>
            <w:r>
              <w:t xml:space="preserve">GPO link removal</w:t>
            </w:r>
          </w:p>
        </w:tc>
        <w:tc>
          <w:tcPr/>
          <w:p>
            <w:pPr>
              <w:pStyle w:val="Compact"/>
              <w:jc w:val="left"/>
            </w:pPr>
            <w:r>
              <w:t xml:space="preserve">Reversible</w:t>
            </w:r>
          </w:p>
        </w:tc>
        <w:tc>
          <w:tcPr/>
          <w:p>
            <w:pPr>
              <w:pStyle w:val="Compact"/>
              <w:jc w:val="left"/>
            </w:pPr>
            <w:r>
              <w:t xml:space="preserve">Re-link GPOs to OUs. GPO objects retained specifically for this purpose.</w:t>
            </w:r>
          </w:p>
        </w:tc>
        <w:tc>
          <w:tcPr/>
          <w:p>
            <w:pPr>
              <w:pStyle w:val="Compact"/>
              <w:jc w:val="left"/>
            </w:pPr>
            <w:r>
              <w:t xml:space="preserve">Until GPO objects deleted (Phase 6+)</w:t>
            </w:r>
          </w:p>
        </w:tc>
      </w:tr>
      <w:tr>
        <w:tc>
          <w:tcPr/>
          <w:p>
            <w:pPr>
              <w:pStyle w:val="Compact"/>
              <w:jc w:val="left"/>
            </w:pPr>
            <w:r>
              <w:t xml:space="preserve">Trust removal</w:t>
            </w:r>
          </w:p>
        </w:tc>
        <w:tc>
          <w:tcPr/>
          <w:p>
            <w:pPr>
              <w:pStyle w:val="Compact"/>
              <w:jc w:val="left"/>
            </w:pPr>
            <w:r>
              <w:t xml:space="preserve">Requires recreation</w:t>
            </w:r>
          </w:p>
        </w:tc>
        <w:tc>
          <w:tcPr/>
          <w:p>
            <w:pPr>
              <w:pStyle w:val="Compact"/>
              <w:jc w:val="left"/>
            </w:pPr>
            <w:r>
              <w:t xml:space="preserve">Recreate trust with same partner domain. Requires admin access on both sides.</w:t>
            </w:r>
          </w:p>
        </w:tc>
        <w:tc>
          <w:tcPr/>
          <w:p>
            <w:pPr>
              <w:pStyle w:val="Compact"/>
              <w:jc w:val="left"/>
            </w:pPr>
            <w:r>
              <w:t xml:space="preserve">4–8 hours</w:t>
            </w:r>
          </w:p>
        </w:tc>
      </w:tr>
      <w:tr>
        <w:tc>
          <w:tcPr/>
          <w:p>
            <w:pPr>
              <w:pStyle w:val="Compact"/>
              <w:jc w:val="left"/>
            </w:pPr>
            <w:r>
              <w:t xml:space="preserve">Server decommission</w:t>
            </w:r>
          </w:p>
        </w:tc>
        <w:tc>
          <w:tcPr/>
          <w:p>
            <w:pPr>
              <w:pStyle w:val="Compact"/>
              <w:jc w:val="left"/>
            </w:pPr>
            <w:r>
              <w:t xml:space="preserve">Requires rebuild</w:t>
            </w:r>
          </w:p>
        </w:tc>
        <w:tc>
          <w:tcPr/>
          <w:p>
            <w:pPr>
              <w:pStyle w:val="Compact"/>
              <w:jc w:val="left"/>
            </w:pPr>
            <w:r>
              <w:t xml:space="preserve">Re-provision from backup or rebuild from documented procedure. This is the point of no easy return.</w:t>
            </w:r>
          </w:p>
        </w:tc>
        <w:tc>
          <w:tcPr/>
          <w:p>
            <w:pPr>
              <w:pStyle w:val="Compact"/>
              <w:jc w:val="left"/>
            </w:pPr>
            <w:r>
              <w:t xml:space="preserve">24–48 hours</w:t>
            </w:r>
          </w:p>
        </w:tc>
      </w:tr>
    </w:tbl>
    <w:p>
      <w:pPr>
        <w:pStyle w:val="BodyText"/>
      </w:pPr>
      <w:r>
        <w:t xml:space="preserve">9. Phase 6: Steady State (Week 42+)</w:t>
      </w:r>
    </w:p>
    <w:p>
      <w:pPr>
        <w:pStyle w:val="BodyText"/>
      </w:pPr>
      <w:r>
        <w:rPr>
          <w:b/>
          <w:bCs/>
        </w:rPr>
        <w:t xml:space="preserve">Objective:</w:t>
      </w:r>
      <w:r>
        <w:t xml:space="preserve"> </w:t>
      </w:r>
      <w:r>
        <w:t xml:space="preserve">Operate the modernized environment under continuous governance with automated drift detection, scheduled re-assessment, and periodic access reviews — all tracked through the Federal Modernization Program Gitea pipeline.</w:t>
      </w:r>
    </w:p>
    <w:p>
      <w:pPr>
        <w:pStyle w:val="BodyText"/>
      </w:pPr>
      <w:r>
        <w:t xml:space="preserve">9.1 Continuous Governance Operations</w:t>
      </w:r>
    </w:p>
    <w:tbl>
      <w:tblPr>
        <w:tblStyle w:val="Table"/>
        <w:tblW w:type="pct" w:w="4949"/>
        <w:tblLayout w:type="fixed"/>
        <w:tblLook w:firstRow="1" w:lastRow="0" w:firstColumn="0" w:lastColumn="0" w:noHBand="0" w:noVBand="0" w:val="0020"/>
      </w:tblPr>
      <w:tblGrid>
        <w:gridCol w:w="1206"/>
        <w:gridCol w:w="763"/>
        <w:gridCol w:w="3296"/>
        <w:gridCol w:w="2572"/>
      </w:tblGrid>
      <w:tr>
        <w:trPr>
          <w:tblHeader w:val="on"/>
        </w:trPr>
        <w:tc>
          <w:tcPr/>
          <w:p>
            <w:pPr>
              <w:pStyle w:val="Compact"/>
              <w:jc w:val="left"/>
            </w:pPr>
            <w:r>
              <w:rPr>
                <w:b/>
                <w:bCs/>
              </w:rPr>
              <w:t xml:space="preserve">Operation</w:t>
            </w:r>
          </w:p>
        </w:tc>
        <w:tc>
          <w:tcPr/>
          <w:p>
            <w:pPr>
              <w:pStyle w:val="Compact"/>
              <w:jc w:val="left"/>
            </w:pPr>
            <w:r>
              <w:rPr>
                <w:b/>
                <w:bCs/>
              </w:rPr>
              <w:t xml:space="preserve">Cadence</w:t>
            </w:r>
          </w:p>
        </w:tc>
        <w:tc>
          <w:tcPr/>
          <w:p>
            <w:pPr>
              <w:pStyle w:val="Compact"/>
              <w:jc w:val="left"/>
            </w:pPr>
            <w:r>
              <w:rPr>
                <w:b/>
                <w:bCs/>
              </w:rPr>
              <w:t xml:space="preserve">Tool / Process</w:t>
            </w:r>
          </w:p>
        </w:tc>
        <w:tc>
          <w:tcPr/>
          <w:p>
            <w:pPr>
              <w:pStyle w:val="Compact"/>
              <w:jc w:val="left"/>
            </w:pPr>
            <w:r>
              <w:rPr>
                <w:b/>
                <w:bCs/>
              </w:rPr>
              <w:t xml:space="preserve">Output</w:t>
            </w:r>
          </w:p>
        </w:tc>
      </w:tr>
      <w:tr>
        <w:tc>
          <w:tcPr/>
          <w:p>
            <w:pPr>
              <w:pStyle w:val="Compact"/>
              <w:jc w:val="left"/>
            </w:pPr>
            <w:r>
              <w:rPr>
                <w:b/>
                <w:bCs/>
              </w:rPr>
              <w:t xml:space="preserve">Scheduled re-assessment</w:t>
            </w:r>
          </w:p>
        </w:tc>
        <w:tc>
          <w:tcPr/>
          <w:p>
            <w:pPr>
              <w:pStyle w:val="Compact"/>
              <w:jc w:val="left"/>
            </w:pPr>
            <w:r>
              <w:t xml:space="preserve">Weekly</w:t>
            </w:r>
          </w:p>
        </w:tc>
        <w:tc>
          <w:tcPr/>
          <w:p>
            <w:pPr>
              <w:pStyle w:val="Compact"/>
              <w:jc w:val="left"/>
            </w:pPr>
            <w:r>
              <w:t xml:space="preserve">Invoke-FMPADAssessment runs as scheduled task; diffs committed to Gitea a</w:t>
            </w:r>
          </w:p>
        </w:tc>
        <w:tc>
          <w:tcPr/>
          <w:p>
            <w:pPr>
              <w:pStyle w:val="Compact"/>
              <w:jc w:val="left"/>
            </w:pPr>
            <w:r>
              <w:t xml:space="preserve">ssessments/weekly/{YYYY-WNN}/delta.json</w:t>
            </w:r>
          </w:p>
        </w:tc>
      </w:tr>
      <w:tr>
        <w:tc>
          <w:tcPr/>
          <w:p>
            <w:pPr>
              <w:pStyle w:val="Compact"/>
              <w:jc w:val="left"/>
            </w:pPr>
            <w:r>
              <w:rPr>
                <w:b/>
                <w:bCs/>
              </w:rPr>
              <w:t xml:space="preserve">Drift detection</w:t>
            </w:r>
          </w:p>
        </w:tc>
        <w:tc>
          <w:tcPr/>
          <w:p>
            <w:pPr>
              <w:pStyle w:val="Compact"/>
              <w:jc w:val="left"/>
            </w:pPr>
            <w:r>
              <w:t xml:space="preserve">Daily</w:t>
            </w:r>
          </w:p>
        </w:tc>
        <w:tc>
          <w:tcPr/>
          <w:p>
            <w:pPr>
              <w:pStyle w:val="Compact"/>
              <w:jc w:val="left"/>
            </w:pPr>
            <w:r>
              <w:t xml:space="preserve">Invoke-FMPDriftDetection compares current state against canonical plans G</w:t>
            </w:r>
          </w:p>
        </w:tc>
        <w:tc>
          <w:tcPr/>
          <w:p>
            <w:pPr>
              <w:pStyle w:val="Compact"/>
              <w:jc w:val="left"/>
            </w:pPr>
            <w:r>
              <w:t xml:space="preserve">itea issues created with assigned owner and SLA per severity</w:t>
            </w:r>
          </w:p>
        </w:tc>
      </w:tr>
      <w:tr>
        <w:tc>
          <w:tcPr/>
          <w:p>
            <w:pPr>
              <w:pStyle w:val="Compact"/>
              <w:jc w:val="left"/>
            </w:pPr>
            <w:r>
              <w:rPr>
                <w:b/>
                <w:bCs/>
              </w:rPr>
              <w:t xml:space="preserve">Compliance monitoring</w:t>
            </w:r>
          </w:p>
        </w:tc>
        <w:tc>
          <w:tcPr/>
          <w:p>
            <w:pPr>
              <w:pStyle w:val="Compact"/>
              <w:jc w:val="left"/>
            </w:pPr>
            <w:r>
              <w:t xml:space="preserve">Continuous</w:t>
            </w:r>
          </w:p>
        </w:tc>
        <w:tc>
          <w:tcPr/>
          <w:p>
            <w:pPr>
              <w:pStyle w:val="Compact"/>
              <w:jc w:val="left"/>
            </w:pPr>
            <w:r>
              <w:t xml:space="preserve">Intune compliance dashboard, Azure Policy compliance, Entra sign-in health</w:t>
            </w:r>
          </w:p>
        </w:tc>
        <w:tc>
          <w:tcPr/>
          <w:p>
            <w:pPr>
              <w:pStyle w:val="Compact"/>
              <w:jc w:val="left"/>
            </w:pPr>
            <w:r>
              <w:t xml:space="preserve">Monthly compliance report committed to Gitea</w:t>
            </w:r>
          </w:p>
        </w:tc>
      </w:tr>
      <w:tr>
        <w:tc>
          <w:tcPr/>
          <w:p>
            <w:pPr>
              <w:pStyle w:val="Compact"/>
              <w:jc w:val="left"/>
            </w:pPr>
            <w:r>
              <w:rPr>
                <w:b/>
                <w:bCs/>
              </w:rPr>
              <w:t xml:space="preserve">Certificate lifecycle</w:t>
            </w:r>
          </w:p>
        </w:tc>
        <w:tc>
          <w:tcPr/>
          <w:p>
            <w:pPr>
              <w:pStyle w:val="Compact"/>
              <w:jc w:val="left"/>
            </w:pPr>
            <w:r>
              <w:t xml:space="preserve">Daily monitoring</w:t>
            </w:r>
          </w:p>
        </w:tc>
        <w:tc>
          <w:tcPr/>
          <w:p>
            <w:pPr>
              <w:pStyle w:val="Compact"/>
              <w:jc w:val="left"/>
            </w:pPr>
            <w:r>
              <w:t xml:space="preserve">Cloud PKI renewal monitoring; Entra CBA binding validation</w:t>
            </w:r>
          </w:p>
        </w:tc>
        <w:tc>
          <w:tcPr/>
          <w:p>
            <w:pPr>
              <w:pStyle w:val="Compact"/>
              <w:jc w:val="left"/>
            </w:pPr>
            <w:r>
              <w:t xml:space="preserve">Certificate expiration alerts 30/14/7 days before expiry</w:t>
            </w:r>
          </w:p>
        </w:tc>
      </w:tr>
      <w:tr>
        <w:tc>
          <w:tcPr/>
          <w:p>
            <w:pPr>
              <w:pStyle w:val="Compact"/>
              <w:jc w:val="left"/>
            </w:pPr>
            <w:r>
              <w:rPr>
                <w:b/>
                <w:bCs/>
              </w:rPr>
              <w:t xml:space="preserve">DNS health</w:t>
            </w:r>
          </w:p>
        </w:tc>
        <w:tc>
          <w:tcPr/>
          <w:p>
            <w:pPr>
              <w:pStyle w:val="Compact"/>
              <w:jc w:val="left"/>
            </w:pPr>
            <w:r>
              <w:t xml:space="preserve">Continuous</w:t>
            </w:r>
          </w:p>
        </w:tc>
        <w:tc>
          <w:tcPr/>
          <w:p>
            <w:pPr>
              <w:pStyle w:val="Compact"/>
              <w:jc w:val="left"/>
            </w:pPr>
            <w:r>
              <w:t xml:space="preserve">SRV record validation probes; Private Resolver health checks; query analytics</w:t>
            </w:r>
          </w:p>
        </w:tc>
        <w:tc>
          <w:tcPr/>
          <w:p>
            <w:pPr>
              <w:pStyle w:val="Compact"/>
              <w:jc w:val="left"/>
            </w:pPr>
            <w:r>
              <w:t xml:space="preserve">DNS health dashboard; alert on resolution failure rate &gt;0.1%</w:t>
            </w:r>
          </w:p>
        </w:tc>
      </w:tr>
      <w:tr>
        <w:tc>
          <w:tcPr/>
          <w:p>
            <w:pPr>
              <w:pStyle w:val="Compact"/>
              <w:jc w:val="left"/>
            </w:pPr>
            <w:r>
              <w:rPr>
                <w:b/>
                <w:bCs/>
              </w:rPr>
              <w:t xml:space="preserve">Access reviews</w:t>
            </w:r>
          </w:p>
        </w:tc>
        <w:tc>
          <w:tcPr/>
          <w:p>
            <w:pPr>
              <w:pStyle w:val="Compact"/>
              <w:jc w:val="left"/>
            </w:pPr>
            <w:r>
              <w:t xml:space="preserve">Quarterly</w:t>
            </w:r>
          </w:p>
        </w:tc>
        <w:tc>
          <w:tcPr/>
          <w:p>
            <w:pPr>
              <w:pStyle w:val="Compact"/>
              <w:jc w:val="left"/>
            </w:pPr>
            <w:r>
              <w:t xml:space="preserve">PIM role assignment reviews; group attestation; app consent reviews in Entra ID</w:t>
            </w:r>
          </w:p>
        </w:tc>
        <w:tc>
          <w:tcPr/>
          <w:p>
            <w:pPr>
              <w:pStyle w:val="Compact"/>
              <w:jc w:val="left"/>
            </w:pPr>
            <w:r>
              <w:t xml:space="preserve">Access review results committed to Gitea</w:t>
            </w:r>
          </w:p>
        </w:tc>
      </w:tr>
    </w:tbl>
    <w:p>
      <w:pPr>
        <w:pStyle w:val="BodyText"/>
      </w:pPr>
      <w:r>
        <w:t xml:space="preserve">9.2 Steady State Milestones</w:t>
      </w:r>
    </w:p>
    <w:tbl>
      <w:tblPr>
        <w:tblStyle w:val="Table"/>
        <w:tblW w:type="pct" w:w="4897"/>
        <w:tblLayout w:type="fixed"/>
        <w:tblLook w:firstRow="1" w:lastRow="0" w:firstColumn="0" w:lastColumn="0" w:noHBand="0" w:noVBand="0" w:val="0020"/>
      </w:tblPr>
      <w:tblGrid>
        <w:gridCol w:w="734"/>
        <w:gridCol w:w="2367"/>
        <w:gridCol w:w="1714"/>
        <w:gridCol w:w="2939"/>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Cadence</w:t>
            </w:r>
          </w:p>
        </w:tc>
        <w:tc>
          <w:tcPr/>
          <w:p>
            <w:pPr>
              <w:pStyle w:val="Compact"/>
              <w:jc w:val="left"/>
            </w:pPr>
            <w:r>
              <w:rPr>
                <w:b/>
                <w:bCs/>
              </w:rPr>
              <w:t xml:space="preserve">Owner</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Weekly (automated)</w:t>
            </w:r>
          </w:p>
        </w:tc>
        <w:tc>
          <w:tcPr/>
          <w:p>
            <w:pPr>
              <w:pStyle w:val="Compact"/>
              <w:jc w:val="left"/>
            </w:pPr>
            <w:r>
              <w:t xml:space="preserve">Automation / Canon Steward review</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Monthly</w:t>
            </w:r>
          </w:p>
        </w:tc>
        <w:tc>
          <w:tcPr/>
          <w:p>
            <w:pPr>
              <w:pStyle w:val="Compact"/>
              <w:jc w:val="left"/>
            </w:pPr>
            <w:r>
              <w:t xml:space="preserve">Security Lead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Quarterly</w:t>
            </w:r>
          </w:p>
        </w:tc>
        <w:tc>
          <w:tcPr/>
          <w:p>
            <w:pPr>
              <w:pStyle w:val="Compact"/>
              <w:jc w:val="left"/>
            </w:pPr>
            <w:r>
              <w:t xml:space="preserve">Identity Lead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Annual</w:t>
            </w:r>
          </w:p>
        </w:tc>
        <w:tc>
          <w:tcPr/>
          <w:p>
            <w:pPr>
              <w:pStyle w:val="Compact"/>
              <w:jc w:val="left"/>
            </w:pPr>
            <w:r>
              <w:t xml:space="preserve">Canon Steward</w:t>
            </w:r>
          </w:p>
        </w:tc>
      </w:tr>
    </w:tbl>
    <w:p>
      <w:pPr>
        <w:pStyle w:val="BodyText"/>
      </w:pPr>
      <w:r>
        <w:t xml:space="preserve">9.3 SLA Framework for Drift Remediation</w:t>
      </w:r>
    </w:p>
    <w:tbl>
      <w:tblPr>
        <w:tblStyle w:val="Table"/>
        <w:tblW w:type="pct" w:w="4917"/>
        <w:tblLayout w:type="fixed"/>
        <w:tblLook w:firstRow="1" w:lastRow="0" w:firstColumn="0" w:lastColumn="0" w:noHBand="0" w:noVBand="0" w:val="0020"/>
      </w:tblPr>
      <w:tblGrid>
        <w:gridCol w:w="1518"/>
        <w:gridCol w:w="1320"/>
        <w:gridCol w:w="1452"/>
        <w:gridCol w:w="3498"/>
      </w:tblGrid>
      <w:tr>
        <w:trPr>
          <w:tblHeader w:val="on"/>
        </w:trPr>
        <w:tc>
          <w:tcPr/>
          <w:p>
            <w:pPr>
              <w:pStyle w:val="Compact"/>
              <w:jc w:val="left"/>
            </w:pPr>
            <w:r>
              <w:rPr>
                <w:b/>
                <w:bCs/>
              </w:rPr>
              <w:t xml:space="preserve">Finding Severity</w:t>
            </w:r>
          </w:p>
        </w:tc>
        <w:tc>
          <w:tcPr/>
          <w:p>
            <w:pPr>
              <w:pStyle w:val="Compact"/>
              <w:jc w:val="left"/>
            </w:pPr>
            <w:r>
              <w:rPr>
                <w:b/>
                <w:bCs/>
              </w:rPr>
              <w:t xml:space="preserve">Detection SLA</w:t>
            </w:r>
          </w:p>
        </w:tc>
        <w:tc>
          <w:tcPr/>
          <w:p>
            <w:pPr>
              <w:pStyle w:val="Compact"/>
              <w:jc w:val="left"/>
            </w:pPr>
            <w:r>
              <w:rPr>
                <w:b/>
                <w:bCs/>
              </w:rPr>
              <w:t xml:space="preserve">Remediation SLA</w:t>
            </w:r>
          </w:p>
        </w:tc>
        <w:tc>
          <w:tcPr/>
          <w:p>
            <w:pPr>
              <w:pStyle w:val="Compact"/>
              <w:jc w:val="left"/>
            </w:pPr>
            <w:r>
              <w:rPr>
                <w:b/>
                <w:bCs/>
              </w:rPr>
              <w:t xml:space="preserve">Escalation</w:t>
            </w:r>
          </w:p>
        </w:tc>
      </w:tr>
      <w:tr>
        <w:tc>
          <w:tcPr/>
          <w:p>
            <w:pPr>
              <w:pStyle w:val="Compact"/>
              <w:jc w:val="left"/>
            </w:pPr>
            <w:r>
              <w:rPr>
                <w:b/>
                <w:bCs/>
              </w:rPr>
              <w:t xml:space="preserve">Critical</w:t>
            </w:r>
          </w:p>
        </w:tc>
        <w:tc>
          <w:tcPr/>
          <w:p>
            <w:pPr>
              <w:pStyle w:val="Compact"/>
              <w:jc w:val="left"/>
            </w:pPr>
            <w:r>
              <w:t xml:space="preserve">&lt; 1 hour</w:t>
            </w:r>
          </w:p>
        </w:tc>
        <w:tc>
          <w:tcPr/>
          <w:p>
            <w:pPr>
              <w:pStyle w:val="Compact"/>
              <w:jc w:val="left"/>
            </w:pPr>
            <w:r>
              <w:t xml:space="preserve">&lt; 4 hours</w:t>
            </w:r>
          </w:p>
        </w:tc>
        <w:tc>
          <w:tcPr/>
          <w:p>
            <w:pPr>
              <w:pStyle w:val="Compact"/>
              <w:jc w:val="left"/>
            </w:pPr>
            <w:r>
              <w:t xml:space="preserve">Canon Steward + Security Lead notified immediately</w:t>
            </w:r>
          </w:p>
        </w:tc>
      </w:tr>
      <w:tr>
        <w:tc>
          <w:tcPr/>
          <w:p>
            <w:pPr>
              <w:pStyle w:val="Compact"/>
              <w:jc w:val="left"/>
            </w:pPr>
            <w:r>
              <w:rPr>
                <w:b/>
                <w:bCs/>
              </w:rPr>
              <w:t xml:space="preserve">High</w:t>
            </w:r>
          </w:p>
        </w:tc>
        <w:tc>
          <w:tcPr/>
          <w:p>
            <w:pPr>
              <w:pStyle w:val="Compact"/>
              <w:jc w:val="left"/>
            </w:pPr>
            <w:r>
              <w:t xml:space="preserve">&lt; 4 hours</w:t>
            </w:r>
          </w:p>
        </w:tc>
        <w:tc>
          <w:tcPr/>
          <w:p>
            <w:pPr>
              <w:pStyle w:val="Compact"/>
              <w:jc w:val="left"/>
            </w:pPr>
            <w:r>
              <w:t xml:space="preserve">&lt; 24 hours</w:t>
            </w:r>
          </w:p>
        </w:tc>
        <w:tc>
          <w:tcPr/>
          <w:p>
            <w:pPr>
              <w:pStyle w:val="Compact"/>
              <w:jc w:val="left"/>
            </w:pPr>
            <w:r>
              <w:t xml:space="preserve">Pillar Lead notified within 4 hours</w:t>
            </w:r>
          </w:p>
        </w:tc>
      </w:tr>
      <w:tr>
        <w:tc>
          <w:tcPr/>
          <w:p>
            <w:pPr>
              <w:pStyle w:val="Compact"/>
              <w:jc w:val="left"/>
            </w:pPr>
            <w:r>
              <w:rPr>
                <w:b/>
                <w:bCs/>
              </w:rPr>
              <w:t xml:space="preserve">Medium</w:t>
            </w:r>
          </w:p>
        </w:tc>
        <w:tc>
          <w:tcPr/>
          <w:p>
            <w:pPr>
              <w:pStyle w:val="Compact"/>
              <w:jc w:val="left"/>
            </w:pPr>
            <w:r>
              <w:t xml:space="preserve">&lt; 24 hours</w:t>
            </w:r>
          </w:p>
        </w:tc>
        <w:tc>
          <w:tcPr/>
          <w:p>
            <w:pPr>
              <w:pStyle w:val="Compact"/>
              <w:jc w:val="left"/>
            </w:pPr>
            <w:r>
              <w:t xml:space="preserve">&lt; 7 days</w:t>
            </w:r>
          </w:p>
        </w:tc>
        <w:tc>
          <w:tcPr/>
          <w:p>
            <w:pPr>
              <w:pStyle w:val="Compact"/>
              <w:jc w:val="left"/>
            </w:pPr>
            <w:r>
              <w:t xml:space="preserve">Pillar Lead notified within 24 hours</w:t>
            </w:r>
          </w:p>
        </w:tc>
      </w:tr>
      <w:tr>
        <w:tc>
          <w:tcPr/>
          <w:p>
            <w:pPr>
              <w:pStyle w:val="Compact"/>
              <w:jc w:val="left"/>
            </w:pPr>
            <w:r>
              <w:rPr>
                <w:b/>
                <w:bCs/>
              </w:rPr>
              <w:t xml:space="preserve">Low</w:t>
            </w:r>
          </w:p>
        </w:tc>
        <w:tc>
          <w:tcPr/>
          <w:p>
            <w:pPr>
              <w:pStyle w:val="Compact"/>
              <w:jc w:val="left"/>
            </w:pPr>
            <w:r>
              <w:t xml:space="preserve">&lt; 7 days</w:t>
            </w:r>
          </w:p>
        </w:tc>
        <w:tc>
          <w:tcPr/>
          <w:p>
            <w:pPr>
              <w:pStyle w:val="Compact"/>
              <w:jc w:val="left"/>
            </w:pPr>
            <w:r>
              <w:t xml:space="preserve">&lt; 30 days</w:t>
            </w:r>
          </w:p>
        </w:tc>
        <w:tc>
          <w:tcPr/>
          <w:p>
            <w:pPr>
              <w:pStyle w:val="Compact"/>
              <w:jc w:val="left"/>
            </w:pPr>
            <w:r>
              <w:t xml:space="preserve">Tracked in Gitea issue; reviewed at weekly standup</w:t>
            </w:r>
          </w:p>
        </w:tc>
      </w:tr>
    </w:tbl>
    <w:p>
      <w:pPr>
        <w:pStyle w:val="BodyText"/>
      </w:pPr>
      <w:r>
        <w:t xml:space="preserve">10. Risk Register</w:t>
      </w:r>
    </w:p>
    <w:tbl>
      <w:tblPr>
        <w:tblStyle w:val="Table"/>
        <w:tblW w:type="pct" w:w="4964"/>
        <w:tblLayout w:type="fixed"/>
        <w:tblLook w:firstRow="1" w:lastRow="0" w:firstColumn="0" w:lastColumn="0" w:noHBand="0" w:noVBand="0" w:val="0020"/>
      </w:tblPr>
      <w:tblGrid>
        <w:gridCol w:w="400"/>
        <w:gridCol w:w="2087"/>
        <w:gridCol w:w="343"/>
        <w:gridCol w:w="371"/>
        <w:gridCol w:w="3831"/>
        <w:gridCol w:w="457"/>
        <w:gridCol w:w="371"/>
      </w:tblGrid>
      <w:tr>
        <w:trPr>
          <w:tblHeader w:val="on"/>
        </w:trPr>
        <w:tc>
          <w:tcPr/>
          <w:p>
            <w:pPr>
              <w:pStyle w:val="Compact"/>
              <w:jc w:val="left"/>
            </w:pPr>
            <w:r>
              <w:rPr>
                <w:b/>
                <w:bCs/>
              </w:rPr>
              <w:t xml:space="preserve">Risk ID</w:t>
            </w:r>
          </w:p>
        </w:tc>
        <w:tc>
          <w:tcPr/>
          <w:p>
            <w:pPr>
              <w:pStyle w:val="Compact"/>
              <w:jc w:val="left"/>
            </w:pPr>
            <w:r>
              <w:rPr>
                <w:b/>
                <w:bCs/>
              </w:rPr>
              <w:t xml:space="preserve">Risk Description</w:t>
            </w:r>
          </w:p>
        </w:tc>
        <w:tc>
          <w:tcPr/>
          <w:p>
            <w:pPr>
              <w:pStyle w:val="Compact"/>
              <w:jc w:val="left"/>
            </w:pPr>
            <w:r>
              <w:rPr>
                <w:b/>
                <w:bCs/>
              </w:rPr>
              <w:t xml:space="preserve">Prob.</w:t>
            </w:r>
          </w:p>
        </w:tc>
        <w:tc>
          <w:tcPr/>
          <w:p>
            <w:pPr>
              <w:pStyle w:val="Compact"/>
              <w:jc w:val="left"/>
            </w:pPr>
            <w:r>
              <w:rPr>
                <w:b/>
                <w:bCs/>
              </w:rPr>
              <w:t xml:space="preserve">Impact</w:t>
            </w:r>
          </w:p>
        </w:tc>
        <w:tc>
          <w:tcPr/>
          <w:p>
            <w:pPr>
              <w:pStyle w:val="Compact"/>
              <w:jc w:val="left"/>
            </w:pPr>
            <w:r>
              <w:rPr>
                <w:b/>
                <w:bCs/>
              </w:rPr>
              <w:t xml:space="preserve">Mitigation Strategy</w:t>
            </w:r>
          </w:p>
        </w:tc>
        <w:tc>
          <w:tcPr/>
          <w:p>
            <w:pPr>
              <w:pStyle w:val="Compact"/>
              <w:jc w:val="left"/>
            </w:pPr>
            <w:r>
              <w:rPr>
                <w:b/>
                <w:bCs/>
              </w:rPr>
              <w:t xml:space="preserve">Owner</w:t>
            </w:r>
          </w:p>
        </w:tc>
        <w:tc>
          <w:tcPr/>
          <w:p>
            <w:pPr>
              <w:pStyle w:val="Compact"/>
              <w:jc w:val="left"/>
            </w:pPr>
            <w:r>
              <w:rPr>
                <w:b/>
                <w:bCs/>
              </w:rPr>
              <w:t xml:space="preserve">Status</w:t>
            </w:r>
          </w:p>
        </w:tc>
      </w:tr>
      <w:tr>
        <w:tc>
          <w:tcPr/>
          <w:p>
            <w:pPr>
              <w:pStyle w:val="Compact"/>
              <w:jc w:val="left"/>
            </w:pPr>
            <w:r>
              <w:t xml:space="preserve">R-001</w:t>
            </w:r>
          </w:p>
        </w:tc>
        <w:tc>
          <w:tcPr/>
          <w:p>
            <w:pPr>
              <w:pStyle w:val="Compact"/>
              <w:jc w:val="left"/>
            </w:pPr>
            <w:r>
              <w:t xml:space="preserve">Assessment reveals undocumented AD trusts blocking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Read-only assessment (Phase 1 Week 4) identifies all trusts before any migration. TrustMap.json drives decommission plan.</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R-002</w:t>
            </w:r>
          </w:p>
        </w:tc>
        <w:tc>
          <w:tcPr/>
          <w:p>
            <w:pPr>
              <w:pStyle w:val="Compact"/>
              <w:jc w:val="left"/>
            </w:pPr>
            <w:r>
              <w:t xml:space="preserve">ESC critical findings require emergency PKI remediation before Phase 3</w:t>
            </w:r>
          </w:p>
        </w:tc>
        <w:tc>
          <w:tcPr/>
          <w:p>
            <w:pPr>
              <w:pStyle w:val="Compact"/>
              <w:jc w:val="left"/>
            </w:pPr>
            <w:r>
              <w:t xml:space="preserve">High</w:t>
            </w:r>
          </w:p>
        </w:tc>
        <w:tc>
          <w:tcPr/>
          <w:p>
            <w:pPr>
              <w:pStyle w:val="Compact"/>
              <w:jc w:val="left"/>
            </w:pPr>
            <w:r>
              <w:t xml:space="preserve">Critical</w:t>
            </w:r>
          </w:p>
        </w:tc>
        <w:tc>
          <w:tcPr/>
          <w:p>
            <w:pPr>
              <w:pStyle w:val="Compact"/>
              <w:jc w:val="left"/>
            </w:pPr>
            <w:r>
              <w:t xml:space="preserve">Security assessment (Week 6) identifies all ESC1–ESC8 vulnerabilities. Critical findings remediated in Week 9 before pilot.</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R-003</w:t>
            </w:r>
          </w:p>
        </w:tc>
        <w:tc>
          <w:tcPr/>
          <w:p>
            <w:pPr>
              <w:pStyle w:val="Compact"/>
              <w:jc w:val="left"/>
            </w:pPr>
            <w:r>
              <w:t xml:space="preserve">Legacy applications dependent on NTLM authentication discovered</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Application inventory during assessment; NTLM audit logs enabled in Phase 2; application exception policies in Conditional Access.</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R-004</w:t>
            </w:r>
          </w:p>
        </w:tc>
        <w:tc>
          <w:tcPr/>
          <w:p>
            <w:pPr>
              <w:pStyle w:val="Compact"/>
              <w:jc w:val="left"/>
            </w:pPr>
            <w:r>
              <w:t xml:space="preserve">Entra Connect sync failures during Phase 3</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Deploy in staging mode first; validate sync before enabling scheduler; monitor sync errors via Entra Connect Health.</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R-005</w:t>
            </w:r>
          </w:p>
        </w:tc>
        <w:tc>
          <w:tcPr/>
          <w:p>
            <w:pPr>
              <w:pStyle w:val="Compact"/>
              <w:jc w:val="left"/>
            </w:pPr>
            <w:r>
              <w:t xml:space="preserve">Cloud PKI licensing delay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Procure Intune Suite licenses in Phase 2; validate licensing before Phase 3 pilot.</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R-006</w:t>
            </w:r>
          </w:p>
        </w:tc>
        <w:tc>
          <w:tcPr/>
          <w:p>
            <w:pPr>
              <w:pStyle w:val="Compact"/>
              <w:jc w:val="left"/>
            </w:pPr>
            <w:r>
              <w:t xml:space="preserve">DNS resolution failure during hybrid coexistence</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Test bidirectional resolution at pilot sites; deploy synthetic monitoring probes; maintain AD DNS as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R-007</w:t>
            </w:r>
          </w:p>
        </w:tc>
        <w:tc>
          <w:tcPr/>
          <w:p>
            <w:pPr>
              <w:pStyle w:val="Compact"/>
              <w:jc w:val="left"/>
            </w:pPr>
            <w:r>
              <w:t xml:space="preserve">User resistance to passwordless authentication</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Pilot with willing early adopters; provide training materials; department champions; phased enforcement.</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R-008</w:t>
            </w:r>
          </w:p>
        </w:tc>
        <w:tc>
          <w:tcPr/>
          <w:p>
            <w:pPr>
              <w:pStyle w:val="Compact"/>
              <w:jc w:val="left"/>
            </w:pPr>
            <w:r>
              <w:t xml:space="preserve">Gitea server hardware failure (single point of failure)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Daily backup to Azure Blob or network share; GitHub mirror as secondary source; Active-Passive replication (follow-on document P2).</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R-009</w:t>
            </w:r>
          </w:p>
        </w:tc>
        <w:tc>
          <w:tcPr/>
          <w:p>
            <w:pPr>
              <w:pStyle w:val="Compact"/>
              <w:jc w:val="left"/>
            </w:pPr>
            <w:r>
              <w:t xml:space="preserve">Azure Arc agent deployment blocked by endpoint security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Pre-approve Connected Machine agent in endpoint protection policies; test on pilot servers first.</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R-010</w:t>
            </w:r>
          </w:p>
        </w:tc>
        <w:tc>
          <w:tcPr/>
          <w:p>
            <w:pPr>
              <w:pStyle w:val="Compact"/>
              <w:jc w:val="left"/>
            </w:pPr>
            <w:r>
              <w:t xml:space="preserve">GPO-to-Intune settings not supported in Settings Catalog</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Gap Analysis document identifies unsupported settings; use custom OMA-URI or ADMX ingestion; document accepted gaps.</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R-011</w:t>
            </w:r>
          </w:p>
        </w:tc>
        <w:tc>
          <w:tcPr/>
          <w:p>
            <w:pPr>
              <w:pStyle w:val="Compact"/>
              <w:jc w:val="left"/>
            </w:pPr>
            <w:r>
              <w:t xml:space="preserve">Certificate strong mapping failures on legacy DCs</w:t>
            </w:r>
          </w:p>
        </w:tc>
        <w:tc>
          <w:tcPr/>
          <w:p>
            <w:pPr>
              <w:pStyle w:val="Compact"/>
              <w:jc w:val="left"/>
            </w:pPr>
            <w:r>
              <w:t xml:space="preserve">Medium</w:t>
            </w:r>
          </w:p>
        </w:tc>
        <w:tc>
          <w:tcPr/>
          <w:p>
            <w:pPr>
              <w:pStyle w:val="Compact"/>
              <w:jc w:val="left"/>
            </w:pPr>
            <w:r>
              <w:t xml:space="preserve">Critical</w:t>
            </w:r>
          </w:p>
        </w:tc>
        <w:tc>
          <w:tcPr/>
          <w:p>
            <w:pPr>
              <w:pStyle w:val="Compact"/>
              <w:jc w:val="left"/>
            </w:pPr>
            <w:r>
              <w:t xml:space="preserve">Audit SID-based vs. explicit mapping on all templates; update mappings per PKI Modernization Guide §7 before enabling CBA.</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R-012</w:t>
            </w:r>
          </w:p>
        </w:tc>
        <w:tc>
          <w:tcPr/>
          <w:p>
            <w:pPr>
              <w:pStyle w:val="Compact"/>
              <w:jc w:val="left"/>
            </w:pPr>
            <w:r>
              <w:t xml:space="preserve">Budget constraints delaying license procurement</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Submit license business case in Phase 1; obtain budget approval before Phase 2 design begins.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R-013</w:t>
            </w:r>
          </w:p>
        </w:tc>
        <w:tc>
          <w:tcPr/>
          <w:p>
            <w:pPr>
              <w:pStyle w:val="Compact"/>
              <w:jc w:val="left"/>
            </w:pPr>
            <w:r>
              <w:t xml:space="preserve">Key personnel departure during critical phase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Cross-train 2 people per pillar; all procedures documented in Gitea; no single-person dependencies.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R-014</w:t>
            </w:r>
          </w:p>
        </w:tc>
        <w:tc>
          <w:tcPr/>
          <w:p>
            <w:pPr>
              <w:pStyle w:val="Compact"/>
              <w:jc w:val="left"/>
            </w:pPr>
            <w:r>
              <w:t xml:space="preserve">Regulatory audit occurs during migration window</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Maintain compliance documentation in Gitea with full audit trail; freeze changes during audit if required.</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R-015</w:t>
            </w:r>
          </w:p>
        </w:tc>
        <w:tc>
          <w:tcPr/>
          <w:p>
            <w:pPr>
              <w:pStyle w:val="Compact"/>
              <w:jc w:val="left"/>
            </w:pPr>
            <w:r>
              <w:t xml:space="preserve">Split-brain DNS causes production outage</w:t>
            </w:r>
          </w:p>
        </w:tc>
        <w:tc>
          <w:tcPr/>
          <w:p>
            <w:pPr>
              <w:pStyle w:val="Compact"/>
              <w:jc w:val="left"/>
            </w:pPr>
            <w:r>
              <w:t xml:space="preserve">Low</w:t>
            </w:r>
          </w:p>
        </w:tc>
        <w:tc>
          <w:tcPr/>
          <w:p>
            <w:pPr>
              <w:pStyle w:val="Compact"/>
              <w:jc w:val="left"/>
            </w:pPr>
            <w:r>
              <w:t xml:space="preserve">Critical</w:t>
            </w:r>
          </w:p>
        </w:tc>
        <w:tc>
          <w:tcPr/>
          <w:p>
            <w:pPr>
              <w:pStyle w:val="Compact"/>
              <w:jc w:val="left"/>
            </w:pPr>
            <w:r>
              <w:t xml:space="preserve">Design split-brain patterns carefully (DNS Modernization Guide §8); test at each wave; maintain AD DNS as authoritative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R-016</w:t>
            </w:r>
          </w:p>
        </w:tc>
        <w:tc>
          <w:tcPr/>
          <w:p>
            <w:pPr>
              <w:pStyle w:val="Compact"/>
              <w:jc w:val="left"/>
            </w:pPr>
            <w:r>
              <w:t xml:space="preserve">Dynamic group membership rules produce incorrect scope</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Validate all dynamic group rules in non-production (Phase 2 M-015); monitor membership changes during scale.</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R-017</w:t>
            </w:r>
          </w:p>
        </w:tc>
        <w:tc>
          <w:tcPr/>
          <w:p>
            <w:pPr>
              <w:pStyle w:val="Compact"/>
              <w:jc w:val="left"/>
            </w:pPr>
            <w:r>
              <w:t xml:space="preserve">Entra CBA certificate-to-user binding breaks during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Staged CBA rollout; monitor sign-in logs for binding failures; maintain password fallback during transition.</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R-018</w:t>
            </w:r>
          </w:p>
        </w:tc>
        <w:tc>
          <w:tcPr/>
          <w:p>
            <w:pPr>
              <w:pStyle w:val="Compact"/>
              <w:jc w:val="left"/>
            </w:pPr>
            <w:r>
              <w:t xml:space="preserve">Gitea mirror sync from GitHub fails silently</w:t>
            </w:r>
          </w:p>
        </w:tc>
        <w:tc>
          <w:tcPr/>
          <w:p>
            <w:pPr>
              <w:pStyle w:val="Compact"/>
              <w:jc w:val="left"/>
            </w:pPr>
            <w:r>
              <w:t xml:space="preserve">Low</w:t>
            </w:r>
          </w:p>
        </w:tc>
        <w:tc>
          <w:tcPr/>
          <w:p>
            <w:pPr>
              <w:pStyle w:val="Compact"/>
              <w:jc w:val="left"/>
            </w:pPr>
            <w:r>
              <w:t xml:space="preserve">Low</w:t>
            </w:r>
          </w:p>
        </w:tc>
        <w:tc>
          <w:tcPr/>
          <w:p>
            <w:pPr>
              <w:pStyle w:val="Compact"/>
              <w:jc w:val="left"/>
            </w:pPr>
            <w:r>
              <w:t xml:space="preserve">Post-receive hook validates sync timestamp; alert if stale &gt;24h.</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R-019</w:t>
            </w:r>
          </w:p>
        </w:tc>
        <w:tc>
          <w:tcPr/>
          <w:p>
            <w:pPr>
              <w:pStyle w:val="Compact"/>
              <w:jc w:val="left"/>
            </w:pPr>
            <w:r>
              <w:t xml:space="preserve">Schema extension conflicts block extension attribute assignment</w:t>
            </w:r>
          </w:p>
        </w:tc>
        <w:tc>
          <w:tcPr/>
          <w:p>
            <w:pPr>
              <w:pStyle w:val="Compact"/>
            </w:pPr>
          </w:p>
        </w:tc>
        <w:tc>
          <w:tcPr/>
          <w:p>
            <w:pPr>
              <w:pStyle w:val="Compact"/>
            </w:pPr>
          </w:p>
        </w:tc>
        <w:tc>
          <w:tcPr/>
          <w:p>
            <w:pPr>
              <w:pStyle w:val="Compact"/>
              <w:jc w:val="left"/>
            </w:pPr>
            <w:r>
              <w:t xml:space="preserve">Low Medium SchemaExtensions.json assessment identifies in-use extension attributes; select unused attributes for exten</w:t>
            </w:r>
          </w:p>
        </w:tc>
        <w:tc>
          <w:tcPr/>
          <w:p>
            <w:pPr>
              <w:pStyle w:val="Compact"/>
              <w:jc w:val="left"/>
            </w:pPr>
            <w:r>
              <w:t xml:space="preserve">sion attributes.</w:t>
            </w:r>
          </w:p>
        </w:tc>
        <w:tc>
          <w:tcPr/>
          <w:p>
            <w:pPr>
              <w:pStyle w:val="Compact"/>
              <w:jc w:val="left"/>
            </w:pPr>
            <w:r>
              <w:t xml:space="preserve">Identity Lead OPEN</w:t>
            </w:r>
          </w:p>
        </w:tc>
      </w:tr>
      <w:tr>
        <w:tc>
          <w:tcPr/>
          <w:p>
            <w:pPr>
              <w:pStyle w:val="Compact"/>
              <w:jc w:val="left"/>
            </w:pPr>
            <w:r>
              <w:t xml:space="preserve">R-020</w:t>
            </w:r>
          </w:p>
        </w:tc>
        <w:tc>
          <w:tcPr/>
          <w:p>
            <w:pPr>
              <w:pStyle w:val="Compact"/>
              <w:jc w:val="left"/>
            </w:pPr>
            <w:r>
              <w:t xml:space="preserve">ADFS decommission breaks legacy application authentication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Inventory all ADFS relying party trusts before decommission; migrate each to Entra ID Enterprise App; 72h rollback window.</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R-021</w:t>
            </w:r>
          </w:p>
        </w:tc>
        <w:tc>
          <w:tcPr/>
          <w:p>
            <w:pPr>
              <w:pStyle w:val="Compact"/>
              <w:jc w:val="left"/>
            </w:pPr>
            <w:r>
              <w:t xml:space="preserve">Assessment workstation compromised with sensitive AD data</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Use PAW with restricted network access; encrypt assessment output; destroy workstation after Phase 1.</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R-022</w:t>
            </w:r>
          </w:p>
        </w:tc>
        <w:tc>
          <w:tcPr/>
          <w:p>
            <w:pPr>
              <w:pStyle w:val="Compact"/>
              <w:jc w:val="left"/>
            </w:pPr>
            <w:r>
              <w:t xml:space="preserve">Pilot user survey returns negative results</w:t>
            </w:r>
          </w:p>
        </w:tc>
        <w:tc>
          <w:tcPr/>
          <w:p>
            <w:pPr>
              <w:pStyle w:val="Compact"/>
              <w:jc w:val="left"/>
            </w:pPr>
            <w:r>
              <w:t xml:space="preserve">Low</w:t>
            </w:r>
          </w:p>
        </w:tc>
        <w:tc>
          <w:tcPr/>
          <w:p>
            <w:pPr>
              <w:pStyle w:val="Compact"/>
              <w:jc w:val="left"/>
            </w:pPr>
            <w:r>
              <w:t xml:space="preserve">Low</w:t>
            </w:r>
          </w:p>
        </w:tc>
        <w:tc>
          <w:tcPr/>
          <w:p>
            <w:pPr>
              <w:pStyle w:val="Compact"/>
              <w:jc w:val="left"/>
            </w:pPr>
            <w:r>
              <w:t xml:space="preserve">Conduct mid-pilot check-in at Week 18; address concerns before end-of-pilot survey.</w:t>
            </w:r>
          </w:p>
        </w:tc>
        <w:tc>
          <w:tcPr/>
          <w:p>
            <w:pPr>
              <w:pStyle w:val="Compact"/>
              <w:jc w:val="left"/>
            </w:pPr>
            <w:r>
              <w:t xml:space="preserve">PM</w:t>
            </w:r>
          </w:p>
        </w:tc>
        <w:tc>
          <w:tcPr/>
          <w:p>
            <w:pPr>
              <w:pStyle w:val="Compact"/>
              <w:jc w:val="left"/>
            </w:pPr>
            <w:r>
              <w:t xml:space="preserve">OPEN</w:t>
            </w:r>
          </w:p>
        </w:tc>
      </w:tr>
    </w:tbl>
    <w:p>
      <w:pPr>
        <w:pStyle w:val="BodyText"/>
      </w:pPr>
      <w:r>
        <w:t xml:space="preserve">11. Dependency Map</w:t>
      </w:r>
    </w:p>
    <w:tbl>
      <w:tblPr>
        <w:tblStyle w:val="Table"/>
        <w:tblW w:type="pct" w:w="5020"/>
        <w:tblLayout w:type="fixed"/>
        <w:tblLook w:firstRow="0" w:lastRow="0" w:firstColumn="0" w:lastColumn="0" w:noHBand="0" w:noVBand="0" w:val="0000"/>
      </w:tblPr>
      <w:tblGrid>
        <w:gridCol w:w="7952"/>
      </w:tblGrid>
      <w:tr>
        <w:tc>
          <w:tcPr/>
          <w:p>
            <w:pPr>
              <w:pStyle w:val="Compact"/>
            </w:pPr>
            <w:r>
              <w:rPr>
                <w:b/>
                <w:bCs/>
              </w:rPr>
              <w:t xml:space="preserve">[Diagram: The Federal Modernization Program Milestone Dependency Network]</w:t>
            </w:r>
            <w:r>
              <w:t xml:space="preserve"> </w:t>
            </w:r>
            <w:r>
              <w:t xml:space="preserve">|</w:t>
            </w:r>
            <w:r>
              <w:t xml:space="preserve"> </w:t>
            </w:r>
            <w:r>
              <w:t xml:space="preserve">Directed acyclic graph showing milestone-to-milestone dependencies. Critical path highlighted in blue: M-001 → M-002 → M-005 → M-008 → M-009 → M-011 → M-012 → M-022 → M-023 → M-024 → M-031 → M-032 → M-035 → M-044. |</w:t>
            </w:r>
            <w:r>
              <w:t xml:space="preserve"> </w:t>
            </w:r>
            <w:r>
              <w:t xml:space="preserve">|</w:t>
            </w:r>
            <w:r>
              <w:t xml:space="preserve"> </w:t>
            </w:r>
            <w:r>
              <w:rPr>
                <w:b/>
                <w:bCs/>
              </w:rPr>
              <w:t xml:space="preserve">Diagram ID: FMP-MPP-D002 | Dimensions: 780 × 450 px</w:t>
            </w:r>
            <w:r>
              <w:t xml:space="preserve"> </w:t>
            </w:r>
            <w:r>
              <w:t xml:space="preserve">|</w:t>
            </w:r>
          </w:p>
        </w:tc>
      </w:tr>
    </w:tbl>
    <w:p>
      <w:pPr>
        <w:pStyle w:val="BodyText"/>
      </w:pPr>
      <w:r>
        <w:t xml:space="preserve">11.1 Milestone Dependency Table</w:t>
      </w:r>
    </w:p>
    <w:tbl>
      <w:tblPr>
        <w:tblStyle w:val="Table"/>
        <w:tblW w:type="pct" w:w="4880"/>
        <w:tblLayout w:type="fixed"/>
        <w:tblLook w:firstRow="1" w:lastRow="0" w:firstColumn="0" w:lastColumn="0" w:noHBand="0" w:noVBand="0" w:val="0020"/>
      </w:tblPr>
      <w:tblGrid>
        <w:gridCol w:w="3339"/>
        <w:gridCol w:w="2099"/>
        <w:gridCol w:w="2290"/>
      </w:tblGrid>
      <w:tr>
        <w:trPr>
          <w:tblHeader w:val="on"/>
        </w:trPr>
        <w:tc>
          <w:tcPr/>
          <w:p>
            <w:pPr>
              <w:pStyle w:val="Compact"/>
              <w:jc w:val="left"/>
            </w:pPr>
            <w:r>
              <w:rPr>
                <w:b/>
                <w:bCs/>
              </w:rPr>
              <w:t xml:space="preserve">Milestone</w:t>
            </w:r>
          </w:p>
        </w:tc>
        <w:tc>
          <w:tcPr/>
          <w:p>
            <w:pPr>
              <w:pStyle w:val="Compact"/>
              <w:jc w:val="left"/>
            </w:pPr>
            <w:r>
              <w:rPr>
                <w:b/>
                <w:bCs/>
              </w:rPr>
              <w:t xml:space="preserve">Depends On</w:t>
            </w:r>
          </w:p>
        </w:tc>
        <w:tc>
          <w:tcPr/>
          <w:p>
            <w:pPr>
              <w:pStyle w:val="Compact"/>
              <w:jc w:val="left"/>
            </w:pPr>
            <w:r>
              <w:rPr>
                <w:b/>
                <w:bCs/>
              </w:rPr>
              <w:t xml:space="preserve">Blocks</w:t>
            </w:r>
          </w:p>
        </w:tc>
      </w:tr>
      <w:tr>
        <w:tc>
          <w:tcPr/>
          <w:p>
            <w:pPr>
              <w:pStyle w:val="Compact"/>
              <w:jc w:val="left"/>
            </w:pPr>
            <w:r>
              <w:t xml:space="preserve">M-001 (Server provisioned)</w:t>
            </w:r>
          </w:p>
        </w:tc>
        <w:tc>
          <w:tcPr/>
          <w:p>
            <w:pPr>
              <w:pStyle w:val="Compact"/>
              <w:jc w:val="left"/>
            </w:pPr>
            <w:r>
              <w:t xml:space="preserve">—</w:t>
            </w:r>
          </w:p>
        </w:tc>
        <w:tc>
          <w:tcPr/>
          <w:p>
            <w:pPr>
              <w:pStyle w:val="Compact"/>
              <w:jc w:val="left"/>
            </w:pPr>
            <w:r>
              <w:t xml:space="preserve">M-002, M-007</w:t>
            </w:r>
          </w:p>
        </w:tc>
      </w:tr>
      <w:tr>
        <w:tc>
          <w:tcPr/>
          <w:p>
            <w:pPr>
              <w:pStyle w:val="Compact"/>
              <w:jc w:val="left"/>
            </w:pPr>
            <w:r>
              <w:t xml:space="preserve">M-002 (IIS + Gitea)</w:t>
            </w:r>
          </w:p>
        </w:tc>
        <w:tc>
          <w:tcPr/>
          <w:p>
            <w:pPr>
              <w:pStyle w:val="Compact"/>
              <w:jc w:val="left"/>
            </w:pPr>
            <w:r>
              <w:t xml:space="preserve">M-001</w:t>
            </w:r>
          </w:p>
        </w:tc>
        <w:tc>
          <w:tcPr/>
          <w:p>
            <w:pPr>
              <w:pStyle w:val="Compact"/>
              <w:jc w:val="left"/>
            </w:pPr>
            <w:r>
              <w:t xml:space="preserve">M-003, M-004, M-005</w:t>
            </w:r>
          </w:p>
        </w:tc>
      </w:tr>
      <w:tr>
        <w:tc>
          <w:tcPr/>
          <w:p>
            <w:pPr>
              <w:pStyle w:val="Compact"/>
              <w:jc w:val="left"/>
            </w:pPr>
            <w:r>
              <w:t xml:space="preserve">M-003 (AD LDAP auth)</w:t>
            </w:r>
          </w:p>
        </w:tc>
        <w:tc>
          <w:tcPr/>
          <w:p>
            <w:pPr>
              <w:pStyle w:val="Compact"/>
              <w:jc w:val="left"/>
            </w:pPr>
            <w:r>
              <w:t xml:space="preserve">M-002</w:t>
            </w:r>
          </w:p>
        </w:tc>
        <w:tc>
          <w:tcPr/>
          <w:p>
            <w:pPr>
              <w:pStyle w:val="Compact"/>
              <w:jc w:val="left"/>
            </w:pPr>
            <w:r>
              <w:t xml:space="preserve">M-005</w:t>
            </w:r>
          </w:p>
        </w:tc>
      </w:tr>
      <w:tr>
        <w:tc>
          <w:tcPr/>
          <w:p>
            <w:pPr>
              <w:pStyle w:val="Compact"/>
              <w:jc w:val="left"/>
            </w:pPr>
            <w:r>
              <w:t xml:space="preserve">M-004 (Entra ID OAuth2)</w:t>
            </w:r>
          </w:p>
        </w:tc>
        <w:tc>
          <w:tcPr/>
          <w:p>
            <w:pPr>
              <w:pStyle w:val="Compact"/>
              <w:jc w:val="left"/>
            </w:pPr>
            <w:r>
              <w:t xml:space="preserve">M-002</w:t>
            </w:r>
          </w:p>
        </w:tc>
        <w:tc>
          <w:tcPr/>
          <w:p>
            <w:pPr>
              <w:pStyle w:val="Compact"/>
              <w:jc w:val="left"/>
            </w:pPr>
            <w:r>
              <w:t xml:space="preserve">M-006</w:t>
            </w:r>
          </w:p>
        </w:tc>
      </w:tr>
      <w:tr>
        <w:tc>
          <w:tcPr/>
          <w:p>
            <w:pPr>
              <w:pStyle w:val="Compact"/>
              <w:jc w:val="left"/>
            </w:pPr>
            <w:r>
              <w:t xml:space="preserve">M-005 (Repo mirrored)</w:t>
            </w:r>
          </w:p>
        </w:tc>
        <w:tc>
          <w:tcPr/>
          <w:p>
            <w:pPr>
              <w:pStyle w:val="Compact"/>
              <w:jc w:val="left"/>
            </w:pPr>
            <w:r>
              <w:t xml:space="preserve">M-002, M-003</w:t>
            </w:r>
          </w:p>
        </w:tc>
        <w:tc>
          <w:tcPr/>
          <w:p>
            <w:pPr>
              <w:pStyle w:val="Compact"/>
              <w:jc w:val="left"/>
            </w:pPr>
            <w:r>
              <w:t xml:space="preserve">M-006, M-008</w:t>
            </w:r>
          </w:p>
        </w:tc>
      </w:tr>
      <w:tr>
        <w:tc>
          <w:tcPr/>
          <w:p>
            <w:pPr>
              <w:pStyle w:val="Compact"/>
              <w:jc w:val="left"/>
            </w:pPr>
            <w:r>
              <w:t xml:space="preserve">M-006 (Governance hooks)</w:t>
            </w:r>
          </w:p>
        </w:tc>
        <w:tc>
          <w:tcPr/>
          <w:p>
            <w:pPr>
              <w:pStyle w:val="Compact"/>
              <w:jc w:val="left"/>
            </w:pPr>
            <w:r>
              <w:t xml:space="preserve">M-005, M-004</w:t>
            </w:r>
          </w:p>
        </w:tc>
        <w:tc>
          <w:tcPr/>
          <w:p>
            <w:pPr>
              <w:pStyle w:val="Compact"/>
              <w:jc w:val="left"/>
            </w:pPr>
            <w:r>
              <w:t xml:space="preserve">M-008</w:t>
            </w:r>
          </w:p>
        </w:tc>
      </w:tr>
      <w:tr>
        <w:tc>
          <w:tcPr/>
          <w:p>
            <w:pPr>
              <w:pStyle w:val="Compact"/>
              <w:jc w:val="left"/>
            </w:pPr>
            <w:r>
              <w:t xml:space="preserve">M-007 (Azure Arc)</w:t>
            </w:r>
          </w:p>
        </w:tc>
        <w:tc>
          <w:tcPr/>
          <w:p>
            <w:pPr>
              <w:pStyle w:val="Compact"/>
              <w:jc w:val="left"/>
            </w:pPr>
            <w:r>
              <w:t xml:space="preserve">M-001</w:t>
            </w:r>
          </w:p>
        </w:tc>
        <w:tc>
          <w:tcPr/>
          <w:p>
            <w:pPr>
              <w:pStyle w:val="Compact"/>
              <w:jc w:val="left"/>
            </w:pPr>
            <w:r>
              <w:t xml:space="preserve">M-030</w:t>
            </w:r>
          </w:p>
        </w:tc>
      </w:tr>
      <w:tr>
        <w:tc>
          <w:tcPr/>
          <w:p>
            <w:pPr>
              <w:pStyle w:val="Compact"/>
              <w:jc w:val="left"/>
            </w:pPr>
            <w:r>
              <w:t xml:space="preserve">M-008 (Read-only assessment)</w:t>
            </w:r>
          </w:p>
        </w:tc>
        <w:tc>
          <w:tcPr/>
          <w:p>
            <w:pPr>
              <w:pStyle w:val="Compact"/>
              <w:jc w:val="left"/>
            </w:pPr>
            <w:r>
              <w:t xml:space="preserve">M-006</w:t>
            </w:r>
          </w:p>
        </w:tc>
        <w:tc>
          <w:tcPr/>
          <w:p>
            <w:pPr>
              <w:pStyle w:val="Compact"/>
              <w:jc w:val="left"/>
            </w:pPr>
            <w:r>
              <w:t xml:space="preserve">M-009</w:t>
            </w:r>
          </w:p>
        </w:tc>
      </w:tr>
      <w:tr>
        <w:tc>
          <w:tcPr/>
          <w:p>
            <w:pPr>
              <w:pStyle w:val="Compact"/>
              <w:jc w:val="left"/>
            </w:pPr>
            <w:r>
              <w:t xml:space="preserve">M-009 (Full assessment)</w:t>
            </w:r>
          </w:p>
        </w:tc>
        <w:tc>
          <w:tcPr/>
          <w:p>
            <w:pPr>
              <w:pStyle w:val="Compact"/>
              <w:jc w:val="left"/>
            </w:pPr>
            <w:r>
              <w:t xml:space="preserve">M-008</w:t>
            </w:r>
          </w:p>
        </w:tc>
        <w:tc>
          <w:tcPr/>
          <w:p>
            <w:pPr>
              <w:pStyle w:val="Compact"/>
              <w:jc w:val="left"/>
            </w:pPr>
            <w:r>
              <w:t xml:space="preserve">M-010, M-011</w:t>
            </w:r>
          </w:p>
        </w:tc>
      </w:tr>
      <w:tr>
        <w:tc>
          <w:tcPr/>
          <w:p>
            <w:pPr>
              <w:pStyle w:val="Compact"/>
              <w:jc w:val="left"/>
            </w:pPr>
            <w:r>
              <w:t xml:space="preserve">M-010 (Security assessment)</w:t>
            </w:r>
          </w:p>
        </w:tc>
        <w:tc>
          <w:tcPr/>
          <w:p>
            <w:pPr>
              <w:pStyle w:val="Compact"/>
              <w:jc w:val="left"/>
            </w:pPr>
            <w:r>
              <w:t xml:space="preserve">M-009</w:t>
            </w:r>
          </w:p>
        </w:tc>
        <w:tc>
          <w:tcPr/>
          <w:p>
            <w:pPr>
              <w:pStyle w:val="Compact"/>
              <w:jc w:val="left"/>
            </w:pPr>
            <w:r>
              <w:t xml:space="preserve">M-011</w:t>
            </w:r>
          </w:p>
        </w:tc>
      </w:tr>
      <w:tr>
        <w:tc>
          <w:tcPr/>
          <w:p>
            <w:pPr>
              <w:pStyle w:val="Compact"/>
              <w:jc w:val="left"/>
            </w:pPr>
            <w:r>
              <w:t xml:space="preserve">M-011 (Planning docs generated)</w:t>
            </w:r>
          </w:p>
        </w:tc>
        <w:tc>
          <w:tcPr/>
          <w:p>
            <w:pPr>
              <w:pStyle w:val="Compact"/>
              <w:jc w:val="left"/>
            </w:pPr>
            <w:r>
              <w:t xml:space="preserve">M-009, M-010</w:t>
            </w:r>
          </w:p>
        </w:tc>
        <w:tc>
          <w:tcPr/>
          <w:p>
            <w:pPr>
              <w:pStyle w:val="Compact"/>
              <w:jc w:val="left"/>
            </w:pPr>
            <w:r>
              <w:t xml:space="preserve">M-012</w:t>
            </w:r>
          </w:p>
        </w:tc>
      </w:tr>
      <w:tr>
        <w:tc>
          <w:tcPr/>
          <w:p>
            <w:pPr>
              <w:pStyle w:val="Compact"/>
              <w:jc w:val="left"/>
            </w:pPr>
            <w:r>
              <w:t xml:space="preserve">M-012 (Planning docs approved)</w:t>
            </w:r>
          </w:p>
        </w:tc>
        <w:tc>
          <w:tcPr/>
          <w:p>
            <w:pPr>
              <w:pStyle w:val="Compact"/>
              <w:jc w:val="left"/>
            </w:pPr>
            <w:r>
              <w:t xml:space="preserve">M-011</w:t>
            </w:r>
          </w:p>
        </w:tc>
        <w:tc>
          <w:tcPr/>
          <w:p>
            <w:pPr>
              <w:pStyle w:val="Compact"/>
              <w:jc w:val="left"/>
            </w:pPr>
            <w:r>
              <w:t xml:space="preserve">M-013, M-014 – M-021</w:t>
            </w:r>
          </w:p>
        </w:tc>
      </w:tr>
      <w:tr>
        <w:tc>
          <w:tcPr/>
          <w:p>
            <w:pPr>
              <w:pStyle w:val="Compact"/>
              <w:jc w:val="left"/>
            </w:pPr>
            <w:r>
              <w:t xml:space="preserve">M-013 (Pre-pilot ready)</w:t>
            </w:r>
          </w:p>
        </w:tc>
        <w:tc>
          <w:tcPr/>
          <w:p>
            <w:pPr>
              <w:pStyle w:val="Compact"/>
              <w:jc w:val="left"/>
            </w:pPr>
            <w:r>
              <w:t xml:space="preserve">M-012</w:t>
            </w:r>
          </w:p>
        </w:tc>
        <w:tc>
          <w:tcPr/>
          <w:p>
            <w:pPr>
              <w:pStyle w:val="Compact"/>
              <w:jc w:val="left"/>
            </w:pPr>
            <w:r>
              <w:t xml:space="preserve">M-022</w:t>
            </w:r>
          </w:p>
        </w:tc>
      </w:tr>
      <w:tr>
        <w:tc>
          <w:tcPr/>
          <w:p>
            <w:pPr>
              <w:pStyle w:val="Compact"/>
              <w:jc w:val="left"/>
            </w:pPr>
            <w:r>
              <w:t xml:space="preserve">M-014 (extension attribute taxonomy</w:t>
            </w:r>
          </w:p>
        </w:tc>
        <w:tc>
          <w:tcPr/>
          <w:p>
            <w:pPr>
              <w:pStyle w:val="Compact"/>
              <w:jc w:val="left"/>
            </w:pPr>
            <w:r>
              <w:t xml:space="preserve">)</w:t>
            </w:r>
          </w:p>
        </w:tc>
        <w:tc>
          <w:tcPr/>
          <w:p>
            <w:pPr>
              <w:pStyle w:val="Compact"/>
              <w:jc w:val="left"/>
            </w:pPr>
            <w:r>
              <w:t xml:space="preserve">M-012 M-015, M-018</w:t>
            </w:r>
          </w:p>
        </w:tc>
      </w:tr>
      <w:tr>
        <w:tc>
          <w:tcPr/>
          <w:p>
            <w:pPr>
              <w:pStyle w:val="Compact"/>
              <w:jc w:val="left"/>
            </w:pPr>
            <w:r>
              <w:t xml:space="preserve">M-015 (Dynamic groups)</w:t>
            </w:r>
          </w:p>
        </w:tc>
        <w:tc>
          <w:tcPr/>
          <w:p>
            <w:pPr>
              <w:pStyle w:val="Compact"/>
              <w:jc w:val="left"/>
            </w:pPr>
            <w:r>
              <w:t xml:space="preserve">M-014</w:t>
            </w:r>
          </w:p>
        </w:tc>
        <w:tc>
          <w:tcPr/>
          <w:p>
            <w:pPr>
              <w:pStyle w:val="Compact"/>
              <w:jc w:val="left"/>
            </w:pPr>
            <w:r>
              <w:t xml:space="preserve">M-016, M-023</w:t>
            </w:r>
          </w:p>
        </w:tc>
      </w:tr>
      <w:tr>
        <w:tc>
          <w:tcPr/>
          <w:p>
            <w:pPr>
              <w:pStyle w:val="Compact"/>
              <w:jc w:val="left"/>
            </w:pPr>
            <w:r>
              <w:t xml:space="preserve">M-016 (Intune policy design)</w:t>
            </w:r>
          </w:p>
        </w:tc>
        <w:tc>
          <w:tcPr/>
          <w:p>
            <w:pPr>
              <w:pStyle w:val="Compact"/>
              <w:jc w:val="left"/>
            </w:pPr>
            <w:r>
              <w:t xml:space="preserve">M-015</w:t>
            </w:r>
          </w:p>
        </w:tc>
        <w:tc>
          <w:tcPr/>
          <w:p>
            <w:pPr>
              <w:pStyle w:val="Compact"/>
              <w:jc w:val="left"/>
            </w:pPr>
            <w:r>
              <w:t xml:space="preserve">M-024</w:t>
            </w:r>
          </w:p>
        </w:tc>
      </w:tr>
      <w:tr>
        <w:tc>
          <w:tcPr/>
          <w:p>
            <w:pPr>
              <w:pStyle w:val="Compact"/>
              <w:jc w:val="left"/>
            </w:pPr>
            <w:r>
              <w:t xml:space="preserve">M-017 (Conditional Access)</w:t>
            </w:r>
          </w:p>
        </w:tc>
        <w:tc>
          <w:tcPr/>
          <w:p>
            <w:pPr>
              <w:pStyle w:val="Compact"/>
              <w:jc w:val="left"/>
            </w:pPr>
            <w:r>
              <w:t xml:space="preserve">M-012</w:t>
            </w:r>
          </w:p>
        </w:tc>
        <w:tc>
          <w:tcPr/>
          <w:p>
            <w:pPr>
              <w:pStyle w:val="Compact"/>
              <w:jc w:val="left"/>
            </w:pPr>
            <w:r>
              <w:t xml:space="preserve">M-025</w:t>
            </w:r>
          </w:p>
        </w:tc>
      </w:tr>
      <w:tr>
        <w:tc>
          <w:tcPr/>
          <w:p>
            <w:pPr>
              <w:pStyle w:val="Compact"/>
              <w:jc w:val="left"/>
            </w:pPr>
            <w:r>
              <w:t xml:space="preserve">M-018 (Entra Connect design)</w:t>
            </w:r>
          </w:p>
        </w:tc>
        <w:tc>
          <w:tcPr/>
          <w:p>
            <w:pPr>
              <w:pStyle w:val="Compact"/>
              <w:jc w:val="left"/>
            </w:pPr>
            <w:r>
              <w:t xml:space="preserve">M-014</w:t>
            </w:r>
          </w:p>
        </w:tc>
        <w:tc>
          <w:tcPr/>
          <w:p>
            <w:pPr>
              <w:pStyle w:val="Compact"/>
              <w:jc w:val="left"/>
            </w:pPr>
            <w:r>
              <w:t xml:space="preserve">M-022</w:t>
            </w:r>
          </w:p>
        </w:tc>
      </w:tr>
      <w:tr>
        <w:tc>
          <w:tcPr/>
          <w:p>
            <w:pPr>
              <w:pStyle w:val="Compact"/>
              <w:jc w:val="left"/>
            </w:pPr>
            <w:r>
              <w:t xml:space="preserve">M-019 (DNS Private Resolver)</w:t>
            </w:r>
          </w:p>
        </w:tc>
        <w:tc>
          <w:tcPr/>
          <w:p>
            <w:pPr>
              <w:pStyle w:val="Compact"/>
              <w:jc w:val="left"/>
            </w:pPr>
            <w:r>
              <w:t xml:space="preserve">M-012</w:t>
            </w:r>
          </w:p>
        </w:tc>
        <w:tc>
          <w:tcPr/>
          <w:p>
            <w:pPr>
              <w:pStyle w:val="Compact"/>
              <w:jc w:val="left"/>
            </w:pPr>
            <w:r>
              <w:t xml:space="preserve">M-027</w:t>
            </w:r>
          </w:p>
        </w:tc>
      </w:tr>
      <w:tr>
        <w:tc>
          <w:tcPr/>
          <w:p>
            <w:pPr>
              <w:pStyle w:val="Compact"/>
              <w:jc w:val="left"/>
            </w:pPr>
            <w:r>
              <w:t xml:space="preserve">M-020 (Cloud PKI design)</w:t>
            </w:r>
          </w:p>
        </w:tc>
        <w:tc>
          <w:tcPr/>
          <w:p>
            <w:pPr>
              <w:pStyle w:val="Compact"/>
              <w:jc w:val="left"/>
            </w:pPr>
            <w:r>
              <w:t xml:space="preserve">M-012, M-010</w:t>
            </w:r>
          </w:p>
        </w:tc>
        <w:tc>
          <w:tcPr/>
          <w:p>
            <w:pPr>
              <w:pStyle w:val="Compact"/>
              <w:jc w:val="left"/>
            </w:pPr>
            <w:r>
              <w:t xml:space="preserve">M-028</w:t>
            </w:r>
          </w:p>
        </w:tc>
      </w:tr>
      <w:tr>
        <w:tc>
          <w:tcPr/>
          <w:p>
            <w:pPr>
              <w:pStyle w:val="Compact"/>
              <w:jc w:val="left"/>
            </w:pPr>
            <w:r>
              <w:t xml:space="preserve">M-021 (Phase 2 approved)</w:t>
            </w:r>
          </w:p>
        </w:tc>
        <w:tc>
          <w:tcPr/>
          <w:p>
            <w:pPr>
              <w:pStyle w:val="Compact"/>
              <w:jc w:val="left"/>
            </w:pPr>
            <w:r>
              <w:t xml:space="preserve">M-014 – M-020</w:t>
            </w:r>
          </w:p>
        </w:tc>
        <w:tc>
          <w:tcPr/>
          <w:p>
            <w:pPr>
              <w:pStyle w:val="Compact"/>
              <w:jc w:val="left"/>
            </w:pPr>
            <w:r>
              <w:t xml:space="preserve">M-022</w:t>
            </w:r>
          </w:p>
        </w:tc>
      </w:tr>
      <w:tr>
        <w:tc>
          <w:tcPr/>
          <w:p>
            <w:pPr>
              <w:pStyle w:val="Compact"/>
              <w:jc w:val="left"/>
            </w:pPr>
            <w:r>
              <w:t xml:space="preserve">M-022 (Entra Connect deployed)</w:t>
            </w:r>
          </w:p>
        </w:tc>
        <w:tc>
          <w:tcPr/>
          <w:p>
            <w:pPr>
              <w:pStyle w:val="Compact"/>
              <w:jc w:val="left"/>
            </w:pPr>
            <w:r>
              <w:t xml:space="preserve">M-018, M-021</w:t>
            </w:r>
          </w:p>
        </w:tc>
        <w:tc>
          <w:tcPr/>
          <w:p>
            <w:pPr>
              <w:pStyle w:val="Compact"/>
              <w:jc w:val="left"/>
            </w:pPr>
            <w:r>
              <w:t xml:space="preserve">M-023</w:t>
            </w:r>
          </w:p>
        </w:tc>
      </w:tr>
      <w:tr>
        <w:tc>
          <w:tcPr/>
          <w:p>
            <w:pPr>
              <w:pStyle w:val="Compact"/>
              <w:jc w:val="left"/>
            </w:pPr>
            <w:r>
              <w:t xml:space="preserve">M-023 (Pilot devices joined)</w:t>
            </w:r>
          </w:p>
        </w:tc>
        <w:tc>
          <w:tcPr/>
          <w:p>
            <w:pPr>
              <w:pStyle w:val="Compact"/>
              <w:jc w:val="left"/>
            </w:pPr>
            <w:r>
              <w:t xml:space="preserve">M-015, M-022</w:t>
            </w:r>
          </w:p>
        </w:tc>
        <w:tc>
          <w:tcPr/>
          <w:p>
            <w:pPr>
              <w:pStyle w:val="Compact"/>
              <w:jc w:val="left"/>
            </w:pPr>
            <w:r>
              <w:t xml:space="preserve">M-024</w:t>
            </w:r>
          </w:p>
        </w:tc>
      </w:tr>
      <w:tr>
        <w:tc>
          <w:tcPr/>
          <w:p>
            <w:pPr>
              <w:pStyle w:val="Compact"/>
              <w:jc w:val="left"/>
            </w:pPr>
            <w:r>
              <w:t xml:space="preserve">M-024 (Intune policies assigned)</w:t>
            </w:r>
          </w:p>
        </w:tc>
        <w:tc>
          <w:tcPr/>
          <w:p>
            <w:pPr>
              <w:pStyle w:val="Compact"/>
              <w:jc w:val="left"/>
            </w:pPr>
            <w:r>
              <w:t xml:space="preserve">M-016, M-023</w:t>
            </w:r>
          </w:p>
        </w:tc>
        <w:tc>
          <w:tcPr/>
          <w:p>
            <w:pPr>
              <w:pStyle w:val="Compact"/>
              <w:jc w:val="left"/>
            </w:pPr>
            <w:r>
              <w:t xml:space="preserve">M-025, M-031</w:t>
            </w:r>
          </w:p>
        </w:tc>
      </w:tr>
      <w:tr>
        <w:tc>
          <w:tcPr/>
          <w:p>
            <w:pPr>
              <w:pStyle w:val="Compact"/>
              <w:jc w:val="left"/>
            </w:pPr>
            <w:r>
              <w:t xml:space="preserve">M-025 (CA enforced)</w:t>
            </w:r>
          </w:p>
        </w:tc>
        <w:tc>
          <w:tcPr/>
          <w:p>
            <w:pPr>
              <w:pStyle w:val="Compact"/>
              <w:jc w:val="left"/>
            </w:pPr>
            <w:r>
              <w:t xml:space="preserve">M-017, M-024</w:t>
            </w:r>
          </w:p>
        </w:tc>
        <w:tc>
          <w:tcPr/>
          <w:p>
            <w:pPr>
              <w:pStyle w:val="Compact"/>
              <w:jc w:val="left"/>
            </w:pPr>
            <w:r>
              <w:t xml:space="preserve">M-031</w:t>
            </w:r>
          </w:p>
        </w:tc>
      </w:tr>
      <w:tr>
        <w:tc>
          <w:tcPr/>
          <w:p>
            <w:pPr>
              <w:pStyle w:val="Compact"/>
              <w:jc w:val="left"/>
            </w:pPr>
            <w:r>
              <w:t xml:space="preserve">M-026 (PIM configured)</w:t>
            </w:r>
          </w:p>
        </w:tc>
        <w:tc>
          <w:tcPr/>
          <w:p>
            <w:pPr>
              <w:pStyle w:val="Compact"/>
              <w:jc w:val="left"/>
            </w:pPr>
            <w:r>
              <w:t xml:space="preserve">M-022</w:t>
            </w:r>
          </w:p>
        </w:tc>
        <w:tc>
          <w:tcPr/>
          <w:p>
            <w:pPr>
              <w:pStyle w:val="Compact"/>
              <w:jc w:val="left"/>
            </w:pPr>
            <w:r>
              <w:t xml:space="preserve">M-031</w:t>
            </w:r>
          </w:p>
        </w:tc>
      </w:tr>
      <w:tr>
        <w:tc>
          <w:tcPr/>
          <w:p>
            <w:pPr>
              <w:pStyle w:val="Compact"/>
              <w:jc w:val="left"/>
            </w:pPr>
            <w:r>
              <w:t xml:space="preserve">M-027 (DNS validated)</w:t>
            </w:r>
          </w:p>
        </w:tc>
        <w:tc>
          <w:tcPr/>
          <w:p>
            <w:pPr>
              <w:pStyle w:val="Compact"/>
              <w:jc w:val="left"/>
            </w:pPr>
            <w:r>
              <w:t xml:space="preserve">M-019</w:t>
            </w:r>
          </w:p>
        </w:tc>
        <w:tc>
          <w:tcPr/>
          <w:p>
            <w:pPr>
              <w:pStyle w:val="Compact"/>
              <w:jc w:val="left"/>
            </w:pPr>
            <w:r>
              <w:t xml:space="preserve">M-031</w:t>
            </w:r>
          </w:p>
        </w:tc>
      </w:tr>
      <w:tr>
        <w:tc>
          <w:tcPr/>
          <w:p>
            <w:pPr>
              <w:pStyle w:val="Compact"/>
              <w:jc w:val="left"/>
            </w:pPr>
            <w:r>
              <w:t xml:space="preserve">M-028 (Cloud PKI certs issued)</w:t>
            </w:r>
          </w:p>
        </w:tc>
        <w:tc>
          <w:tcPr/>
          <w:p>
            <w:pPr>
              <w:pStyle w:val="Compact"/>
              <w:jc w:val="left"/>
            </w:pPr>
            <w:r>
              <w:t xml:space="preserve">M-020</w:t>
            </w:r>
          </w:p>
        </w:tc>
        <w:tc>
          <w:tcPr/>
          <w:p>
            <w:pPr>
              <w:pStyle w:val="Compact"/>
              <w:jc w:val="left"/>
            </w:pPr>
            <w:r>
              <w:t xml:space="preserve">M-029, M-031</w:t>
            </w:r>
          </w:p>
        </w:tc>
      </w:tr>
      <w:tr>
        <w:tc>
          <w:tcPr/>
          <w:p>
            <w:pPr>
              <w:pStyle w:val="Compact"/>
              <w:jc w:val="left"/>
            </w:pPr>
            <w:r>
              <w:t xml:space="preserve">M-029 (Entra CBA validated)</w:t>
            </w:r>
          </w:p>
        </w:tc>
        <w:tc>
          <w:tcPr/>
          <w:p>
            <w:pPr>
              <w:pStyle w:val="Compact"/>
              <w:jc w:val="left"/>
            </w:pPr>
            <w:r>
              <w:t xml:space="preserve">M-028</w:t>
            </w:r>
          </w:p>
        </w:tc>
        <w:tc>
          <w:tcPr/>
          <w:p>
            <w:pPr>
              <w:pStyle w:val="Compact"/>
              <w:jc w:val="left"/>
            </w:pPr>
            <w:r>
              <w:t xml:space="preserve">M-031</w:t>
            </w:r>
          </w:p>
        </w:tc>
      </w:tr>
      <w:tr>
        <w:tc>
          <w:tcPr/>
          <w:p>
            <w:pPr>
              <w:pStyle w:val="Compact"/>
              <w:jc w:val="left"/>
            </w:pPr>
            <w:r>
              <w:t xml:space="preserve">M-030 (Arc servers compliant)</w:t>
            </w:r>
          </w:p>
        </w:tc>
        <w:tc>
          <w:tcPr/>
          <w:p>
            <w:pPr>
              <w:pStyle w:val="Compact"/>
              <w:jc w:val="left"/>
            </w:pPr>
            <w:r>
              <w:t xml:space="preserve">M-007</w:t>
            </w:r>
          </w:p>
        </w:tc>
        <w:tc>
          <w:tcPr/>
          <w:p>
            <w:pPr>
              <w:pStyle w:val="Compact"/>
              <w:jc w:val="left"/>
            </w:pPr>
            <w:r>
              <w:t xml:space="preserve">M-031</w:t>
            </w:r>
          </w:p>
        </w:tc>
      </w:tr>
      <w:tr>
        <w:tc>
          <w:tcPr/>
          <w:p>
            <w:pPr>
              <w:pStyle w:val="Compact"/>
              <w:jc w:val="left"/>
            </w:pPr>
            <w:r>
              <w:t xml:space="preserve">M-031 (Pilot success)</w:t>
            </w:r>
          </w:p>
        </w:tc>
        <w:tc>
          <w:tcPr/>
          <w:p>
            <w:pPr>
              <w:pStyle w:val="Compact"/>
              <w:jc w:val="left"/>
            </w:pPr>
            <w:r>
              <w:t xml:space="preserve">M-024 – M-030</w:t>
            </w:r>
          </w:p>
        </w:tc>
        <w:tc>
          <w:tcPr/>
          <w:p>
            <w:pPr>
              <w:pStyle w:val="Compact"/>
              <w:jc w:val="left"/>
            </w:pPr>
            <w:r>
              <w:t xml:space="preserve">M-032</w:t>
            </w:r>
          </w:p>
        </w:tc>
      </w:tr>
      <w:tr>
        <w:tc>
          <w:tcPr/>
          <w:p>
            <w:pPr>
              <w:pStyle w:val="Compact"/>
              <w:jc w:val="left"/>
            </w:pPr>
            <w:r>
              <w:t xml:space="preserve">M-032 (Wave 1)</w:t>
            </w:r>
          </w:p>
        </w:tc>
        <w:tc>
          <w:tcPr/>
          <w:p>
            <w:pPr>
              <w:pStyle w:val="Compact"/>
              <w:jc w:val="left"/>
            </w:pPr>
            <w:r>
              <w:t xml:space="preserve">M-031</w:t>
            </w:r>
          </w:p>
        </w:tc>
        <w:tc>
          <w:tcPr/>
          <w:p>
            <w:pPr>
              <w:pStyle w:val="Compact"/>
              <w:jc w:val="left"/>
            </w:pPr>
            <w:r>
              <w:t xml:space="preserve">M-033</w:t>
            </w:r>
          </w:p>
        </w:tc>
      </w:tr>
      <w:tr>
        <w:tc>
          <w:tcPr/>
          <w:p>
            <w:pPr>
              <w:pStyle w:val="Compact"/>
              <w:jc w:val="left"/>
            </w:pPr>
            <w:r>
              <w:t xml:space="preserve">M-033 (Wave 2)</w:t>
            </w:r>
          </w:p>
        </w:tc>
        <w:tc>
          <w:tcPr/>
          <w:p>
            <w:pPr>
              <w:pStyle w:val="Compact"/>
              <w:jc w:val="left"/>
            </w:pPr>
            <w:r>
              <w:t xml:space="preserve">M-032</w:t>
            </w:r>
          </w:p>
        </w:tc>
        <w:tc>
          <w:tcPr/>
          <w:p>
            <w:pPr>
              <w:pStyle w:val="Compact"/>
              <w:jc w:val="left"/>
            </w:pPr>
            <w:r>
              <w:t xml:space="preserve">M-034</w:t>
            </w:r>
          </w:p>
        </w:tc>
      </w:tr>
      <w:tr>
        <w:tc>
          <w:tcPr/>
          <w:p>
            <w:pPr>
              <w:pStyle w:val="Compact"/>
              <w:jc w:val="left"/>
            </w:pPr>
            <w:r>
              <w:t xml:space="preserve">M-034 (Wave 3)</w:t>
            </w:r>
          </w:p>
        </w:tc>
        <w:tc>
          <w:tcPr/>
          <w:p>
            <w:pPr>
              <w:pStyle w:val="Compact"/>
              <w:jc w:val="left"/>
            </w:pPr>
            <w:r>
              <w:t xml:space="preserve">M-033</w:t>
            </w:r>
          </w:p>
        </w:tc>
        <w:tc>
          <w:tcPr/>
          <w:p>
            <w:pPr>
              <w:pStyle w:val="Compact"/>
              <w:jc w:val="left"/>
            </w:pPr>
            <w:r>
              <w:t xml:space="preserve">M-035</w:t>
            </w:r>
          </w:p>
        </w:tc>
      </w:tr>
      <w:tr>
        <w:tc>
          <w:tcPr/>
          <w:p>
            <w:pPr>
              <w:pStyle w:val="Compact"/>
              <w:jc w:val="left"/>
            </w:pPr>
            <w:r>
              <w:t xml:space="preserve">M-035 (Wave 4)</w:t>
            </w:r>
          </w:p>
        </w:tc>
        <w:tc>
          <w:tcPr/>
          <w:p>
            <w:pPr>
              <w:pStyle w:val="Compact"/>
              <w:jc w:val="left"/>
            </w:pPr>
            <w:r>
              <w:t xml:space="preserve">M-034</w:t>
            </w:r>
          </w:p>
        </w:tc>
        <w:tc>
          <w:tcPr/>
          <w:p>
            <w:pPr>
              <w:pStyle w:val="Compact"/>
              <w:jc w:val="left"/>
            </w:pPr>
            <w:r>
              <w:t xml:space="preserve">M-036, M-037, M-038</w:t>
            </w:r>
          </w:p>
        </w:tc>
      </w:tr>
      <w:tr>
        <w:tc>
          <w:tcPr/>
          <w:p>
            <w:pPr>
              <w:pStyle w:val="Compact"/>
              <w:jc w:val="left"/>
            </w:pPr>
            <w:r>
              <w:t xml:space="preserve">M-036 (GPO disabled)</w:t>
            </w:r>
          </w:p>
        </w:tc>
        <w:tc>
          <w:tcPr/>
          <w:p>
            <w:pPr>
              <w:pStyle w:val="Compact"/>
              <w:jc w:val="left"/>
            </w:pPr>
            <w:r>
              <w:t xml:space="preserve">M-035</w:t>
            </w:r>
          </w:p>
        </w:tc>
        <w:tc>
          <w:tcPr/>
          <w:p>
            <w:pPr>
              <w:pStyle w:val="Compact"/>
              <w:jc w:val="left"/>
            </w:pPr>
            <w:r>
              <w:t xml:space="preserve">M-041</w:t>
            </w:r>
          </w:p>
        </w:tc>
      </w:tr>
      <w:tr>
        <w:tc>
          <w:tcPr/>
          <w:p>
            <w:pPr>
              <w:pStyle w:val="Compact"/>
              <w:jc w:val="left"/>
            </w:pPr>
            <w:r>
              <w:t xml:space="preserve">M-037 (Dynamic groups 100%)</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M-038 (ADFS decommission)</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M-039 (ADCS stopped)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M-040 (DNS forwarders migrated)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M-041 (GPO links removed)</w:t>
            </w:r>
          </w:p>
        </w:tc>
        <w:tc>
          <w:tcPr/>
          <w:p>
            <w:pPr>
              <w:pStyle w:val="Compact"/>
              <w:jc w:val="left"/>
            </w:pPr>
            <w:r>
              <w:t xml:space="preserve">M-036</w:t>
            </w:r>
          </w:p>
        </w:tc>
        <w:tc>
          <w:tcPr/>
          <w:p>
            <w:pPr>
              <w:pStyle w:val="Compact"/>
              <w:jc w:val="left"/>
            </w:pPr>
            <w:r>
              <w:t xml:space="preserve">M-043</w:t>
            </w:r>
          </w:p>
        </w:tc>
      </w:tr>
      <w:tr>
        <w:tc>
          <w:tcPr/>
          <w:p>
            <w:pPr>
              <w:pStyle w:val="Compact"/>
              <w:jc w:val="left"/>
            </w:pPr>
            <w:r>
              <w:t xml:space="preserve">M-042 (Trusts reduced)</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M-043 (Server decommission)</w:t>
            </w:r>
          </w:p>
        </w:tc>
        <w:tc>
          <w:tcPr/>
          <w:p>
            <w:pPr>
              <w:pStyle w:val="Compact"/>
              <w:jc w:val="left"/>
            </w:pPr>
            <w:r>
              <w:t xml:space="preserve">M-039, M-040, M-041</w:t>
            </w:r>
          </w:p>
        </w:tc>
        <w:tc>
          <w:tcPr/>
          <w:p>
            <w:pPr>
              <w:pStyle w:val="Compact"/>
              <w:jc w:val="left"/>
            </w:pPr>
            <w:r>
              <w:t xml:space="preserve">M-044</w:t>
            </w:r>
          </w:p>
        </w:tc>
      </w:tr>
      <w:tr>
        <w:tc>
          <w:tcPr/>
          <w:p>
            <w:pPr>
              <w:pStyle w:val="Compact"/>
              <w:jc w:val="left"/>
            </w:pPr>
            <w:r>
              <w:t xml:space="preserve">M-044 (Cutover validated)</w:t>
            </w:r>
          </w:p>
        </w:tc>
        <w:tc>
          <w:tcPr/>
          <w:p>
            <w:pPr>
              <w:pStyle w:val="Compact"/>
              <w:jc w:val="left"/>
            </w:pPr>
            <w:r>
              <w:t xml:space="preserve">M-037 – M-043</w:t>
            </w:r>
          </w:p>
        </w:tc>
        <w:tc>
          <w:tcPr/>
          <w:p>
            <w:pPr>
              <w:pStyle w:val="Compact"/>
              <w:jc w:val="left"/>
            </w:pPr>
            <w:r>
              <w:t xml:space="preserve">M-045</w:t>
            </w:r>
          </w:p>
        </w:tc>
      </w:tr>
      <w:tr>
        <w:tc>
          <w:tcPr/>
          <w:p>
            <w:pPr>
              <w:pStyle w:val="Compact"/>
              <w:jc w:val="left"/>
            </w:pPr>
            <w:r>
              <w:t xml:space="preserve">M-045 – M-048</w:t>
            </w:r>
          </w:p>
        </w:tc>
        <w:tc>
          <w:tcPr/>
          <w:p>
            <w:pPr>
              <w:pStyle w:val="Compact"/>
              <w:jc w:val="left"/>
            </w:pPr>
            <w:r>
              <w:t xml:space="preserve">M-044</w:t>
            </w:r>
          </w:p>
        </w:tc>
        <w:tc>
          <w:tcPr/>
          <w:p>
            <w:pPr>
              <w:pStyle w:val="Compact"/>
              <w:jc w:val="left"/>
            </w:pPr>
            <w:r>
              <w:t xml:space="preserve">—</w:t>
            </w:r>
          </w:p>
        </w:tc>
      </w:tr>
    </w:tbl>
    <w:p>
      <w:pPr>
        <w:pStyle w:val="BodyText"/>
      </w:pPr>
      <w:r>
        <w:t xml:space="preserve">11.2 Critical Path</w:t>
      </w:r>
    </w:p>
    <w:p>
      <w:pPr>
        <w:pStyle w:val="BodyText"/>
      </w:pPr>
      <w:r>
        <w:t xml:space="preserve">The critical path through the project is:</w:t>
      </w:r>
    </w:p>
    <w:tbl>
      <w:tblPr>
        <w:tblStyle w:val="Table"/>
        <w:tblW w:type="pct" w:w="4935"/>
        <w:tblLayout w:type="fixed"/>
        <w:tblLook w:firstRow="0" w:lastRow="0" w:firstColumn="0" w:lastColumn="0" w:noHBand="0" w:noVBand="0" w:val="0000"/>
      </w:tblPr>
      <w:tblGrid>
        <w:gridCol w:w="7817"/>
      </w:tblGrid>
      <w:tr>
        <w:tc>
          <w:tcPr/>
          <w:p>
            <w:pPr>
              <w:pStyle w:val="Compact"/>
              <w:jc w:val="left"/>
            </w:pPr>
            <w:r>
              <w:t xml:space="preserve">M-001 → M-002 → M-005 → M-006 → M-008 → M-009 → M-011 → M-012 → M-014 → M-015 → M-016 → M-023 → M-024 → M-031 → M-032 → M-033 → M-034 → M-035 → M-044</w:t>
            </w:r>
          </w:p>
        </w:tc>
      </w:tr>
    </w:tbl>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Parallelizable Milestones</w:t>
            </w:r>
          </w:p>
          <w:p>
            <w:pPr>
              <w:pStyle w:val="BlockText"/>
            </w:pPr>
            <w:r>
              <w:t xml:space="preserve">•</w:t>
            </w:r>
            <w:r>
              <w:t xml:space="preserve"> </w:t>
            </w:r>
            <w:r>
              <w:rPr>
                <w:b/>
                <w:bCs/>
              </w:rPr>
              <w:t xml:space="preserve">Phase 0:</w:t>
            </w:r>
            <w:r>
              <w:t xml:space="preserve"> </w:t>
            </w:r>
            <w:r>
              <w:t xml:space="preserve">M-003 (AD LDAP) and M-004 (Entra OAuth2) can run in parallel after M-002. M-007 (Arc) can run in parallel with M-002–M-006.</w:t>
            </w:r>
          </w:p>
          <w:p>
            <w:pPr>
              <w:pStyle w:val="BlockText"/>
            </w:pPr>
            <w:r>
              <w:t xml:space="preserve">•</w:t>
            </w:r>
            <w:r>
              <w:t xml:space="preserve"> </w:t>
            </w:r>
            <w:r>
              <w:rPr>
                <w:b/>
                <w:bCs/>
              </w:rPr>
              <w:t xml:space="preserve">Phase 2:</w:t>
            </w:r>
            <w:r>
              <w:t xml:space="preserve"> </w:t>
            </w:r>
            <w:r>
              <w:t xml:space="preserve">M-017 (Conditional Access) and M-019 (DNS Private Resolver) can run in parallel with the M-014 → M-015 → M-016 identity/device track. M-020 (Cloud PKI) runs in parallel but depends on M-010 (security assessment) for ESC remediation status.</w:t>
            </w:r>
          </w:p>
          <w:p>
            <w:pPr>
              <w:pStyle w:val="BlockText"/>
            </w:pPr>
            <w:r>
              <w:t xml:space="preserve">•</w:t>
            </w:r>
            <w:r>
              <w:t xml:space="preserve"> </w:t>
            </w:r>
            <w:r>
              <w:rPr>
                <w:b/>
                <w:bCs/>
              </w:rPr>
              <w:t xml:space="preserve">Phase 3:</w:t>
            </w:r>
            <w:r>
              <w:t xml:space="preserve"> </w:t>
            </w:r>
            <w:r>
              <w:t xml:space="preserve">M-026 (PIM), M-027 (DNS), M-028 (Cloud PKI), and M-030 (Arc) can run in parallel after their respective Phase 2 designs are complete.</w:t>
            </w:r>
          </w:p>
          <w:p>
            <w:pPr>
              <w:pStyle w:val="BlockText"/>
            </w:pPr>
            <w:r>
              <w:t xml:space="preserve">•</w:t>
            </w:r>
            <w:r>
              <w:t xml:space="preserve"> </w:t>
            </w:r>
            <w:r>
              <w:rPr>
                <w:b/>
                <w:bCs/>
              </w:rPr>
              <w:t xml:space="preserve">Phase 5:</w:t>
            </w:r>
            <w:r>
              <w:t xml:space="preserve"> </w:t>
            </w:r>
            <w:r>
              <w:t xml:space="preserve">M-038 (ADFS), M-039 (ADCS), M-040 (DNS), M-041 (GPO), and M-042 (Trusts) can all execute in parallel after Wave 4 completion.</w:t>
            </w:r>
          </w:p>
          <w:p>
            <w:pPr>
              <w:pStyle w:val="BlockText"/>
            </w:pPr>
            <w:r>
              <w:t xml:space="preserve">•</w:t>
            </w:r>
            <w:r>
              <w:t xml:space="preserve"> </w:t>
            </w:r>
            <w:r>
              <w:rPr>
                <w:b/>
                <w:bCs/>
              </w:rPr>
              <w:t xml:space="preserve">Key dependency:</w:t>
            </w:r>
            <w:r>
              <w:t xml:space="preserve"> </w:t>
            </w:r>
            <w:r>
              <w:t xml:space="preserve">PKI always depends on Identity — certificate templates require user/device objects to be synced and mapped before CBA can be validated.</w:t>
            </w:r>
          </w:p>
        </w:tc>
      </w:tr>
    </w:tbl>
    <w:p/>
    <w:tbl>
      <w:tblPr>
        <w:tblStyle w:val="Table"/>
        <w:tblW w:type="pct" w:w="5022"/>
        <w:tblLayout w:type="fixed"/>
        <w:tblLook w:firstRow="0" w:lastRow="0" w:firstColumn="0" w:lastColumn="0" w:noHBand="0" w:noVBand="0" w:val="0000"/>
      </w:tblPr>
      <w:tblGrid>
        <w:gridCol w:w="7954"/>
      </w:tblGrid>
      <w:tr>
        <w:tc>
          <w:tcPr/>
          <w:p>
            <w:pPr>
              <w:jc w:val="center"/>
            </w:pPr>
            <w:r>
              <w:rPr>
                <w:b/>
                <w:bCs/>
              </w:rPr>
              <w:t xml:space="preserve">[Diagram: Phase Transition Flow]</w:t>
            </w:r>
          </w:p>
          <w:p>
            <w:pPr>
              <w:jc w:val="center"/>
            </w:pPr>
            <w:r>
              <w:t xml:space="preserve">Flowchart showing the seven phases as sequential blocks with gate review diamonds between each phase. Each gate diamond shows the Go/No-Go decision with criteria summary. Parallel pillar workstreams shown within each phase block.</w:t>
            </w:r>
          </w:p>
          <w:p>
            <w:pPr>
              <w:jc w:val="center"/>
            </w:pPr>
            <w:r>
              <w:rPr>
                <w:b/>
                <w:bCs/>
              </w:rPr>
              <w:t xml:space="preserve">Diagram ID: FMP-MPP-D003 | Dimensions: 780 × 280 px</w:t>
            </w:r>
            <w:r>
              <w:t xml:space="preserve"> </w:t>
            </w:r>
            <w:r>
              <w:t xml:space="preserve">|</w:t>
            </w:r>
          </w:p>
        </w:tc>
      </w:tr>
    </w:tbl>
    <w:p>
      <w:pPr>
        <w:pStyle w:val="BodyText"/>
      </w:pPr>
      <w:r>
        <w:t xml:space="preserve">12. Budget and Resource Estimate</w:t>
      </w:r>
    </w:p>
    <w:p>
      <w:pPr>
        <w:pStyle w:val="BodyText"/>
      </w:pPr>
      <w:r>
        <w:t xml:space="preserve">12.1 License Requirements</w:t>
      </w:r>
    </w:p>
    <w:tbl>
      <w:tblPr>
        <w:tblStyle w:val="Table"/>
        <w:tblW w:type="pct" w:w="4946"/>
        <w:tblLayout w:type="fixed"/>
        <w:tblLook w:firstRow="1" w:lastRow="0" w:firstColumn="0" w:lastColumn="0" w:noHBand="0" w:noVBand="0" w:val="0020"/>
      </w:tblPr>
      <w:tblGrid>
        <w:gridCol w:w="1958"/>
        <w:gridCol w:w="3534"/>
        <w:gridCol w:w="809"/>
        <w:gridCol w:w="1532"/>
      </w:tblGrid>
      <w:tr>
        <w:trPr>
          <w:tblHeader w:val="on"/>
        </w:trPr>
        <w:tc>
          <w:tcPr/>
          <w:p>
            <w:pPr>
              <w:pStyle w:val="Compact"/>
              <w:jc w:val="left"/>
            </w:pPr>
            <w:r>
              <w:rPr>
                <w:b/>
                <w:bCs/>
              </w:rPr>
              <w:t xml:space="preserve">License</w:t>
            </w:r>
          </w:p>
        </w:tc>
        <w:tc>
          <w:tcPr/>
          <w:p>
            <w:pPr>
              <w:pStyle w:val="Compact"/>
              <w:jc w:val="left"/>
            </w:pPr>
            <w:r>
              <w:rPr>
                <w:b/>
                <w:bCs/>
              </w:rPr>
              <w:t xml:space="preserve">Required For</w:t>
            </w:r>
          </w:p>
        </w:tc>
        <w:tc>
          <w:tcPr/>
          <w:p>
            <w:pPr>
              <w:pStyle w:val="Compact"/>
              <w:jc w:val="left"/>
            </w:pPr>
            <w:r>
              <w:rPr>
                <w:b/>
                <w:bCs/>
              </w:rPr>
              <w:t xml:space="preserve">Phase Needed</w:t>
            </w:r>
          </w:p>
        </w:tc>
        <w:tc>
          <w:tcPr/>
          <w:p>
            <w:pPr>
              <w:pStyle w:val="Compact"/>
              <w:jc w:val="left"/>
            </w:pPr>
            <w:r>
              <w:rPr>
                <w:b/>
                <w:bCs/>
              </w:rPr>
              <w:t xml:space="preserve">Quantity Basis</w:t>
            </w:r>
          </w:p>
        </w:tc>
      </w:tr>
      <w:tr>
        <w:tc>
          <w:tcPr/>
          <w:p>
            <w:pPr>
              <w:pStyle w:val="Compact"/>
              <w:jc w:val="left"/>
            </w:pPr>
            <w:r>
              <w:t xml:space="preserve">Microsoft Entra ID P2</w:t>
            </w:r>
          </w:p>
        </w:tc>
        <w:tc>
          <w:tcPr/>
          <w:p>
            <w:pPr>
              <w:pStyle w:val="Compact"/>
              <w:jc w:val="left"/>
            </w:pPr>
            <w:r>
              <w:t xml:space="preserve">PIM, Identity Protection, Access Reviews, Conditional Access (risk-based)</w:t>
            </w:r>
          </w:p>
        </w:tc>
        <w:tc>
          <w:tcPr/>
          <w:p>
            <w:pPr>
              <w:pStyle w:val="Compact"/>
              <w:jc w:val="left"/>
            </w:pPr>
            <w:r>
              <w:t xml:space="preserve">Phase 2</w:t>
            </w:r>
          </w:p>
        </w:tc>
        <w:tc>
          <w:tcPr/>
          <w:p>
            <w:pPr>
              <w:pStyle w:val="Compact"/>
              <w:jc w:val="left"/>
            </w:pPr>
            <w:r>
              <w:t xml:space="preserve">Per user (all synced users)</w:t>
            </w:r>
          </w:p>
        </w:tc>
      </w:tr>
      <w:tr>
        <w:tc>
          <w:tcPr/>
          <w:p>
            <w:pPr>
              <w:pStyle w:val="Compact"/>
              <w:jc w:val="left"/>
            </w:pPr>
            <w:r>
              <w:t xml:space="preserve">Microsoft Intune Plan 1</w:t>
            </w:r>
          </w:p>
        </w:tc>
        <w:tc>
          <w:tcPr/>
          <w:p>
            <w:pPr>
              <w:pStyle w:val="Compact"/>
              <w:jc w:val="left"/>
            </w:pPr>
            <w:r>
              <w:t xml:space="preserve">Device management, compliance policies, configuration profiles</w:t>
            </w:r>
          </w:p>
        </w:tc>
        <w:tc>
          <w:tcPr/>
          <w:p>
            <w:pPr>
              <w:pStyle w:val="Compact"/>
              <w:jc w:val="left"/>
            </w:pPr>
            <w:r>
              <w:t xml:space="preserve">Phase 2</w:t>
            </w:r>
          </w:p>
        </w:tc>
        <w:tc>
          <w:tcPr/>
          <w:p>
            <w:pPr>
              <w:pStyle w:val="Compact"/>
              <w:jc w:val="left"/>
            </w:pPr>
            <w:r>
              <w:t xml:space="preserve">Per device (all enrolled devices)</w:t>
            </w:r>
          </w:p>
        </w:tc>
      </w:tr>
      <w:tr>
        <w:tc>
          <w:tcPr/>
          <w:p>
            <w:pPr>
              <w:pStyle w:val="Compact"/>
              <w:jc w:val="left"/>
            </w:pPr>
            <w:r>
              <w:t xml:space="preserve">Microsoft Intune Suite (includes Cloud PKI)</w:t>
            </w:r>
          </w:p>
        </w:tc>
        <w:tc>
          <w:tcPr/>
          <w:p>
            <w:pPr>
              <w:pStyle w:val="Compact"/>
              <w:jc w:val="left"/>
            </w:pPr>
            <w:r>
              <w:t xml:space="preserve">Cloud PKI certificate issuance, SCEP/PKCS profiles</w:t>
            </w:r>
          </w:p>
        </w:tc>
        <w:tc>
          <w:tcPr/>
          <w:p>
            <w:pPr>
              <w:pStyle w:val="Compact"/>
              <w:jc w:val="left"/>
            </w:pPr>
            <w:r>
              <w:t xml:space="preserve">Phase 3</w:t>
            </w:r>
          </w:p>
        </w:tc>
        <w:tc>
          <w:tcPr/>
          <w:p>
            <w:pPr>
              <w:pStyle w:val="Compact"/>
              <w:jc w:val="left"/>
            </w:pPr>
            <w:r>
              <w:t xml:space="preserve">Per device (Cloud PKI scope)</w:t>
            </w:r>
          </w:p>
        </w:tc>
      </w:tr>
      <w:tr>
        <w:tc>
          <w:tcPr/>
          <w:p>
            <w:pPr>
              <w:pStyle w:val="Compact"/>
              <w:jc w:val="left"/>
            </w:pPr>
            <w:r>
              <w:t xml:space="preserve">Microsoft Defender for Identity</w:t>
            </w:r>
          </w:p>
        </w:tc>
        <w:tc>
          <w:tcPr/>
          <w:p>
            <w:pPr>
              <w:pStyle w:val="Compact"/>
              <w:jc w:val="left"/>
            </w:pPr>
            <w:r>
              <w:t xml:space="preserve">AD security posture assessment, threat detection, lateral movement path analysis</w:t>
            </w:r>
          </w:p>
        </w:tc>
        <w:tc>
          <w:tcPr/>
          <w:p>
            <w:pPr>
              <w:pStyle w:val="Compact"/>
              <w:jc w:val="left"/>
            </w:pPr>
            <w:r>
              <w:t xml:space="preserve">Phase 1</w:t>
            </w:r>
          </w:p>
        </w:tc>
        <w:tc>
          <w:tcPr/>
          <w:p>
            <w:pPr>
              <w:pStyle w:val="Compact"/>
              <w:jc w:val="left"/>
            </w:pPr>
            <w:r>
              <w:t xml:space="preserve">Per user (all AD users)</w:t>
            </w:r>
          </w:p>
        </w:tc>
      </w:tr>
      <w:tr>
        <w:tc>
          <w:tcPr/>
          <w:p>
            <w:pPr>
              <w:pStyle w:val="Compact"/>
              <w:jc w:val="left"/>
            </w:pPr>
            <w:r>
              <w:t xml:space="preserve">Azure Arc (Server)</w:t>
            </w:r>
          </w:p>
        </w:tc>
        <w:tc>
          <w:tcPr/>
          <w:p>
            <w:pPr>
              <w:pStyle w:val="Compact"/>
              <w:jc w:val="left"/>
            </w:pPr>
            <w:r>
              <w:t xml:space="preserve">Server management, Guest Configuration, Azure Policy for on-prem servers</w:t>
            </w:r>
          </w:p>
        </w:tc>
        <w:tc>
          <w:tcPr/>
          <w:p>
            <w:pPr>
              <w:pStyle w:val="Compact"/>
              <w:jc w:val="left"/>
            </w:pPr>
            <w:r>
              <w:t xml:space="preserve">Phase 3</w:t>
            </w:r>
          </w:p>
        </w:tc>
        <w:tc>
          <w:tcPr/>
          <w:p>
            <w:pPr>
              <w:pStyle w:val="Compact"/>
              <w:jc w:val="left"/>
            </w:pPr>
            <w:r>
              <w:t xml:space="preserve">Per server</w:t>
            </w:r>
          </w:p>
        </w:tc>
      </w:tr>
      <w:tr>
        <w:tc>
          <w:tcPr/>
          <w:p>
            <w:pPr>
              <w:pStyle w:val="Compact"/>
              <w:jc w:val="left"/>
            </w:pPr>
            <w:r>
              <w:t xml:space="preserve">Azure DNS Private Resolver</w:t>
            </w:r>
          </w:p>
        </w:tc>
        <w:tc>
          <w:tcPr/>
          <w:p>
            <w:pPr>
              <w:pStyle w:val="Compact"/>
              <w:jc w:val="left"/>
            </w:pPr>
            <w:r>
              <w:t xml:space="preserve">Hybrid DNS resolution between on-prem and Azure</w:t>
            </w:r>
          </w:p>
        </w:tc>
        <w:tc>
          <w:tcPr/>
          <w:p>
            <w:pPr>
              <w:pStyle w:val="Compact"/>
              <w:jc w:val="left"/>
            </w:pPr>
            <w:r>
              <w:t xml:space="preserve">Phase 3</w:t>
            </w:r>
          </w:p>
        </w:tc>
        <w:tc>
          <w:tcPr/>
          <w:p>
            <w:pPr>
              <w:pStyle w:val="Compact"/>
              <w:jc w:val="left"/>
            </w:pPr>
            <w:r>
              <w:t xml:space="preserve">Per instance (min. 2 endpoints)</w:t>
            </w:r>
          </w:p>
        </w:tc>
      </w:tr>
    </w:tbl>
    <w:p>
      <w:pPr>
        <w:pStyle w:val="BodyText"/>
      </w:pPr>
      <w:r>
        <w:t xml:space="preserve">12.2 Infrastructure Requirements</w:t>
      </w:r>
    </w:p>
    <w:tbl>
      <w:tblPr>
        <w:tblStyle w:val="Table"/>
        <w:tblW w:type="pct" w:w="4940"/>
        <w:tblLayout w:type="fixed"/>
        <w:tblLook w:firstRow="1" w:lastRow="0" w:firstColumn="0" w:lastColumn="0" w:noHBand="0" w:noVBand="0" w:val="0020"/>
      </w:tblPr>
      <w:tblGrid>
        <w:gridCol w:w="1885"/>
        <w:gridCol w:w="2451"/>
        <w:gridCol w:w="565"/>
        <w:gridCol w:w="2922"/>
      </w:tblGrid>
      <w:tr>
        <w:trPr>
          <w:tblHeader w:val="on"/>
        </w:trPr>
        <w:tc>
          <w:tcPr/>
          <w:p>
            <w:pPr>
              <w:pStyle w:val="Compact"/>
              <w:jc w:val="left"/>
            </w:pPr>
            <w:r>
              <w:rPr>
                <w:b/>
                <w:bCs/>
              </w:rPr>
              <w:t xml:space="preserve">Resource</w:t>
            </w:r>
          </w:p>
        </w:tc>
        <w:tc>
          <w:tcPr/>
          <w:p>
            <w:pPr>
              <w:pStyle w:val="Compact"/>
              <w:jc w:val="left"/>
            </w:pPr>
            <w:r>
              <w:rPr>
                <w:b/>
                <w:bCs/>
              </w:rPr>
              <w:t xml:space="preserve">Specification</w:t>
            </w:r>
          </w:p>
        </w:tc>
        <w:tc>
          <w:tcPr/>
          <w:p>
            <w:pPr>
              <w:pStyle w:val="Compact"/>
              <w:jc w:val="left"/>
            </w:pPr>
            <w:r>
              <w:rPr>
                <w:b/>
                <w:bCs/>
              </w:rPr>
              <w:t xml:space="preserve">Phase</w:t>
            </w:r>
          </w:p>
        </w:tc>
        <w:tc>
          <w:tcPr/>
          <w:p>
            <w:pPr>
              <w:pStyle w:val="Compact"/>
              <w:jc w:val="left"/>
            </w:pPr>
            <w:r>
              <w:rPr>
                <w:b/>
                <w:bCs/>
              </w:rPr>
              <w:t xml:space="preserve">Cost Estimate</w:t>
            </w:r>
          </w:p>
        </w:tc>
      </w:tr>
      <w:tr>
        <w:tc>
          <w:tcPr/>
          <w:p>
            <w:pPr>
              <w:pStyle w:val="Compact"/>
              <w:jc w:val="left"/>
            </w:pPr>
            <w:r>
              <w:t xml:space="preserve">The Federal Modernization Program Git Se</w:t>
            </w:r>
          </w:p>
        </w:tc>
        <w:tc>
          <w:tcPr/>
          <w:p>
            <w:pPr>
              <w:pStyle w:val="Compact"/>
              <w:jc w:val="left"/>
            </w:pPr>
            <w:r>
              <w:t xml:space="preserve">rver (Windows Server 2025) 4 vCPU, 8 GB RAM, 100 G</w:t>
            </w:r>
          </w:p>
        </w:tc>
        <w:tc>
          <w:tcPr/>
          <w:p>
            <w:pPr>
              <w:pStyle w:val="Compact"/>
              <w:jc w:val="left"/>
            </w:pPr>
            <w:r>
              <w:t xml:space="preserve">B SSD</w:t>
            </w:r>
          </w:p>
        </w:tc>
        <w:tc>
          <w:tcPr/>
          <w:p>
            <w:pPr>
              <w:pStyle w:val="Compact"/>
              <w:jc w:val="left"/>
            </w:pPr>
            <w:r>
              <w:t xml:space="preserve">Phase 0 Hardware/VM cost (existing infra or ~$200/mo VM)</w:t>
            </w:r>
          </w:p>
        </w:tc>
      </w:tr>
      <w:tr>
        <w:tc>
          <w:tcPr/>
          <w:p>
            <w:pPr>
              <w:pStyle w:val="Compact"/>
              <w:jc w:val="left"/>
            </w:pPr>
            <w:r>
              <w:t xml:space="preserve">Assessment Workstation (PAW)</w:t>
            </w:r>
          </w:p>
        </w:tc>
        <w:tc>
          <w:tcPr/>
          <w:p>
            <w:pPr>
              <w:pStyle w:val="Compact"/>
              <w:jc w:val="left"/>
            </w:pPr>
            <w:r>
              <w:t xml:space="preserve">2 vCPU, 4 GB RAM, 50 GB SSD</w:t>
            </w:r>
          </w:p>
        </w:tc>
        <w:tc>
          <w:tcPr/>
          <w:p>
            <w:pPr>
              <w:pStyle w:val="Compact"/>
              <w:jc w:val="left"/>
            </w:pPr>
            <w:r>
              <w:t xml:space="preserve">Phase 1</w:t>
            </w:r>
          </w:p>
        </w:tc>
        <w:tc>
          <w:tcPr/>
          <w:p>
            <w:pPr>
              <w:pStyle w:val="Compact"/>
              <w:jc w:val="left"/>
            </w:pPr>
            <w:r>
              <w:t xml:space="preserve">Hardware/VM cost (temporary — decommission after Phase 1)</w:t>
            </w:r>
          </w:p>
        </w:tc>
      </w:tr>
      <w:tr>
        <w:tc>
          <w:tcPr/>
          <w:p>
            <w:pPr>
              <w:pStyle w:val="Compact"/>
              <w:jc w:val="left"/>
            </w:pPr>
            <w:r>
              <w:t xml:space="preserve">Entra Connect Server</w:t>
            </w:r>
          </w:p>
        </w:tc>
        <w:tc>
          <w:tcPr/>
          <w:p>
            <w:pPr>
              <w:pStyle w:val="Compact"/>
              <w:jc w:val="left"/>
            </w:pPr>
            <w:r>
              <w:t xml:space="preserve">4 vCPU, 8 GB RAM, per Microsoft sizing guidance</w:t>
            </w:r>
          </w:p>
        </w:tc>
        <w:tc>
          <w:tcPr/>
          <w:p>
            <w:pPr>
              <w:pStyle w:val="Compact"/>
              <w:jc w:val="left"/>
            </w:pPr>
            <w:r>
              <w:t xml:space="preserve">Phase 3</w:t>
            </w:r>
          </w:p>
        </w:tc>
        <w:tc>
          <w:tcPr/>
          <w:p>
            <w:pPr>
              <w:pStyle w:val="Compact"/>
              <w:jc w:val="left"/>
            </w:pPr>
            <w:r>
              <w:t xml:space="preserve">Hardware/VM cost</w:t>
            </w:r>
          </w:p>
        </w:tc>
      </w:tr>
      <w:tr>
        <w:tc>
          <w:tcPr/>
          <w:p>
            <w:pPr>
              <w:pStyle w:val="Compact"/>
              <w:jc w:val="left"/>
            </w:pPr>
            <w:r>
              <w:t xml:space="preserve">Azure DNS Private Resolver</w:t>
            </w:r>
          </w:p>
        </w:tc>
        <w:tc>
          <w:tcPr/>
          <w:p>
            <w:pPr>
              <w:pStyle w:val="Compact"/>
              <w:jc w:val="left"/>
            </w:pPr>
            <w:r>
              <w:t xml:space="preserve">2 endpoints minimum (inbound + outbound)</w:t>
            </w:r>
          </w:p>
        </w:tc>
        <w:tc>
          <w:tcPr/>
          <w:p>
            <w:pPr>
              <w:pStyle w:val="Compact"/>
              <w:jc w:val="left"/>
            </w:pPr>
            <w:r>
              <w:t xml:space="preserve">Phase 3</w:t>
            </w:r>
          </w:p>
        </w:tc>
        <w:tc>
          <w:tcPr/>
          <w:p>
            <w:pPr>
              <w:pStyle w:val="Compact"/>
              <w:jc w:val="left"/>
            </w:pPr>
            <w:r>
              <w:t xml:space="preserve">Azure consumption (~$400/mo per endpoint)</w:t>
            </w:r>
          </w:p>
        </w:tc>
      </w:tr>
      <w:tr>
        <w:tc>
          <w:tcPr/>
          <w:p>
            <w:pPr>
              <w:pStyle w:val="Compact"/>
              <w:jc w:val="left"/>
            </w:pPr>
            <w:r>
              <w:t xml:space="preserve">Log Analytics Workspace</w:t>
            </w:r>
          </w:p>
        </w:tc>
        <w:tc>
          <w:tcPr/>
          <w:p>
            <w:pPr>
              <w:pStyle w:val="Compact"/>
              <w:jc w:val="left"/>
            </w:pPr>
            <w:r>
              <w:t xml:space="preserve">Per-GB ingestion for Entra, Intune, Arc telemetry</w:t>
            </w:r>
          </w:p>
        </w:tc>
        <w:tc>
          <w:tcPr/>
          <w:p>
            <w:pPr>
              <w:pStyle w:val="Compact"/>
              <w:jc w:val="left"/>
            </w:pPr>
            <w:r>
              <w:t xml:space="preserve">Phase 3</w:t>
            </w:r>
          </w:p>
        </w:tc>
        <w:tc>
          <w:tcPr/>
          <w:p>
            <w:pPr>
              <w:pStyle w:val="Compact"/>
              <w:jc w:val="left"/>
            </w:pPr>
            <w:r>
              <w:t xml:space="preserve">Azure consumption (varies by volume)</w:t>
            </w:r>
          </w:p>
        </w:tc>
      </w:tr>
      <w:tr>
        <w:tc>
          <w:tcPr/>
          <w:p>
            <w:pPr>
              <w:pStyle w:val="Compact"/>
              <w:jc w:val="left"/>
            </w:pPr>
            <w:r>
              <w:t xml:space="preserve">Azure Blob Storage (Gitea backups)</w:t>
            </w:r>
          </w:p>
        </w:tc>
        <w:tc>
          <w:tcPr/>
          <w:p>
            <w:pPr>
              <w:pStyle w:val="Compact"/>
              <w:jc w:val="left"/>
            </w:pPr>
            <w:r>
              <w:t xml:space="preserve">LRS, Cool tier, ~50 GB projected</w:t>
            </w:r>
          </w:p>
        </w:tc>
        <w:tc>
          <w:tcPr/>
          <w:p>
            <w:pPr>
              <w:pStyle w:val="Compact"/>
              <w:jc w:val="left"/>
            </w:pPr>
            <w:r>
              <w:t xml:space="preserve">Phase 0</w:t>
            </w:r>
          </w:p>
        </w:tc>
        <w:tc>
          <w:tcPr/>
          <w:p>
            <w:pPr>
              <w:pStyle w:val="Compact"/>
              <w:jc w:val="left"/>
            </w:pPr>
            <w:r>
              <w:t xml:space="preserve">Azure consumption (~$1/mo)</w:t>
            </w:r>
          </w:p>
        </w:tc>
      </w:tr>
    </w:tbl>
    <w:p>
      <w:pPr>
        <w:pStyle w:val="BodyText"/>
      </w:pPr>
      <w:r>
        <w:t xml:space="preserve">12.3 People Requirements</w:t>
      </w:r>
    </w:p>
    <w:tbl>
      <w:tblPr>
        <w:tblStyle w:val="Table"/>
        <w:tblW w:type="pct" w:w="4873"/>
        <w:tblLayout w:type="fixed"/>
        <w:tblLook w:firstRow="1" w:lastRow="0" w:firstColumn="0" w:lastColumn="0" w:noHBand="0" w:noVBand="0" w:val="0020"/>
      </w:tblPr>
      <w:tblGrid>
        <w:gridCol w:w="2205"/>
        <w:gridCol w:w="1904"/>
        <w:gridCol w:w="2105"/>
        <w:gridCol w:w="1503"/>
      </w:tblGrid>
      <w:tr>
        <w:trPr>
          <w:tblHeader w:val="on"/>
        </w:trPr>
        <w:tc>
          <w:tcPr/>
          <w:p>
            <w:pPr>
              <w:pStyle w:val="Compact"/>
              <w:jc w:val="left"/>
            </w:pPr>
            <w:r>
              <w:rPr>
                <w:b/>
                <w:bCs/>
              </w:rPr>
              <w:t xml:space="preserve">Role</w:t>
            </w:r>
          </w:p>
        </w:tc>
        <w:tc>
          <w:tcPr/>
          <w:p>
            <w:pPr>
              <w:pStyle w:val="Compact"/>
              <w:jc w:val="left"/>
            </w:pPr>
            <w:r>
              <w:rPr>
                <w:b/>
                <w:bCs/>
              </w:rPr>
              <w:t xml:space="preserve">FTE Estimate</w:t>
            </w:r>
          </w:p>
        </w:tc>
        <w:tc>
          <w:tcPr/>
          <w:p>
            <w:pPr>
              <w:pStyle w:val="Compact"/>
              <w:jc w:val="left"/>
            </w:pPr>
            <w:r>
              <w:rPr>
                <w:b/>
                <w:bCs/>
              </w:rPr>
              <w:t xml:space="preserve">Duration</w:t>
            </w:r>
          </w:p>
        </w:tc>
        <w:tc>
          <w:tcPr/>
          <w:p>
            <w:pPr>
              <w:pStyle w:val="Compact"/>
              <w:jc w:val="left"/>
            </w:pPr>
            <w:r>
              <w:rPr>
                <w:b/>
                <w:bCs/>
              </w:rPr>
              <w:t xml:space="preserve">Phase(s)</w:t>
            </w:r>
          </w:p>
        </w:tc>
      </w:tr>
      <w:tr>
        <w:tc>
          <w:tcPr/>
          <w:p>
            <w:pPr>
              <w:pStyle w:val="Compact"/>
              <w:jc w:val="left"/>
            </w:pPr>
            <w:r>
              <w:t xml:space="preserve">Canon Steward</w:t>
            </w:r>
          </w:p>
        </w:tc>
        <w:tc>
          <w:tcPr/>
          <w:p>
            <w:pPr>
              <w:pStyle w:val="Compact"/>
              <w:jc w:val="left"/>
            </w:pPr>
            <w:r>
              <w:t xml:space="preserve">0.5 FTE</w:t>
            </w:r>
          </w:p>
        </w:tc>
        <w:tc>
          <w:tcPr/>
          <w:p>
            <w:pPr>
              <w:pStyle w:val="Compact"/>
              <w:jc w:val="left"/>
            </w:pPr>
            <w:r>
              <w:t xml:space="preserve">52 weeks + ongoing</w:t>
            </w:r>
          </w:p>
        </w:tc>
        <w:tc>
          <w:tcPr/>
          <w:p>
            <w:pPr>
              <w:pStyle w:val="Compact"/>
              <w:jc w:val="left"/>
            </w:pPr>
            <w:r>
              <w:t xml:space="preserve">All</w:t>
            </w:r>
          </w:p>
        </w:tc>
      </w:tr>
      <w:tr>
        <w:tc>
          <w:tcPr/>
          <w:p>
            <w:pPr>
              <w:pStyle w:val="Compact"/>
              <w:jc w:val="left"/>
            </w:pPr>
            <w:r>
              <w:t xml:space="preserve">Infrastructure Lead</w:t>
            </w:r>
          </w:p>
        </w:tc>
        <w:tc>
          <w:tcPr/>
          <w:p>
            <w:pPr>
              <w:pStyle w:val="Compact"/>
              <w:jc w:val="left"/>
            </w:pPr>
            <w:r>
              <w:t xml:space="preserve">1.0 FTE</w:t>
            </w:r>
          </w:p>
        </w:tc>
        <w:tc>
          <w:tcPr/>
          <w:p>
            <w:pPr>
              <w:pStyle w:val="Compact"/>
              <w:jc w:val="left"/>
            </w:pPr>
            <w:r>
              <w:t xml:space="preserve">Weeks 1–41</w:t>
            </w:r>
          </w:p>
        </w:tc>
        <w:tc>
          <w:tcPr/>
          <w:p>
            <w:pPr>
              <w:pStyle w:val="Compact"/>
              <w:jc w:val="left"/>
            </w:pPr>
            <w:r>
              <w:t xml:space="preserve">Phase 0–5</w:t>
            </w:r>
          </w:p>
        </w:tc>
      </w:tr>
      <w:tr>
        <w:tc>
          <w:tcPr/>
          <w:p>
            <w:pPr>
              <w:pStyle w:val="Compact"/>
              <w:jc w:val="left"/>
            </w:pPr>
            <w:r>
              <w:t xml:space="preserve">Identity Lead</w:t>
            </w:r>
          </w:p>
        </w:tc>
        <w:tc>
          <w:tcPr/>
          <w:p>
            <w:pPr>
              <w:pStyle w:val="Compact"/>
              <w:jc w:val="left"/>
            </w:pPr>
            <w:r>
              <w:t xml:space="preserve">1.0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Endpoint Lead</w:t>
            </w:r>
          </w:p>
        </w:tc>
        <w:tc>
          <w:tcPr/>
          <w:p>
            <w:pPr>
              <w:pStyle w:val="Compact"/>
              <w:jc w:val="left"/>
            </w:pPr>
            <w:r>
              <w:t xml:space="preserve">1.0 FTE</w:t>
            </w:r>
          </w:p>
        </w:tc>
        <w:tc>
          <w:tcPr/>
          <w:p>
            <w:pPr>
              <w:pStyle w:val="Compact"/>
              <w:jc w:val="left"/>
            </w:pPr>
            <w:r>
              <w:t xml:space="preserve">Weeks 10–41</w:t>
            </w:r>
          </w:p>
        </w:tc>
        <w:tc>
          <w:tcPr/>
          <w:p>
            <w:pPr>
              <w:pStyle w:val="Compact"/>
              <w:jc w:val="left"/>
            </w:pPr>
            <w:r>
              <w:t xml:space="preserve">Phase 2–5</w:t>
            </w:r>
          </w:p>
        </w:tc>
      </w:tr>
      <w:tr>
        <w:tc>
          <w:tcPr/>
          <w:p>
            <w:pPr>
              <w:pStyle w:val="Compact"/>
              <w:jc w:val="left"/>
            </w:pPr>
            <w:r>
              <w:t xml:space="preserve">DNS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PKI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Security Lead</w:t>
            </w:r>
          </w:p>
        </w:tc>
        <w:tc>
          <w:tcPr/>
          <w:p>
            <w:pPr>
              <w:pStyle w:val="Compact"/>
              <w:jc w:val="left"/>
            </w:pPr>
            <w:r>
              <w:t xml:space="preserve">0.5 FTE</w:t>
            </w:r>
          </w:p>
        </w:tc>
        <w:tc>
          <w:tcPr/>
          <w:p>
            <w:pPr>
              <w:pStyle w:val="Compact"/>
              <w:jc w:val="left"/>
            </w:pPr>
            <w:r>
              <w:t xml:space="preserve">Weeks 4–52+</w:t>
            </w:r>
          </w:p>
        </w:tc>
        <w:tc>
          <w:tcPr/>
          <w:p>
            <w:pPr>
              <w:pStyle w:val="Compact"/>
              <w:jc w:val="left"/>
            </w:pPr>
            <w:r>
              <w:t xml:space="preserve">Phase 1–6</w:t>
            </w:r>
          </w:p>
        </w:tc>
      </w:tr>
      <w:tr>
        <w:tc>
          <w:tcPr/>
          <w:p>
            <w:pPr>
              <w:pStyle w:val="Compact"/>
              <w:jc w:val="left"/>
            </w:pPr>
            <w:r>
              <w:t xml:space="preserve">Project Manager</w:t>
            </w:r>
          </w:p>
        </w:tc>
        <w:tc>
          <w:tcPr/>
          <w:p>
            <w:pPr>
              <w:pStyle w:val="Compact"/>
              <w:jc w:val="left"/>
            </w:pPr>
            <w:r>
              <w:t xml:space="preserve">0.5 FTE</w:t>
            </w:r>
          </w:p>
        </w:tc>
        <w:tc>
          <w:tcPr/>
          <w:p>
            <w:pPr>
              <w:pStyle w:val="Compact"/>
              <w:jc w:val="left"/>
            </w:pPr>
            <w:r>
              <w:t xml:space="preserve">52 weeks</w:t>
            </w:r>
          </w:p>
        </w:tc>
        <w:tc>
          <w:tcPr/>
          <w:p>
            <w:pPr>
              <w:pStyle w:val="Compact"/>
              <w:jc w:val="left"/>
            </w:pPr>
            <w:r>
              <w:t xml:space="preserve">All</w:t>
            </w:r>
          </w:p>
        </w:tc>
      </w:tr>
      <w:tr>
        <w:tc>
          <w:tcPr/>
          <w:p>
            <w:pPr>
              <w:pStyle w:val="Compact"/>
              <w:jc w:val="left"/>
            </w:pPr>
            <w:r>
              <w:rPr>
                <w:b/>
                <w:bCs/>
              </w:rPr>
              <w:t xml:space="preserve">Total</w:t>
            </w:r>
          </w:p>
        </w:tc>
        <w:tc>
          <w:tcPr/>
          <w:p>
            <w:pPr>
              <w:pStyle w:val="Compact"/>
              <w:jc w:val="left"/>
            </w:pPr>
            <w:r>
              <w:rPr>
                <w:b/>
                <w:bCs/>
              </w:rPr>
              <w:t xml:space="preserve">5.5 FTE</w:t>
            </w:r>
          </w:p>
        </w:tc>
        <w:tc>
          <w:tcPr/>
          <w:p>
            <w:pPr>
              <w:pStyle w:val="Compact"/>
            </w:pPr>
          </w:p>
        </w:tc>
        <w:tc>
          <w:tcPr/>
          <w:p>
            <w:pPr>
              <w:pStyle w:val="Compact"/>
            </w:pPr>
          </w:p>
        </w:tc>
      </w:tr>
    </w:tbl>
    <w:p>
      <w:pPr>
        <w:pStyle w:val="BodyText"/>
      </w:pPr>
      <w:r>
        <w:t xml:space="preserve">13. Copilot Code Integration — Proposed Next Steps</w:t>
      </w:r>
    </w:p>
    <w:p>
      <w:pPr>
        <w:pStyle w:val="BodyText"/>
      </w:pPr>
      <w:r>
        <w:t xml:space="preserve">This section defines how Copilot Code should proceed to operationalize this Master Project Plan. Each sprint produces committed, tested PowerShell modules and configuration artifacts that directly enable phase execution.</w:t>
      </w:r>
    </w:p>
    <w:p>
      <w:pPr>
        <w:pStyle w:val="BodyText"/>
      </w:pPr>
      <w:r>
        <w:t xml:space="preserve">13.1 Immediate Actions (Sprint 1 — Next 2 Weeks)</w:t>
      </w:r>
    </w:p>
    <w:tbl>
      <w:tblPr>
        <w:tblStyle w:val="Table"/>
        <w:tblW w:type="pct" w:w="4974"/>
        <w:tblLayout w:type="fixed"/>
        <w:tblLook w:firstRow="1" w:lastRow="0" w:firstColumn="0" w:lastColumn="0" w:noHBand="0" w:noVBand="0" w:val="0020"/>
      </w:tblPr>
      <w:tblGrid>
        <w:gridCol w:w="186"/>
        <w:gridCol w:w="995"/>
        <w:gridCol w:w="5991"/>
        <w:gridCol w:w="704"/>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FMPADAssessment.psm1 P</w:t>
            </w:r>
          </w:p>
        </w:tc>
        <w:tc>
          <w:tcPr/>
          <w:p>
            <w:pPr>
              <w:pStyle w:val="Compact"/>
              <w:jc w:val="left"/>
            </w:pPr>
            <w:r>
              <w:t xml:space="preserve">owerShell module implementing all assessment functions: Export-FMPForestTopology, Export-FMPOUHierarchy, Export-FMPGPOInventory, Export-FMPComputerInventory, Export-FMPUserInventory, Export-FMPGroupInventory, Export-FMPTrustMap, Export-FMPACLReport, Export-FMPSchemaExtensions AD Interac</w:t>
            </w:r>
          </w:p>
        </w:tc>
        <w:tc>
          <w:tcPr/>
          <w:p>
            <w:pPr>
              <w:pStyle w:val="Compact"/>
              <w:jc w:val="left"/>
            </w:pPr>
            <w:r>
              <w:t xml:space="preserve">tion Guide</w:t>
            </w:r>
          </w:p>
        </w:tc>
      </w:tr>
      <w:tr>
        <w:tc>
          <w:tcPr/>
          <w:p>
            <w:pPr>
              <w:pStyle w:val="Compact"/>
              <w:jc w:val="left"/>
            </w:pPr>
            <w:r>
              <w:t xml:space="preserve">2</w:t>
            </w:r>
          </w:p>
        </w:tc>
        <w:tc>
          <w:tcPr/>
          <w:p>
            <w:pPr>
              <w:pStyle w:val="Compact"/>
              <w:jc w:val="left"/>
            </w:pPr>
            <w:r>
              <w:t xml:space="preserve">FMPReadOnlyAssessment.psm1 M</w:t>
            </w:r>
          </w:p>
        </w:tc>
        <w:tc>
          <w:tcPr/>
          <w:p>
            <w:pPr>
              <w:pStyle w:val="Compact"/>
              <w:jc w:val="left"/>
            </w:pPr>
            <w:r>
              <w:t xml:space="preserve">odule implementing Test-FMPReadAccess and Invoke-FMPReadOnlyAssessment master orchestrator for non-delegated assessment Rea</w:t>
            </w:r>
          </w:p>
        </w:tc>
        <w:tc>
          <w:tcPr/>
          <w:p>
            <w:pPr>
              <w:pStyle w:val="Compact"/>
              <w:jc w:val="left"/>
            </w:pPr>
            <w:r>
              <w:t xml:space="preserve">d-Only AD Assessment Guide</w:t>
            </w:r>
          </w:p>
        </w:tc>
      </w:tr>
      <w:tr>
        <w:tc>
          <w:tcPr/>
          <w:p>
            <w:pPr>
              <w:pStyle w:val="Compact"/>
              <w:jc w:val="left"/>
            </w:pPr>
            <w:r>
              <w:t xml:space="preserve">3</w:t>
            </w:r>
          </w:p>
        </w:tc>
        <w:tc>
          <w:tcPr/>
          <w:p>
            <w:pPr>
              <w:pStyle w:val="Compact"/>
              <w:jc w:val="left"/>
            </w:pPr>
            <w:r>
              <w:t xml:space="preserve">FMPPKIAssessment.psm1 M</w:t>
            </w:r>
          </w:p>
        </w:tc>
        <w:tc>
          <w:tcPr/>
          <w:p>
            <w:pPr>
              <w:pStyle w:val="Compact"/>
              <w:jc w:val="left"/>
            </w:pPr>
            <w:r>
              <w:t xml:space="preserve">odule implementing Export-FMPPKIInventory and Test-FMPESCVulnerabilities (ESC1–ESC8 detection) PKI</w:t>
            </w:r>
          </w:p>
        </w:tc>
        <w:tc>
          <w:tcPr/>
          <w:p>
            <w:pPr>
              <w:pStyle w:val="Compact"/>
              <w:jc w:val="left"/>
            </w:pPr>
            <w:r>
              <w:t xml:space="preserve">Modernization Guide</w:t>
            </w:r>
          </w:p>
        </w:tc>
      </w:tr>
      <w:tr>
        <w:tc>
          <w:tcPr/>
          <w:p>
            <w:pPr>
              <w:pStyle w:val="Compact"/>
              <w:jc w:val="left"/>
            </w:pPr>
            <w:r>
              <w:t xml:space="preserve">4</w:t>
            </w:r>
          </w:p>
        </w:tc>
        <w:tc>
          <w:tcPr/>
          <w:p>
            <w:pPr>
              <w:pStyle w:val="Compact"/>
              <w:jc w:val="left"/>
            </w:pPr>
            <w:r>
              <w:t xml:space="preserve">FMPDNSAssessment.psm1 M</w:t>
            </w:r>
          </w:p>
        </w:tc>
        <w:tc>
          <w:tcPr/>
          <w:p>
            <w:pPr>
              <w:pStyle w:val="Compact"/>
              <w:jc w:val="left"/>
            </w:pPr>
            <w:r>
              <w:t xml:space="preserve">odule implementing Export-FMPDNSAssessment (zone enumeration, record inventory, aging analysis) DN</w:t>
            </w:r>
          </w:p>
        </w:tc>
        <w:tc>
          <w:tcPr/>
          <w:p>
            <w:pPr>
              <w:pStyle w:val="Compact"/>
              <w:jc w:val="left"/>
            </w:pPr>
            <w:r>
              <w:t xml:space="preserve">S Modernization Guide</w:t>
            </w:r>
          </w:p>
        </w:tc>
      </w:tr>
      <w:tr>
        <w:tc>
          <w:tcPr/>
          <w:p>
            <w:pPr>
              <w:pStyle w:val="Compact"/>
              <w:jc w:val="left"/>
            </w:pPr>
            <w:r>
              <w:t xml:space="preserve">5</w:t>
            </w:r>
          </w:p>
        </w:tc>
        <w:tc>
          <w:tcPr/>
          <w:p>
            <w:pPr>
              <w:pStyle w:val="Compact"/>
              <w:jc w:val="left"/>
            </w:pPr>
            <w:r>
              <w:t xml:space="preserve">Invoke-FMPFullAssessment M</w:t>
            </w:r>
          </w:p>
        </w:tc>
        <w:tc>
          <w:tcPr/>
          <w:p>
            <w:pPr>
              <w:pStyle w:val="Compact"/>
              <w:jc w:val="left"/>
            </w:pPr>
            <w:r>
              <w:t xml:space="preserve">aster orchestrator calling all assessment modules, generating AssessmentManifest.json, and staging output for Gitea commit A</w:t>
            </w:r>
          </w:p>
        </w:tc>
        <w:tc>
          <w:tcPr/>
          <w:p>
            <w:pPr>
              <w:pStyle w:val="Compact"/>
              <w:jc w:val="left"/>
            </w:pPr>
            <w:r>
              <w:t xml:space="preserve">ll assessment guides</w:t>
            </w:r>
          </w:p>
        </w:tc>
      </w:tr>
      <w:tr>
        <w:tc>
          <w:tcPr/>
          <w:p>
            <w:pPr>
              <w:pStyle w:val="Compact"/>
              <w:jc w:val="left"/>
            </w:pPr>
            <w:r>
              <w:t xml:space="preserve">6</w:t>
            </w:r>
          </w:p>
        </w:tc>
        <w:tc>
          <w:tcPr/>
          <w:p>
            <w:pPr>
              <w:pStyle w:val="Compact"/>
              <w:jc w:val="left"/>
            </w:pPr>
            <w:r>
              <w:t xml:space="preserve">app.ini (Gitea configuration)</w:t>
            </w:r>
          </w:p>
        </w:tc>
        <w:tc>
          <w:tcPr/>
          <w:p>
            <w:pPr>
              <w:pStyle w:val="Compact"/>
              <w:jc w:val="left"/>
            </w:pPr>
            <w:r>
              <w:t xml:space="preserve">Complete Gitea configuration file with LDAP, OAuth2, repository settings, and governance parameters</w:t>
            </w:r>
          </w:p>
        </w:tc>
        <w:tc>
          <w:tcPr/>
          <w:p>
            <w:pPr>
              <w:pStyle w:val="Compact"/>
              <w:jc w:val="left"/>
            </w:pPr>
            <w:r>
              <w:t xml:space="preserve">Platform Server Build Guide</w:t>
            </w:r>
          </w:p>
        </w:tc>
      </w:tr>
      <w:tr>
        <w:tc>
          <w:tcPr/>
          <w:p>
            <w:pPr>
              <w:pStyle w:val="Compact"/>
              <w:jc w:val="left"/>
            </w:pPr>
            <w:r>
              <w:t xml:space="preserve">7</w:t>
            </w:r>
          </w:p>
        </w:tc>
        <w:tc>
          <w:tcPr/>
          <w:p>
            <w:pPr>
              <w:pStyle w:val="Compact"/>
              <w:jc w:val="left"/>
            </w:pPr>
            <w:r>
              <w:t xml:space="preserve">web.config (IIS reverse proxy)</w:t>
            </w:r>
          </w:p>
        </w:tc>
        <w:tc>
          <w:tcPr/>
          <w:p>
            <w:pPr>
              <w:pStyle w:val="Compact"/>
              <w:jc w:val="left"/>
            </w:pPr>
            <w:r>
              <w:t xml:space="preserve">IIS URL Rewrite / ARR configuration for HTTPS reverse proxy to Gitea</w:t>
            </w:r>
          </w:p>
        </w:tc>
        <w:tc>
          <w:tcPr/>
          <w:p>
            <w:pPr>
              <w:pStyle w:val="Compact"/>
              <w:jc w:val="left"/>
            </w:pPr>
            <w:r>
              <w:t xml:space="preserve">Platform Server Build Guide</w:t>
            </w:r>
          </w:p>
        </w:tc>
      </w:tr>
      <w:tr>
        <w:tc>
          <w:tcPr/>
          <w:p>
            <w:pPr>
              <w:pStyle w:val="Compact"/>
              <w:jc w:val="left"/>
            </w:pPr>
            <w:r>
              <w:t xml:space="preserve">8</w:t>
            </w:r>
          </w:p>
        </w:tc>
        <w:tc>
          <w:tcPr/>
          <w:p>
            <w:pPr>
              <w:pStyle w:val="Compact"/>
              <w:jc w:val="left"/>
            </w:pPr>
            <w:r>
              <w:t xml:space="preserve">Git hooks (pre-receive, post-receive, update)</w:t>
            </w:r>
          </w:p>
        </w:tc>
        <w:tc>
          <w:tcPr/>
          <w:p>
            <w:pPr>
              <w:pStyle w:val="Compact"/>
              <w:jc w:val="left"/>
            </w:pPr>
            <w:r>
              <w:t xml:space="preserve">All three governance hooks implementing FOUO rejection, branch protection, and notification</w:t>
            </w:r>
          </w:p>
        </w:tc>
        <w:tc>
          <w:tcPr/>
          <w:p>
            <w:pPr>
              <w:pStyle w:val="Compact"/>
              <w:jc w:val="left"/>
            </w:pPr>
            <w:r>
              <w:t xml:space="preserve">Platform Server Build Guide §12</w:t>
            </w:r>
          </w:p>
        </w:tc>
      </w:tr>
    </w:tbl>
    <w:p>
      <w:pPr>
        <w:pStyle w:val="BodyText"/>
      </w:pPr>
      <w:r>
        <w:t xml:space="preserve">13.2 Short-Term Actions (Sprint 2–3 — Weeks 3–6)</w:t>
      </w:r>
    </w:p>
    <w:tbl>
      <w:tblPr>
        <w:tblStyle w:val="Table"/>
        <w:tblW w:type="pct" w:w="4948"/>
        <w:tblLayout w:type="fixed"/>
        <w:tblLook w:firstRow="1" w:lastRow="0" w:firstColumn="0" w:lastColumn="0" w:noHBand="0" w:noVBand="0" w:val="0020"/>
      </w:tblPr>
      <w:tblGrid>
        <w:gridCol w:w="371"/>
        <w:gridCol w:w="1856"/>
        <w:gridCol w:w="3918"/>
        <w:gridCol w:w="169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Import-GPOAnalyticsReport adapter</w:t>
            </w:r>
          </w:p>
        </w:tc>
        <w:tc>
          <w:tcPr/>
          <w:p>
            <w:pPr>
              <w:pStyle w:val="Compact"/>
              <w:jc w:val="left"/>
            </w:pPr>
            <w:r>
              <w:t xml:space="preserve">Imports GPO Analytics results from Intune portal and correlates with GPOInventory.json</w:t>
            </w:r>
          </w:p>
        </w:tc>
        <w:tc>
          <w:tcPr/>
          <w:p>
            <w:pPr>
              <w:pStyle w:val="Compact"/>
              <w:jc w:val="left"/>
            </w:pPr>
            <w:r>
              <w:t xml:space="preserve">Gap Analysis §9</w:t>
            </w:r>
          </w:p>
        </w:tc>
      </w:tr>
      <w:tr>
        <w:tc>
          <w:tcPr/>
          <w:p>
            <w:pPr>
              <w:pStyle w:val="Compact"/>
              <w:jc w:val="left"/>
            </w:pPr>
            <w:r>
              <w:t xml:space="preserve">2</w:t>
            </w:r>
          </w:p>
        </w:tc>
        <w:tc>
          <w:tcPr/>
          <w:p>
            <w:pPr>
              <w:pStyle w:val="Compact"/>
              <w:jc w:val="left"/>
            </w:pPr>
            <w:r>
              <w:t xml:space="preserve">Import-DefenderForIdentityFindings adapter</w:t>
            </w:r>
          </w:p>
        </w:tc>
        <w:tc>
          <w:tcPr/>
          <w:p>
            <w:pPr>
              <w:pStyle w:val="Compact"/>
              <w:jc w:val="left"/>
            </w:pPr>
            <w:r>
              <w:t xml:space="preserve">Imports Defender for Identity Secure Score findings and normalizes to the Federal Modernization</w:t>
            </w:r>
          </w:p>
        </w:tc>
        <w:tc>
          <w:tcPr/>
          <w:p>
            <w:pPr>
              <w:pStyle w:val="Compact"/>
              <w:jc w:val="left"/>
            </w:pPr>
            <w:r>
              <w:t xml:space="preserve">Program finding format Gap Analysis §7</w:t>
            </w:r>
          </w:p>
        </w:tc>
      </w:tr>
      <w:tr>
        <w:tc>
          <w:tcPr/>
          <w:p>
            <w:pPr>
              <w:pStyle w:val="Compact"/>
              <w:jc w:val="left"/>
            </w:pPr>
            <w:r>
              <w:t xml:space="preserve">3</w:t>
            </w:r>
          </w:p>
        </w:tc>
        <w:tc>
          <w:tcPr/>
          <w:p>
            <w:pPr>
              <w:pStyle w:val="Compact"/>
              <w:jc w:val="left"/>
            </w:pPr>
            <w:r>
              <w:t xml:space="preserve">New-FMPComputerModernizationPlan C</w:t>
            </w:r>
          </w:p>
        </w:tc>
        <w:tc>
          <w:tcPr/>
          <w:p>
            <w:pPr>
              <w:pStyle w:val="Compact"/>
              <w:jc w:val="left"/>
            </w:pPr>
            <w:r>
              <w:t xml:space="preserve">onsumes ComputerInventory.json; classifies each object into migration path A</w:t>
            </w:r>
          </w:p>
        </w:tc>
        <w:tc>
          <w:tcPr/>
          <w:p>
            <w:pPr>
              <w:pStyle w:val="Compact"/>
              <w:jc w:val="left"/>
            </w:pPr>
            <w:r>
              <w:t xml:space="preserve">D Computer Object Conversion Guide</w:t>
            </w:r>
          </w:p>
        </w:tc>
      </w:tr>
      <w:tr>
        <w:tc>
          <w:tcPr/>
          <w:p>
            <w:pPr>
              <w:pStyle w:val="Compact"/>
              <w:jc w:val="left"/>
            </w:pPr>
            <w:r>
              <w:t xml:space="preserve">4</w:t>
            </w:r>
          </w:p>
        </w:tc>
        <w:tc>
          <w:tcPr/>
          <w:p>
            <w:pPr>
              <w:pStyle w:val="Compact"/>
              <w:jc w:val="left"/>
            </w:pPr>
            <w:r>
              <w:t xml:space="preserve">New-FMPIdentityModernizationPlan C</w:t>
            </w:r>
          </w:p>
        </w:tc>
        <w:tc>
          <w:tcPr/>
          <w:p>
            <w:pPr>
              <w:pStyle w:val="Compact"/>
              <w:jc w:val="left"/>
            </w:pPr>
            <w:r>
              <w:t xml:space="preserve">onsumes UserInventory.json + GroupInventory.json; classifies identities into migration path I</w:t>
            </w:r>
          </w:p>
        </w:tc>
        <w:tc>
          <w:tcPr/>
          <w:p>
            <w:pPr>
              <w:pStyle w:val="Compact"/>
              <w:jc w:val="left"/>
            </w:pPr>
            <w:r>
              <w:t xml:space="preserve">dentity Modernization Guide</w:t>
            </w:r>
          </w:p>
        </w:tc>
      </w:tr>
      <w:tr>
        <w:tc>
          <w:tcPr/>
          <w:p>
            <w:pPr>
              <w:pStyle w:val="Compact"/>
              <w:jc w:val="left"/>
            </w:pPr>
            <w:r>
              <w:t xml:space="preserve">5</w:t>
            </w:r>
          </w:p>
        </w:tc>
        <w:tc>
          <w:tcPr/>
          <w:p>
            <w:pPr>
              <w:pStyle w:val="Compact"/>
              <w:jc w:val="left"/>
            </w:pPr>
            <w:r>
              <w:t xml:space="preserve">New-FMPGPOMigrationPlan C</w:t>
            </w:r>
          </w:p>
        </w:tc>
        <w:tc>
          <w:tcPr/>
          <w:p>
            <w:pPr>
              <w:pStyle w:val="Compact"/>
              <w:jc w:val="left"/>
            </w:pPr>
            <w:r>
              <w:t xml:space="preserve">onsumes GPOInventory.json; decomposes GPOs into intents with per-intent Intune mapping A</w:t>
            </w:r>
          </w:p>
        </w:tc>
        <w:tc>
          <w:tcPr/>
          <w:p>
            <w:pPr>
              <w:pStyle w:val="Compact"/>
              <w:jc w:val="left"/>
            </w:pPr>
            <w:r>
              <w:t xml:space="preserve">D Computer Object Conversion Guide §4</w:t>
            </w:r>
          </w:p>
        </w:tc>
      </w:tr>
      <w:tr>
        <w:tc>
          <w:tcPr/>
          <w:p>
            <w:pPr>
              <w:pStyle w:val="Compact"/>
              <w:jc w:val="left"/>
            </w:pPr>
            <w:r>
              <w:t xml:space="preserve">6</w:t>
            </w:r>
          </w:p>
        </w:tc>
        <w:tc>
          <w:tcPr/>
          <w:p>
            <w:pPr>
              <w:pStyle w:val="Compact"/>
              <w:jc w:val="left"/>
            </w:pPr>
            <w:r>
              <w:t xml:space="preserve">New-FMPDNSModernizationPlan C</w:t>
            </w:r>
          </w:p>
        </w:tc>
        <w:tc>
          <w:tcPr/>
          <w:p>
            <w:pPr>
              <w:pStyle w:val="Compact"/>
              <w:jc w:val="left"/>
            </w:pPr>
            <w:r>
              <w:t xml:space="preserve">onsumes DNSInventory.json; classifies zones and records into migration path D</w:t>
            </w:r>
          </w:p>
        </w:tc>
        <w:tc>
          <w:tcPr/>
          <w:p>
            <w:pPr>
              <w:pStyle w:val="Compact"/>
              <w:jc w:val="left"/>
            </w:pPr>
            <w:r>
              <w:t xml:space="preserve">NS Modernization Guide</w:t>
            </w:r>
          </w:p>
        </w:tc>
      </w:tr>
      <w:tr>
        <w:tc>
          <w:tcPr/>
          <w:p>
            <w:pPr>
              <w:pStyle w:val="Compact"/>
              <w:jc w:val="left"/>
            </w:pPr>
            <w:r>
              <w:t xml:space="preserve">7</w:t>
            </w:r>
          </w:p>
        </w:tc>
        <w:tc>
          <w:tcPr/>
          <w:p>
            <w:pPr>
              <w:pStyle w:val="Compact"/>
              <w:jc w:val="left"/>
            </w:pPr>
            <w:r>
              <w:t xml:space="preserve">New-FMPPKIModernizationPlan C</w:t>
            </w:r>
          </w:p>
        </w:tc>
        <w:tc>
          <w:tcPr/>
          <w:p>
            <w:pPr>
              <w:pStyle w:val="Compact"/>
              <w:jc w:val="left"/>
            </w:pPr>
            <w:r>
              <w:t xml:space="preserve">onsumes PKIInventory.json; classifies templates into MIGRATE/BRIDGE/RETAIN/RETIRE P</w:t>
            </w:r>
          </w:p>
        </w:tc>
        <w:tc>
          <w:tcPr/>
          <w:p>
            <w:pPr>
              <w:pStyle w:val="Compact"/>
              <w:jc w:val="left"/>
            </w:pPr>
            <w:r>
              <w:t xml:space="preserve">KI Modernization Guide §4</w:t>
            </w:r>
          </w:p>
        </w:tc>
      </w:tr>
      <w:tr>
        <w:tc>
          <w:tcPr/>
          <w:p>
            <w:pPr>
              <w:pStyle w:val="Compact"/>
              <w:jc w:val="left"/>
            </w:pPr>
            <w:r>
              <w:t xml:space="preserve">8</w:t>
            </w:r>
          </w:p>
        </w:tc>
        <w:tc>
          <w:tcPr/>
          <w:p>
            <w:pPr>
              <w:pStyle w:val="Compact"/>
              <w:jc w:val="left"/>
            </w:pPr>
            <w:r>
              <w:t xml:space="preserve">New-FMPAttributeDesign</w:t>
            </w:r>
          </w:p>
        </w:tc>
        <w:tc>
          <w:tcPr/>
          <w:p>
            <w:pPr>
              <w:pStyle w:val="Compact"/>
              <w:jc w:val="left"/>
            </w:pPr>
            <w:r>
              <w:t xml:space="preserve">Consumes OUHierarchy.json + SchemaExtensions.json; generates extensio</w:t>
            </w:r>
          </w:p>
        </w:tc>
        <w:tc>
          <w:tcPr/>
          <w:p>
            <w:pPr>
              <w:pStyle w:val="Compact"/>
              <w:jc w:val="left"/>
            </w:pPr>
            <w:r>
              <w:t xml:space="preserve">n attribute dimension design AD Computer Object Conversion Guide §2</w:t>
            </w:r>
          </w:p>
        </w:tc>
      </w:tr>
      <w:tr>
        <w:tc>
          <w:tcPr/>
          <w:p>
            <w:pPr>
              <w:pStyle w:val="Compact"/>
              <w:jc w:val="left"/>
            </w:pPr>
            <w:r>
              <w:t xml:space="preserve">9</w:t>
            </w:r>
          </w:p>
        </w:tc>
        <w:tc>
          <w:tcPr/>
          <w:p>
            <w:pPr>
              <w:pStyle w:val="Compact"/>
              <w:jc w:val="left"/>
            </w:pPr>
            <w:r>
              <w:t xml:space="preserve">Invoke-FMPDriftDetection S</w:t>
            </w:r>
          </w:p>
        </w:tc>
        <w:tc>
          <w:tcPr/>
          <w:p>
            <w:pPr>
              <w:pStyle w:val="Compact"/>
              <w:jc w:val="left"/>
            </w:pPr>
            <w:r>
              <w:t xml:space="preserve">cheduled task scripts for daily drift detection against canonical plans C</w:t>
            </w:r>
          </w:p>
        </w:tc>
        <w:tc>
          <w:tcPr/>
          <w:p>
            <w:pPr>
              <w:pStyle w:val="Compact"/>
              <w:jc w:val="left"/>
            </w:pPr>
            <w:r>
              <w:t xml:space="preserve">LI and Operations Guide</w:t>
            </w:r>
          </w:p>
        </w:tc>
      </w:tr>
    </w:tbl>
    <w:p>
      <w:pPr>
        <w:pStyle w:val="BodyText"/>
      </w:pPr>
      <w:r>
        <w:t xml:space="preserve">13.3 Medium-Term Actions (Sprint 4–6 — Weeks 7–12)</w:t>
      </w:r>
    </w:p>
    <w:tbl>
      <w:tblPr>
        <w:tblStyle w:val="Table"/>
        <w:tblW w:type="pct" w:w="4948"/>
        <w:tblLayout w:type="fixed"/>
        <w:tblLook w:firstRow="1" w:lastRow="0" w:firstColumn="0" w:lastColumn="0" w:noHBand="0" w:noVBand="0" w:val="0020"/>
      </w:tblPr>
      <w:tblGrid>
        <w:gridCol w:w="367"/>
        <w:gridCol w:w="1959"/>
        <w:gridCol w:w="3960"/>
        <w:gridCol w:w="155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Intune policy templates</w:t>
            </w:r>
          </w:p>
        </w:tc>
        <w:tc>
          <w:tcPr/>
          <w:p>
            <w:pPr>
              <w:pStyle w:val="Compact"/>
              <w:jc w:val="left"/>
            </w:pPr>
            <w:r>
              <w:t xml:space="preserve">Settings Catalog JSON exports generated from GPOMigrationPlan output</w:t>
            </w:r>
          </w:p>
        </w:tc>
        <w:tc>
          <w:tcPr/>
          <w:p>
            <w:pPr>
              <w:pStyle w:val="Compact"/>
              <w:jc w:val="left"/>
            </w:pPr>
            <w:r>
              <w:t xml:space="preserve">AD Computer Object Conversion Guide</w:t>
            </w:r>
          </w:p>
        </w:tc>
      </w:tr>
      <w:tr>
        <w:tc>
          <w:tcPr/>
          <w:p>
            <w:pPr>
              <w:pStyle w:val="Compact"/>
              <w:jc w:val="left"/>
            </w:pPr>
            <w:r>
              <w:t xml:space="preserve">2</w:t>
            </w:r>
          </w:p>
        </w:tc>
        <w:tc>
          <w:tcPr/>
          <w:p>
            <w:pPr>
              <w:pStyle w:val="Compact"/>
              <w:jc w:val="left"/>
            </w:pPr>
            <w:r>
              <w:t xml:space="preserve">Conditional Access policy templates</w:t>
            </w:r>
          </w:p>
        </w:tc>
        <w:tc>
          <w:tcPr/>
          <w:p>
            <w:pPr>
              <w:pStyle w:val="Compact"/>
              <w:jc w:val="left"/>
            </w:pPr>
            <w:r>
              <w:t xml:space="preserve">15+ CA policy JSON templates for import via Graph API</w:t>
            </w:r>
          </w:p>
        </w:tc>
        <w:tc>
          <w:tcPr/>
          <w:p>
            <w:pPr>
              <w:pStyle w:val="Compact"/>
              <w:jc w:val="left"/>
            </w:pPr>
            <w:r>
              <w:t xml:space="preserve">Identity Modernization Guide §8</w:t>
            </w:r>
          </w:p>
        </w:tc>
      </w:tr>
      <w:tr>
        <w:tc>
          <w:tcPr/>
          <w:p>
            <w:pPr>
              <w:pStyle w:val="Compact"/>
              <w:jc w:val="left"/>
            </w:pPr>
            <w:r>
              <w:t xml:space="preserve">3</w:t>
            </w:r>
          </w:p>
        </w:tc>
        <w:tc>
          <w:tcPr/>
          <w:p>
            <w:pPr>
              <w:pStyle w:val="Compact"/>
              <w:jc w:val="left"/>
            </w:pPr>
            <w:r>
              <w:t xml:space="preserve">Azure DNS Private Resolver deployment scripts</w:t>
            </w:r>
          </w:p>
        </w:tc>
        <w:tc>
          <w:tcPr/>
          <w:p>
            <w:pPr>
              <w:pStyle w:val="Compact"/>
              <w:jc w:val="left"/>
            </w:pPr>
            <w:r>
              <w:t xml:space="preserve">ARM/Bicep templates for hub VNet, resolver, endpoints, and forwarding rulesets</w:t>
            </w:r>
          </w:p>
        </w:tc>
        <w:tc>
          <w:tcPr/>
          <w:p>
            <w:pPr>
              <w:pStyle w:val="Compact"/>
              <w:jc w:val="left"/>
            </w:pPr>
            <w:r>
              <w:t xml:space="preserve">DNS Modernization Guide §6</w:t>
            </w:r>
          </w:p>
        </w:tc>
      </w:tr>
      <w:tr>
        <w:tc>
          <w:tcPr/>
          <w:p>
            <w:pPr>
              <w:pStyle w:val="Compact"/>
              <w:jc w:val="left"/>
            </w:pPr>
            <w:r>
              <w:t xml:space="preserve">4</w:t>
            </w:r>
          </w:p>
        </w:tc>
        <w:tc>
          <w:tcPr/>
          <w:p>
            <w:pPr>
              <w:pStyle w:val="Compact"/>
              <w:jc w:val="left"/>
            </w:pPr>
            <w:r>
              <w:t xml:space="preserve">Cloud PKI provisioning scripts</w:t>
            </w:r>
          </w:p>
        </w:tc>
        <w:tc>
          <w:tcPr/>
          <w:p>
            <w:pPr>
              <w:pStyle w:val="Compact"/>
              <w:jc w:val="left"/>
            </w:pPr>
            <w:r>
              <w:t xml:space="preserve">Graph API scripts for Cloud PKI root/issuing CA creation and SCEP profile deployment</w:t>
            </w:r>
          </w:p>
        </w:tc>
        <w:tc>
          <w:tcPr/>
          <w:p>
            <w:pPr>
              <w:pStyle w:val="Compact"/>
              <w:jc w:val="left"/>
            </w:pPr>
            <w:r>
              <w:t xml:space="preserve">PKI Modernization Guide §5</w:t>
            </w:r>
          </w:p>
        </w:tc>
      </w:tr>
      <w:tr>
        <w:tc>
          <w:tcPr/>
          <w:p>
            <w:pPr>
              <w:pStyle w:val="Compact"/>
              <w:jc w:val="left"/>
            </w:pPr>
            <w:r>
              <w:t xml:space="preserve">5</w:t>
            </w:r>
          </w:p>
        </w:tc>
        <w:tc>
          <w:tcPr/>
          <w:p>
            <w:pPr>
              <w:pStyle w:val="Compact"/>
              <w:jc w:val="left"/>
            </w:pPr>
            <w:r>
              <w:t xml:space="preserve">the Federal Modernization Program Governance Das</w:t>
            </w:r>
          </w:p>
        </w:tc>
        <w:tc>
          <w:tcPr/>
          <w:p>
            <w:pPr>
              <w:pStyle w:val="Compact"/>
              <w:jc w:val="left"/>
            </w:pPr>
            <w:r>
              <w:t xml:space="preserve">hboard HTML/Quarto rendering pipeline producing drift, compliance, and SLA</w:t>
            </w:r>
          </w:p>
        </w:tc>
        <w:tc>
          <w:tcPr/>
          <w:p>
            <w:pPr>
              <w:pStyle w:val="Compact"/>
              <w:jc w:val="left"/>
            </w:pPr>
            <w:r>
              <w:t xml:space="preserve">dashboards from Gitea data All guides</w:t>
            </w:r>
          </w:p>
        </w:tc>
      </w:tr>
    </w:tbl>
    <w:p>
      <w:pPr>
        <w:pStyle w:val="BodyText"/>
      </w:pPr>
      <w:r>
        <w:t xml:space="preserve">13.4 Module Architecture</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D:\FMP\Modules\ ├── FMPADAssessment\ │ ├── FMPADAssessment.psd1 │ └── FMPADAssessment.psm1 ├── FMPReadOnlyAssessment\ │ ├── FMPReadOnlyAssessment.psd1 │ └── FMPReadOnlyAssessment.psm1 ├── FMPPKIAssessment\ │ ├── FMPPKIAssessment.psd1 │ └── FMPPKIAssessment.psm1 ├── FMPDNSAssessment\ │ ├── FMPDNSAssessment.psd1 │ └── FMPDNSAssessment.psm1 ├── FMPIdentityAssessment\ │ ├── FMPIdentityAssessment.psd1 │ └── FMPIdentityAssessment.psm1 ├── FMPImportAdapters\ │ ├── FMPImportAdapters.psd1 │ └── FMPImportAdapters.psm1 ├── FMPPlanGenerators\ │ ├── FMPPlanGenerators.psd1 │ └── FMPPlanGenerators.psm1 └── FMPDriftDetection\ ├── FMPDriftDetection.psd1 └── FMPDriftDetection.psm1</w:t>
            </w:r>
          </w:p>
        </w:tc>
      </w:tr>
    </w:tbl>
    <w:p>
      <w:pPr>
        <w:pStyle w:val="BodyText"/>
      </w:pPr>
      <w:r>
        <w:t xml:space="preserve">14. Follow-On Document Roadmap</w:t>
      </w:r>
    </w:p>
    <w:p>
      <w:pPr>
        <w:pStyle w:val="BodyText"/>
      </w:pPr>
      <w:r>
        <w:t xml:space="preserve">The following documents are identified as necessary to complete the Federal Modernization Program corpus beyond the 12 existing companion documents. Priority reflects execution dependency.</w:t>
      </w:r>
    </w:p>
    <w:tbl>
      <w:tblPr>
        <w:tblStyle w:val="Table"/>
        <w:tblW w:type="pct" w:w="4958"/>
        <w:tblLayout w:type="fixed"/>
        <w:tblLook w:firstRow="1" w:lastRow="0" w:firstColumn="0" w:lastColumn="0" w:noHBand="0" w:noVBand="0" w:val="0020"/>
      </w:tblPr>
      <w:tblGrid>
        <w:gridCol w:w="501"/>
        <w:gridCol w:w="1370"/>
        <w:gridCol w:w="4076"/>
        <w:gridCol w:w="1269"/>
        <w:gridCol w:w="634"/>
      </w:tblGrid>
      <w:tr>
        <w:trPr>
          <w:tblHeader w:val="on"/>
        </w:trPr>
        <w:tc>
          <w:tcPr/>
          <w:p>
            <w:pPr>
              <w:pStyle w:val="Compact"/>
              <w:jc w:val="left"/>
            </w:pPr>
            <w:r>
              <w:rPr>
                <w:b/>
                <w:bCs/>
              </w:rPr>
              <w:t xml:space="preserve">Priority</w:t>
            </w:r>
          </w:p>
        </w:tc>
        <w:tc>
          <w:tcPr/>
          <w:p>
            <w:pPr>
              <w:pStyle w:val="Compact"/>
              <w:jc w:val="left"/>
            </w:pPr>
            <w:r>
              <w:rPr>
                <w:b/>
                <w:bCs/>
              </w:rPr>
              <w:t xml:space="preserve">Document Title</w:t>
            </w:r>
          </w:p>
        </w:tc>
        <w:tc>
          <w:tcPr/>
          <w:p>
            <w:pPr>
              <w:pStyle w:val="Compact"/>
              <w:jc w:val="left"/>
            </w:pPr>
            <w:r>
              <w:rPr>
                <w:b/>
                <w:bCs/>
              </w:rPr>
              <w:t xml:space="preserve">Purpose</w:t>
            </w:r>
          </w:p>
        </w:tc>
        <w:tc>
          <w:tcPr/>
          <w:p>
            <w:pPr>
              <w:pStyle w:val="Compact"/>
              <w:jc w:val="left"/>
            </w:pPr>
            <w:r>
              <w:rPr>
                <w:b/>
                <w:bCs/>
              </w:rPr>
              <w:t xml:space="preserve">Dependency</w:t>
            </w:r>
          </w:p>
        </w:tc>
        <w:tc>
          <w:tcPr/>
          <w:p>
            <w:pPr>
              <w:pStyle w:val="Compact"/>
              <w:jc w:val="left"/>
            </w:pPr>
            <w:r>
              <w:rPr>
                <w:b/>
                <w:bCs/>
              </w:rPr>
              <w:t xml:space="preserve">Target Phase</w:t>
            </w:r>
          </w:p>
        </w:tc>
      </w:tr>
      <w:tr>
        <w:tc>
          <w:tcPr/>
          <w:p>
            <w:pPr>
              <w:pStyle w:val="Compact"/>
              <w:jc w:val="left"/>
            </w:pPr>
            <w:r>
              <w:rPr>
                <w:b/>
                <w:bCs/>
              </w:rPr>
              <w:t xml:space="preserve">P1</w:t>
            </w:r>
          </w:p>
        </w:tc>
        <w:tc>
          <w:tcPr/>
          <w:p>
            <w:pPr>
              <w:pStyle w:val="Compact"/>
              <w:jc w:val="left"/>
            </w:pPr>
            <w:r>
              <w:t xml:space="preserve">the Federal Modernization Program Conditi</w:t>
            </w:r>
          </w:p>
        </w:tc>
        <w:tc>
          <w:tcPr/>
          <w:p>
            <w:pPr>
              <w:pStyle w:val="Compact"/>
              <w:jc w:val="left"/>
            </w:pPr>
            <w:r>
              <w:t xml:space="preserve">onal Access Policy Library 15+ policy templates with JSON export, grant/session controls, named locations, and authentic</w:t>
            </w:r>
          </w:p>
        </w:tc>
        <w:tc>
          <w:tcPr/>
          <w:p>
            <w:pPr>
              <w:pStyle w:val="Compact"/>
              <w:jc w:val="left"/>
            </w:pPr>
            <w:r>
              <w:t xml:space="preserve">ation strength definitions Identity</w:t>
            </w:r>
          </w:p>
        </w:tc>
        <w:tc>
          <w:tcPr/>
          <w:p>
            <w:pPr>
              <w:pStyle w:val="Compact"/>
              <w:jc w:val="left"/>
            </w:pPr>
            <w:r>
              <w:t xml:space="preserve">Modernization Guide Phase 2</w:t>
            </w:r>
          </w:p>
        </w:tc>
      </w:tr>
      <w:tr>
        <w:tc>
          <w:tcPr/>
          <w:p>
            <w:pPr>
              <w:pStyle w:val="Compact"/>
              <w:jc w:val="left"/>
            </w:pPr>
            <w:r>
              <w:rPr>
                <w:b/>
                <w:bCs/>
              </w:rPr>
              <w:t xml:space="preserve">P1</w:t>
            </w:r>
          </w:p>
        </w:tc>
        <w:tc>
          <w:tcPr/>
          <w:p>
            <w:pPr>
              <w:pStyle w:val="Compact"/>
              <w:jc w:val="left"/>
            </w:pPr>
            <w:r>
              <w:t xml:space="preserve">the Federal Modernization Program Intune</w:t>
            </w:r>
          </w:p>
        </w:tc>
        <w:tc>
          <w:tcPr/>
          <w:p>
            <w:pPr>
              <w:pStyle w:val="Compact"/>
              <w:jc w:val="left"/>
            </w:pPr>
            <w:r>
              <w:t xml:space="preserve">Policy Templates Settings Catalog configurations mapped from GPO analysis, with per-platform profiles and comp</w:t>
            </w:r>
          </w:p>
        </w:tc>
        <w:tc>
          <w:tcPr/>
          <w:p>
            <w:pPr>
              <w:pStyle w:val="Compact"/>
              <w:jc w:val="left"/>
            </w:pPr>
            <w:r>
              <w:t xml:space="preserve">liance policy pairings AD Comput</w:t>
            </w:r>
          </w:p>
        </w:tc>
        <w:tc>
          <w:tcPr/>
          <w:p>
            <w:pPr>
              <w:pStyle w:val="Compact"/>
              <w:jc w:val="left"/>
            </w:pPr>
            <w:r>
              <w:t xml:space="preserve">er Object Conversion Guide Phase 2</w:t>
            </w:r>
          </w:p>
        </w:tc>
      </w:tr>
      <w:tr>
        <w:tc>
          <w:tcPr/>
          <w:p>
            <w:pPr>
              <w:pStyle w:val="Compact"/>
              <w:jc w:val="left"/>
            </w:pPr>
            <w:r>
              <w:rPr>
                <w:b/>
                <w:bCs/>
              </w:rPr>
              <w:t xml:space="preserve">P1</w:t>
            </w:r>
          </w:p>
        </w:tc>
        <w:tc>
          <w:tcPr/>
          <w:p>
            <w:pPr>
              <w:pStyle w:val="Compact"/>
              <w:jc w:val="left"/>
            </w:pPr>
            <w:r>
              <w:t xml:space="preserve">the Federal Modernization Program PowerSh</w:t>
            </w:r>
          </w:p>
        </w:tc>
        <w:tc>
          <w:tcPr/>
          <w:p>
            <w:pPr>
              <w:pStyle w:val="Compact"/>
              <w:jc w:val="left"/>
            </w:pPr>
            <w:r>
              <w:t xml:space="preserve">ell Module Reference Combined API reference for all the Federal Modernization Program modules — parameter docume</w:t>
            </w:r>
          </w:p>
        </w:tc>
        <w:tc>
          <w:tcPr/>
          <w:p>
            <w:pPr>
              <w:pStyle w:val="Compact"/>
              <w:jc w:val="left"/>
            </w:pPr>
            <w:r>
              <w:t xml:space="preserve">ntation, examples, pipeline integratio</w:t>
            </w:r>
          </w:p>
        </w:tc>
        <w:tc>
          <w:tcPr/>
          <w:p>
            <w:pPr>
              <w:pStyle w:val="Compact"/>
              <w:jc w:val="left"/>
            </w:pPr>
            <w:r>
              <w:t xml:space="preserve">n All assessment guides Phase 1</w:t>
            </w:r>
          </w:p>
        </w:tc>
      </w:tr>
      <w:tr>
        <w:tc>
          <w:tcPr/>
          <w:p>
            <w:pPr>
              <w:pStyle w:val="Compact"/>
              <w:jc w:val="left"/>
            </w:pPr>
            <w:r>
              <w:rPr>
                <w:b/>
                <w:bCs/>
              </w:rPr>
              <w:t xml:space="preserve">P2</w:t>
            </w:r>
          </w:p>
        </w:tc>
        <w:tc>
          <w:tcPr/>
          <w:p>
            <w:pPr>
              <w:pStyle w:val="Compact"/>
              <w:jc w:val="left"/>
            </w:pPr>
            <w:r>
              <w:t xml:space="preserve">the Federal Modernization Program Active-</w:t>
            </w:r>
          </w:p>
        </w:tc>
        <w:tc>
          <w:tcPr/>
          <w:p>
            <w:pPr>
              <w:pStyle w:val="Compact"/>
              <w:jc w:val="left"/>
            </w:pPr>
            <w:r>
              <w:t xml:space="preserve">Passive Replication Guide Git server replication, backup strategy, and disaster recovery for Gitea on Windows Server</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Quarto</w:t>
            </w:r>
          </w:p>
        </w:tc>
        <w:tc>
          <w:tcPr/>
          <w:p>
            <w:pPr>
              <w:pStyle w:val="Compact"/>
              <w:jc w:val="left"/>
            </w:pPr>
            <w:r>
              <w:t xml:space="preserve">Pipeline Integration Guide Documentation build pipeline from Gitea webhooks to rendered HTML/PDF output</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Azure A</w:t>
            </w:r>
          </w:p>
        </w:tc>
        <w:tc>
          <w:tcPr/>
          <w:p>
            <w:pPr>
              <w:pStyle w:val="Compact"/>
              <w:jc w:val="left"/>
            </w:pPr>
            <w:r>
              <w:t xml:space="preserve">rc Policy Library Guest Configuration policies for Windows Server 2025 with compliance baselines</w:t>
            </w:r>
          </w:p>
        </w:tc>
        <w:tc>
          <w:tcPr/>
          <w:p>
            <w:pPr>
              <w:pStyle w:val="Compact"/>
              <w:jc w:val="left"/>
            </w:pPr>
            <w:r>
              <w:t xml:space="preserve">AD Comput</w:t>
            </w:r>
          </w:p>
        </w:tc>
        <w:tc>
          <w:tcPr/>
          <w:p>
            <w:pPr>
              <w:pStyle w:val="Compact"/>
              <w:jc w:val="left"/>
            </w:pPr>
            <w:r>
              <w:t xml:space="preserve">er Object Conversion Guide Phase 3</w:t>
            </w:r>
          </w:p>
        </w:tc>
      </w:tr>
      <w:tr>
        <w:tc>
          <w:tcPr/>
          <w:p>
            <w:pPr>
              <w:pStyle w:val="Compact"/>
              <w:jc w:val="left"/>
            </w:pPr>
            <w:r>
              <w:rPr>
                <w:b/>
                <w:bCs/>
              </w:rPr>
              <w:t xml:space="preserve">P2</w:t>
            </w:r>
          </w:p>
        </w:tc>
        <w:tc>
          <w:tcPr/>
          <w:p>
            <w:pPr>
              <w:pStyle w:val="Compact"/>
              <w:jc w:val="left"/>
            </w:pPr>
            <w:r>
              <w:t xml:space="preserve">the Federal Modernization Program Governa</w:t>
            </w:r>
          </w:p>
        </w:tc>
        <w:tc>
          <w:tcPr/>
          <w:p>
            <w:pPr>
              <w:pStyle w:val="Compact"/>
              <w:jc w:val="left"/>
            </w:pPr>
            <w:r>
              <w:t xml:space="preserve">nce Dashboard Design HTML/Quarto dashboard specification for drift detection, compliance, and SLA visualization</w:t>
            </w:r>
          </w:p>
        </w:tc>
        <w:tc>
          <w:tcPr/>
          <w:p>
            <w:pPr>
              <w:pStyle w:val="Compact"/>
              <w:jc w:val="left"/>
            </w:pPr>
            <w:r>
              <w:t xml:space="preserve">All guide</w:t>
            </w:r>
          </w:p>
        </w:tc>
        <w:tc>
          <w:tcPr/>
          <w:p>
            <w:pPr>
              <w:pStyle w:val="Compact"/>
              <w:jc w:val="left"/>
            </w:pPr>
            <w:r>
              <w:t xml:space="preserve">s Phase 6</w:t>
            </w:r>
          </w:p>
        </w:tc>
      </w:tr>
      <w:tr>
        <w:tc>
          <w:tcPr/>
          <w:p>
            <w:pPr>
              <w:pStyle w:val="Compact"/>
              <w:jc w:val="left"/>
            </w:pPr>
            <w:r>
              <w:rPr>
                <w:b/>
                <w:bCs/>
              </w:rPr>
              <w:t xml:space="preserve">P3</w:t>
            </w:r>
          </w:p>
        </w:tc>
        <w:tc>
          <w:tcPr/>
          <w:p>
            <w:pPr>
              <w:pStyle w:val="Compact"/>
              <w:jc w:val="left"/>
            </w:pPr>
            <w:r>
              <w:t xml:space="preserve">the Federal Modernization Program Disaste</w:t>
            </w:r>
          </w:p>
        </w:tc>
        <w:tc>
          <w:tcPr/>
          <w:p>
            <w:pPr>
              <w:pStyle w:val="Compact"/>
              <w:jc w:val="left"/>
            </w:pPr>
            <w:r>
              <w:t xml:space="preserve">r Recovery Playbook Full DR procedures for all modernized services including Gitea, Entra Connect, Cloud PKI, DNS</w:t>
            </w:r>
          </w:p>
        </w:tc>
        <w:tc>
          <w:tcPr/>
          <w:p>
            <w:pPr>
              <w:pStyle w:val="Compact"/>
              <w:jc w:val="left"/>
            </w:pPr>
            <w:r>
              <w:t xml:space="preserve">All guide</w:t>
            </w:r>
          </w:p>
        </w:tc>
        <w:tc>
          <w:tcPr/>
          <w:p>
            <w:pPr>
              <w:pStyle w:val="Compact"/>
              <w:jc w:val="left"/>
            </w:pPr>
            <w:r>
              <w:t xml:space="preserve">s Phase 5</w:t>
            </w:r>
          </w:p>
        </w:tc>
      </w:tr>
      <w:tr>
        <w:tc>
          <w:tcPr/>
          <w:p>
            <w:pPr>
              <w:pStyle w:val="Compact"/>
              <w:jc w:val="left"/>
            </w:pPr>
            <w:r>
              <w:rPr>
                <w:b/>
                <w:bCs/>
              </w:rPr>
              <w:t xml:space="preserve">P3</w:t>
            </w:r>
          </w:p>
        </w:tc>
        <w:tc>
          <w:tcPr/>
          <w:p>
            <w:pPr>
              <w:pStyle w:val="Compact"/>
              <w:jc w:val="left"/>
            </w:pPr>
            <w:r>
              <w:t xml:space="preserve">the Federal Modernization Program Trainin</w:t>
            </w:r>
          </w:p>
        </w:tc>
        <w:tc>
          <w:tcPr/>
          <w:p>
            <w:pPr>
              <w:pStyle w:val="Compact"/>
              <w:jc w:val="left"/>
            </w:pPr>
            <w:r>
              <w:t xml:space="preserve">g Guide — End Users Passwordless enrollment, self-service password reset, new authentication workflows, device en</w:t>
            </w:r>
          </w:p>
        </w:tc>
        <w:tc>
          <w:tcPr/>
          <w:p>
            <w:pPr>
              <w:pStyle w:val="Compact"/>
              <w:jc w:val="left"/>
            </w:pPr>
            <w:r>
              <w:t xml:space="preserve">rollment Identity</w:t>
            </w:r>
          </w:p>
        </w:tc>
        <w:tc>
          <w:tcPr/>
          <w:p>
            <w:pPr>
              <w:pStyle w:val="Compact"/>
              <w:jc w:val="left"/>
            </w:pPr>
            <w:r>
              <w:t xml:space="preserve">Modernization Guide Phase 4</w:t>
            </w:r>
          </w:p>
        </w:tc>
      </w:tr>
      <w:tr>
        <w:tc>
          <w:tcPr/>
          <w:p>
            <w:pPr>
              <w:pStyle w:val="Compact"/>
              <w:jc w:val="left"/>
            </w:pPr>
            <w:r>
              <w:rPr>
                <w:b/>
                <w:bCs/>
              </w:rPr>
              <w:t xml:space="preserve">P3</w:t>
            </w:r>
          </w:p>
        </w:tc>
        <w:tc>
          <w:tcPr/>
          <w:p>
            <w:pPr>
              <w:pStyle w:val="Compact"/>
              <w:jc w:val="left"/>
            </w:pPr>
            <w:r>
              <w:t xml:space="preserve">the Federal Modernization Program Runbook</w:t>
            </w:r>
          </w:p>
        </w:tc>
        <w:tc>
          <w:tcPr/>
          <w:p>
            <w:pPr>
              <w:pStyle w:val="Compact"/>
              <w:jc w:val="left"/>
            </w:pPr>
            <w:r>
              <w:t xml:space="preserve">— Operations Day-to-day operational procedures for steady-state governance including incident response</w:t>
            </w:r>
          </w:p>
        </w:tc>
        <w:tc>
          <w:tcPr/>
          <w:p>
            <w:pPr>
              <w:pStyle w:val="Compact"/>
              <w:jc w:val="left"/>
            </w:pPr>
            <w:r>
              <w:t xml:space="preserve">All guide</w:t>
            </w:r>
          </w:p>
        </w:tc>
        <w:tc>
          <w:tcPr/>
          <w:p>
            <w:pPr>
              <w:pStyle w:val="Compact"/>
              <w:jc w:val="left"/>
            </w:pPr>
            <w:r>
              <w:t xml:space="preserve">s Phase 6</w:t>
            </w:r>
          </w:p>
        </w:tc>
      </w:tr>
    </w:tbl>
    <w:p>
      <w:pPr>
        <w:pStyle w:val="BodyText"/>
      </w:pPr>
      <w:r>
        <w:t xml:space="preserve">15. Companion Document Cross-Reference Matrix</w:t>
      </w:r>
    </w:p>
    <w:p>
      <w:pPr>
        <w:pStyle w:val="BodyText"/>
      </w:pPr>
      <w:r>
        <w:t xml:space="preserve">This matrix shows which existing the Federal Modernization Program companion documents are referenced in each project phase.</w:t>
      </w:r>
      <w:r>
        <w:t xml:space="preserve"> </w:t>
      </w:r>
      <w:r>
        <w:rPr>
          <w:b/>
          <w:bCs/>
        </w:rPr>
        <w:t xml:space="preserve">✓</w:t>
      </w:r>
      <w:r>
        <w:t xml:space="preserve"> </w:t>
      </w:r>
      <w:r>
        <w:t xml:space="preserve">indicates the document contains procedures or specifications executed during that phase.</w:t>
      </w:r>
    </w:p>
    <w:tbl>
      <w:tblPr>
        <w:tblStyle w:val="Table"/>
        <w:tblW w:type="pct" w:w="4948"/>
        <w:tblLayout w:type="fixed"/>
        <w:tblLook w:firstRow="1" w:lastRow="0" w:firstColumn="0" w:lastColumn="0" w:noHBand="0" w:noVBand="0" w:val="0020"/>
      </w:tblPr>
      <w:tblGrid>
        <w:gridCol w:w="2051"/>
        <w:gridCol w:w="451"/>
        <w:gridCol w:w="451"/>
        <w:gridCol w:w="451"/>
        <w:gridCol w:w="451"/>
        <w:gridCol w:w="451"/>
        <w:gridCol w:w="451"/>
        <w:gridCol w:w="451"/>
        <w:gridCol w:w="2626"/>
      </w:tblGrid>
      <w:tr>
        <w:trPr>
          <w:tblHeader w:val="on"/>
        </w:trPr>
        <w:tc>
          <w:tcPr/>
          <w:p>
            <w:pPr>
              <w:pStyle w:val="Compact"/>
              <w:jc w:val="left"/>
            </w:pPr>
            <w:r>
              <w:rPr>
                <w:b/>
                <w:bCs/>
              </w:rPr>
              <w:t xml:space="preserve">Document</w:t>
            </w:r>
          </w:p>
        </w:tc>
        <w:tc>
          <w:tcPr/>
          <w:p>
            <w:pPr>
              <w:pStyle w:val="Compact"/>
              <w:jc w:val="left"/>
            </w:pPr>
            <w:r>
              <w:rPr>
                <w:b/>
                <w:bCs/>
              </w:rPr>
              <w:t xml:space="preserve">Ph 0</w:t>
            </w:r>
          </w:p>
        </w:tc>
        <w:tc>
          <w:tcPr/>
          <w:p>
            <w:pPr>
              <w:pStyle w:val="Compact"/>
              <w:jc w:val="left"/>
            </w:pPr>
            <w:r>
              <w:rPr>
                <w:b/>
                <w:bCs/>
              </w:rPr>
              <w:t xml:space="preserve">Ph 1</w:t>
            </w:r>
          </w:p>
        </w:tc>
        <w:tc>
          <w:tcPr/>
          <w:p>
            <w:pPr>
              <w:pStyle w:val="Compact"/>
              <w:jc w:val="left"/>
            </w:pPr>
            <w:r>
              <w:rPr>
                <w:b/>
                <w:bCs/>
              </w:rPr>
              <w:t xml:space="preserve">Ph 2</w:t>
            </w:r>
          </w:p>
        </w:tc>
        <w:tc>
          <w:tcPr/>
          <w:p>
            <w:pPr>
              <w:pStyle w:val="Compact"/>
              <w:jc w:val="left"/>
            </w:pPr>
            <w:r>
              <w:rPr>
                <w:b/>
                <w:bCs/>
              </w:rPr>
              <w:t xml:space="preserve">Ph 3</w:t>
            </w:r>
          </w:p>
        </w:tc>
        <w:tc>
          <w:tcPr/>
          <w:p>
            <w:pPr>
              <w:pStyle w:val="Compact"/>
              <w:jc w:val="left"/>
            </w:pPr>
            <w:r>
              <w:rPr>
                <w:b/>
                <w:bCs/>
              </w:rPr>
              <w:t xml:space="preserve">Ph 4</w:t>
            </w:r>
          </w:p>
        </w:tc>
        <w:tc>
          <w:tcPr/>
          <w:p>
            <w:pPr>
              <w:pStyle w:val="Compact"/>
              <w:jc w:val="left"/>
            </w:pPr>
            <w:r>
              <w:rPr>
                <w:b/>
                <w:bCs/>
              </w:rPr>
              <w:t xml:space="preserve">Ph 5</w:t>
            </w:r>
          </w:p>
        </w:tc>
        <w:tc>
          <w:tcPr/>
          <w:p>
            <w:pPr>
              <w:pStyle w:val="Compact"/>
              <w:jc w:val="left"/>
            </w:pPr>
            <w:r>
              <w:rPr>
                <w:b/>
                <w:bCs/>
              </w:rPr>
              <w:t xml:space="preserve">Ph 6</w:t>
            </w:r>
          </w:p>
        </w:tc>
        <w:tc>
          <w:tcPr/>
          <w:p>
            <w:pPr>
              <w:pStyle w:val="Compact"/>
              <w:jc w:val="left"/>
            </w:pPr>
            <w:r>
              <w:rPr>
                <w:b/>
                <w:bCs/>
              </w:rPr>
              <w:t xml:space="preserve">Primary Milestones</w:t>
            </w:r>
          </w:p>
        </w:tc>
      </w:tr>
      <w:tr>
        <w:tc>
          <w:tcPr/>
          <w:p>
            <w:pPr>
              <w:pStyle w:val="Compact"/>
              <w:jc w:val="left"/>
            </w:pPr>
            <w:r>
              <w:t xml:space="preserve">AD Computer Object Conversion Guide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pPr>
          </w:p>
        </w:tc>
        <w:tc>
          <w:tcPr/>
          <w:p>
            <w:pPr>
              <w:pStyle w:val="Compact"/>
            </w:pPr>
          </w:p>
        </w:tc>
        <w:tc>
          <w:tcPr/>
          <w:p>
            <w:pPr>
              <w:pStyle w:val="Compact"/>
              <w:jc w:val="left"/>
            </w:pPr>
            <w:r>
              <w:t xml:space="preserve">M-007, M-011, M-014–M-016, M-023–M-024</w:t>
            </w:r>
          </w:p>
        </w:tc>
      </w:tr>
      <w:tr>
        <w:tc>
          <w:tcPr/>
          <w:p>
            <w:pPr>
              <w:pStyle w:val="Compact"/>
              <w:jc w:val="left"/>
            </w:pPr>
            <w:r>
              <w:t xml:space="preserve">Git on Windows Server 2025 with IIS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The Federal Modernization Program Git Server Imple</w:t>
            </w:r>
          </w:p>
        </w:tc>
        <w:tc>
          <w:tcPr/>
          <w:p>
            <w:pPr>
              <w:pStyle w:val="Compact"/>
              <w:jc w:val="left"/>
            </w:pPr>
            <w:r>
              <w:t xml:space="preserve">mentation G</w:t>
            </w:r>
          </w:p>
        </w:tc>
        <w:tc>
          <w:tcPr/>
          <w:p>
            <w:pPr>
              <w:pStyle w:val="Compact"/>
              <w:jc w:val="left"/>
            </w:pPr>
            <w:r>
              <w:t xml:space="preserve">uide</w:t>
            </w: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 M-003</w:t>
            </w:r>
          </w:p>
        </w:tc>
      </w:tr>
      <w:tr>
        <w:tc>
          <w:tcPr/>
          <w:p>
            <w:pPr>
              <w:pStyle w:val="Compact"/>
              <w:jc w:val="left"/>
            </w:pPr>
            <w:r>
              <w:t xml:space="preserve">The Federal Modernization Program Git Infrastructu</w:t>
            </w:r>
          </w:p>
        </w:tc>
        <w:tc>
          <w:tcPr/>
          <w:p>
            <w:pPr>
              <w:pStyle w:val="Compact"/>
              <w:jc w:val="left"/>
            </w:pPr>
            <w:r>
              <w:t xml:space="preserve">re ADR</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Platform Server Build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M-001–M-006</w:t>
            </w:r>
          </w:p>
        </w:tc>
      </w:tr>
      <w:tr>
        <w:tc>
          <w:tcPr/>
          <w:p>
            <w:pPr>
              <w:pStyle w:val="Compact"/>
              <w:jc w:val="left"/>
            </w:pPr>
            <w:r>
              <w:t xml:space="preserve">The Federal Modernization Program CLI and Operatio</w:t>
            </w:r>
          </w:p>
        </w:tc>
        <w:tc>
          <w:tcPr/>
          <w:p>
            <w:pPr>
              <w:pStyle w:val="Compact"/>
              <w:jc w:val="left"/>
            </w:pPr>
            <w:r>
              <w:t xml:space="preserve">ns Guide</w:t>
            </w:r>
          </w:p>
        </w:tc>
        <w:tc>
          <w:tcPr/>
          <w:p>
            <w:pPr>
              <w:pStyle w:val="Compact"/>
            </w:pP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M-005–M-006, M-008–M-009, M-045</w:t>
            </w:r>
          </w:p>
        </w:tc>
      </w:tr>
      <w:tr>
        <w:tc>
          <w:tcPr/>
          <w:p>
            <w:pPr>
              <w:pStyle w:val="Compact"/>
              <w:jc w:val="left"/>
            </w:pPr>
            <w:r>
              <w:t xml:space="preserve">The Federal Modernization Program AD Interaction G</w:t>
            </w:r>
          </w:p>
        </w:tc>
        <w:tc>
          <w:tcPr/>
          <w:p>
            <w:pPr>
              <w:pStyle w:val="Compact"/>
              <w:jc w:val="left"/>
            </w:pPr>
            <w:r>
              <w:t xml:space="preserve">uide</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M-008–M-011, M-045</w:t>
            </w:r>
          </w:p>
        </w:tc>
      </w:tr>
      <w:tr>
        <w:tc>
          <w:tcPr/>
          <w:p>
            <w:pPr>
              <w:pStyle w:val="Compact"/>
              <w:jc w:val="left"/>
            </w:pPr>
            <w:r>
              <w:t xml:space="preserve">Identity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M-010–M-012, M-017–M-018, M-022, M-025–M-026, M-038, M-042</w:t>
            </w:r>
          </w:p>
        </w:tc>
      </w:tr>
      <w:tr>
        <w:tc>
          <w:tcPr/>
          <w:p>
            <w:pPr>
              <w:pStyle w:val="Compact"/>
              <w:jc w:val="left"/>
            </w:pPr>
            <w:r>
              <w:t xml:space="preserve">DNS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 M-011, M-019, M-027, M-040, M-045</w:t>
            </w:r>
          </w:p>
        </w:tc>
      </w:tr>
      <w:tr>
        <w:tc>
          <w:tcPr/>
          <w:p>
            <w:pPr>
              <w:pStyle w:val="Compact"/>
              <w:jc w:val="left"/>
            </w:pPr>
            <w:r>
              <w:t xml:space="preserve">Read-Only AD Assessment Guide</w:t>
            </w:r>
          </w:p>
        </w:tc>
        <w:tc>
          <w:tcPr/>
          <w:p>
            <w:pPr>
              <w:pStyle w:val="Compact"/>
            </w:pP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M-008</w:t>
            </w:r>
          </w:p>
        </w:tc>
      </w:tr>
      <w:tr>
        <w:tc>
          <w:tcPr/>
          <w:p>
            <w:pPr>
              <w:pStyle w:val="Compact"/>
              <w:jc w:val="left"/>
            </w:pPr>
            <w:r>
              <w:t xml:space="preserve">The Federal Modernization Program vs Microsoft Nat</w:t>
            </w:r>
          </w:p>
        </w:tc>
        <w:tc>
          <w:tcPr/>
          <w:p>
            <w:pPr>
              <w:pStyle w:val="Compact"/>
              <w:jc w:val="left"/>
            </w:pPr>
            <w:r>
              <w:t xml:space="preserve">ive Tools -</w:t>
            </w:r>
          </w:p>
        </w:tc>
        <w:tc>
          <w:tcPr/>
          <w:p>
            <w:pPr>
              <w:pStyle w:val="Compact"/>
              <w:jc w:val="left"/>
            </w:pPr>
            <w:r>
              <w:t xml:space="preserve">– Gap Anal</w:t>
            </w:r>
          </w:p>
        </w:tc>
        <w:tc>
          <w:tcPr/>
          <w:p>
            <w:pPr>
              <w:pStyle w:val="Compact"/>
              <w:jc w:val="left"/>
            </w:pPr>
            <w:r>
              <w:t xml:space="preserve">ysis</w:t>
            </w: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jc w:val="left"/>
            </w:pPr>
            <w:r>
              <w:t xml:space="preserve">M-010, M-016</w:t>
            </w:r>
          </w:p>
        </w:tc>
      </w:tr>
      <w:tr>
        <w:tc>
          <w:tcPr/>
          <w:p>
            <w:pPr>
              <w:pStyle w:val="Compact"/>
              <w:jc w:val="left"/>
            </w:pPr>
            <w:r>
              <w:t xml:space="preserve">PKI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M-009–M-011, M-020, M-028–M-029, M-039, M-045</w:t>
            </w:r>
          </w:p>
        </w:tc>
      </w:tr>
    </w:tbl>
    <w:p>
      <w:pPr>
        <w:pStyle w:val="BodyText"/>
      </w:pPr>
      <w:r>
        <w:t xml:space="preserve">Appendix A — Complete Milestone Register</w:t>
      </w:r>
    </w:p>
    <w:tbl>
      <w:tblPr>
        <w:tblStyle w:val="Table"/>
        <w:tblW w:type="pct" w:w="4949"/>
        <w:tblLayout w:type="fixed"/>
        <w:tblLook w:firstRow="1" w:lastRow="0" w:firstColumn="0" w:lastColumn="0" w:noHBand="0" w:noVBand="0" w:val="0020"/>
      </w:tblPr>
      <w:tblGrid>
        <w:gridCol w:w="360"/>
        <w:gridCol w:w="1440"/>
        <w:gridCol w:w="480"/>
        <w:gridCol w:w="440"/>
        <w:gridCol w:w="640"/>
        <w:gridCol w:w="760"/>
        <w:gridCol w:w="3200"/>
        <w:gridCol w:w="520"/>
      </w:tblGrid>
      <w:tr>
        <w:trPr>
          <w:tblHeader w:val="on"/>
        </w:trPr>
        <w:tc>
          <w:tcPr/>
          <w:p>
            <w:pPr>
              <w:pStyle w:val="Compact"/>
              <w:jc w:val="left"/>
            </w:pPr>
            <w:r>
              <w:rPr>
                <w:b/>
                <w:bCs/>
              </w:rPr>
              <w:t xml:space="preserve">ID</w:t>
            </w:r>
          </w:p>
        </w:tc>
        <w:tc>
          <w:tcPr/>
          <w:p>
            <w:pPr>
              <w:pStyle w:val="Compact"/>
              <w:jc w:val="left"/>
            </w:pPr>
            <w:r>
              <w:rPr>
                <w:b/>
                <w:bCs/>
              </w:rPr>
              <w:t xml:space="preserve">Milestone Name</w:t>
            </w:r>
          </w:p>
        </w:tc>
        <w:tc>
          <w:tcPr/>
          <w:p>
            <w:pPr>
              <w:pStyle w:val="Compact"/>
              <w:jc w:val="left"/>
            </w:pPr>
            <w:r>
              <w:rPr>
                <w:b/>
                <w:bCs/>
              </w:rPr>
              <w:t xml:space="preserve">Phase</w:t>
            </w:r>
          </w:p>
        </w:tc>
        <w:tc>
          <w:tcPr/>
          <w:p>
            <w:pPr>
              <w:pStyle w:val="Compact"/>
              <w:jc w:val="left"/>
            </w:pPr>
            <w:r>
              <w:rPr>
                <w:b/>
                <w:bCs/>
              </w:rPr>
              <w:t xml:space="preserve">Week</w:t>
            </w:r>
          </w:p>
        </w:tc>
        <w:tc>
          <w:tcPr/>
          <w:p>
            <w:pPr>
              <w:pStyle w:val="Compact"/>
              <w:jc w:val="left"/>
            </w:pPr>
            <w:r>
              <w:rPr>
                <w:b/>
                <w:bCs/>
              </w:rPr>
              <w:t xml:space="preserve">Owner</w:t>
            </w:r>
          </w:p>
        </w:tc>
        <w:tc>
          <w:tcPr/>
          <w:p>
            <w:pPr>
              <w:pStyle w:val="Compact"/>
              <w:jc w:val="left"/>
            </w:pPr>
            <w:r>
              <w:rPr>
                <w:b/>
                <w:bCs/>
              </w:rPr>
              <w:t xml:space="preserve">Dependencies</w:t>
            </w:r>
          </w:p>
        </w:tc>
        <w:tc>
          <w:tcPr/>
          <w:p>
            <w:pPr>
              <w:pStyle w:val="Compact"/>
              <w:jc w:val="left"/>
            </w:pPr>
            <w:r>
              <w:rPr>
                <w:b/>
                <w:bCs/>
              </w:rPr>
              <w:t xml:space="preserve">Gate Criteria</w:t>
            </w:r>
          </w:p>
        </w:tc>
        <w:tc>
          <w:tcPr/>
          <w:p>
            <w:pPr>
              <w:pStyle w:val="Compact"/>
              <w:jc w:val="left"/>
            </w:pPr>
            <w:r>
              <w:rPr>
                <w:b/>
                <w:bCs/>
              </w:rPr>
              <w:t xml:space="preserve">Status</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0</w:t>
            </w:r>
          </w:p>
        </w:tc>
        <w:tc>
          <w:tcPr/>
          <w:p>
            <w:pPr>
              <w:pStyle w:val="Compact"/>
              <w:jc w:val="left"/>
            </w:pPr>
            <w:r>
              <w:t xml:space="preserve">W1</w:t>
            </w:r>
          </w:p>
        </w:tc>
        <w:tc>
          <w:tcPr/>
          <w:p>
            <w:pPr>
              <w:pStyle w:val="Compact"/>
              <w:jc w:val="left"/>
            </w:pPr>
            <w:r>
              <w:t xml:space="preserve">Infra Lead</w:t>
            </w:r>
          </w:p>
        </w:tc>
        <w:tc>
          <w:tcPr/>
          <w:p>
            <w:pPr>
              <w:pStyle w:val="Compact"/>
              <w:jc w:val="left"/>
            </w:pPr>
            <w:r>
              <w:t xml:space="preserve">—</w:t>
            </w:r>
          </w:p>
        </w:tc>
        <w:tc>
          <w:tcPr/>
          <w:p>
            <w:pPr>
              <w:pStyle w:val="Compact"/>
              <w:jc w:val="left"/>
            </w:pPr>
            <w:r>
              <w:t xml:space="preserve">Server online, domain-joined, hardened</w:t>
            </w:r>
          </w:p>
        </w:tc>
        <w:tc>
          <w:tcPr/>
          <w:p>
            <w:pPr>
              <w:pStyle w:val="Compact"/>
              <w:jc w:val="left"/>
            </w:pPr>
            <w:r>
              <w:t xml:space="preserve">PLANNED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0</w:t>
            </w:r>
          </w:p>
        </w:tc>
        <w:tc>
          <w:tcPr/>
          <w:p>
            <w:pPr>
              <w:pStyle w:val="Compact"/>
              <w:jc w:val="left"/>
            </w:pPr>
            <w:r>
              <w:t xml:space="preserve">W2</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Clone/push/pull over HTTPS verified</w:t>
            </w:r>
          </w:p>
        </w:tc>
        <w:tc>
          <w:tcPr/>
          <w:p>
            <w:pPr>
              <w:pStyle w:val="Compact"/>
              <w:jc w:val="left"/>
            </w:pPr>
            <w:r>
              <w:t xml:space="preserve">PLANNED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0</w:t>
            </w:r>
          </w:p>
        </w:tc>
        <w:tc>
          <w:tcPr/>
          <w:p>
            <w:pPr>
              <w:pStyle w:val="Compact"/>
              <w:jc w:val="left"/>
            </w:pPr>
            <w:r>
              <w:t xml:space="preserve">W2</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AD users can login, CanonStewards = admin</w:t>
            </w:r>
          </w:p>
        </w:tc>
        <w:tc>
          <w:tcPr/>
          <w:p>
            <w:pPr>
              <w:pStyle w:val="Compact"/>
              <w:jc w:val="left"/>
            </w:pPr>
            <w:r>
              <w:t xml:space="preserve">PLANNED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0</w:t>
            </w:r>
          </w:p>
        </w:tc>
        <w:tc>
          <w:tcPr/>
          <w:p>
            <w:pPr>
              <w:pStyle w:val="Compact"/>
              <w:jc w:val="left"/>
            </w:pPr>
            <w:r>
              <w:t xml:space="preserve">W3</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Entra SSO verified, MFA enforced</w:t>
            </w:r>
          </w:p>
        </w:tc>
        <w:tc>
          <w:tcPr/>
          <w:p>
            <w:pPr>
              <w:pStyle w:val="Compact"/>
              <w:jc w:val="left"/>
            </w:pPr>
            <w:r>
              <w:t xml:space="preserve">PLANNED</w:t>
            </w:r>
          </w:p>
        </w:tc>
      </w:tr>
      <w:tr>
        <w:tc>
          <w:tcPr/>
          <w:p>
            <w:pPr>
              <w:pStyle w:val="Compact"/>
              <w:jc w:val="left"/>
            </w:pPr>
            <w:r>
              <w:t xml:space="preserve">M-005</w:t>
            </w:r>
          </w:p>
        </w:tc>
        <w:tc>
          <w:tcPr/>
          <w:p>
            <w:pPr>
              <w:pStyle w:val="Compact"/>
              <w:jc w:val="left"/>
            </w:pPr>
            <w:r>
              <w:t xml:space="preserve">the Federal Modernization Program re</w:t>
            </w:r>
          </w:p>
        </w:tc>
        <w:tc>
          <w:tcPr/>
          <w:p>
            <w:pPr>
              <w:pStyle w:val="Compact"/>
              <w:jc w:val="left"/>
            </w:pPr>
            <w:r>
              <w:t xml:space="preserve">po mirrored</w:t>
            </w:r>
          </w:p>
        </w:tc>
        <w:tc>
          <w:tcPr/>
          <w:p>
            <w:pPr>
              <w:pStyle w:val="Compact"/>
            </w:pPr>
          </w:p>
        </w:tc>
        <w:tc>
          <w:tcPr/>
          <w:p>
            <w:pPr>
              <w:pStyle w:val="Compact"/>
              <w:jc w:val="left"/>
            </w:pPr>
            <w:r>
              <w:t xml:space="preserve">0</w:t>
            </w:r>
          </w:p>
        </w:tc>
        <w:tc>
          <w:tcPr/>
          <w:p>
            <w:pPr>
              <w:pStyle w:val="Compact"/>
              <w:jc w:val="left"/>
            </w:pPr>
            <w:r>
              <w:t xml:space="preserve">W3 Canon</w:t>
            </w:r>
          </w:p>
        </w:tc>
        <w:tc>
          <w:tcPr/>
          <w:p>
            <w:pPr>
              <w:pStyle w:val="Compact"/>
              <w:jc w:val="left"/>
            </w:pPr>
            <w:r>
              <w:t xml:space="preserve">Steward M-002, M-003 All branches, tags, history verified</w:t>
            </w:r>
          </w:p>
        </w:tc>
        <w:tc>
          <w:tcPr/>
          <w:p>
            <w:pPr>
              <w:pStyle w:val="Compact"/>
              <w:jc w:val="left"/>
            </w:pPr>
            <w:r>
              <w:t xml:space="preserve">PLANNED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0</w:t>
            </w:r>
          </w:p>
        </w:tc>
        <w:tc>
          <w:tcPr/>
          <w:p>
            <w:pPr>
              <w:pStyle w:val="Compact"/>
              <w:jc w:val="left"/>
            </w:pPr>
            <w:r>
              <w:t xml:space="preserve">W3</w:t>
            </w:r>
          </w:p>
        </w:tc>
        <w:tc>
          <w:tcPr/>
          <w:p>
            <w:pPr>
              <w:pStyle w:val="Compact"/>
              <w:jc w:val="left"/>
            </w:pPr>
            <w:r>
              <w:t xml:space="preserve">Canon Steward</w:t>
            </w:r>
          </w:p>
        </w:tc>
        <w:tc>
          <w:tcPr/>
          <w:p>
            <w:pPr>
              <w:pStyle w:val="Compact"/>
              <w:jc w:val="left"/>
            </w:pPr>
            <w:r>
              <w:t xml:space="preserve">M-005, M-004</w:t>
            </w:r>
          </w:p>
        </w:tc>
        <w:tc>
          <w:tcPr/>
          <w:p>
            <w:pPr>
              <w:pStyle w:val="Compact"/>
              <w:jc w:val="left"/>
            </w:pPr>
            <w:r>
              <w:t xml:space="preserve">FOUO rejection and branch protection verified</w:t>
            </w:r>
          </w:p>
        </w:tc>
        <w:tc>
          <w:tcPr/>
          <w:p>
            <w:pPr>
              <w:pStyle w:val="Compact"/>
              <w:jc w:val="left"/>
            </w:pPr>
            <w:r>
              <w:t xml:space="preserve">PLANNED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0</w:t>
            </w:r>
          </w:p>
        </w:tc>
        <w:tc>
          <w:tcPr/>
          <w:p>
            <w:pPr>
              <w:pStyle w:val="Compact"/>
              <w:jc w:val="left"/>
            </w:pPr>
            <w:r>
              <w:t xml:space="preserve">W3</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Arc agent heartbeat, policies assigned</w:t>
            </w:r>
          </w:p>
        </w:tc>
        <w:tc>
          <w:tcPr/>
          <w:p>
            <w:pPr>
              <w:pStyle w:val="Compact"/>
              <w:jc w:val="left"/>
            </w:pPr>
            <w:r>
              <w:t xml:space="preserve">PLANNED</w:t>
            </w:r>
          </w:p>
        </w:tc>
      </w:tr>
      <w:tr>
        <w:tc>
          <w:tcPr/>
          <w:p>
            <w:pPr>
              <w:pStyle w:val="Compact"/>
              <w:jc w:val="left"/>
            </w:pPr>
            <w:r>
              <w:t xml:space="preserve">M-008</w:t>
            </w:r>
          </w:p>
        </w:tc>
        <w:tc>
          <w:tcPr/>
          <w:p>
            <w:pPr>
              <w:pStyle w:val="Compact"/>
              <w:jc w:val="left"/>
            </w:pPr>
            <w:r>
              <w:t xml:space="preserve">Read-only assessment committed</w:t>
            </w:r>
          </w:p>
        </w:tc>
        <w:tc>
          <w:tcPr/>
          <w:p>
            <w:pPr>
              <w:pStyle w:val="Compact"/>
              <w:jc w:val="left"/>
            </w:pPr>
            <w:r>
              <w:t xml:space="preserve">1</w:t>
            </w:r>
          </w:p>
        </w:tc>
        <w:tc>
          <w:tcPr/>
          <w:p>
            <w:pPr>
              <w:pStyle w:val="Compact"/>
              <w:jc w:val="left"/>
            </w:pPr>
            <w:r>
              <w:t xml:space="preserve">W4</w:t>
            </w:r>
          </w:p>
        </w:tc>
        <w:tc>
          <w:tcPr/>
          <w:p>
            <w:pPr>
              <w:pStyle w:val="Compact"/>
              <w:jc w:val="left"/>
            </w:pPr>
            <w:r>
              <w:t xml:space="preserve">Identity Lead</w:t>
            </w:r>
          </w:p>
        </w:tc>
        <w:tc>
          <w:tcPr/>
          <w:p>
            <w:pPr>
              <w:pStyle w:val="Compact"/>
              <w:jc w:val="left"/>
            </w:pPr>
            <w:r>
              <w:t xml:space="preserve">M-006</w:t>
            </w:r>
          </w:p>
        </w:tc>
        <w:tc>
          <w:tcPr/>
          <w:p>
            <w:pPr>
              <w:pStyle w:val="Compact"/>
              <w:jc w:val="left"/>
            </w:pPr>
            <w:r>
              <w:t xml:space="preserve">Read-only assessment reviewed, delegation request submitted</w:t>
            </w:r>
          </w:p>
        </w:tc>
        <w:tc>
          <w:tcPr/>
          <w:p>
            <w:pPr>
              <w:pStyle w:val="Compact"/>
              <w:jc w:val="left"/>
            </w:pPr>
            <w:r>
              <w:t xml:space="preserve">PLANNED</w:t>
            </w:r>
          </w:p>
        </w:tc>
      </w:tr>
      <w:tr>
        <w:tc>
          <w:tcPr/>
          <w:p>
            <w:pPr>
              <w:pStyle w:val="Compact"/>
              <w:jc w:val="left"/>
            </w:pPr>
            <w:r>
              <w:t xml:space="preserve">M-009</w:t>
            </w:r>
          </w:p>
        </w:tc>
        <w:tc>
          <w:tcPr/>
          <w:p>
            <w:pPr>
              <w:pStyle w:val="Compact"/>
              <w:jc w:val="left"/>
            </w:pPr>
            <w:r>
              <w:t xml:space="preserve">Full assessment committed</w:t>
            </w:r>
          </w:p>
        </w:tc>
        <w:tc>
          <w:tcPr/>
          <w:p>
            <w:pPr>
              <w:pStyle w:val="Compact"/>
              <w:jc w:val="left"/>
            </w:pPr>
            <w:r>
              <w:t xml:space="preserve">1</w:t>
            </w:r>
          </w:p>
        </w:tc>
        <w:tc>
          <w:tcPr/>
          <w:p>
            <w:pPr>
              <w:pStyle w:val="Compact"/>
              <w:jc w:val="left"/>
            </w:pPr>
            <w:r>
              <w:t xml:space="preserve">W5</w:t>
            </w:r>
          </w:p>
        </w:tc>
        <w:tc>
          <w:tcPr/>
          <w:p>
            <w:pPr>
              <w:pStyle w:val="Compact"/>
              <w:jc w:val="left"/>
            </w:pPr>
            <w:r>
              <w:t xml:space="preserve">Identity Lead</w:t>
            </w:r>
          </w:p>
        </w:tc>
        <w:tc>
          <w:tcPr/>
          <w:p>
            <w:pPr>
              <w:pStyle w:val="Compact"/>
              <w:jc w:val="left"/>
            </w:pPr>
            <w:r>
              <w:t xml:space="preserve">M-008</w:t>
            </w:r>
          </w:p>
        </w:tc>
        <w:tc>
          <w:tcPr/>
          <w:p>
            <w:pPr>
              <w:pStyle w:val="Compact"/>
              <w:jc w:val="left"/>
            </w:pPr>
            <w:r>
              <w:t xml:space="preserve">All 12 domains assessed, no critical gaps</w:t>
            </w:r>
          </w:p>
        </w:tc>
        <w:tc>
          <w:tcPr/>
          <w:p>
            <w:pPr>
              <w:pStyle w:val="Compact"/>
              <w:jc w:val="left"/>
            </w:pPr>
            <w:r>
              <w:t xml:space="preserve">PLANNED</w:t>
            </w:r>
          </w:p>
        </w:tc>
      </w:tr>
      <w:tr>
        <w:tc>
          <w:tcPr/>
          <w:p>
            <w:pPr>
              <w:pStyle w:val="Compact"/>
              <w:jc w:val="left"/>
            </w:pPr>
            <w:r>
              <w:t xml:space="preserve">M-010</w:t>
            </w:r>
          </w:p>
        </w:tc>
        <w:tc>
          <w:tcPr/>
          <w:p>
            <w:pPr>
              <w:pStyle w:val="Compact"/>
              <w:jc w:val="left"/>
            </w:pPr>
            <w:r>
              <w:t xml:space="preserve">Security assessment complete</w:t>
            </w:r>
          </w:p>
        </w:tc>
        <w:tc>
          <w:tcPr/>
          <w:p>
            <w:pPr>
              <w:pStyle w:val="Compact"/>
              <w:jc w:val="left"/>
            </w:pPr>
            <w:r>
              <w:t xml:space="preserve">1</w:t>
            </w:r>
          </w:p>
        </w:tc>
        <w:tc>
          <w:tcPr/>
          <w:p>
            <w:pPr>
              <w:pStyle w:val="Compact"/>
              <w:jc w:val="left"/>
            </w:pPr>
            <w:r>
              <w:t xml:space="preserve">W6</w:t>
            </w:r>
          </w:p>
        </w:tc>
        <w:tc>
          <w:tcPr/>
          <w:p>
            <w:pPr>
              <w:pStyle w:val="Compact"/>
              <w:jc w:val="left"/>
            </w:pPr>
            <w:r>
              <w:t xml:space="preserve">Security Lead</w:t>
            </w:r>
          </w:p>
        </w:tc>
        <w:tc>
          <w:tcPr/>
          <w:p>
            <w:pPr>
              <w:pStyle w:val="Compact"/>
              <w:jc w:val="left"/>
            </w:pPr>
            <w:r>
              <w:t xml:space="preserve">M-009</w:t>
            </w:r>
          </w:p>
        </w:tc>
        <w:tc>
          <w:tcPr/>
          <w:p>
            <w:pPr>
              <w:pStyle w:val="Compact"/>
              <w:jc w:val="left"/>
            </w:pPr>
            <w:r>
              <w:t xml:space="preserve">Findings classified, remediation plan drafted</w:t>
            </w:r>
          </w:p>
        </w:tc>
        <w:tc>
          <w:tcPr/>
          <w:p>
            <w:pPr>
              <w:pStyle w:val="Compact"/>
              <w:jc w:val="left"/>
            </w:pPr>
            <w:r>
              <w:t xml:space="preserve">PLANNED</w:t>
            </w:r>
          </w:p>
        </w:tc>
      </w:tr>
      <w:tr>
        <w:tc>
          <w:tcPr/>
          <w:p>
            <w:pPr>
              <w:pStyle w:val="Compact"/>
              <w:jc w:val="left"/>
            </w:pPr>
            <w:r>
              <w:t xml:space="preserve">M-011</w:t>
            </w:r>
          </w:p>
        </w:tc>
        <w:tc>
          <w:tcPr/>
          <w:p>
            <w:pPr>
              <w:pStyle w:val="Compact"/>
              <w:jc w:val="left"/>
            </w:pPr>
            <w:r>
              <w:t xml:space="preserve">Planning docs generated</w:t>
            </w:r>
          </w:p>
        </w:tc>
        <w:tc>
          <w:tcPr/>
          <w:p>
            <w:pPr>
              <w:pStyle w:val="Compact"/>
              <w:jc w:val="left"/>
            </w:pPr>
            <w:r>
              <w:t xml:space="preserve">1</w:t>
            </w:r>
          </w:p>
        </w:tc>
        <w:tc>
          <w:tcPr/>
          <w:p>
            <w:pPr>
              <w:pStyle w:val="Compact"/>
              <w:jc w:val="left"/>
            </w:pPr>
            <w:r>
              <w:t xml:space="preserve">W7</w:t>
            </w:r>
          </w:p>
        </w:tc>
        <w:tc>
          <w:tcPr/>
          <w:p>
            <w:pPr>
              <w:pStyle w:val="Compact"/>
              <w:jc w:val="left"/>
            </w:pPr>
            <w:r>
              <w:t xml:space="preserve">All Leads</w:t>
            </w:r>
          </w:p>
        </w:tc>
        <w:tc>
          <w:tcPr/>
          <w:p>
            <w:pPr>
              <w:pStyle w:val="Compact"/>
              <w:jc w:val="left"/>
            </w:pPr>
            <w:r>
              <w:t xml:space="preserve">M-009, M-010</w:t>
            </w:r>
          </w:p>
        </w:tc>
        <w:tc>
          <w:tcPr/>
          <w:p>
            <w:pPr>
              <w:pStyle w:val="Compact"/>
              <w:jc w:val="left"/>
            </w:pPr>
            <w:r>
              <w:t xml:space="preserve">8 planning documents pass schema validation</w:t>
            </w:r>
          </w:p>
        </w:tc>
        <w:tc>
          <w:tcPr/>
          <w:p>
            <w:pPr>
              <w:pStyle w:val="Compact"/>
              <w:jc w:val="left"/>
            </w:pPr>
            <w:r>
              <w:t xml:space="preserve">PLANNED</w:t>
            </w:r>
          </w:p>
        </w:tc>
      </w:tr>
      <w:tr>
        <w:tc>
          <w:tcPr/>
          <w:p>
            <w:pPr>
              <w:pStyle w:val="Compact"/>
              <w:jc w:val="left"/>
            </w:pPr>
            <w:r>
              <w:t xml:space="preserve">M-012</w:t>
            </w:r>
          </w:p>
        </w:tc>
        <w:tc>
          <w:tcPr/>
          <w:p>
            <w:pPr>
              <w:pStyle w:val="Compact"/>
              <w:jc w:val="left"/>
            </w:pPr>
            <w:r>
              <w:t xml:space="preserve">Planning docs approved</w:t>
            </w:r>
          </w:p>
        </w:tc>
        <w:tc>
          <w:tcPr/>
          <w:p>
            <w:pPr>
              <w:pStyle w:val="Compact"/>
              <w:jc w:val="left"/>
            </w:pPr>
            <w:r>
              <w:t xml:space="preserve">1</w:t>
            </w:r>
          </w:p>
        </w:tc>
        <w:tc>
          <w:tcPr/>
          <w:p>
            <w:pPr>
              <w:pStyle w:val="Compact"/>
              <w:jc w:val="left"/>
            </w:pPr>
            <w:r>
              <w:t xml:space="preserve">W8</w:t>
            </w:r>
          </w:p>
        </w:tc>
        <w:tc>
          <w:tcPr/>
          <w:p>
            <w:pPr>
              <w:pStyle w:val="Compact"/>
              <w:jc w:val="left"/>
            </w:pPr>
            <w:r>
              <w:t xml:space="preserve">Canon Steward</w:t>
            </w:r>
          </w:p>
        </w:tc>
        <w:tc>
          <w:tcPr/>
          <w:p>
            <w:pPr>
              <w:pStyle w:val="Compact"/>
              <w:jc w:val="left"/>
            </w:pPr>
            <w:r>
              <w:t xml:space="preserve">M-011</w:t>
            </w:r>
          </w:p>
        </w:tc>
        <w:tc>
          <w:tcPr/>
          <w:p>
            <w:pPr>
              <w:pStyle w:val="Compact"/>
              <w:jc w:val="left"/>
            </w:pPr>
            <w:r>
              <w:t xml:space="preserve">Steering committee approval; all docs APPROVED</w:t>
            </w:r>
          </w:p>
        </w:tc>
        <w:tc>
          <w:tcPr/>
          <w:p>
            <w:pPr>
              <w:pStyle w:val="Compact"/>
              <w:jc w:val="left"/>
            </w:pPr>
            <w:r>
              <w:t xml:space="preserve">PLANNED</w:t>
            </w:r>
          </w:p>
        </w:tc>
      </w:tr>
      <w:tr>
        <w:tc>
          <w:tcPr/>
          <w:p>
            <w:pPr>
              <w:pStyle w:val="Compact"/>
              <w:jc w:val="left"/>
            </w:pPr>
            <w:r>
              <w:t xml:space="preserve">M-013</w:t>
            </w:r>
          </w:p>
        </w:tc>
        <w:tc>
          <w:tcPr/>
          <w:p>
            <w:pPr>
              <w:pStyle w:val="Compact"/>
              <w:jc w:val="left"/>
            </w:pPr>
            <w:r>
              <w:t xml:space="preserve">Pre-pilot infrastructure ready</w:t>
            </w:r>
          </w:p>
        </w:tc>
        <w:tc>
          <w:tcPr/>
          <w:p>
            <w:pPr>
              <w:pStyle w:val="Compact"/>
              <w:jc w:val="left"/>
            </w:pPr>
            <w:r>
              <w:t xml:space="preserve">1</w:t>
            </w:r>
          </w:p>
        </w:tc>
        <w:tc>
          <w:tcPr/>
          <w:p>
            <w:pPr>
              <w:pStyle w:val="Compact"/>
              <w:jc w:val="left"/>
            </w:pPr>
            <w:r>
              <w:t xml:space="preserve">W9</w:t>
            </w:r>
          </w:p>
        </w:tc>
        <w:tc>
          <w:tcPr/>
          <w:p>
            <w:pPr>
              <w:pStyle w:val="Compact"/>
              <w:jc w:val="left"/>
            </w:pPr>
            <w:r>
              <w:t xml:space="preserve">All Leads</w:t>
            </w:r>
          </w:p>
        </w:tc>
        <w:tc>
          <w:tcPr/>
          <w:p>
            <w:pPr>
              <w:pStyle w:val="Compact"/>
              <w:jc w:val="left"/>
            </w:pPr>
            <w:r>
              <w:t xml:space="preserve">M-012</w:t>
            </w:r>
          </w:p>
        </w:tc>
        <w:tc>
          <w:tcPr/>
          <w:p>
            <w:pPr>
              <w:pStyle w:val="Compact"/>
              <w:jc w:val="left"/>
            </w:pPr>
            <w:r>
              <w:t xml:space="preserve">Pilot scope defined, infrastructure provisioned, critical security remediated</w:t>
            </w:r>
          </w:p>
        </w:tc>
        <w:tc>
          <w:tcPr/>
          <w:p>
            <w:pPr>
              <w:pStyle w:val="Compact"/>
              <w:jc w:val="left"/>
            </w:pPr>
            <w:r>
              <w:t xml:space="preserve">PLANNED</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pPr>
          </w:p>
        </w:tc>
        <w:tc>
          <w:tcPr/>
          <w:p>
            <w:pPr>
              <w:pStyle w:val="Compact"/>
              <w:jc w:val="left"/>
            </w:pPr>
            <w:r>
              <w:t xml:space="preserve">2</w:t>
            </w:r>
          </w:p>
        </w:tc>
        <w:tc>
          <w:tcPr/>
          <w:p>
            <w:pPr>
              <w:pStyle w:val="Compact"/>
              <w:jc w:val="left"/>
            </w:pPr>
            <w:r>
              <w:t xml:space="preserve">W10 Identity</w:t>
            </w:r>
          </w:p>
        </w:tc>
        <w:tc>
          <w:tcPr/>
          <w:p>
            <w:pPr>
              <w:pStyle w:val="Compact"/>
              <w:jc w:val="left"/>
            </w:pPr>
            <w:r>
              <w:t xml:space="preserve">Lead M-012 Extension attribute mapping committed</w:t>
            </w:r>
          </w:p>
        </w:tc>
        <w:tc>
          <w:tcPr/>
          <w:p>
            <w:pPr>
              <w:pStyle w:val="Compact"/>
              <w:jc w:val="left"/>
            </w:pPr>
            <w:r>
              <w:t xml:space="preserve">PLANNED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2</w:t>
            </w:r>
          </w:p>
        </w:tc>
        <w:tc>
          <w:tcPr/>
          <w:p>
            <w:pPr>
              <w:pStyle w:val="Compact"/>
              <w:jc w:val="left"/>
            </w:pPr>
            <w:r>
              <w:t xml:space="preserve">W10</w:t>
            </w:r>
          </w:p>
        </w:tc>
        <w:tc>
          <w:tcPr/>
          <w:p>
            <w:pPr>
              <w:pStyle w:val="Compact"/>
              <w:jc w:val="left"/>
            </w:pPr>
            <w:r>
              <w:t xml:space="preserve">Endpoint Lead</w:t>
            </w:r>
          </w:p>
        </w:tc>
        <w:tc>
          <w:tcPr/>
          <w:p>
            <w:pPr>
              <w:pStyle w:val="Compact"/>
              <w:jc w:val="left"/>
            </w:pPr>
            <w:r>
              <w:t xml:space="preserve">M-014</w:t>
            </w:r>
          </w:p>
        </w:tc>
        <w:tc>
          <w:tcPr/>
          <w:p>
            <w:pPr>
              <w:pStyle w:val="Compact"/>
              <w:jc w:val="left"/>
            </w:pPr>
            <w:r>
              <w:t xml:space="preserve">All rules tested in non-production</w:t>
            </w:r>
          </w:p>
        </w:tc>
        <w:tc>
          <w:tcPr/>
          <w:p>
            <w:pPr>
              <w:pStyle w:val="Compact"/>
              <w:jc w:val="left"/>
            </w:pPr>
            <w:r>
              <w:t xml:space="preserve">PLANNED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2</w:t>
            </w:r>
          </w:p>
        </w:tc>
        <w:tc>
          <w:tcPr/>
          <w:p>
            <w:pPr>
              <w:pStyle w:val="Compact"/>
              <w:jc w:val="left"/>
            </w:pPr>
            <w:r>
              <w:t xml:space="preserve">W11</w:t>
            </w:r>
          </w:p>
        </w:tc>
        <w:tc>
          <w:tcPr/>
          <w:p>
            <w:pPr>
              <w:pStyle w:val="Compact"/>
              <w:jc w:val="left"/>
            </w:pPr>
            <w:r>
              <w:t xml:space="preserve">Endpoint Lead</w:t>
            </w:r>
          </w:p>
        </w:tc>
        <w:tc>
          <w:tcPr/>
          <w:p>
            <w:pPr>
              <w:pStyle w:val="Compact"/>
              <w:jc w:val="left"/>
            </w:pPr>
            <w:r>
              <w:t xml:space="preserve">M-015</w:t>
            </w:r>
          </w:p>
        </w:tc>
        <w:tc>
          <w:tcPr/>
          <w:p>
            <w:pPr>
              <w:pStyle w:val="Compact"/>
              <w:jc w:val="left"/>
            </w:pPr>
            <w:r>
              <w:t xml:space="preserve">All GPO-to-Intune mappings documented</w:t>
            </w:r>
          </w:p>
        </w:tc>
        <w:tc>
          <w:tcPr/>
          <w:p>
            <w:pPr>
              <w:pStyle w:val="Compact"/>
              <w:jc w:val="left"/>
            </w:pPr>
            <w:r>
              <w:t xml:space="preserve">PLANNED</w:t>
            </w:r>
          </w:p>
        </w:tc>
      </w:tr>
      <w:tr>
        <w:tc>
          <w:tcPr/>
          <w:p>
            <w:pPr>
              <w:pStyle w:val="Compact"/>
              <w:jc w:val="left"/>
            </w:pPr>
            <w:r>
              <w:t xml:space="preserve">M-017</w:t>
            </w:r>
          </w:p>
        </w:tc>
        <w:tc>
          <w:tcPr/>
          <w:p>
            <w:pPr>
              <w:pStyle w:val="Compact"/>
              <w:jc w:val="left"/>
            </w:pPr>
            <w:r>
              <w:t xml:space="preserve">Conditional Access design</w:t>
            </w:r>
          </w:p>
        </w:tc>
        <w:tc>
          <w:tcPr/>
          <w:p>
            <w:pPr>
              <w:pStyle w:val="Compact"/>
              <w:jc w:val="left"/>
            </w:pPr>
            <w:r>
              <w:t xml:space="preserve">2</w:t>
            </w:r>
          </w:p>
        </w:tc>
        <w:tc>
          <w:tcPr/>
          <w:p>
            <w:pPr>
              <w:pStyle w:val="Compact"/>
              <w:jc w:val="left"/>
            </w:pPr>
            <w:r>
              <w:t xml:space="preserve">W11</w:t>
            </w:r>
          </w:p>
        </w:tc>
        <w:tc>
          <w:tcPr/>
          <w:p>
            <w:pPr>
              <w:pStyle w:val="Compact"/>
              <w:jc w:val="left"/>
            </w:pPr>
            <w:r>
              <w:t xml:space="preserve">Security Lead</w:t>
            </w:r>
          </w:p>
        </w:tc>
        <w:tc>
          <w:tcPr/>
          <w:p>
            <w:pPr>
              <w:pStyle w:val="Compact"/>
              <w:jc w:val="left"/>
            </w:pPr>
            <w:r>
              <w:t xml:space="preserve">M-012</w:t>
            </w:r>
          </w:p>
        </w:tc>
        <w:tc>
          <w:tcPr/>
          <w:p>
            <w:pPr>
              <w:pStyle w:val="Compact"/>
              <w:jc w:val="left"/>
            </w:pPr>
            <w:r>
              <w:t xml:space="preserve">15+ policies in report-only for 7+ days</w:t>
            </w:r>
          </w:p>
        </w:tc>
        <w:tc>
          <w:tcPr/>
          <w:p>
            <w:pPr>
              <w:pStyle w:val="Compact"/>
              <w:jc w:val="left"/>
            </w:pPr>
            <w:r>
              <w:t xml:space="preserve">PLANNED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Identity Lead</w:t>
            </w:r>
          </w:p>
        </w:tc>
        <w:tc>
          <w:tcPr/>
          <w:p>
            <w:pPr>
              <w:pStyle w:val="Compact"/>
              <w:jc w:val="left"/>
            </w:pPr>
            <w:r>
              <w:t xml:space="preserve">M-014</w:t>
            </w:r>
          </w:p>
        </w:tc>
        <w:tc>
          <w:tcPr/>
          <w:p>
            <w:pPr>
              <w:pStyle w:val="Compact"/>
              <w:jc w:val="left"/>
            </w:pPr>
            <w:r>
              <w:t xml:space="preserve">Filtering, attribute flow, sync method documented</w:t>
            </w:r>
          </w:p>
        </w:tc>
        <w:tc>
          <w:tcPr/>
          <w:p>
            <w:pPr>
              <w:pStyle w:val="Compact"/>
              <w:jc w:val="left"/>
            </w:pPr>
            <w:r>
              <w:t xml:space="preserve">PLANNED</w:t>
            </w:r>
          </w:p>
        </w:tc>
      </w:tr>
      <w:tr>
        <w:tc>
          <w:tcPr/>
          <w:p>
            <w:pPr>
              <w:pStyle w:val="Compact"/>
              <w:jc w:val="left"/>
            </w:pPr>
            <w:r>
              <w:t xml:space="preserve">M-019</w:t>
            </w:r>
          </w:p>
        </w:tc>
        <w:tc>
          <w:tcPr/>
          <w:p>
            <w:pPr>
              <w:pStyle w:val="Compact"/>
              <w:jc w:val="left"/>
            </w:pPr>
            <w:r>
              <w:t xml:space="preserve">DNS Private Resolver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DNS Lead</w:t>
            </w:r>
          </w:p>
        </w:tc>
        <w:tc>
          <w:tcPr/>
          <w:p>
            <w:pPr>
              <w:pStyle w:val="Compact"/>
              <w:jc w:val="left"/>
            </w:pPr>
            <w:r>
              <w:t xml:space="preserve">M-012</w:t>
            </w:r>
          </w:p>
        </w:tc>
        <w:tc>
          <w:tcPr/>
          <w:p>
            <w:pPr>
              <w:pStyle w:val="Compact"/>
              <w:jc w:val="left"/>
            </w:pPr>
            <w:r>
              <w:t xml:space="preserve">Hub-spoke topology and forwarding rulesets documented</w:t>
            </w:r>
          </w:p>
        </w:tc>
        <w:tc>
          <w:tcPr/>
          <w:p>
            <w:pPr>
              <w:pStyle w:val="Compact"/>
              <w:jc w:val="left"/>
            </w:pPr>
            <w:r>
              <w:t xml:space="preserve">PLANNED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2</w:t>
            </w:r>
          </w:p>
        </w:tc>
        <w:tc>
          <w:tcPr/>
          <w:p>
            <w:pPr>
              <w:pStyle w:val="Compact"/>
              <w:jc w:val="left"/>
            </w:pPr>
            <w:r>
              <w:t xml:space="preserve">W13</w:t>
            </w:r>
          </w:p>
        </w:tc>
        <w:tc>
          <w:tcPr/>
          <w:p>
            <w:pPr>
              <w:pStyle w:val="Compact"/>
              <w:jc w:val="left"/>
            </w:pPr>
            <w:r>
              <w:t xml:space="preserve">PKI Lead</w:t>
            </w:r>
          </w:p>
        </w:tc>
        <w:tc>
          <w:tcPr/>
          <w:p>
            <w:pPr>
              <w:pStyle w:val="Compact"/>
              <w:jc w:val="left"/>
            </w:pPr>
            <w:r>
              <w:t xml:space="preserve">M-012, M-010</w:t>
            </w:r>
          </w:p>
        </w:tc>
        <w:tc>
          <w:tcPr/>
          <w:p>
            <w:pPr>
              <w:pStyle w:val="Compact"/>
              <w:jc w:val="left"/>
            </w:pPr>
            <w:r>
              <w:t xml:space="preserve">Root/BYOCA decided, template matrix, SCEP designs</w:t>
            </w:r>
          </w:p>
        </w:tc>
        <w:tc>
          <w:tcPr/>
          <w:p>
            <w:pPr>
              <w:pStyle w:val="Compact"/>
              <w:jc w:val="left"/>
            </w:pPr>
            <w:r>
              <w:t xml:space="preserve">PLANNED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2</w:t>
            </w:r>
          </w:p>
        </w:tc>
        <w:tc>
          <w:tcPr/>
          <w:p>
            <w:pPr>
              <w:pStyle w:val="Compact"/>
              <w:jc w:val="left"/>
            </w:pPr>
            <w:r>
              <w:t xml:space="preserve">W13</w:t>
            </w:r>
          </w:p>
        </w:tc>
        <w:tc>
          <w:tcPr/>
          <w:p>
            <w:pPr>
              <w:pStyle w:val="Compact"/>
              <w:jc w:val="left"/>
            </w:pPr>
            <w:r>
              <w:t xml:space="preserve">Canon Steward</w:t>
            </w:r>
          </w:p>
        </w:tc>
        <w:tc>
          <w:tcPr/>
          <w:p>
            <w:pPr>
              <w:pStyle w:val="Compact"/>
              <w:jc w:val="left"/>
            </w:pPr>
            <w:r>
              <w:t xml:space="preserve">M-014–M-020</w:t>
            </w:r>
          </w:p>
        </w:tc>
        <w:tc>
          <w:tcPr/>
          <w:p>
            <w:pPr>
              <w:pStyle w:val="Compact"/>
              <w:jc w:val="left"/>
            </w:pPr>
            <w:r>
              <w:t xml:space="preserve">All designs approved</w:t>
            </w:r>
          </w:p>
        </w:tc>
        <w:tc>
          <w:tcPr/>
          <w:p>
            <w:pPr>
              <w:pStyle w:val="Compact"/>
              <w:jc w:val="left"/>
            </w:pPr>
            <w:r>
              <w:t xml:space="preserve">PLANNED</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3</w:t>
            </w:r>
          </w:p>
        </w:tc>
        <w:tc>
          <w:tcPr/>
          <w:p>
            <w:pPr>
              <w:pStyle w:val="Compact"/>
              <w:jc w:val="left"/>
            </w:pPr>
            <w:r>
              <w:t xml:space="preserve">W14</w:t>
            </w:r>
          </w:p>
        </w:tc>
        <w:tc>
          <w:tcPr/>
          <w:p>
            <w:pPr>
              <w:pStyle w:val="Compact"/>
              <w:jc w:val="left"/>
            </w:pPr>
            <w:r>
              <w:t xml:space="preserve">Identity Lead</w:t>
            </w:r>
          </w:p>
        </w:tc>
        <w:tc>
          <w:tcPr/>
          <w:p>
            <w:pPr>
              <w:pStyle w:val="Compact"/>
              <w:jc w:val="left"/>
            </w:pPr>
            <w:r>
              <w:t xml:space="preserve">M-018, M-021</w:t>
            </w:r>
          </w:p>
        </w:tc>
        <w:tc>
          <w:tcPr/>
          <w:p>
            <w:pPr>
              <w:pStyle w:val="Compact"/>
              <w:jc w:val="left"/>
            </w:pPr>
            <w:r>
              <w:t xml:space="preserve">Sync operational with PHS, staging mode validated</w:t>
            </w:r>
          </w:p>
        </w:tc>
        <w:tc>
          <w:tcPr/>
          <w:p>
            <w:pPr>
              <w:pStyle w:val="Compact"/>
              <w:jc w:val="left"/>
            </w:pPr>
            <w:r>
              <w:t xml:space="preserve">PLANNED</w:t>
            </w:r>
          </w:p>
        </w:tc>
      </w:tr>
      <w:tr>
        <w:tc>
          <w:tcPr/>
          <w:p>
            <w:pPr>
              <w:pStyle w:val="Compact"/>
              <w:jc w:val="left"/>
            </w:pPr>
            <w:r>
              <w:t xml:space="preserve">M-023</w:t>
            </w:r>
          </w:p>
        </w:tc>
        <w:tc>
          <w:tcPr/>
          <w:p>
            <w:pPr>
              <w:pStyle w:val="Compact"/>
              <w:jc w:val="left"/>
            </w:pPr>
            <w:r>
              <w:t xml:space="preserve">Pilot devices joined</w:t>
            </w:r>
          </w:p>
        </w:tc>
        <w:tc>
          <w:tcPr/>
          <w:p>
            <w:pPr>
              <w:pStyle w:val="Compact"/>
              <w:jc w:val="left"/>
            </w:pPr>
            <w:r>
              <w:t xml:space="preserve">3</w:t>
            </w:r>
          </w:p>
        </w:tc>
        <w:tc>
          <w:tcPr/>
          <w:p>
            <w:pPr>
              <w:pStyle w:val="Compact"/>
              <w:jc w:val="left"/>
            </w:pPr>
            <w:r>
              <w:t xml:space="preserve">W15</w:t>
            </w:r>
          </w:p>
        </w:tc>
        <w:tc>
          <w:tcPr/>
          <w:p>
            <w:pPr>
              <w:pStyle w:val="Compact"/>
              <w:jc w:val="left"/>
            </w:pPr>
            <w:r>
              <w:t xml:space="preserve">Endpoint Lead</w:t>
            </w:r>
          </w:p>
        </w:tc>
        <w:tc>
          <w:tcPr/>
          <w:p>
            <w:pPr>
              <w:pStyle w:val="Compact"/>
              <w:jc w:val="left"/>
            </w:pPr>
            <w:r>
              <w:t xml:space="preserve">M-015, M-022</w:t>
            </w:r>
          </w:p>
        </w:tc>
        <w:tc>
          <w:tcPr/>
          <w:p>
            <w:pPr>
              <w:pStyle w:val="Compact"/>
              <w:jc w:val="left"/>
            </w:pPr>
            <w:r>
              <w:t xml:space="preserve">50+ devices registered with extension attributes</w:t>
            </w:r>
          </w:p>
        </w:tc>
        <w:tc>
          <w:tcPr/>
          <w:p>
            <w:pPr>
              <w:pStyle w:val="Compact"/>
              <w:jc w:val="left"/>
            </w:pPr>
            <w:r>
              <w:t xml:space="preserve">PLANNED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3</w:t>
            </w:r>
          </w:p>
        </w:tc>
        <w:tc>
          <w:tcPr/>
          <w:p>
            <w:pPr>
              <w:pStyle w:val="Compact"/>
              <w:jc w:val="left"/>
            </w:pPr>
            <w:r>
              <w:t xml:space="preserve">W16</w:t>
            </w:r>
          </w:p>
        </w:tc>
        <w:tc>
          <w:tcPr/>
          <w:p>
            <w:pPr>
              <w:pStyle w:val="Compact"/>
              <w:jc w:val="left"/>
            </w:pPr>
            <w:r>
              <w:t xml:space="preserve">Endpoint Lead</w:t>
            </w:r>
          </w:p>
        </w:tc>
        <w:tc>
          <w:tcPr/>
          <w:p>
            <w:pPr>
              <w:pStyle w:val="Compact"/>
              <w:jc w:val="left"/>
            </w:pPr>
            <w:r>
              <w:t xml:space="preserve">M-016, M-023</w:t>
            </w:r>
          </w:p>
        </w:tc>
        <w:tc>
          <w:tcPr/>
          <w:p>
            <w:pPr>
              <w:pStyle w:val="Compact"/>
              <w:jc w:val="left"/>
            </w:pPr>
            <w:r>
              <w:t xml:space="preserve">GPO-equivalent policies via dynamic groups</w:t>
            </w:r>
          </w:p>
        </w:tc>
        <w:tc>
          <w:tcPr/>
          <w:p>
            <w:pPr>
              <w:pStyle w:val="Compact"/>
              <w:jc w:val="left"/>
            </w:pPr>
            <w:r>
              <w:t xml:space="preserve">PLANNED</w:t>
            </w:r>
          </w:p>
        </w:tc>
      </w:tr>
      <w:tr>
        <w:tc>
          <w:tcPr/>
          <w:p>
            <w:pPr>
              <w:pStyle w:val="Compact"/>
              <w:jc w:val="left"/>
            </w:pPr>
            <w:r>
              <w:t xml:space="preserve">M-025</w:t>
            </w:r>
          </w:p>
        </w:tc>
        <w:tc>
          <w:tcPr/>
          <w:p>
            <w:pPr>
              <w:pStyle w:val="Compact"/>
              <w:jc w:val="left"/>
            </w:pPr>
            <w:r>
              <w:t xml:space="preserve">Conditional Access enforced</w:t>
            </w:r>
          </w:p>
        </w:tc>
        <w:tc>
          <w:tcPr/>
          <w:p>
            <w:pPr>
              <w:pStyle w:val="Compact"/>
              <w:jc w:val="left"/>
            </w:pPr>
            <w:r>
              <w:t xml:space="preserve">3</w:t>
            </w:r>
          </w:p>
        </w:tc>
        <w:tc>
          <w:tcPr/>
          <w:p>
            <w:pPr>
              <w:pStyle w:val="Compact"/>
              <w:jc w:val="left"/>
            </w:pPr>
            <w:r>
              <w:t xml:space="preserve">W17</w:t>
            </w:r>
          </w:p>
        </w:tc>
        <w:tc>
          <w:tcPr/>
          <w:p>
            <w:pPr>
              <w:pStyle w:val="Compact"/>
              <w:jc w:val="left"/>
            </w:pPr>
            <w:r>
              <w:t xml:space="preserve">Security Lead</w:t>
            </w:r>
          </w:p>
        </w:tc>
        <w:tc>
          <w:tcPr/>
          <w:p>
            <w:pPr>
              <w:pStyle w:val="Compact"/>
              <w:jc w:val="left"/>
            </w:pPr>
            <w:r>
              <w:t xml:space="preserve">M-017, M-024</w:t>
            </w:r>
          </w:p>
        </w:tc>
        <w:tc>
          <w:tcPr/>
          <w:p>
            <w:pPr>
              <w:pStyle w:val="Compact"/>
              <w:jc w:val="left"/>
            </w:pPr>
            <w:r>
              <w:t xml:space="preserve">MFA, compliance, auth strength active</w:t>
            </w:r>
          </w:p>
        </w:tc>
        <w:tc>
          <w:tcPr/>
          <w:p>
            <w:pPr>
              <w:pStyle w:val="Compact"/>
              <w:jc w:val="left"/>
            </w:pPr>
            <w:r>
              <w:t xml:space="preserve">PLANNED</w:t>
            </w:r>
          </w:p>
        </w:tc>
      </w:tr>
      <w:tr>
        <w:tc>
          <w:tcPr/>
          <w:p>
            <w:pPr>
              <w:pStyle w:val="Compact"/>
              <w:jc w:val="left"/>
            </w:pPr>
            <w:r>
              <w:t xml:space="preserve">M-026</w:t>
            </w:r>
          </w:p>
        </w:tc>
        <w:tc>
          <w:tcPr/>
          <w:p>
            <w:pPr>
              <w:pStyle w:val="Compact"/>
              <w:jc w:val="left"/>
            </w:pPr>
            <w:r>
              <w:t xml:space="preserve">PIM configured</w:t>
            </w:r>
          </w:p>
        </w:tc>
        <w:tc>
          <w:tcPr/>
          <w:p>
            <w:pPr>
              <w:pStyle w:val="Compact"/>
              <w:jc w:val="left"/>
            </w:pPr>
            <w:r>
              <w:t xml:space="preserve">3</w:t>
            </w:r>
          </w:p>
        </w:tc>
        <w:tc>
          <w:tcPr/>
          <w:p>
            <w:pPr>
              <w:pStyle w:val="Compact"/>
              <w:jc w:val="left"/>
            </w:pPr>
            <w:r>
              <w:t xml:space="preserve">W18</w:t>
            </w:r>
          </w:p>
        </w:tc>
        <w:tc>
          <w:tcPr/>
          <w:p>
            <w:pPr>
              <w:pStyle w:val="Compact"/>
              <w:jc w:val="left"/>
            </w:pPr>
            <w:r>
              <w:t xml:space="preserve">Identity Lead</w:t>
            </w:r>
          </w:p>
        </w:tc>
        <w:tc>
          <w:tcPr/>
          <w:p>
            <w:pPr>
              <w:pStyle w:val="Compact"/>
              <w:jc w:val="left"/>
            </w:pPr>
            <w:r>
              <w:t xml:space="preserve">M-022</w:t>
            </w:r>
          </w:p>
        </w:tc>
        <w:tc>
          <w:tcPr/>
          <w:p>
            <w:pPr>
              <w:pStyle w:val="Compact"/>
              <w:jc w:val="left"/>
            </w:pPr>
            <w:r>
              <w:t xml:space="preserve">All admins PIM-eligible, zero permanent GA</w:t>
            </w:r>
          </w:p>
        </w:tc>
        <w:tc>
          <w:tcPr/>
          <w:p>
            <w:pPr>
              <w:pStyle w:val="Compact"/>
              <w:jc w:val="left"/>
            </w:pPr>
            <w:r>
              <w:t xml:space="preserve">PLANNED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3</w:t>
            </w:r>
          </w:p>
        </w:tc>
        <w:tc>
          <w:tcPr/>
          <w:p>
            <w:pPr>
              <w:pStyle w:val="Compact"/>
              <w:jc w:val="left"/>
            </w:pPr>
            <w:r>
              <w:t xml:space="preserve">W19</w:t>
            </w:r>
          </w:p>
        </w:tc>
        <w:tc>
          <w:tcPr/>
          <w:p>
            <w:pPr>
              <w:pStyle w:val="Compact"/>
              <w:jc w:val="left"/>
            </w:pPr>
            <w:r>
              <w:t xml:space="preserve">DNS Lead</w:t>
            </w:r>
          </w:p>
        </w:tc>
        <w:tc>
          <w:tcPr/>
          <w:p>
            <w:pPr>
              <w:pStyle w:val="Compact"/>
              <w:jc w:val="left"/>
            </w:pPr>
            <w:r>
              <w:t xml:space="preserve">M-019</w:t>
            </w:r>
          </w:p>
        </w:tc>
        <w:tc>
          <w:tcPr/>
          <w:p>
            <w:pPr>
              <w:pStyle w:val="Compact"/>
              <w:jc w:val="left"/>
            </w:pPr>
            <w:r>
              <w:t xml:space="preserve">Bidirectional resolution confirmed</w:t>
            </w:r>
          </w:p>
        </w:tc>
        <w:tc>
          <w:tcPr/>
          <w:p>
            <w:pPr>
              <w:pStyle w:val="Compact"/>
              <w:jc w:val="left"/>
            </w:pPr>
            <w:r>
              <w:t xml:space="preserve">PLANNED</w:t>
            </w:r>
          </w:p>
        </w:tc>
      </w:tr>
      <w:tr>
        <w:tc>
          <w:tcPr/>
          <w:p>
            <w:pPr>
              <w:pStyle w:val="Compact"/>
              <w:jc w:val="left"/>
            </w:pPr>
            <w:r>
              <w:t xml:space="preserve">M-028</w:t>
            </w:r>
          </w:p>
        </w:tc>
        <w:tc>
          <w:tcPr/>
          <w:p>
            <w:pPr>
              <w:pStyle w:val="Compact"/>
              <w:jc w:val="left"/>
            </w:pPr>
            <w:r>
              <w:t xml:space="preserve">Cloud PKI certs issued to pilot</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M-020</w:t>
            </w:r>
          </w:p>
        </w:tc>
        <w:tc>
          <w:tcPr/>
          <w:p>
            <w:pPr>
              <w:pStyle w:val="Compact"/>
              <w:jc w:val="left"/>
            </w:pPr>
            <w:r>
              <w:t xml:space="preserve">SCEP deployed, Wi-Fi/VPN auth verified</w:t>
            </w:r>
          </w:p>
        </w:tc>
        <w:tc>
          <w:tcPr/>
          <w:p>
            <w:pPr>
              <w:pStyle w:val="Compact"/>
              <w:jc w:val="left"/>
            </w:pPr>
            <w:r>
              <w:t xml:space="preserve">PLANNED</w:t>
            </w:r>
          </w:p>
        </w:tc>
      </w:tr>
      <w:tr>
        <w:tc>
          <w:tcPr/>
          <w:p>
            <w:pPr>
              <w:pStyle w:val="Compact"/>
              <w:jc w:val="left"/>
            </w:pPr>
            <w:r>
              <w:t xml:space="preserve">M-029</w:t>
            </w:r>
          </w:p>
        </w:tc>
        <w:tc>
          <w:tcPr/>
          <w:p>
            <w:pPr>
              <w:pStyle w:val="Compact"/>
              <w:jc w:val="left"/>
            </w:pPr>
            <w:r>
              <w:t xml:space="preserve">Entra CBA validated</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M-028</w:t>
            </w:r>
          </w:p>
        </w:tc>
        <w:tc>
          <w:tcPr/>
          <w:p>
            <w:pPr>
              <w:pStyle w:val="Compact"/>
              <w:jc w:val="left"/>
            </w:pPr>
            <w:r>
              <w:t xml:space="preserve">Certificate-based SSO working</w:t>
            </w:r>
          </w:p>
        </w:tc>
        <w:tc>
          <w:tcPr/>
          <w:p>
            <w:pPr>
              <w:pStyle w:val="Compact"/>
              <w:jc w:val="left"/>
            </w:pPr>
            <w:r>
              <w:t xml:space="preserve">PLANNED</w:t>
            </w:r>
          </w:p>
        </w:tc>
      </w:tr>
      <w:tr>
        <w:tc>
          <w:tcPr/>
          <w:p>
            <w:pPr>
              <w:pStyle w:val="Compact"/>
              <w:jc w:val="left"/>
            </w:pPr>
            <w:r>
              <w:t xml:space="preserve">M-030</w:t>
            </w:r>
          </w:p>
        </w:tc>
        <w:tc>
          <w:tcPr/>
          <w:p>
            <w:pPr>
              <w:pStyle w:val="Compact"/>
              <w:jc w:val="left"/>
            </w:pPr>
            <w:r>
              <w:t xml:space="preserve">Arc pilot servers compliant</w:t>
            </w:r>
          </w:p>
        </w:tc>
        <w:tc>
          <w:tcPr/>
          <w:p>
            <w:pPr>
              <w:pStyle w:val="Compact"/>
              <w:jc w:val="left"/>
            </w:pPr>
            <w:r>
              <w:t xml:space="preserve">3</w:t>
            </w:r>
          </w:p>
        </w:tc>
        <w:tc>
          <w:tcPr/>
          <w:p>
            <w:pPr>
              <w:pStyle w:val="Compact"/>
              <w:jc w:val="left"/>
            </w:pPr>
            <w:r>
              <w:t xml:space="preserve">W21</w:t>
            </w:r>
          </w:p>
        </w:tc>
        <w:tc>
          <w:tcPr/>
          <w:p>
            <w:pPr>
              <w:pStyle w:val="Compact"/>
              <w:jc w:val="left"/>
            </w:pPr>
            <w:r>
              <w:t xml:space="preserve">Infra Lead</w:t>
            </w:r>
          </w:p>
        </w:tc>
        <w:tc>
          <w:tcPr/>
          <w:p>
            <w:pPr>
              <w:pStyle w:val="Compact"/>
              <w:jc w:val="left"/>
            </w:pPr>
            <w:r>
              <w:t xml:space="preserve">M-007</w:t>
            </w:r>
          </w:p>
        </w:tc>
        <w:tc>
          <w:tcPr/>
          <w:p>
            <w:pPr>
              <w:pStyle w:val="Compact"/>
              <w:jc w:val="left"/>
            </w:pPr>
            <w:r>
              <w:t xml:space="preserve">Guest Configuration compliant</w:t>
            </w:r>
          </w:p>
        </w:tc>
        <w:tc>
          <w:tcPr/>
          <w:p>
            <w:pPr>
              <w:pStyle w:val="Compact"/>
              <w:jc w:val="left"/>
            </w:pPr>
            <w:r>
              <w:t xml:space="preserve">PLANNED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3</w:t>
            </w:r>
          </w:p>
        </w:tc>
        <w:tc>
          <w:tcPr/>
          <w:p>
            <w:pPr>
              <w:pStyle w:val="Compact"/>
              <w:jc w:val="left"/>
            </w:pPr>
            <w:r>
              <w:t xml:space="preserve">W21</w:t>
            </w:r>
          </w:p>
        </w:tc>
        <w:tc>
          <w:tcPr/>
          <w:p>
            <w:pPr>
              <w:pStyle w:val="Compact"/>
              <w:jc w:val="left"/>
            </w:pPr>
            <w:r>
              <w:t xml:space="preserve">PM</w:t>
            </w:r>
          </w:p>
        </w:tc>
        <w:tc>
          <w:tcPr/>
          <w:p>
            <w:pPr>
              <w:pStyle w:val="Compact"/>
              <w:jc w:val="left"/>
            </w:pPr>
            <w:r>
              <w:t xml:space="preserve">M-024–M-030</w:t>
            </w:r>
          </w:p>
        </w:tc>
        <w:tc>
          <w:tcPr/>
          <w:p>
            <w:pPr>
              <w:pStyle w:val="Compact"/>
              <w:jc w:val="left"/>
            </w:pPr>
            <w:r>
              <w:t xml:space="preserve">&gt;95% compliance, zero auth failures</w:t>
            </w:r>
          </w:p>
        </w:tc>
        <w:tc>
          <w:tcPr/>
          <w:p>
            <w:pPr>
              <w:pStyle w:val="Compact"/>
              <w:jc w:val="left"/>
            </w:pPr>
            <w:r>
              <w:t xml:space="preserve">PLANNED</w:t>
            </w:r>
          </w:p>
        </w:tc>
      </w:tr>
      <w:tr>
        <w:tc>
          <w:tcPr/>
          <w:p>
            <w:pPr>
              <w:pStyle w:val="Compact"/>
              <w:jc w:val="left"/>
            </w:pPr>
            <w:r>
              <w:t xml:space="preserve">M-032</w:t>
            </w:r>
          </w:p>
        </w:tc>
        <w:tc>
          <w:tcPr/>
          <w:p>
            <w:pPr>
              <w:pStyle w:val="Compact"/>
              <w:jc w:val="left"/>
            </w:pPr>
            <w:r>
              <w:t xml:space="preserve">Wave 1 complete</w:t>
            </w:r>
          </w:p>
        </w:tc>
        <w:tc>
          <w:tcPr/>
          <w:p>
            <w:pPr>
              <w:pStyle w:val="Compact"/>
              <w:jc w:val="left"/>
            </w:pPr>
            <w:r>
              <w:t xml:space="preserve">4</w:t>
            </w:r>
          </w:p>
        </w:tc>
        <w:tc>
          <w:tcPr/>
          <w:p>
            <w:pPr>
              <w:pStyle w:val="Compact"/>
              <w:jc w:val="left"/>
            </w:pPr>
            <w:r>
              <w:t xml:space="preserve">W24</w:t>
            </w:r>
          </w:p>
        </w:tc>
        <w:tc>
          <w:tcPr/>
          <w:p>
            <w:pPr>
              <w:pStyle w:val="Compact"/>
              <w:jc w:val="left"/>
            </w:pPr>
            <w:r>
              <w:t xml:space="preserve">All Leads</w:t>
            </w:r>
          </w:p>
        </w:tc>
        <w:tc>
          <w:tcPr/>
          <w:p>
            <w:pPr>
              <w:pStyle w:val="Compact"/>
              <w:jc w:val="left"/>
            </w:pPr>
            <w:r>
              <w:t xml:space="preserve">M-031</w:t>
            </w:r>
          </w:p>
        </w:tc>
        <w:tc>
          <w:tcPr/>
          <w:p>
            <w:pPr>
              <w:pStyle w:val="Compact"/>
              <w:jc w:val="left"/>
            </w:pPr>
            <w:r>
              <w:t xml:space="preserve">~25% migrated, validation passed</w:t>
            </w:r>
          </w:p>
        </w:tc>
        <w:tc>
          <w:tcPr/>
          <w:p>
            <w:pPr>
              <w:pStyle w:val="Compact"/>
              <w:jc w:val="left"/>
            </w:pPr>
            <w:r>
              <w:t xml:space="preserve">PLANNED</w:t>
            </w:r>
          </w:p>
        </w:tc>
      </w:tr>
      <w:tr>
        <w:tc>
          <w:tcPr/>
          <w:p>
            <w:pPr>
              <w:pStyle w:val="Compact"/>
              <w:jc w:val="left"/>
            </w:pPr>
            <w:r>
              <w:t xml:space="preserve">M-033</w:t>
            </w:r>
          </w:p>
        </w:tc>
        <w:tc>
          <w:tcPr/>
          <w:p>
            <w:pPr>
              <w:pStyle w:val="Compact"/>
              <w:jc w:val="left"/>
            </w:pPr>
            <w:r>
              <w:t xml:space="preserve">Wave 2 complete</w:t>
            </w:r>
          </w:p>
        </w:tc>
        <w:tc>
          <w:tcPr/>
          <w:p>
            <w:pPr>
              <w:pStyle w:val="Compact"/>
              <w:jc w:val="left"/>
            </w:pPr>
            <w:r>
              <w:t xml:space="preserve">4</w:t>
            </w:r>
          </w:p>
        </w:tc>
        <w:tc>
          <w:tcPr/>
          <w:p>
            <w:pPr>
              <w:pStyle w:val="Compact"/>
              <w:jc w:val="left"/>
            </w:pPr>
            <w:r>
              <w:t xml:space="preserve">W27</w:t>
            </w:r>
          </w:p>
        </w:tc>
        <w:tc>
          <w:tcPr/>
          <w:p>
            <w:pPr>
              <w:pStyle w:val="Compact"/>
              <w:jc w:val="left"/>
            </w:pPr>
            <w:r>
              <w:t xml:space="preserve">All Leads</w:t>
            </w:r>
          </w:p>
        </w:tc>
        <w:tc>
          <w:tcPr/>
          <w:p>
            <w:pPr>
              <w:pStyle w:val="Compact"/>
              <w:jc w:val="left"/>
            </w:pPr>
            <w:r>
              <w:t xml:space="preserve">M-032</w:t>
            </w:r>
          </w:p>
        </w:tc>
        <w:tc>
          <w:tcPr/>
          <w:p>
            <w:pPr>
              <w:pStyle w:val="Compact"/>
              <w:jc w:val="left"/>
            </w:pPr>
            <w:r>
              <w:t xml:space="preserve">~50% cumulative</w:t>
            </w:r>
          </w:p>
        </w:tc>
        <w:tc>
          <w:tcPr/>
          <w:p>
            <w:pPr>
              <w:pStyle w:val="Compact"/>
              <w:jc w:val="left"/>
            </w:pPr>
            <w:r>
              <w:t xml:space="preserve">PLANNED</w:t>
            </w:r>
          </w:p>
        </w:tc>
      </w:tr>
      <w:tr>
        <w:tc>
          <w:tcPr/>
          <w:p>
            <w:pPr>
              <w:pStyle w:val="Compact"/>
              <w:jc w:val="left"/>
            </w:pPr>
            <w:r>
              <w:t xml:space="preserve">M-034</w:t>
            </w:r>
          </w:p>
        </w:tc>
        <w:tc>
          <w:tcPr/>
          <w:p>
            <w:pPr>
              <w:pStyle w:val="Compact"/>
              <w:jc w:val="left"/>
            </w:pPr>
            <w:r>
              <w:t xml:space="preserve">Wave 3 complete</w:t>
            </w:r>
          </w:p>
        </w:tc>
        <w:tc>
          <w:tcPr/>
          <w:p>
            <w:pPr>
              <w:pStyle w:val="Compact"/>
              <w:jc w:val="left"/>
            </w:pPr>
            <w:r>
              <w:t xml:space="preserve">4</w:t>
            </w:r>
          </w:p>
        </w:tc>
        <w:tc>
          <w:tcPr/>
          <w:p>
            <w:pPr>
              <w:pStyle w:val="Compact"/>
              <w:jc w:val="left"/>
            </w:pPr>
            <w:r>
              <w:t xml:space="preserve">W30</w:t>
            </w:r>
          </w:p>
        </w:tc>
        <w:tc>
          <w:tcPr/>
          <w:p>
            <w:pPr>
              <w:pStyle w:val="Compact"/>
              <w:jc w:val="left"/>
            </w:pPr>
            <w:r>
              <w:t xml:space="preserve">All Leads</w:t>
            </w:r>
          </w:p>
        </w:tc>
        <w:tc>
          <w:tcPr/>
          <w:p>
            <w:pPr>
              <w:pStyle w:val="Compact"/>
              <w:jc w:val="left"/>
            </w:pPr>
            <w:r>
              <w:t xml:space="preserve">M-033</w:t>
            </w:r>
          </w:p>
        </w:tc>
        <w:tc>
          <w:tcPr/>
          <w:p>
            <w:pPr>
              <w:pStyle w:val="Compact"/>
              <w:jc w:val="left"/>
            </w:pPr>
            <w:r>
              <w:t xml:space="preserve">~75% cumulative</w:t>
            </w:r>
          </w:p>
        </w:tc>
        <w:tc>
          <w:tcPr/>
          <w:p>
            <w:pPr>
              <w:pStyle w:val="Compact"/>
              <w:jc w:val="left"/>
            </w:pPr>
            <w:r>
              <w:t xml:space="preserve">PLANNED</w:t>
            </w:r>
          </w:p>
        </w:tc>
      </w:tr>
      <w:tr>
        <w:tc>
          <w:tcPr/>
          <w:p>
            <w:pPr>
              <w:pStyle w:val="Compact"/>
              <w:jc w:val="left"/>
            </w:pPr>
            <w:r>
              <w:t xml:space="preserve">M-035</w:t>
            </w:r>
          </w:p>
        </w:tc>
        <w:tc>
          <w:tcPr/>
          <w:p>
            <w:pPr>
              <w:pStyle w:val="Compact"/>
              <w:jc w:val="left"/>
            </w:pPr>
            <w:r>
              <w:t xml:space="preserve">Wave 4 complete</w:t>
            </w:r>
          </w:p>
        </w:tc>
        <w:tc>
          <w:tcPr/>
          <w:p>
            <w:pPr>
              <w:pStyle w:val="Compact"/>
              <w:jc w:val="left"/>
            </w:pPr>
            <w:r>
              <w:t xml:space="preserve">4</w:t>
            </w:r>
          </w:p>
        </w:tc>
        <w:tc>
          <w:tcPr/>
          <w:p>
            <w:pPr>
              <w:pStyle w:val="Compact"/>
              <w:jc w:val="left"/>
            </w:pPr>
            <w:r>
              <w:t xml:space="preserve">W33</w:t>
            </w:r>
          </w:p>
        </w:tc>
        <w:tc>
          <w:tcPr/>
          <w:p>
            <w:pPr>
              <w:pStyle w:val="Compact"/>
              <w:jc w:val="left"/>
            </w:pPr>
            <w:r>
              <w:t xml:space="preserve">All Leads</w:t>
            </w:r>
          </w:p>
        </w:tc>
        <w:tc>
          <w:tcPr/>
          <w:p>
            <w:pPr>
              <w:pStyle w:val="Compact"/>
              <w:jc w:val="left"/>
            </w:pPr>
            <w:r>
              <w:t xml:space="preserve">M-034</w:t>
            </w:r>
          </w:p>
        </w:tc>
        <w:tc>
          <w:tcPr/>
          <w:p>
            <w:pPr>
              <w:pStyle w:val="Compact"/>
              <w:jc w:val="left"/>
            </w:pPr>
            <w:r>
              <w:t xml:space="preserve">100% migrated</w:t>
            </w:r>
          </w:p>
        </w:tc>
        <w:tc>
          <w:tcPr/>
          <w:p>
            <w:pPr>
              <w:pStyle w:val="Compact"/>
              <w:jc w:val="left"/>
            </w:pPr>
            <w:r>
              <w:t xml:space="preserve">PLANNED</w:t>
            </w:r>
          </w:p>
        </w:tc>
      </w:tr>
      <w:tr>
        <w:tc>
          <w:tcPr/>
          <w:p>
            <w:pPr>
              <w:pStyle w:val="Compact"/>
              <w:jc w:val="left"/>
            </w:pPr>
            <w:r>
              <w:t xml:space="preserve">M-036</w:t>
            </w:r>
          </w:p>
        </w:tc>
        <w:tc>
          <w:tcPr/>
          <w:p>
            <w:pPr>
              <w:pStyle w:val="Compact"/>
              <w:jc w:val="left"/>
            </w:pPr>
            <w:r>
              <w:t xml:space="preserve">Legacy GPO disabled</w:t>
            </w:r>
          </w:p>
        </w:tc>
        <w:tc>
          <w:tcPr/>
          <w:p>
            <w:pPr>
              <w:pStyle w:val="Compact"/>
              <w:jc w:val="left"/>
            </w:pPr>
            <w:r>
              <w:t xml:space="preserve">4</w:t>
            </w:r>
          </w:p>
        </w:tc>
        <w:tc>
          <w:tcPr/>
          <w:p>
            <w:pPr>
              <w:pStyle w:val="Compact"/>
              <w:jc w:val="left"/>
            </w:pPr>
            <w:r>
              <w:t xml:space="preserve">W33</w:t>
            </w:r>
          </w:p>
        </w:tc>
        <w:tc>
          <w:tcPr/>
          <w:p>
            <w:pPr>
              <w:pStyle w:val="Compact"/>
              <w:jc w:val="left"/>
            </w:pPr>
            <w:r>
              <w:t xml:space="preserve">Endpoint Lead</w:t>
            </w:r>
          </w:p>
        </w:tc>
        <w:tc>
          <w:tcPr/>
          <w:p>
            <w:pPr>
              <w:pStyle w:val="Compact"/>
              <w:jc w:val="left"/>
            </w:pPr>
            <w:r>
              <w:t xml:space="preserve">M-035</w:t>
            </w:r>
          </w:p>
        </w:tc>
        <w:tc>
          <w:tcPr/>
          <w:p>
            <w:pPr>
              <w:pStyle w:val="Compact"/>
              <w:jc w:val="left"/>
            </w:pPr>
            <w:r>
              <w:t xml:space="preserve">No GPO links to migrated OUs</w:t>
            </w:r>
          </w:p>
        </w:tc>
        <w:tc>
          <w:tcPr/>
          <w:p>
            <w:pPr>
              <w:pStyle w:val="Compact"/>
              <w:jc w:val="left"/>
            </w:pPr>
            <w:r>
              <w:t xml:space="preserve">PLANNED</w:t>
            </w:r>
          </w:p>
        </w:tc>
      </w:tr>
      <w:tr>
        <w:tc>
          <w:tcPr/>
          <w:p>
            <w:pPr>
              <w:pStyle w:val="Compact"/>
              <w:jc w:val="left"/>
            </w:pPr>
            <w:r>
              <w:t xml:space="preserve">M-037</w:t>
            </w:r>
          </w:p>
        </w:tc>
        <w:tc>
          <w:tcPr/>
          <w:p>
            <w:pPr>
              <w:pStyle w:val="Compact"/>
              <w:jc w:val="left"/>
            </w:pPr>
            <w:r>
              <w:t xml:space="preserve">Dynamic groups 100%</w:t>
            </w:r>
          </w:p>
        </w:tc>
        <w:tc>
          <w:tcPr/>
          <w:p>
            <w:pPr>
              <w:pStyle w:val="Compact"/>
              <w:jc w:val="left"/>
            </w:pPr>
            <w:r>
              <w:t xml:space="preserve">4</w:t>
            </w:r>
          </w:p>
        </w:tc>
        <w:tc>
          <w:tcPr/>
          <w:p>
            <w:pPr>
              <w:pStyle w:val="Compact"/>
              <w:jc w:val="left"/>
            </w:pPr>
            <w:r>
              <w:t xml:space="preserve">W33</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extension attribute coverage = 100%</w:t>
            </w:r>
          </w:p>
        </w:tc>
        <w:tc>
          <w:tcPr/>
          <w:p>
            <w:pPr>
              <w:pStyle w:val="Compact"/>
              <w:jc w:val="left"/>
            </w:pPr>
            <w:r>
              <w:t xml:space="preserve">PLANNED</w:t>
            </w:r>
          </w:p>
        </w:tc>
      </w:tr>
      <w:tr>
        <w:tc>
          <w:tcPr/>
          <w:p>
            <w:pPr>
              <w:pStyle w:val="Compact"/>
              <w:jc w:val="left"/>
            </w:pPr>
            <w:r>
              <w:t xml:space="preserve">M-038</w:t>
            </w:r>
          </w:p>
        </w:tc>
        <w:tc>
          <w:tcPr/>
          <w:p>
            <w:pPr>
              <w:pStyle w:val="Compact"/>
              <w:jc w:val="left"/>
            </w:pPr>
            <w:r>
              <w:t xml:space="preserve">ADFS decommissioned</w:t>
            </w:r>
          </w:p>
        </w:tc>
        <w:tc>
          <w:tcPr/>
          <w:p>
            <w:pPr>
              <w:pStyle w:val="Compact"/>
              <w:jc w:val="left"/>
            </w:pPr>
            <w:r>
              <w:t xml:space="preserve">5</w:t>
            </w:r>
          </w:p>
        </w:tc>
        <w:tc>
          <w:tcPr/>
          <w:p>
            <w:pPr>
              <w:pStyle w:val="Compact"/>
              <w:jc w:val="left"/>
            </w:pPr>
            <w:r>
              <w:t xml:space="preserve">W35</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Federated domains converted to managed</w:t>
            </w:r>
          </w:p>
        </w:tc>
        <w:tc>
          <w:tcPr/>
          <w:p>
            <w:pPr>
              <w:pStyle w:val="Compact"/>
              <w:jc w:val="left"/>
            </w:pPr>
            <w:r>
              <w:t xml:space="preserve">PLANNED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5</w:t>
            </w:r>
          </w:p>
        </w:tc>
        <w:tc>
          <w:tcPr/>
          <w:p>
            <w:pPr>
              <w:pStyle w:val="Compact"/>
              <w:jc w:val="left"/>
            </w:pPr>
            <w:r>
              <w:t xml:space="preserve">W36</w:t>
            </w:r>
          </w:p>
        </w:tc>
        <w:tc>
          <w:tcPr/>
          <w:p>
            <w:pPr>
              <w:pStyle w:val="Compact"/>
              <w:jc w:val="left"/>
            </w:pPr>
            <w:r>
              <w:t xml:space="preserve">PKI Lead</w:t>
            </w:r>
          </w:p>
        </w:tc>
        <w:tc>
          <w:tcPr/>
          <w:p>
            <w:pPr>
              <w:pStyle w:val="Compact"/>
              <w:jc w:val="left"/>
            </w:pPr>
            <w:r>
              <w:t xml:space="preserve">M-035</w:t>
            </w:r>
          </w:p>
        </w:tc>
        <w:tc>
          <w:tcPr/>
          <w:p>
            <w:pPr>
              <w:pStyle w:val="Compact"/>
              <w:jc w:val="left"/>
            </w:pPr>
            <w:r>
              <w:t xml:space="preserve">Auto-enrollment disabled, templates locked</w:t>
            </w:r>
          </w:p>
        </w:tc>
        <w:tc>
          <w:tcPr/>
          <w:p>
            <w:pPr>
              <w:pStyle w:val="Compact"/>
              <w:jc w:val="left"/>
            </w:pPr>
            <w:r>
              <w:t xml:space="preserve">PLANNED</w:t>
            </w:r>
          </w:p>
        </w:tc>
      </w:tr>
      <w:tr>
        <w:tc>
          <w:tcPr/>
          <w:p>
            <w:pPr>
              <w:pStyle w:val="Compact"/>
              <w:jc w:val="left"/>
            </w:pPr>
            <w:r>
              <w:t xml:space="preserve">M-040</w:t>
            </w:r>
          </w:p>
        </w:tc>
        <w:tc>
          <w:tcPr/>
          <w:p>
            <w:pPr>
              <w:pStyle w:val="Compact"/>
              <w:jc w:val="left"/>
            </w:pPr>
            <w:r>
              <w:t xml:space="preserve">DNS forwarders migrated</w:t>
            </w:r>
          </w:p>
        </w:tc>
        <w:tc>
          <w:tcPr/>
          <w:p>
            <w:pPr>
              <w:pStyle w:val="Compact"/>
              <w:jc w:val="left"/>
            </w:pPr>
            <w:r>
              <w:t xml:space="preserve">5</w:t>
            </w:r>
          </w:p>
        </w:tc>
        <w:tc>
          <w:tcPr/>
          <w:p>
            <w:pPr>
              <w:pStyle w:val="Compact"/>
              <w:jc w:val="left"/>
            </w:pPr>
            <w:r>
              <w:t xml:space="preserve">W37</w:t>
            </w:r>
          </w:p>
        </w:tc>
        <w:tc>
          <w:tcPr/>
          <w:p>
            <w:pPr>
              <w:pStyle w:val="Compact"/>
              <w:jc w:val="left"/>
            </w:pPr>
            <w:r>
              <w:t xml:space="preserve">DNS Lead</w:t>
            </w:r>
          </w:p>
        </w:tc>
        <w:tc>
          <w:tcPr/>
          <w:p>
            <w:pPr>
              <w:pStyle w:val="Compact"/>
              <w:jc w:val="left"/>
            </w:pPr>
            <w:r>
              <w:t xml:space="preserve">M-035</w:t>
            </w:r>
          </w:p>
        </w:tc>
        <w:tc>
          <w:tcPr/>
          <w:p>
            <w:pPr>
              <w:pStyle w:val="Compact"/>
              <w:jc w:val="left"/>
            </w:pPr>
            <w:r>
              <w:t xml:space="preserve">All forwarding via Private Resolver</w:t>
            </w:r>
          </w:p>
        </w:tc>
        <w:tc>
          <w:tcPr/>
          <w:p>
            <w:pPr>
              <w:pStyle w:val="Compact"/>
              <w:jc w:val="left"/>
            </w:pPr>
            <w:r>
              <w:t xml:space="preserve">PLANNED</w:t>
            </w:r>
          </w:p>
        </w:tc>
      </w:tr>
      <w:tr>
        <w:tc>
          <w:tcPr/>
          <w:p>
            <w:pPr>
              <w:pStyle w:val="Compact"/>
              <w:jc w:val="left"/>
            </w:pPr>
            <w:r>
              <w:t xml:space="preserve">M-041</w:t>
            </w:r>
          </w:p>
        </w:tc>
        <w:tc>
          <w:tcPr/>
          <w:p>
            <w:pPr>
              <w:pStyle w:val="Compact"/>
              <w:jc w:val="left"/>
            </w:pPr>
            <w:r>
              <w:t xml:space="preserve">GPO links removed</w:t>
            </w:r>
          </w:p>
        </w:tc>
        <w:tc>
          <w:tcPr/>
          <w:p>
            <w:pPr>
              <w:pStyle w:val="Compact"/>
              <w:jc w:val="left"/>
            </w:pPr>
            <w:r>
              <w:t xml:space="preserve">5</w:t>
            </w:r>
          </w:p>
        </w:tc>
        <w:tc>
          <w:tcPr/>
          <w:p>
            <w:pPr>
              <w:pStyle w:val="Compact"/>
              <w:jc w:val="left"/>
            </w:pPr>
            <w:r>
              <w:t xml:space="preserve">W38</w:t>
            </w:r>
          </w:p>
        </w:tc>
        <w:tc>
          <w:tcPr/>
          <w:p>
            <w:pPr>
              <w:pStyle w:val="Compact"/>
              <w:jc w:val="left"/>
            </w:pPr>
            <w:r>
              <w:t xml:space="preserve">Endpoint Lead</w:t>
            </w:r>
          </w:p>
        </w:tc>
        <w:tc>
          <w:tcPr/>
          <w:p>
            <w:pPr>
              <w:pStyle w:val="Compact"/>
              <w:jc w:val="left"/>
            </w:pPr>
            <w:r>
              <w:t xml:space="preserve">M-036</w:t>
            </w:r>
          </w:p>
        </w:tc>
        <w:tc>
          <w:tcPr/>
          <w:p>
            <w:pPr>
              <w:pStyle w:val="Compact"/>
              <w:jc w:val="left"/>
            </w:pPr>
            <w:r>
              <w:t xml:space="preserve">All GPOs unlinked</w:t>
            </w:r>
          </w:p>
        </w:tc>
        <w:tc>
          <w:tcPr/>
          <w:p>
            <w:pPr>
              <w:pStyle w:val="Compact"/>
              <w:jc w:val="left"/>
            </w:pPr>
            <w:r>
              <w:t xml:space="preserve">PLANNED</w:t>
            </w:r>
          </w:p>
        </w:tc>
      </w:tr>
      <w:tr>
        <w:tc>
          <w:tcPr/>
          <w:p>
            <w:pPr>
              <w:pStyle w:val="Compact"/>
              <w:jc w:val="left"/>
            </w:pPr>
            <w:r>
              <w:t xml:space="preserve">M-042</w:t>
            </w:r>
          </w:p>
        </w:tc>
        <w:tc>
          <w:tcPr/>
          <w:p>
            <w:pPr>
              <w:pStyle w:val="Compact"/>
              <w:jc w:val="left"/>
            </w:pPr>
            <w:r>
              <w:t xml:space="preserve">Trusts reduced</w:t>
            </w:r>
          </w:p>
        </w:tc>
        <w:tc>
          <w:tcPr/>
          <w:p>
            <w:pPr>
              <w:pStyle w:val="Compact"/>
              <w:jc w:val="left"/>
            </w:pPr>
            <w:r>
              <w:t xml:space="preserve">5</w:t>
            </w:r>
          </w:p>
        </w:tc>
        <w:tc>
          <w:tcPr/>
          <w:p>
            <w:pPr>
              <w:pStyle w:val="Compact"/>
              <w:jc w:val="left"/>
            </w:pPr>
            <w:r>
              <w:t xml:space="preserve">W39</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Non-essential trusts removed</w:t>
            </w:r>
          </w:p>
        </w:tc>
        <w:tc>
          <w:tcPr/>
          <w:p>
            <w:pPr>
              <w:pStyle w:val="Compact"/>
              <w:jc w:val="left"/>
            </w:pPr>
            <w:r>
              <w:t xml:space="preserve">PLANNED</w:t>
            </w:r>
          </w:p>
        </w:tc>
      </w:tr>
      <w:tr>
        <w:tc>
          <w:tcPr/>
          <w:p>
            <w:pPr>
              <w:pStyle w:val="Compact"/>
              <w:jc w:val="left"/>
            </w:pPr>
            <w:r>
              <w:t xml:space="preserve">M-043</w:t>
            </w:r>
          </w:p>
        </w:tc>
        <w:tc>
          <w:tcPr/>
          <w:p>
            <w:pPr>
              <w:pStyle w:val="Compact"/>
              <w:jc w:val="left"/>
            </w:pPr>
            <w:r>
              <w:t xml:space="preserve">Legacy servers decommissioned</w:t>
            </w:r>
          </w:p>
        </w:tc>
        <w:tc>
          <w:tcPr/>
          <w:p>
            <w:pPr>
              <w:pStyle w:val="Compact"/>
              <w:jc w:val="left"/>
            </w:pPr>
            <w:r>
              <w:t xml:space="preserve">5</w:t>
            </w:r>
          </w:p>
        </w:tc>
        <w:tc>
          <w:tcPr/>
          <w:p>
            <w:pPr>
              <w:pStyle w:val="Compact"/>
              <w:jc w:val="left"/>
            </w:pPr>
            <w:r>
              <w:t xml:space="preserve">W40</w:t>
            </w:r>
          </w:p>
        </w:tc>
        <w:tc>
          <w:tcPr/>
          <w:p>
            <w:pPr>
              <w:pStyle w:val="Compact"/>
              <w:jc w:val="left"/>
            </w:pPr>
            <w:r>
              <w:t xml:space="preserve">Infra Lead</w:t>
            </w:r>
          </w:p>
        </w:tc>
        <w:tc>
          <w:tcPr/>
          <w:p>
            <w:pPr>
              <w:pStyle w:val="Compact"/>
              <w:jc w:val="left"/>
            </w:pPr>
            <w:r>
              <w:t xml:space="preserve">M-039–M-041</w:t>
            </w:r>
          </w:p>
        </w:tc>
        <w:tc>
          <w:tcPr/>
          <w:p>
            <w:pPr>
              <w:pStyle w:val="Compact"/>
              <w:jc w:val="left"/>
            </w:pPr>
            <w:r>
              <w:t xml:space="preserve">NDES, Issuing CA, secondary DNS offline</w:t>
            </w:r>
          </w:p>
        </w:tc>
        <w:tc>
          <w:tcPr/>
          <w:p>
            <w:pPr>
              <w:pStyle w:val="Compact"/>
              <w:jc w:val="left"/>
            </w:pPr>
            <w:r>
              <w:t xml:space="preserve">PLANNED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5</w:t>
            </w:r>
          </w:p>
        </w:tc>
        <w:tc>
          <w:tcPr/>
          <w:p>
            <w:pPr>
              <w:pStyle w:val="Compact"/>
              <w:jc w:val="left"/>
            </w:pPr>
            <w:r>
              <w:t xml:space="preserve">W41</w:t>
            </w:r>
          </w:p>
        </w:tc>
        <w:tc>
          <w:tcPr/>
          <w:p>
            <w:pPr>
              <w:pStyle w:val="Compact"/>
              <w:jc w:val="left"/>
            </w:pPr>
            <w:r>
              <w:t xml:space="preserve">Canon Steward</w:t>
            </w:r>
          </w:p>
        </w:tc>
        <w:tc>
          <w:tcPr/>
          <w:p>
            <w:pPr>
              <w:pStyle w:val="Compact"/>
              <w:jc w:val="left"/>
            </w:pPr>
            <w:r>
              <w:t xml:space="preserve">M-037–M-043</w:t>
            </w:r>
          </w:p>
        </w:tc>
        <w:tc>
          <w:tcPr/>
          <w:p>
            <w:pPr>
              <w:pStyle w:val="Compact"/>
              <w:jc w:val="left"/>
            </w:pPr>
            <w:r>
              <w:t xml:space="preserve">All plans show 100% completion</w:t>
            </w:r>
          </w:p>
        </w:tc>
        <w:tc>
          <w:tcPr/>
          <w:p>
            <w:pPr>
              <w:pStyle w:val="Compact"/>
              <w:jc w:val="left"/>
            </w:pPr>
            <w:r>
              <w:t xml:space="preserve">PLANNED</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6</w:t>
            </w:r>
          </w:p>
        </w:tc>
        <w:tc>
          <w:tcPr/>
          <w:p>
            <w:pPr>
              <w:pStyle w:val="Compact"/>
              <w:jc w:val="left"/>
            </w:pPr>
            <w:r>
              <w:t xml:space="preserve">W42+</w:t>
            </w:r>
          </w:p>
        </w:tc>
        <w:tc>
          <w:tcPr/>
          <w:p>
            <w:pPr>
              <w:pStyle w:val="Compact"/>
              <w:jc w:val="left"/>
            </w:pPr>
            <w:r>
              <w:t xml:space="preserve">Automation</w:t>
            </w:r>
          </w:p>
        </w:tc>
        <w:tc>
          <w:tcPr/>
          <w:p>
            <w:pPr>
              <w:pStyle w:val="Compact"/>
              <w:jc w:val="left"/>
            </w:pPr>
            <w:r>
              <w:t xml:space="preserve">M-044</w:t>
            </w:r>
          </w:p>
        </w:tc>
        <w:tc>
          <w:tcPr/>
          <w:p>
            <w:pPr>
              <w:pStyle w:val="Compact"/>
              <w:jc w:val="left"/>
            </w:pPr>
            <w:r>
              <w:t xml:space="preserve">Weekly diff committed to Gitea</w:t>
            </w:r>
          </w:p>
        </w:tc>
        <w:tc>
          <w:tcPr/>
          <w:p>
            <w:pPr>
              <w:pStyle w:val="Compact"/>
              <w:jc w:val="left"/>
            </w:pPr>
            <w:r>
              <w:t xml:space="preserve">PLANNED</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6</w:t>
            </w:r>
          </w:p>
        </w:tc>
        <w:tc>
          <w:tcPr/>
          <w:p>
            <w:pPr>
              <w:pStyle w:val="Compact"/>
              <w:jc w:val="left"/>
            </w:pPr>
            <w:r>
              <w:t xml:space="preserve">W42+</w:t>
            </w:r>
          </w:p>
        </w:tc>
        <w:tc>
          <w:tcPr/>
          <w:p>
            <w:pPr>
              <w:pStyle w:val="Compact"/>
              <w:jc w:val="left"/>
            </w:pPr>
            <w:r>
              <w:t xml:space="preserve">Security Lead</w:t>
            </w:r>
          </w:p>
        </w:tc>
        <w:tc>
          <w:tcPr/>
          <w:p>
            <w:pPr>
              <w:pStyle w:val="Compact"/>
              <w:jc w:val="left"/>
            </w:pPr>
            <w:r>
              <w:t xml:space="preserve">M-044</w:t>
            </w:r>
          </w:p>
        </w:tc>
        <w:tc>
          <w:tcPr/>
          <w:p>
            <w:pPr>
              <w:pStyle w:val="Compact"/>
              <w:jc w:val="left"/>
            </w:pPr>
            <w:r>
              <w:t xml:space="preserve">Report committed monthly</w:t>
            </w:r>
          </w:p>
        </w:tc>
        <w:tc>
          <w:tcPr/>
          <w:p>
            <w:pPr>
              <w:pStyle w:val="Compact"/>
              <w:jc w:val="left"/>
            </w:pPr>
            <w:r>
              <w:t xml:space="preserve">PLANNED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Identity Lead</w:t>
            </w:r>
          </w:p>
        </w:tc>
        <w:tc>
          <w:tcPr/>
          <w:p>
            <w:pPr>
              <w:pStyle w:val="Compact"/>
              <w:jc w:val="left"/>
            </w:pPr>
            <w:r>
              <w:t xml:space="preserve">M-044</w:t>
            </w:r>
          </w:p>
        </w:tc>
        <w:tc>
          <w:tcPr/>
          <w:p>
            <w:pPr>
              <w:pStyle w:val="Compact"/>
              <w:jc w:val="left"/>
            </w:pPr>
            <w:r>
              <w:t xml:space="preserve">PIM + group attestation complete</w:t>
            </w:r>
          </w:p>
        </w:tc>
        <w:tc>
          <w:tcPr/>
          <w:p>
            <w:pPr>
              <w:pStyle w:val="Compact"/>
              <w:jc w:val="left"/>
            </w:pPr>
            <w:r>
              <w:t xml:space="preserve">PLANNED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Canon Steward</w:t>
            </w:r>
          </w:p>
        </w:tc>
        <w:tc>
          <w:tcPr/>
          <w:p>
            <w:pPr>
              <w:pStyle w:val="Compact"/>
              <w:jc w:val="left"/>
            </w:pPr>
            <w:r>
              <w:t xml:space="preserve">M-044</w:t>
            </w:r>
          </w:p>
        </w:tc>
        <w:tc>
          <w:tcPr/>
          <w:p>
            <w:pPr>
              <w:pStyle w:val="Compact"/>
              <w:jc w:val="left"/>
            </w:pPr>
            <w:r>
              <w:t xml:space="preserve">Architecture review report committed</w:t>
            </w:r>
          </w:p>
        </w:tc>
        <w:tc>
          <w:tcPr/>
          <w:p>
            <w:pPr>
              <w:pStyle w:val="Compact"/>
              <w:jc w:val="left"/>
            </w:pPr>
            <w:r>
              <w:t xml:space="preserve">PLANNED</w:t>
            </w:r>
          </w:p>
        </w:tc>
      </w:tr>
    </w:tbl>
    <w:p>
      <w:pPr>
        <w:pStyle w:val="BodyText"/>
      </w:pPr>
      <w:r>
        <w:t xml:space="preserve">Appendix B — Assessment Phase Week-by-Week Calendar</w:t>
      </w:r>
    </w:p>
    <w:p>
      <w:pPr>
        <w:pStyle w:val="BodyText"/>
      </w:pPr>
      <w:r>
        <w:t xml:space="preserve">This Gantt-style table shows every task across Weeks 4–9 with parallel tracks for each assessment domain.</w:t>
      </w:r>
      <w:r>
        <w:t xml:space="preserve"> </w:t>
      </w:r>
      <w:r>
        <w:rPr>
          <w:b/>
          <w:bCs/>
        </w:rPr>
        <w:t xml:space="preserve">█</w:t>
      </w:r>
      <w:r>
        <w:t xml:space="preserve"> </w:t>
      </w:r>
      <w:r>
        <w:t xml:space="preserve">= Active task,</w:t>
      </w:r>
      <w:r>
        <w:t xml:space="preserve"> </w:t>
      </w:r>
      <w:r>
        <w:rPr>
          <w:b/>
          <w:bCs/>
        </w:rPr>
        <w:t xml:space="preserve">░</w:t>
      </w:r>
      <w:r>
        <w:t xml:space="preserve"> </w:t>
      </w:r>
      <w:r>
        <w:t xml:space="preserve">= Dependency wait.</w:t>
      </w:r>
    </w:p>
    <w:tbl>
      <w:tblPr>
        <w:tblStyle w:val="Table"/>
        <w:tblW w:type="pct" w:w="4929"/>
        <w:tblLayout w:type="fixed"/>
        <w:tblLook w:firstRow="1" w:lastRow="0" w:firstColumn="0" w:lastColumn="0" w:noHBand="0" w:noVBand="0" w:val="0020"/>
      </w:tblPr>
      <w:tblGrid>
        <w:gridCol w:w="1909"/>
        <w:gridCol w:w="1011"/>
        <w:gridCol w:w="1011"/>
        <w:gridCol w:w="505"/>
        <w:gridCol w:w="842"/>
        <w:gridCol w:w="842"/>
        <w:gridCol w:w="842"/>
        <w:gridCol w:w="842"/>
      </w:tblGrid>
      <w:tr>
        <w:trPr>
          <w:tblHeader w:val="on"/>
        </w:trPr>
        <w:tc>
          <w:tcPr/>
          <w:p>
            <w:pPr>
              <w:pStyle w:val="Compact"/>
              <w:jc w:val="left"/>
            </w:pPr>
            <w:r>
              <w:rPr>
                <w:b/>
                <w:bCs/>
              </w:rPr>
              <w:t xml:space="preserve">Track / Task</w:t>
            </w:r>
          </w:p>
        </w:tc>
        <w:tc>
          <w:tcPr/>
          <w:p>
            <w:pPr>
              <w:pStyle w:val="Compact"/>
              <w:jc w:val="left"/>
            </w:pPr>
            <w:r>
              <w:rPr>
                <w:b/>
                <w:bCs/>
              </w:rPr>
              <w:t xml:space="preserve">W4 Mon–Tue</w:t>
            </w:r>
          </w:p>
        </w:tc>
        <w:tc>
          <w:tcPr/>
          <w:p>
            <w:pPr>
              <w:pStyle w:val="Compact"/>
              <w:jc w:val="left"/>
            </w:pPr>
            <w:r>
              <w:rPr>
                <w:b/>
                <w:bCs/>
              </w:rPr>
              <w:t xml:space="preserve">W4 Wed–Fri</w:t>
            </w:r>
          </w:p>
        </w:tc>
        <w:tc>
          <w:tcPr/>
          <w:p>
            <w:pPr>
              <w:pStyle w:val="Compact"/>
              <w:jc w:val="left"/>
            </w:pPr>
            <w:r>
              <w:rPr>
                <w:b/>
                <w:bCs/>
              </w:rPr>
              <w:t xml:space="preserve">W5</w:t>
            </w:r>
          </w:p>
        </w:tc>
        <w:tc>
          <w:tcPr/>
          <w:p>
            <w:pPr>
              <w:pStyle w:val="Compact"/>
              <w:jc w:val="left"/>
            </w:pPr>
            <w:r>
              <w:rPr>
                <w:b/>
                <w:bCs/>
              </w:rPr>
              <w:t xml:space="preserve">W6</w:t>
            </w:r>
          </w:p>
        </w:tc>
        <w:tc>
          <w:tcPr/>
          <w:p>
            <w:pPr>
              <w:pStyle w:val="Compact"/>
              <w:jc w:val="left"/>
            </w:pPr>
            <w:r>
              <w:rPr>
                <w:b/>
                <w:bCs/>
              </w:rPr>
              <w:t xml:space="preserve">W7</w:t>
            </w:r>
          </w:p>
        </w:tc>
        <w:tc>
          <w:tcPr/>
          <w:p>
            <w:pPr>
              <w:pStyle w:val="Compact"/>
              <w:jc w:val="left"/>
            </w:pPr>
            <w:r>
              <w:rPr>
                <w:b/>
                <w:bCs/>
              </w:rPr>
              <w:t xml:space="preserve">W8</w:t>
            </w:r>
          </w:p>
        </w:tc>
        <w:tc>
          <w:tcPr/>
          <w:p>
            <w:pPr>
              <w:pStyle w:val="Compact"/>
              <w:jc w:val="left"/>
            </w:pPr>
            <w:r>
              <w:rPr>
                <w:b/>
                <w:bCs/>
              </w:rPr>
              <w:t xml:space="preserve">W9</w:t>
            </w:r>
          </w:p>
        </w:tc>
      </w:tr>
      <w:tr>
        <w:tc>
          <w:tcPr/>
          <w:p>
            <w:pPr>
              <w:pStyle w:val="Compact"/>
              <w:jc w:val="left"/>
            </w:pPr>
            <w:r>
              <w:rPr>
                <w:b/>
                <w:bCs/>
              </w:rPr>
              <w:t xml:space="preserve">Setup</w:t>
            </w:r>
          </w:p>
        </w:tc>
        <w:tc>
          <w:tcPr/>
          <w:p>
            <w:pPr>
              <w:pStyle w:val="Compact"/>
              <w:jc w:val="left"/>
            </w:pPr>
            <w:r>
              <w:t xml:space="preserve">T-4.1, T-4.2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Read-Only Assessment</w:t>
            </w:r>
          </w:p>
        </w:tc>
        <w:tc>
          <w:tcPr/>
          <w:p>
            <w:pPr>
              <w:pStyle w:val="Compact"/>
            </w:pPr>
          </w:p>
        </w:tc>
        <w:tc>
          <w:tcPr/>
          <w:p>
            <w:pPr>
              <w:pStyle w:val="Compact"/>
              <w:jc w:val="left"/>
            </w:pPr>
            <w:r>
              <w:t xml:space="preserve">T-4.3, T-4.4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Commit &amp; Delegation Request</w:t>
            </w:r>
          </w:p>
        </w:tc>
        <w:tc>
          <w:tcPr/>
          <w:p>
            <w:pPr>
              <w:pStyle w:val="Compact"/>
            </w:pPr>
          </w:p>
        </w:tc>
        <w:tc>
          <w:tcPr/>
          <w:p>
            <w:pPr>
              <w:pStyle w:val="Compact"/>
              <w:jc w:val="left"/>
            </w:pPr>
            <w:r>
              <w:t xml:space="preserve">T-4.5, T-4.6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DNS Assessment</w:t>
            </w:r>
          </w:p>
        </w:tc>
        <w:tc>
          <w:tcPr/>
          <w:p>
            <w:pPr>
              <w:pStyle w:val="Compact"/>
            </w:pPr>
          </w:p>
        </w:tc>
        <w:tc>
          <w:tcPr/>
          <w:p>
            <w:pPr>
              <w:pStyle w:val="Compact"/>
            </w:pPr>
          </w:p>
        </w:tc>
        <w:tc>
          <w:tcPr/>
          <w:p>
            <w:pPr>
              <w:pStyle w:val="Compact"/>
              <w:jc w:val="left"/>
            </w:pPr>
            <w:r>
              <w:t xml:space="preserve">T-5.2</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PKI Assessment</w:t>
            </w:r>
          </w:p>
        </w:tc>
        <w:tc>
          <w:tcPr/>
          <w:p>
            <w:pPr>
              <w:pStyle w:val="Compact"/>
            </w:pPr>
          </w:p>
        </w:tc>
        <w:tc>
          <w:tcPr/>
          <w:p>
            <w:pPr>
              <w:pStyle w:val="Compact"/>
            </w:pPr>
          </w:p>
        </w:tc>
        <w:tc>
          <w:tcPr/>
          <w:p>
            <w:pPr>
              <w:pStyle w:val="Compact"/>
              <w:jc w:val="left"/>
            </w:pPr>
            <w:r>
              <w:t xml:space="preserve">T-5.3</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GPO Assessment</w:t>
            </w:r>
          </w:p>
        </w:tc>
        <w:tc>
          <w:tcPr/>
          <w:p>
            <w:pPr>
              <w:pStyle w:val="Compact"/>
            </w:pPr>
          </w:p>
        </w:tc>
        <w:tc>
          <w:tcPr/>
          <w:p>
            <w:pPr>
              <w:pStyle w:val="Compact"/>
            </w:pPr>
          </w:p>
        </w:tc>
        <w:tc>
          <w:tcPr/>
          <w:p>
            <w:pPr>
              <w:pStyle w:val="Compact"/>
              <w:jc w:val="left"/>
            </w:pPr>
            <w:r>
              <w:t xml:space="preserve">T-5.4</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Deleted Objects</w:t>
            </w:r>
          </w:p>
        </w:tc>
        <w:tc>
          <w:tcPr/>
          <w:p>
            <w:pPr>
              <w:pStyle w:val="Compact"/>
            </w:pPr>
          </w:p>
        </w:tc>
        <w:tc>
          <w:tcPr/>
          <w:p>
            <w:pPr>
              <w:pStyle w:val="Compact"/>
            </w:pPr>
          </w:p>
        </w:tc>
        <w:tc>
          <w:tcPr/>
          <w:p>
            <w:pPr>
              <w:pStyle w:val="Compact"/>
              <w:jc w:val="left"/>
            </w:pPr>
            <w:r>
              <w:t xml:space="preserve">T-5.5</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ESC Vulnerability Analysis</w:t>
            </w:r>
          </w:p>
        </w:tc>
        <w:tc>
          <w:tcPr/>
          <w:p>
            <w:pPr>
              <w:pStyle w:val="Compact"/>
            </w:pPr>
          </w:p>
        </w:tc>
        <w:tc>
          <w:tcPr/>
          <w:p>
            <w:pPr>
              <w:pStyle w:val="Compact"/>
            </w:pPr>
          </w:p>
        </w:tc>
        <w:tc>
          <w:tcPr/>
          <w:p>
            <w:pPr>
              <w:pStyle w:val="Compact"/>
            </w:pPr>
          </w:p>
        </w:tc>
        <w:tc>
          <w:tcPr/>
          <w:p>
            <w:pPr>
              <w:pStyle w:val="Compact"/>
              <w:jc w:val="left"/>
            </w:pPr>
            <w:r>
              <w:t xml:space="preserve">T-6.1</w:t>
            </w:r>
          </w:p>
        </w:tc>
        <w:tc>
          <w:tcPr/>
          <w:p>
            <w:pPr>
              <w:pStyle w:val="Compact"/>
            </w:pPr>
          </w:p>
        </w:tc>
        <w:tc>
          <w:tcPr/>
          <w:p>
            <w:pPr>
              <w:pStyle w:val="Compact"/>
            </w:pPr>
          </w:p>
        </w:tc>
        <w:tc>
          <w:tcPr/>
          <w:p>
            <w:pPr>
              <w:pStyle w:val="Compact"/>
            </w:pPr>
          </w:p>
        </w:tc>
      </w:tr>
      <w:tr>
        <w:tc>
          <w:tcPr/>
          <w:p>
            <w:pPr>
              <w:pStyle w:val="Compact"/>
              <w:jc w:val="left"/>
            </w:pPr>
            <w:r>
              <w:rPr>
                <w:b/>
                <w:bCs/>
              </w:rPr>
              <w:t xml:space="preserve">Privileged Access Audit</w:t>
            </w:r>
          </w:p>
        </w:tc>
        <w:tc>
          <w:tcPr/>
          <w:p>
            <w:pPr>
              <w:pStyle w:val="Compact"/>
            </w:pPr>
          </w:p>
        </w:tc>
        <w:tc>
          <w:tcPr/>
          <w:p>
            <w:pPr>
              <w:pStyle w:val="Compact"/>
            </w:pPr>
          </w:p>
        </w:tc>
        <w:tc>
          <w:tcPr/>
          <w:p>
            <w:pPr>
              <w:pStyle w:val="Compact"/>
            </w:pPr>
          </w:p>
        </w:tc>
        <w:tc>
          <w:tcPr/>
          <w:p>
            <w:pPr>
              <w:pStyle w:val="Compact"/>
              <w:jc w:val="left"/>
            </w:pPr>
            <w:r>
              <w:t xml:space="preserve">T-6.2</w:t>
            </w:r>
          </w:p>
        </w:tc>
        <w:tc>
          <w:tcPr/>
          <w:p>
            <w:pPr>
              <w:pStyle w:val="Compact"/>
            </w:pPr>
          </w:p>
        </w:tc>
        <w:tc>
          <w:tcPr/>
          <w:p>
            <w:pPr>
              <w:pStyle w:val="Compact"/>
            </w:pPr>
          </w:p>
        </w:tc>
        <w:tc>
          <w:tcPr/>
          <w:p>
            <w:pPr>
              <w:pStyle w:val="Compact"/>
            </w:pPr>
          </w:p>
        </w:tc>
      </w:tr>
      <w:tr>
        <w:tc>
          <w:tcPr/>
          <w:p>
            <w:pPr>
              <w:pStyle w:val="Compact"/>
              <w:jc w:val="left"/>
            </w:pPr>
            <w:r>
              <w:rPr>
                <w:b/>
                <w:bCs/>
              </w:rPr>
              <w:t xml:space="preserve">Third-Party Imports</w:t>
            </w:r>
          </w:p>
        </w:tc>
        <w:tc>
          <w:tcPr/>
          <w:p>
            <w:pPr>
              <w:pStyle w:val="Compact"/>
            </w:pPr>
          </w:p>
        </w:tc>
        <w:tc>
          <w:tcPr/>
          <w:p>
            <w:pPr>
              <w:pStyle w:val="Compact"/>
            </w:pPr>
          </w:p>
        </w:tc>
        <w:tc>
          <w:tcPr/>
          <w:p>
            <w:pPr>
              <w:pStyle w:val="Compact"/>
            </w:pPr>
          </w:p>
        </w:tc>
        <w:tc>
          <w:tcPr/>
          <w:p>
            <w:pPr>
              <w:pStyle w:val="Compact"/>
              <w:jc w:val="left"/>
            </w:pPr>
            <w:r>
              <w:t xml:space="preserve">T-6.3, T-6.4</w:t>
            </w:r>
          </w:p>
        </w:tc>
        <w:tc>
          <w:tcPr/>
          <w:p>
            <w:pPr>
              <w:pStyle w:val="Compact"/>
            </w:pPr>
          </w:p>
        </w:tc>
        <w:tc>
          <w:tcPr/>
          <w:p>
            <w:pPr>
              <w:pStyle w:val="Compact"/>
            </w:pPr>
          </w:p>
        </w:tc>
        <w:tc>
          <w:tcPr/>
          <w:p>
            <w:pPr>
              <w:pStyle w:val="Compact"/>
            </w:pPr>
          </w:p>
        </w:tc>
      </w:tr>
      <w:tr>
        <w:tc>
          <w:tcPr/>
          <w:p>
            <w:pPr>
              <w:pStyle w:val="Compact"/>
              <w:jc w:val="left"/>
            </w:pPr>
            <w:r>
              <w:rPr>
                <w:b/>
                <w:bCs/>
              </w:rPr>
              <w:t xml:space="preserve">Security Findings Report</w:t>
            </w:r>
          </w:p>
        </w:tc>
        <w:tc>
          <w:tcPr/>
          <w:p>
            <w:pPr>
              <w:pStyle w:val="Compact"/>
            </w:pPr>
          </w:p>
        </w:tc>
        <w:tc>
          <w:tcPr/>
          <w:p>
            <w:pPr>
              <w:pStyle w:val="Compact"/>
            </w:pPr>
          </w:p>
        </w:tc>
        <w:tc>
          <w:tcPr/>
          <w:p>
            <w:pPr>
              <w:pStyle w:val="Compact"/>
            </w:pPr>
          </w:p>
        </w:tc>
        <w:tc>
          <w:tcPr/>
          <w:p>
            <w:pPr>
              <w:pStyle w:val="Compact"/>
              <w:jc w:val="left"/>
            </w:pPr>
            <w:r>
              <w:t xml:space="preserve">T-6.5–T-6.7</w:t>
            </w:r>
          </w:p>
        </w:tc>
        <w:tc>
          <w:tcPr/>
          <w:p>
            <w:pPr>
              <w:pStyle w:val="Compact"/>
            </w:pPr>
          </w:p>
        </w:tc>
        <w:tc>
          <w:tcPr/>
          <w:p>
            <w:pPr>
              <w:pStyle w:val="Compact"/>
            </w:pPr>
          </w:p>
        </w:tc>
        <w:tc>
          <w:tcPr/>
          <w:p>
            <w:pPr>
              <w:pStyle w:val="Compact"/>
            </w:pPr>
          </w:p>
        </w:tc>
      </w:tr>
      <w:tr>
        <w:tc>
          <w:tcPr/>
          <w:p>
            <w:pPr>
              <w:pStyle w:val="Compact"/>
              <w:jc w:val="left"/>
            </w:pPr>
            <w:r>
              <w:rPr>
                <w:b/>
                <w:bCs/>
              </w:rPr>
              <w:t xml:space="preserve">Computer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T-7.1</w:t>
            </w:r>
          </w:p>
        </w:tc>
        <w:tc>
          <w:tcPr/>
          <w:p>
            <w:pPr>
              <w:pStyle w:val="Compact"/>
            </w:pPr>
          </w:p>
        </w:tc>
        <w:tc>
          <w:tcPr/>
          <w:p>
            <w:pPr>
              <w:pStyle w:val="Compact"/>
            </w:pPr>
          </w:p>
        </w:tc>
      </w:tr>
      <w:tr>
        <w:tc>
          <w:tcPr/>
          <w:p>
            <w:pPr>
              <w:pStyle w:val="Compact"/>
              <w:jc w:val="left"/>
            </w:pPr>
            <w:r>
              <w:rPr>
                <w:b/>
                <w:bCs/>
              </w:rPr>
              <w:t xml:space="preserve">Identity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T-7.2</w:t>
            </w:r>
          </w:p>
        </w:tc>
        <w:tc>
          <w:tcPr/>
          <w:p>
            <w:pPr>
              <w:pStyle w:val="Compact"/>
            </w:pPr>
          </w:p>
        </w:tc>
        <w:tc>
          <w:tcPr/>
          <w:p>
            <w:pPr>
              <w:pStyle w:val="Compact"/>
            </w:pPr>
          </w:p>
        </w:tc>
      </w:tr>
      <w:tr>
        <w:tc>
          <w:tcPr/>
          <w:p>
            <w:pPr>
              <w:pStyle w:val="Compact"/>
              <w:jc w:val="left"/>
            </w:pPr>
            <w:r>
              <w:rPr>
                <w:b/>
                <w:bCs/>
              </w:rPr>
              <w:t xml:space="preserve">GPO Migration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T-7.3</w:t>
            </w:r>
          </w:p>
        </w:tc>
        <w:tc>
          <w:tcPr/>
          <w:p>
            <w:pPr>
              <w:pStyle w:val="Compact"/>
            </w:pPr>
          </w:p>
        </w:tc>
        <w:tc>
          <w:tcPr/>
          <w:p>
            <w:pPr>
              <w:pStyle w:val="Compact"/>
            </w:pPr>
          </w:p>
        </w:tc>
      </w:tr>
      <w:tr>
        <w:tc>
          <w:tcPr/>
          <w:p>
            <w:pPr>
              <w:pStyle w:val="Compact"/>
              <w:jc w:val="left"/>
            </w:pPr>
            <w:r>
              <w:rPr>
                <w:b/>
                <w:bCs/>
              </w:rPr>
              <w:t xml:space="preserve">DNS / PKI / Attribute Plans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w:t>
            </w:r>
          </w:p>
        </w:tc>
        <w:tc>
          <w:tcPr/>
          <w:p>
            <w:pPr>
              <w:pStyle w:val="Compact"/>
              <w:jc w:val="left"/>
            </w:pPr>
            <w:r>
              <w:t xml:space="preserve">.4–T-7.6</w:t>
            </w:r>
          </w:p>
        </w:tc>
      </w:tr>
      <w:tr>
        <w:tc>
          <w:tcPr/>
          <w:p>
            <w:pPr>
              <w:pStyle w:val="Compact"/>
              <w:jc w:val="left"/>
            </w:pPr>
            <w:r>
              <w:rPr>
                <w:b/>
                <w:bCs/>
              </w:rPr>
              <w:t xml:space="preserve">Trust / Security Plans</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T-7.7–T-7.8</w:t>
            </w:r>
          </w:p>
        </w:tc>
        <w:tc>
          <w:tcPr/>
          <w:p>
            <w:pPr>
              <w:pStyle w:val="Compact"/>
            </w:pPr>
          </w:p>
        </w:tc>
        <w:tc>
          <w:tcPr/>
          <w:p>
            <w:pPr>
              <w:pStyle w:val="Compact"/>
            </w:pPr>
          </w:p>
        </w:tc>
      </w:tr>
      <w:tr>
        <w:tc>
          <w:tcPr/>
          <w:p>
            <w:pPr>
              <w:pStyle w:val="Compact"/>
              <w:jc w:val="left"/>
            </w:pPr>
            <w:r>
              <w:rPr>
                <w:b/>
                <w:bCs/>
              </w:rPr>
              <w:t xml:space="preserve">Canon Steward Review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T-8.1</w:t>
            </w:r>
          </w:p>
        </w:tc>
        <w:tc>
          <w:tcPr/>
          <w:p>
            <w:pPr>
              <w:pStyle w:val="Compact"/>
            </w:pPr>
          </w:p>
        </w:tc>
      </w:tr>
      <w:tr>
        <w:tc>
          <w:tcPr/>
          <w:p>
            <w:pPr>
              <w:pStyle w:val="Compact"/>
              <w:jc w:val="left"/>
            </w:pPr>
            <w:r>
              <w:rPr>
                <w:b/>
                <w:bCs/>
              </w:rPr>
              <w:t xml:space="preserve">Pillar Lead Reviews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T-8.2–T-8.3</w:t>
            </w:r>
          </w:p>
        </w:tc>
        <w:tc>
          <w:tcPr/>
          <w:p>
            <w:pPr>
              <w:pStyle w:val="Compact"/>
            </w:pPr>
          </w:p>
        </w:tc>
      </w:tr>
      <w:tr>
        <w:tc>
          <w:tcPr/>
          <w:p>
            <w:pPr>
              <w:pStyle w:val="Compact"/>
              <w:jc w:val="left"/>
            </w:pPr>
            <w:r>
              <w:rPr>
                <w:b/>
                <w:bCs/>
              </w:rPr>
              <w:t xml:space="preserve">Steering Committee Approval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T-8.4–T-8.5</w:t>
            </w:r>
          </w:p>
        </w:tc>
        <w:tc>
          <w:tcPr/>
          <w:p>
            <w:pPr>
              <w:pStyle w:val="Compact"/>
            </w:pPr>
          </w:p>
        </w:tc>
      </w:tr>
      <w:tr>
        <w:tc>
          <w:tcPr/>
          <w:p>
            <w:pPr>
              <w:pStyle w:val="Compact"/>
              <w:jc w:val="left"/>
            </w:pPr>
            <w:r>
              <w:rPr>
                <w:b/>
                <w:bCs/>
              </w:rPr>
              <w:t xml:space="preserve">Pilot Group Selection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T-9.1–T-9.2</w:t>
            </w:r>
          </w:p>
        </w:tc>
      </w:tr>
      <w:tr>
        <w:tc>
          <w:tcPr/>
          <w:p>
            <w:pPr>
              <w:pStyle w:val="Compact"/>
              <w:jc w:val="left"/>
            </w:pPr>
            <w:r>
              <w:rPr>
                <w:b/>
                <w:bCs/>
              </w:rPr>
              <w:t xml:space="preserve">Security Remediation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T-9.3</w:t>
            </w:r>
          </w:p>
        </w:tc>
      </w:tr>
      <w:tr>
        <w:tc>
          <w:tcPr/>
          <w:p>
            <w:pPr>
              <w:pStyle w:val="Compact"/>
              <w:jc w:val="left"/>
            </w:pPr>
            <w:r>
              <w:rPr>
                <w:b/>
                <w:bCs/>
              </w:rPr>
              <w:t xml:space="preserve">Pre-Pilot Provisioning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T-9.4–T-9.7</w:t>
            </w:r>
          </w:p>
        </w:tc>
      </w:tr>
    </w:tbl>
    <w:p>
      <w:pPr>
        <w:pStyle w:val="BodyText"/>
      </w:pPr>
      <w:r>
        <w:t xml:space="preserve">Appendix C — RACI Matrix</w:t>
      </w:r>
    </w:p>
    <w:p>
      <w:pPr>
        <w:pStyle w:val="BodyText"/>
      </w:pPr>
      <w:r>
        <w:rPr>
          <w:b/>
          <w:bCs/>
        </w:rPr>
        <w:t xml:space="preserve">R</w:t>
      </w:r>
      <w:r>
        <w:t xml:space="preserve"> </w:t>
      </w:r>
      <w:r>
        <w:t xml:space="preserve">= Responsible (does the work),</w:t>
      </w:r>
      <w:r>
        <w:t xml:space="preserve"> </w:t>
      </w:r>
      <w:r>
        <w:rPr>
          <w:b/>
          <w:bCs/>
        </w:rPr>
        <w:t xml:space="preserve">A</w:t>
      </w:r>
      <w:r>
        <w:t xml:space="preserve"> </w:t>
      </w:r>
      <w:r>
        <w:t xml:space="preserve">= Accountable (owns the outcome),</w:t>
      </w:r>
      <w:r>
        <w:t xml:space="preserve"> </w:t>
      </w:r>
      <w:r>
        <w:rPr>
          <w:b/>
          <w:bCs/>
        </w:rPr>
        <w:t xml:space="preserve">C</w:t>
      </w:r>
      <w:r>
        <w:t xml:space="preserve"> </w:t>
      </w:r>
      <w:r>
        <w:t xml:space="preserve">= Consulted,</w:t>
      </w:r>
      <w:r>
        <w:t xml:space="preserve"> </w:t>
      </w:r>
      <w:r>
        <w:rPr>
          <w:b/>
          <w:bCs/>
        </w:rPr>
        <w:t xml:space="preserve">I</w:t>
      </w:r>
      <w:r>
        <w:t xml:space="preserve"> </w:t>
      </w:r>
      <w:r>
        <w:t xml:space="preserve">= Informed.</w:t>
      </w:r>
    </w:p>
    <w:tbl>
      <w:tblPr>
        <w:tblStyle w:val="Table"/>
        <w:tblW w:type="pct" w:w="4942"/>
        <w:tblLayout w:type="fixed"/>
        <w:tblLook w:firstRow="1" w:lastRow="0" w:firstColumn="0" w:lastColumn="0" w:noHBand="0" w:noVBand="0" w:val="0020"/>
      </w:tblPr>
      <w:tblGrid>
        <w:gridCol w:w="1556"/>
        <w:gridCol w:w="915"/>
        <w:gridCol w:w="778"/>
        <w:gridCol w:w="915"/>
        <w:gridCol w:w="915"/>
        <w:gridCol w:w="686"/>
        <w:gridCol w:w="686"/>
        <w:gridCol w:w="915"/>
        <w:gridCol w:w="457"/>
      </w:tblGrid>
      <w:tr>
        <w:trPr>
          <w:tblHeader w:val="on"/>
        </w:trPr>
        <w:tc>
          <w:tcPr/>
          <w:p>
            <w:pPr>
              <w:pStyle w:val="Compact"/>
              <w:jc w:val="left"/>
            </w:pPr>
            <w:r>
              <w:rPr>
                <w:b/>
                <w:bCs/>
              </w:rPr>
              <w:t xml:space="preserve">Activity</w:t>
            </w:r>
          </w:p>
        </w:tc>
        <w:tc>
          <w:tcPr/>
          <w:p>
            <w:pPr>
              <w:pStyle w:val="Compact"/>
              <w:jc w:val="left"/>
            </w:pPr>
            <w:r>
              <w:rPr>
                <w:b/>
                <w:bCs/>
              </w:rPr>
              <w:t xml:space="preserve">Canon Steward</w:t>
            </w:r>
          </w:p>
        </w:tc>
        <w:tc>
          <w:tcPr/>
          <w:p>
            <w:pPr>
              <w:pStyle w:val="Compact"/>
              <w:jc w:val="left"/>
            </w:pPr>
            <w:r>
              <w:rPr>
                <w:b/>
                <w:bCs/>
              </w:rPr>
              <w:t xml:space="preserve">Infra Lead</w:t>
            </w:r>
          </w:p>
        </w:tc>
        <w:tc>
          <w:tcPr/>
          <w:p>
            <w:pPr>
              <w:pStyle w:val="Compact"/>
              <w:jc w:val="left"/>
            </w:pPr>
            <w:r>
              <w:rPr>
                <w:b/>
                <w:bCs/>
              </w:rPr>
              <w:t xml:space="preserve">Identity Lead</w:t>
            </w:r>
          </w:p>
        </w:tc>
        <w:tc>
          <w:tcPr/>
          <w:p>
            <w:pPr>
              <w:pStyle w:val="Compact"/>
              <w:jc w:val="left"/>
            </w:pPr>
            <w:r>
              <w:rPr>
                <w:b/>
                <w:bCs/>
              </w:rPr>
              <w:t xml:space="preserve">Endpoint Lead</w:t>
            </w:r>
          </w:p>
        </w:tc>
        <w:tc>
          <w:tcPr/>
          <w:p>
            <w:pPr>
              <w:pStyle w:val="Compact"/>
              <w:jc w:val="left"/>
            </w:pPr>
            <w:r>
              <w:rPr>
                <w:b/>
                <w:bCs/>
              </w:rPr>
              <w:t xml:space="preserve">DNS Lead</w:t>
            </w:r>
          </w:p>
        </w:tc>
        <w:tc>
          <w:tcPr/>
          <w:p>
            <w:pPr>
              <w:pStyle w:val="Compact"/>
              <w:jc w:val="left"/>
            </w:pPr>
            <w:r>
              <w:rPr>
                <w:b/>
                <w:bCs/>
              </w:rPr>
              <w:t xml:space="preserve">PKI Lead</w:t>
            </w:r>
          </w:p>
        </w:tc>
        <w:tc>
          <w:tcPr/>
          <w:p>
            <w:pPr>
              <w:pStyle w:val="Compact"/>
              <w:jc w:val="left"/>
            </w:pPr>
            <w:r>
              <w:rPr>
                <w:b/>
                <w:bCs/>
              </w:rPr>
              <w:t xml:space="preserve">Security Lead</w:t>
            </w:r>
          </w:p>
        </w:tc>
        <w:tc>
          <w:tcPr/>
          <w:p>
            <w:pPr>
              <w:pStyle w:val="Compact"/>
              <w:jc w:val="left"/>
            </w:pPr>
            <w:r>
              <w:rPr>
                <w:b/>
                <w:bCs/>
              </w:rPr>
              <w:t xml:space="preserve">PM</w:t>
            </w:r>
          </w:p>
        </w:tc>
      </w:tr>
      <w:tr>
        <w:tc>
          <w:tcPr/>
          <w:p>
            <w:pPr>
              <w:pStyle w:val="Compact"/>
              <w:jc w:val="left"/>
            </w:pPr>
            <w:r>
              <w:t xml:space="preserve">Server provisioning (Phase 0)</w:t>
            </w:r>
          </w:p>
        </w:tc>
        <w:tc>
          <w:tcPr/>
          <w:p>
            <w:pPr>
              <w:pStyle w:val="Compact"/>
              <w:jc w:val="left"/>
            </w:pPr>
            <w:r>
              <w:t xml:space="preserve">I</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IIS + Gitea deployment</w:t>
            </w:r>
          </w:p>
        </w:tc>
        <w:tc>
          <w:tcPr/>
          <w:p>
            <w:pPr>
              <w:pStyle w:val="Compact"/>
              <w:jc w:val="left"/>
            </w:pPr>
            <w:r>
              <w:t xml:space="preserve">A</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AD LDAP / Entra OAuth2 auth</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Governance hooks deployment</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Read-only AD assessment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Full AD assessment (delegated)</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Security assessment</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document generation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review / approval</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r>
      <w:tr>
        <w:tc>
          <w:tcPr/>
          <w:p>
            <w:pPr>
              <w:pStyle w:val="Compact"/>
              <w:jc w:val="left"/>
            </w:pPr>
            <w:r>
              <w:t xml:space="preserve">extension attribute taxonomy desig</w:t>
            </w:r>
          </w:p>
        </w:tc>
        <w:tc>
          <w:tcPr/>
          <w:p>
            <w:pPr>
              <w:pStyle w:val="Compact"/>
              <w:jc w:val="left"/>
            </w:pPr>
            <w:r>
              <w:t xml:space="preserve">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 I</w:t>
            </w:r>
          </w:p>
        </w:tc>
      </w:tr>
      <w:tr>
        <w:tc>
          <w:tcPr/>
          <w:p>
            <w:pPr>
              <w:pStyle w:val="Compact"/>
              <w:jc w:val="left"/>
            </w:pPr>
            <w:r>
              <w:t xml:space="preserve">Intune policy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Conditional Access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Entra Connect deployment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DNS Private Resolver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Cloud PKI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Pilot execution</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r>
      <w:tr>
        <w:tc>
          <w:tcPr/>
          <w:p>
            <w:pPr>
              <w:pStyle w:val="Compact"/>
              <w:jc w:val="left"/>
            </w:pPr>
            <w:r>
              <w:t xml:space="preserve">Wave-based scaling</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Legacy decommission</w:t>
            </w:r>
          </w:p>
        </w:tc>
        <w:tc>
          <w:tcPr/>
          <w:p>
            <w:pPr>
              <w:pStyle w:val="Compact"/>
              <w:jc w:val="left"/>
            </w:pPr>
            <w:r>
              <w:rPr>
                <w:b/>
                <w:bCs/>
              </w:rPr>
              <w:t xml:space="preserve">R/A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Cutover validation</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Drift detection (steady state)</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Quarterly access reviews</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Risk register maintenance</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R/A</w:t>
            </w:r>
          </w:p>
        </w:tc>
      </w:tr>
      <w:tr>
        <w:tc>
          <w:tcPr/>
          <w:p>
            <w:pPr>
              <w:pStyle w:val="Compact"/>
              <w:jc w:val="left"/>
            </w:pPr>
            <w:r>
              <w:t xml:space="preserve">Milestone tracking / reporting</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R/A</w:t>
            </w:r>
          </w:p>
        </w:tc>
      </w:tr>
    </w:tbl>
    <w:p>
      <w:pPr>
        <w:pStyle w:val="BodyText"/>
      </w:pPr>
      <w:r>
        <w:t xml:space="preserve">Appendix D — Phase Gate Review Template</w:t>
      </w:r>
    </w:p>
    <w:p>
      <w:pPr>
        <w:pStyle w:val="BodyText"/>
      </w:pPr>
      <w:r>
        <w:t xml:space="preserve">This template is used for every phase gate review. Copy this template and complete it for each gate decision. Commit the completed review to Gitea at</w:t>
      </w:r>
      <w:r>
        <w:t xml:space="preserve"> </w:t>
      </w:r>
      <w:r>
        <w:rPr>
          <w:i/>
          <w:iCs/>
        </w:rPr>
        <w:t xml:space="preserve">reports/phase-gates/phase-N-gate-review.md</w:t>
      </w:r>
      <w:r>
        <w:t xml:space="preserve">.</w:t>
      </w:r>
    </w:p>
    <w:tbl>
      <w:tblPr>
        <w:tblStyle w:val="Table"/>
        <w:tblW w:type="pct" w:w="4583"/>
        <w:tblLayout w:type="fixed"/>
        <w:tblLook w:firstRow="1" w:lastRow="0" w:firstColumn="0" w:lastColumn="0" w:noHBand="0" w:noVBand="0" w:val="0020"/>
      </w:tblPr>
      <w:tblGrid>
        <w:gridCol w:w="2640"/>
        <w:gridCol w:w="4620"/>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Gate Review Title</w:t>
            </w:r>
          </w:p>
        </w:tc>
        <w:tc>
          <w:tcPr/>
          <w:p>
            <w:pPr>
              <w:pStyle w:val="Compact"/>
              <w:jc w:val="left"/>
            </w:pPr>
            <w:r>
              <w:t xml:space="preserve">Phase [N] → Phase [N+1] Gate Review</w:t>
            </w:r>
          </w:p>
        </w:tc>
      </w:tr>
      <w:tr>
        <w:tc>
          <w:tcPr/>
          <w:p>
            <w:pPr>
              <w:pStyle w:val="Compact"/>
              <w:jc w:val="left"/>
            </w:pPr>
            <w:r>
              <w:rPr>
                <w:b/>
                <w:bCs/>
              </w:rPr>
              <w:t xml:space="preserve">Date</w:t>
            </w:r>
          </w:p>
        </w:tc>
        <w:tc>
          <w:tcPr/>
          <w:p>
            <w:pPr>
              <w:pStyle w:val="Compact"/>
              <w:jc w:val="left"/>
            </w:pPr>
            <w:r>
              <w:t xml:space="preserve">[YYYY-MM-DD]</w:t>
            </w:r>
          </w:p>
        </w:tc>
      </w:tr>
      <w:tr>
        <w:tc>
          <w:tcPr/>
          <w:p>
            <w:pPr>
              <w:pStyle w:val="Compact"/>
              <w:jc w:val="left"/>
            </w:pPr>
            <w:r>
              <w:rPr>
                <w:b/>
                <w:bCs/>
              </w:rPr>
              <w:t xml:space="preserve">Attendees</w:t>
            </w:r>
          </w:p>
        </w:tc>
        <w:tc>
          <w:tcPr/>
          <w:p>
            <w:pPr>
              <w:pStyle w:val="Compact"/>
              <w:jc w:val="left"/>
            </w:pPr>
            <w:r>
              <w:t xml:space="preserve">[List all attendees and roles]</w:t>
            </w:r>
          </w:p>
        </w:tc>
      </w:tr>
      <w:tr>
        <w:tc>
          <w:tcPr/>
          <w:p>
            <w:pPr>
              <w:pStyle w:val="Compact"/>
              <w:jc w:val="left"/>
            </w:pPr>
            <w:r>
              <w:rPr>
                <w:b/>
                <w:bCs/>
              </w:rPr>
              <w:t xml:space="preserve">Review Chair</w:t>
            </w:r>
          </w:p>
        </w:tc>
        <w:tc>
          <w:tcPr/>
          <w:p>
            <w:pPr>
              <w:pStyle w:val="Compact"/>
              <w:jc w:val="left"/>
            </w:pPr>
            <w:r>
              <w:t xml:space="preserve">Canon Steward</w:t>
            </w:r>
          </w:p>
        </w:tc>
      </w:tr>
    </w:tbl>
    <w:p>
      <w:pPr>
        <w:pStyle w:val="BodyText"/>
      </w:pPr>
      <w:r>
        <w:t xml:space="preserve">Agenda</w:t>
      </w:r>
    </w:p>
    <w:p>
      <w:pPr>
        <w:numPr>
          <w:ilvl w:val="0"/>
          <w:numId w:val="1306"/>
        </w:numPr>
      </w:pPr>
      <w:r>
        <w:t xml:space="preserve">Phase [N] objective review — 5 min</w:t>
      </w:r>
    </w:p>
    <w:p>
      <w:pPr>
        <w:numPr>
          <w:ilvl w:val="0"/>
          <w:numId w:val="1306"/>
        </w:numPr>
      </w:pPr>
      <w:r>
        <w:t xml:space="preserve">Milestone completion status — 15 min</w:t>
      </w:r>
    </w:p>
    <w:p>
      <w:pPr>
        <w:numPr>
          <w:ilvl w:val="0"/>
          <w:numId w:val="1306"/>
        </w:numPr>
      </w:pPr>
      <w:r>
        <w:t xml:space="preserve">Deliverable checklist walkthrough — 20 min</w:t>
      </w:r>
    </w:p>
    <w:p>
      <w:pPr>
        <w:numPr>
          <w:ilvl w:val="0"/>
          <w:numId w:val="1306"/>
        </w:numPr>
      </w:pPr>
      <w:r>
        <w:t xml:space="preserve">Risk register updates — 10 min</w:t>
      </w:r>
    </w:p>
    <w:p>
      <w:pPr>
        <w:numPr>
          <w:ilvl w:val="0"/>
          <w:numId w:val="1306"/>
        </w:numPr>
      </w:pPr>
      <w:r>
        <w:t xml:space="preserve">Open issues and blockers — 15 min</w:t>
      </w:r>
    </w:p>
    <w:p>
      <w:pPr>
        <w:numPr>
          <w:ilvl w:val="0"/>
          <w:numId w:val="1306"/>
        </w:numPr>
      </w:pPr>
      <w:r>
        <w:t xml:space="preserve">Go/No-Go discussion — 15 min</w:t>
      </w:r>
    </w:p>
    <w:p>
      <w:pPr>
        <w:numPr>
          <w:ilvl w:val="0"/>
          <w:numId w:val="1306"/>
        </w:numPr>
      </w:pPr>
      <w:r>
        <w:t xml:space="preserve">Decision and action items — 10 min</w:t>
      </w:r>
    </w:p>
    <w:p>
      <w:pPr>
        <w:pStyle w:val="FirstParagraph"/>
      </w:pPr>
      <w:r>
        <w:t xml:space="preserve">Deliverable Checklist</w:t>
      </w:r>
    </w:p>
    <w:tbl>
      <w:tblPr>
        <w:tblStyle w:val="Table"/>
        <w:tblW w:type="pct" w:w="4912"/>
        <w:tblLayout w:type="fixed"/>
        <w:tblLook w:firstRow="1" w:lastRow="0" w:firstColumn="0" w:lastColumn="0" w:noHBand="0" w:noVBand="0" w:val="0020"/>
      </w:tblPr>
      <w:tblGrid>
        <w:gridCol w:w="625"/>
        <w:gridCol w:w="1597"/>
        <w:gridCol w:w="3126"/>
        <w:gridCol w:w="1181"/>
        <w:gridCol w:w="1250"/>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Status</w:t>
            </w:r>
          </w:p>
        </w:tc>
        <w:tc>
          <w:tcPr/>
          <w:p>
            <w:pPr>
              <w:pStyle w:val="Compact"/>
              <w:jc w:val="left"/>
            </w:pPr>
            <w:r>
              <w:rPr>
                <w:b/>
                <w:bCs/>
              </w:rPr>
              <w:t xml:space="preserve">Gitea Path</w:t>
            </w:r>
          </w:p>
        </w:tc>
        <w:tc>
          <w:tcPr/>
          <w:p>
            <w:pPr>
              <w:pStyle w:val="Compact"/>
              <w:jc w:val="left"/>
            </w:pPr>
            <w:r>
              <w:rPr>
                <w:b/>
                <w:bCs/>
              </w:rPr>
              <w:t xml:space="preserve">Verified By</w:t>
            </w:r>
          </w:p>
        </w:tc>
      </w:tr>
      <w:tr>
        <w:tc>
          <w:tcPr/>
          <w:p>
            <w:pPr>
              <w:pStyle w:val="Compact"/>
              <w:jc w:val="left"/>
            </w:pPr>
            <w:r>
              <w:t xml:space="preserve">1</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2</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3</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bl>
    <w:p>
      <w:pPr>
        <w:pStyle w:val="BodyText"/>
      </w:pPr>
      <w:r>
        <w:t xml:space="preserve">Go/No-Go Criteria</w:t>
      </w:r>
    </w:p>
    <w:tbl>
      <w:tblPr>
        <w:tblStyle w:val="Table"/>
        <w:tblW w:type="pct" w:w="4924"/>
        <w:tblLayout w:type="fixed"/>
        <w:tblLook w:firstRow="1" w:lastRow="0" w:firstColumn="0" w:lastColumn="0" w:noHBand="0" w:noVBand="0" w:val="0020"/>
      </w:tblPr>
      <w:tblGrid>
        <w:gridCol w:w="3567"/>
        <w:gridCol w:w="967"/>
        <w:gridCol w:w="1269"/>
        <w:gridCol w:w="1995"/>
      </w:tblGrid>
      <w:tr>
        <w:trPr>
          <w:tblHeader w:val="on"/>
        </w:trPr>
        <w:tc>
          <w:tcPr/>
          <w:p>
            <w:pPr>
              <w:pStyle w:val="Compact"/>
              <w:jc w:val="left"/>
            </w:pPr>
            <w:r>
              <w:rPr>
                <w:b/>
                <w:bCs/>
              </w:rPr>
              <w:t xml:space="preserve">Criterion</w:t>
            </w:r>
          </w:p>
        </w:tc>
        <w:tc>
          <w:tcPr/>
          <w:p>
            <w:pPr>
              <w:pStyle w:val="Compact"/>
              <w:jc w:val="left"/>
            </w:pPr>
            <w:r>
              <w:rPr>
                <w:b/>
                <w:bCs/>
              </w:rPr>
              <w:t xml:space="preserve">Required?</w:t>
            </w:r>
          </w:p>
        </w:tc>
        <w:tc>
          <w:tcPr/>
          <w:p>
            <w:pPr>
              <w:pStyle w:val="Compact"/>
              <w:jc w:val="left"/>
            </w:pPr>
            <w:r>
              <w:rPr>
                <w:b/>
                <w:bCs/>
              </w:rPr>
              <w:t xml:space="preserve">Met?</w:t>
            </w:r>
          </w:p>
        </w:tc>
        <w:tc>
          <w:tcPr/>
          <w:p>
            <w:pPr>
              <w:pStyle w:val="Compact"/>
              <w:jc w:val="left"/>
            </w:pPr>
            <w:r>
              <w:rPr>
                <w:b/>
                <w:bCs/>
              </w:rPr>
              <w:t xml:space="preserve">Evidence</w:t>
            </w:r>
          </w:p>
        </w:tc>
      </w:tr>
      <w:tr>
        <w:tc>
          <w:tcPr/>
          <w:p>
            <w:pPr>
              <w:pStyle w:val="Compact"/>
              <w:jc w:val="left"/>
            </w:pPr>
            <w:r>
              <w:t xml:space="preserve">All mandatory milestones complete</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milestone evidence]</w:t>
            </w:r>
          </w:p>
        </w:tc>
      </w:tr>
      <w:tr>
        <w:tc>
          <w:tcPr/>
          <w:p>
            <w:pPr>
              <w:pStyle w:val="Compact"/>
              <w:jc w:val="left"/>
            </w:pPr>
            <w:r>
              <w:t xml:space="preserve">All critical/high risks mitigated or accepted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risk register]</w:t>
            </w:r>
          </w:p>
        </w:tc>
      </w:tr>
      <w:tr>
        <w:tc>
          <w:tcPr/>
          <w:p>
            <w:pPr>
              <w:pStyle w:val="Compact"/>
              <w:jc w:val="left"/>
            </w:pPr>
            <w:r>
              <w:t xml:space="preserve">All deliverables committed to Gitea with APPROVED status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[Gitea branch/commit hash]</w:t>
            </w:r>
          </w:p>
        </w:tc>
      </w:tr>
      <w:tr>
        <w:tc>
          <w:tcPr/>
          <w:p>
            <w:pPr>
              <w:pStyle w:val="Compact"/>
              <w:jc w:val="left"/>
            </w:pPr>
            <w:r>
              <w:t xml:space="preserve">No unresolved blockers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[Issue tracker]</w:t>
            </w:r>
          </w:p>
        </w:tc>
      </w:tr>
      <w:tr>
        <w:tc>
          <w:tcPr/>
          <w:p>
            <w:pPr>
              <w:pStyle w:val="Compact"/>
              <w:jc w:val="left"/>
            </w:pPr>
            <w:r>
              <w:t xml:space="preserve">Stakeholder sign-off obtained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[Sign-off record]</w:t>
            </w:r>
          </w:p>
        </w:tc>
      </w:tr>
    </w:tbl>
    <w:p>
      <w:pPr>
        <w:pStyle w:val="BodyText"/>
      </w:pPr>
      <w:r>
        <w:t xml:space="preserve">Decision Record</w:t>
      </w:r>
    </w:p>
    <w:tbl>
      <w:tblPr>
        <w:tblStyle w:val="Table"/>
        <w:tblW w:type="pct" w:w="4938"/>
        <w:tblLayout w:type="fixed"/>
        <w:tblLook w:firstRow="1" w:lastRow="0" w:firstColumn="0" w:lastColumn="0" w:noHBand="0" w:noVBand="0" w:val="0020"/>
      </w:tblPr>
      <w:tblGrid>
        <w:gridCol w:w="1613"/>
        <w:gridCol w:w="6208"/>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Decision</w:t>
            </w:r>
          </w:p>
        </w:tc>
        <w:tc>
          <w:tcPr/>
          <w:p>
            <w:pPr>
              <w:pStyle w:val="Compact"/>
              <w:jc w:val="left"/>
            </w:pPr>
            <w:r>
              <w:t xml:space="preserve">[ ] GO — Proceed to Phase [N+1] [ ] NO-GO — Remain in Phase [N] [ ] CONDITIONAL GO — Proceed with conditions</w:t>
            </w:r>
          </w:p>
        </w:tc>
      </w:tr>
      <w:tr>
        <w:tc>
          <w:tcPr/>
          <w:p>
            <w:pPr>
              <w:pStyle w:val="Compact"/>
              <w:jc w:val="left"/>
            </w:pPr>
            <w:r>
              <w:rPr>
                <w:b/>
                <w:bCs/>
              </w:rPr>
              <w:t xml:space="preserve">Conditions (if applicable)</w:t>
            </w:r>
          </w:p>
        </w:tc>
        <w:tc>
          <w:tcPr/>
          <w:p>
            <w:pPr>
              <w:pStyle w:val="Compact"/>
              <w:jc w:val="left"/>
            </w:pPr>
            <w:r>
              <w:t xml:space="preserve">[List conditions that must be met within specified timeframe]</w:t>
            </w:r>
          </w:p>
        </w:tc>
      </w:tr>
      <w:tr>
        <w:tc>
          <w:tcPr/>
          <w:p>
            <w:pPr>
              <w:pStyle w:val="Compact"/>
              <w:jc w:val="left"/>
            </w:pPr>
            <w:r>
              <w:rPr>
                <w:b/>
                <w:bCs/>
              </w:rPr>
              <w:t xml:space="preserve">Decision Authority</w:t>
            </w:r>
          </w:p>
        </w:tc>
        <w:tc>
          <w:tcPr/>
          <w:p>
            <w:pPr>
              <w:pStyle w:val="Compact"/>
              <w:jc w:val="left"/>
            </w:pPr>
            <w:r>
              <w:t xml:space="preserve">Canon Steward: [Name] — [Signature/Date]</w:t>
            </w:r>
          </w:p>
        </w:tc>
      </w:tr>
    </w:tbl>
    <w:p>
      <w:pPr>
        <w:pStyle w:val="BodyText"/>
      </w:pPr>
      <w:r>
        <w:t xml:space="preserve">Action Items</w:t>
      </w:r>
    </w:p>
    <w:tbl>
      <w:tblPr>
        <w:tblStyle w:val="Table"/>
        <w:tblW w:type="pct" w:w="4872"/>
        <w:tblLayout w:type="fixed"/>
        <w:tblLook w:firstRow="1" w:lastRow="0" w:firstColumn="0" w:lastColumn="0" w:noHBand="0" w:noVBand="0" w:val="0020"/>
      </w:tblPr>
      <w:tblGrid>
        <w:gridCol w:w="913"/>
        <w:gridCol w:w="2538"/>
        <w:gridCol w:w="1218"/>
        <w:gridCol w:w="1523"/>
        <w:gridCol w:w="1523"/>
      </w:tblGrid>
      <w:tr>
        <w:trPr>
          <w:tblHeader w:val="on"/>
        </w:trPr>
        <w:tc>
          <w:tcPr/>
          <w:p>
            <w:pPr>
              <w:pStyle w:val="Compact"/>
              <w:jc w:val="left"/>
            </w:pPr>
            <w:r>
              <w:rPr>
                <w:b/>
                <w:bCs/>
              </w:rPr>
              <w:t xml:space="preserve">#</w:t>
            </w:r>
          </w:p>
        </w:tc>
        <w:tc>
          <w:tcPr/>
          <w:p>
            <w:pPr>
              <w:pStyle w:val="Compact"/>
              <w:jc w:val="left"/>
            </w:pPr>
            <w:r>
              <w:rPr>
                <w:b/>
                <w:bCs/>
              </w:rPr>
              <w:t xml:space="preserve">Action</w:t>
            </w:r>
          </w:p>
        </w:tc>
        <w:tc>
          <w:tcPr/>
          <w:p>
            <w:pPr>
              <w:pStyle w:val="Compact"/>
              <w:jc w:val="left"/>
            </w:pPr>
            <w:r>
              <w:rPr>
                <w:b/>
                <w:bCs/>
              </w:rPr>
              <w:t xml:space="preserve">Owner</w:t>
            </w:r>
          </w:p>
        </w:tc>
        <w:tc>
          <w:tcPr/>
          <w:p>
            <w:pPr>
              <w:pStyle w:val="Compact"/>
              <w:jc w:val="left"/>
            </w:pPr>
            <w:r>
              <w:rPr>
                <w:b/>
                <w:bCs/>
              </w:rPr>
              <w:t xml:space="preserve">Due Date</w:t>
            </w:r>
          </w:p>
        </w:tc>
        <w:tc>
          <w:tcPr/>
          <w:p>
            <w:pPr>
              <w:pStyle w:val="Compact"/>
              <w:jc w:val="left"/>
            </w:pPr>
            <w:r>
              <w:rPr>
                <w:b/>
                <w:bCs/>
              </w:rPr>
              <w:t xml:space="preserve">Status</w:t>
            </w:r>
          </w:p>
        </w:tc>
      </w:tr>
      <w:tr>
        <w:tc>
          <w:tcPr/>
          <w:p>
            <w:pPr>
              <w:pStyle w:val="Compact"/>
              <w:jc w:val="left"/>
            </w:pPr>
            <w:r>
              <w:t xml:space="preserve">1</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r>
        <w:tc>
          <w:tcPr/>
          <w:p>
            <w:pPr>
              <w:pStyle w:val="Compact"/>
              <w:jc w:val="left"/>
            </w:pPr>
            <w:r>
              <w:t xml:space="preserve">2</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bl>
    <w:p>
      <w:pPr>
        <w:pStyle w:val="BodyText"/>
      </w:pPr>
      <w:r>
        <w:t xml:space="preserve">Appendix E — Glossary</w:t>
      </w:r>
    </w:p>
    <w:tbl>
      <w:tblPr>
        <w:tblStyle w:val="Table"/>
        <w:tblW w:type="pct" w:w="4961"/>
        <w:tblLayout w:type="fixed"/>
        <w:tblLook w:firstRow="1" w:lastRow="0" w:firstColumn="0" w:lastColumn="0" w:noHBand="0" w:noVBand="0" w:val="0020"/>
      </w:tblPr>
      <w:tblGrid>
        <w:gridCol w:w="804"/>
        <w:gridCol w:w="7053"/>
      </w:tblGrid>
      <w:tr>
        <w:trPr>
          <w:tblHeader w:val="on"/>
        </w:trPr>
        <w:tc>
          <w:tcPr/>
          <w:p>
            <w:pPr>
              <w:pStyle w:val="Compact"/>
              <w:jc w:val="left"/>
            </w:pPr>
            <w:r>
              <w:rPr>
                <w:b/>
                <w:bCs/>
              </w:rPr>
              <w:t xml:space="preserve">Term</w:t>
            </w:r>
          </w:p>
        </w:tc>
        <w:tc>
          <w:tcPr/>
          <w:p>
            <w:pPr>
              <w:pStyle w:val="Compact"/>
              <w:jc w:val="left"/>
            </w:pPr>
            <w:r>
              <w:rPr>
                <w:b/>
                <w:bCs/>
              </w:rPr>
              <w:t xml:space="preserve">Definition</w:t>
            </w:r>
          </w:p>
        </w:tc>
      </w:tr>
      <w:tr>
        <w:tc>
          <w:tcPr/>
          <w:p>
            <w:pPr>
              <w:pStyle w:val="Compact"/>
              <w:jc w:val="left"/>
            </w:pPr>
            <w:r>
              <w:rPr>
                <w:b/>
                <w:bCs/>
              </w:rPr>
              <w:t xml:space="preserve">ADCS</w:t>
            </w:r>
          </w:p>
        </w:tc>
        <w:tc>
          <w:tcPr/>
          <w:p>
            <w:pPr>
              <w:pStyle w:val="Compact"/>
              <w:jc w:val="left"/>
            </w:pPr>
            <w:r>
              <w:t xml:space="preserve">Active Directory Certificate Services — Microsoft's on-premises PKI platform for issuing and managing digital certificates.</w:t>
            </w:r>
          </w:p>
        </w:tc>
      </w:tr>
      <w:tr>
        <w:tc>
          <w:tcPr/>
          <w:p>
            <w:pPr>
              <w:pStyle w:val="Compact"/>
              <w:jc w:val="left"/>
            </w:pPr>
            <w:r>
              <w:rPr>
                <w:b/>
                <w:bCs/>
              </w:rPr>
              <w:t xml:space="preserve">ADFS</w:t>
            </w:r>
          </w:p>
        </w:tc>
        <w:tc>
          <w:tcPr/>
          <w:p>
            <w:pPr>
              <w:pStyle w:val="Compact"/>
              <w:jc w:val="left"/>
            </w:pPr>
            <w:r>
              <w:t xml:space="preserve">Active Directory Federation Services — on-premises federation service for SSO; being replaced by Entra ID in cloud-modern architectures.</w:t>
            </w:r>
          </w:p>
        </w:tc>
      </w:tr>
      <w:tr>
        <w:tc>
          <w:tcPr/>
          <w:p>
            <w:pPr>
              <w:pStyle w:val="Compact"/>
              <w:jc w:val="left"/>
            </w:pPr>
            <w:r>
              <w:rPr>
                <w:b/>
                <w:bCs/>
              </w:rPr>
              <w:t xml:space="preserve">ADR</w:t>
            </w:r>
          </w:p>
        </w:tc>
        <w:tc>
          <w:tcPr/>
          <w:p>
            <w:pPr>
              <w:pStyle w:val="Compact"/>
              <w:jc w:val="left"/>
            </w:pPr>
            <w:r>
              <w:t xml:space="preserve">Architecture Decision Record — a document capturing a significant architectural decision, its context, and consequences.</w:t>
            </w:r>
          </w:p>
        </w:tc>
      </w:tr>
      <w:tr>
        <w:tc>
          <w:tcPr/>
          <w:p>
            <w:pPr>
              <w:pStyle w:val="Compact"/>
              <w:jc w:val="left"/>
            </w:pPr>
            <w:r>
              <w:rPr>
                <w:b/>
                <w:bCs/>
              </w:rPr>
              <w:t xml:space="preserve">ADMX Ingestion</w:t>
            </w:r>
          </w:p>
        </w:tc>
        <w:tc>
          <w:tcPr/>
          <w:p>
            <w:pPr>
              <w:pStyle w:val="Compact"/>
              <w:jc w:val="left"/>
            </w:pPr>
            <w:r>
              <w:t xml:space="preserve">The process of importing Group Policy ADMX templates into Intune for policy configuration on cloud-managed devices.</w:t>
            </w:r>
          </w:p>
        </w:tc>
      </w:tr>
      <w:tr>
        <w:tc>
          <w:tcPr/>
          <w:p>
            <w:pPr>
              <w:pStyle w:val="Compact"/>
              <w:jc w:val="left"/>
            </w:pPr>
            <w:r>
              <w:rPr>
                <w:b/>
                <w:bCs/>
              </w:rPr>
              <w:t xml:space="preserve">ARR</w:t>
            </w:r>
          </w:p>
        </w:tc>
        <w:tc>
          <w:tcPr/>
          <w:p>
            <w:pPr>
              <w:pStyle w:val="Compact"/>
              <w:jc w:val="left"/>
            </w:pPr>
            <w:r>
              <w:t xml:space="preserve">Application Request Routing — an IIS module enabling reverse proxy and load balancing functionality.</w:t>
            </w:r>
          </w:p>
        </w:tc>
      </w:tr>
      <w:tr>
        <w:tc>
          <w:tcPr/>
          <w:p>
            <w:pPr>
              <w:pStyle w:val="Compact"/>
              <w:jc w:val="left"/>
            </w:pPr>
            <w:r>
              <w:rPr>
                <w:b/>
                <w:bCs/>
              </w:rPr>
              <w:t xml:space="preserve">AS-REP Roasting</w:t>
            </w:r>
          </w:p>
        </w:tc>
        <w:tc>
          <w:tcPr/>
          <w:p>
            <w:pPr>
              <w:pStyle w:val="Compact"/>
              <w:jc w:val="left"/>
            </w:pPr>
            <w:r>
              <w:t xml:space="preserve">An attack technique exploiting accounts that do not require Kerberos pre-authentication to extract password hashes.</w:t>
            </w:r>
          </w:p>
        </w:tc>
      </w:tr>
      <w:tr>
        <w:tc>
          <w:tcPr/>
          <w:p>
            <w:pPr>
              <w:pStyle w:val="Compact"/>
              <w:jc w:val="left"/>
            </w:pPr>
            <w:r>
              <w:rPr>
                <w:b/>
                <w:bCs/>
              </w:rPr>
              <w:t xml:space="preserve">Azure Arc</w:t>
            </w:r>
          </w:p>
        </w:tc>
        <w:tc>
          <w:tcPr/>
          <w:p>
            <w:pPr>
              <w:pStyle w:val="Compact"/>
              <w:jc w:val="left"/>
            </w:pPr>
            <w:r>
              <w:t xml:space="preserve">Microsoft service that extends Azure management and governance to on-premises and multi-cloud servers.</w:t>
            </w:r>
          </w:p>
        </w:tc>
      </w:tr>
      <w:tr>
        <w:tc>
          <w:tcPr/>
          <w:p>
            <w:pPr>
              <w:pStyle w:val="Compact"/>
              <w:jc w:val="left"/>
            </w:pPr>
            <w:r>
              <w:rPr>
                <w:b/>
                <w:bCs/>
              </w:rPr>
              <w:t xml:space="preserve">BYOCA</w:t>
            </w:r>
          </w:p>
        </w:tc>
        <w:tc>
          <w:tcPr/>
          <w:p>
            <w:pPr>
              <w:pStyle w:val="Compact"/>
              <w:jc w:val="left"/>
            </w:pPr>
            <w:r>
              <w:t xml:space="preserve">Bring Your Own Certificate Authority — a Cloud PKI deployment model where an existing on-premises root CA signs the cloud issuing CA certificate.</w:t>
            </w:r>
          </w:p>
        </w:tc>
      </w:tr>
      <w:tr>
        <w:tc>
          <w:tcPr/>
          <w:p>
            <w:pPr>
              <w:pStyle w:val="Compact"/>
              <w:jc w:val="left"/>
            </w:pPr>
            <w:r>
              <w:rPr>
                <w:b/>
                <w:bCs/>
              </w:rPr>
              <w:t xml:space="preserve">Canon / Canonical</w:t>
            </w:r>
          </w:p>
        </w:tc>
        <w:tc>
          <w:tcPr/>
          <w:p>
            <w:pPr>
              <w:pStyle w:val="Compact"/>
              <w:jc w:val="left"/>
            </w:pPr>
            <w:r>
              <w:t xml:space="preserve">In the Federal Modernization Program context, the authoritative, approved version of a governance artifact committed to the main branch of Gitea.</w:t>
            </w:r>
          </w:p>
        </w:tc>
      </w:tr>
      <w:tr>
        <w:tc>
          <w:tcPr/>
          <w:p>
            <w:pPr>
              <w:pStyle w:val="Compact"/>
              <w:jc w:val="left"/>
            </w:pPr>
            <w:r>
              <w:rPr>
                <w:b/>
                <w:bCs/>
              </w:rPr>
              <w:t xml:space="preserve">Canon Steward</w:t>
            </w:r>
          </w:p>
        </w:tc>
        <w:tc>
          <w:tcPr/>
          <w:p>
            <w:pPr>
              <w:pStyle w:val="Compact"/>
              <w:jc w:val="left"/>
            </w:pPr>
            <w:r>
              <w:t xml:space="preserve">The individual with final authority over the Federal Modernization Program governance artifacts, repository integrity, and phase gate approvals.</w:t>
            </w:r>
          </w:p>
        </w:tc>
      </w:tr>
      <w:tr>
        <w:tc>
          <w:tcPr/>
          <w:p>
            <w:pPr>
              <w:pStyle w:val="Compact"/>
              <w:jc w:val="left"/>
            </w:pPr>
            <w:r>
              <w:rPr>
                <w:b/>
                <w:bCs/>
              </w:rPr>
              <w:t xml:space="preserve">CBA</w:t>
            </w:r>
          </w:p>
        </w:tc>
        <w:tc>
          <w:tcPr/>
          <w:p>
            <w:pPr>
              <w:pStyle w:val="Compact"/>
              <w:jc w:val="left"/>
            </w:pPr>
            <w:r>
              <w:t xml:space="preserve">Certificate-Based Authentication — Entra ID feature enabling passwordless authentication using X.509 certificates.</w:t>
            </w:r>
          </w:p>
        </w:tc>
      </w:tr>
      <w:tr>
        <w:tc>
          <w:tcPr/>
          <w:p>
            <w:pPr>
              <w:pStyle w:val="Compact"/>
              <w:jc w:val="left"/>
            </w:pPr>
            <w:r>
              <w:rPr>
                <w:b/>
                <w:bCs/>
              </w:rPr>
              <w:t xml:space="preserve">CIS L1</w:t>
            </w:r>
          </w:p>
        </w:tc>
        <w:tc>
          <w:tcPr/>
          <w:p>
            <w:pPr>
              <w:pStyle w:val="Compact"/>
              <w:jc w:val="left"/>
            </w:pPr>
            <w:r>
              <w:t xml:space="preserve">Center for Internet Security Level 1 benchmark — a security hardening baseline for Windows Server.</w:t>
            </w:r>
          </w:p>
        </w:tc>
      </w:tr>
      <w:tr>
        <w:tc>
          <w:tcPr/>
          <w:p>
            <w:pPr>
              <w:pStyle w:val="Compact"/>
              <w:jc w:val="left"/>
            </w:pPr>
            <w:r>
              <w:rPr>
                <w:b/>
                <w:bCs/>
              </w:rPr>
              <w:t xml:space="preserve">Cloud PKI</w:t>
            </w:r>
          </w:p>
        </w:tc>
        <w:tc>
          <w:tcPr/>
          <w:p>
            <w:pPr>
              <w:pStyle w:val="Compact"/>
              <w:jc w:val="left"/>
            </w:pPr>
            <w:r>
              <w:t xml:space="preserve">Microsoft Intune Cloud PKI — a cloud-native certificate authority included in the Intune Suite for issuing SCEP/PKCS certificates.</w:t>
            </w:r>
          </w:p>
        </w:tc>
      </w:tr>
      <w:tr>
        <w:tc>
          <w:tcPr/>
          <w:p>
            <w:pPr>
              <w:pStyle w:val="Compact"/>
              <w:jc w:val="left"/>
            </w:pPr>
            <w:r>
              <w:rPr>
                <w:b/>
                <w:bCs/>
              </w:rPr>
              <w:t xml:space="preserve">Conditional Access</w:t>
            </w:r>
          </w:p>
        </w:tc>
        <w:tc>
          <w:tcPr/>
          <w:p>
            <w:pPr>
              <w:pStyle w:val="Compact"/>
              <w:jc w:val="left"/>
            </w:pPr>
            <w:r>
              <w:t xml:space="preserve">Entra ID policy engine that enforces access controls based on user, device, location, risk, and application context.</w:t>
            </w:r>
          </w:p>
        </w:tc>
      </w:tr>
      <w:tr>
        <w:tc>
          <w:tcPr/>
          <w:p>
            <w:pPr>
              <w:pStyle w:val="Compact"/>
              <w:jc w:val="left"/>
            </w:pPr>
            <w:r>
              <w:rPr>
                <w:b/>
                <w:bCs/>
              </w:rPr>
              <w:t xml:space="preserve">CRL</w:t>
            </w:r>
          </w:p>
        </w:tc>
        <w:tc>
          <w:tcPr/>
          <w:p>
            <w:pPr>
              <w:pStyle w:val="Compact"/>
              <w:jc w:val="left"/>
            </w:pPr>
            <w:r>
              <w:t xml:space="preserve">Certificate Revocation List — a list of certificates that have been revoked before their expiration date.</w:t>
            </w:r>
          </w:p>
        </w:tc>
      </w:tr>
      <w:tr>
        <w:tc>
          <w:tcPr/>
          <w:p>
            <w:pPr>
              <w:pStyle w:val="Compact"/>
              <w:jc w:val="left"/>
            </w:pPr>
            <w:r>
              <w:rPr>
                <w:b/>
                <w:bCs/>
              </w:rPr>
              <w:t xml:space="preserve">Drift Detection</w:t>
            </w:r>
          </w:p>
        </w:tc>
        <w:tc>
          <w:tcPr/>
          <w:p>
            <w:pPr>
              <w:pStyle w:val="Compact"/>
              <w:jc w:val="left"/>
            </w:pPr>
            <w:r>
              <w:t xml:space="preserve">The automated process of comparing current infrastructure state against canonical governance artifacts to identify unauthorized or unplanned changes.</w:t>
            </w:r>
          </w:p>
        </w:tc>
      </w:tr>
      <w:tr>
        <w:tc>
          <w:tcPr/>
          <w:p>
            <w:pPr>
              <w:pStyle w:val="Compact"/>
              <w:jc w:val="left"/>
            </w:pPr>
            <w:r>
              <w:rPr>
                <w:b/>
                <w:bCs/>
              </w:rPr>
              <w:t xml:space="preserve">Entra Connect</w:t>
            </w:r>
          </w:p>
        </w:tc>
        <w:tc>
          <w:tcPr/>
          <w:p>
            <w:pPr>
              <w:pStyle w:val="Compact"/>
              <w:jc w:val="left"/>
            </w:pPr>
            <w:r>
              <w:t xml:space="preserve">Microsoft identity synchronization service (formerly Azure AD Connect) that syncs on-premises AD identities to Entra ID.</w:t>
            </w:r>
          </w:p>
        </w:tc>
      </w:tr>
      <w:tr>
        <w:tc>
          <w:tcPr/>
          <w:p>
            <w:pPr>
              <w:pStyle w:val="Compact"/>
              <w:jc w:val="left"/>
            </w:pPr>
            <w:r>
              <w:rPr>
                <w:b/>
                <w:bCs/>
              </w:rPr>
              <w:t xml:space="preserve">Entra ID</w:t>
            </w:r>
          </w:p>
        </w:tc>
        <w:tc>
          <w:tcPr/>
          <w:p>
            <w:pPr>
              <w:pStyle w:val="Compact"/>
              <w:jc w:val="left"/>
            </w:pPr>
            <w:r>
              <w:t xml:space="preserve">Microsoft Entra ID (formerly Azure Active Directory) — Microsoft's cloud identity and access management service.</w:t>
            </w:r>
          </w:p>
        </w:tc>
      </w:tr>
      <w:tr>
        <w:tc>
          <w:tcPr/>
          <w:p>
            <w:pPr>
              <w:pStyle w:val="Compact"/>
              <w:jc w:val="left"/>
            </w:pPr>
            <w:r>
              <w:rPr>
                <w:b/>
                <w:bCs/>
              </w:rPr>
              <w:t xml:space="preserve">ESC1–ESC8</w:t>
            </w:r>
          </w:p>
        </w:tc>
        <w:tc>
          <w:tcPr/>
          <w:p>
            <w:pPr>
              <w:pStyle w:val="Compact"/>
              <w:jc w:val="left"/>
            </w:pPr>
            <w:r>
              <w:t xml:space="preserve">Escalation vulnerability classes (ESC1 through ESC8) in Active Directory Certificate Services, as documented by SpecterOps. Each class represents a distinct misconfiguration pattern that could allow privilege escalation.</w:t>
            </w:r>
          </w:p>
        </w:tc>
      </w:tr>
      <w:tr>
        <w:tc>
          <w:tcPr/>
          <w:p>
            <w:pPr>
              <w:pStyle w:val="Compact"/>
              <w:jc w:val="left"/>
            </w:pPr>
            <w:r>
              <w:rPr>
                <w:b/>
                <w:bCs/>
              </w:rPr>
              <w:t xml:space="preserve">Gitea</w:t>
            </w:r>
          </w:p>
        </w:tc>
        <w:tc>
          <w:tcPr/>
          <w:p>
            <w:pPr>
              <w:pStyle w:val="Compact"/>
              <w:jc w:val="left"/>
            </w:pPr>
            <w:r>
              <w:t xml:space="preserve">A lightweight, self-hosted Git service used as the Federal Modernization Program governance repository platform.</w:t>
            </w:r>
          </w:p>
        </w:tc>
      </w:tr>
      <w:tr>
        <w:tc>
          <w:tcPr/>
          <w:p>
            <w:pPr>
              <w:pStyle w:val="Compact"/>
              <w:jc w:val="left"/>
            </w:pPr>
            <w:r>
              <w:rPr>
                <w:b/>
                <w:bCs/>
              </w:rPr>
              <w:t xml:space="preserve">gMSA</w:t>
            </w:r>
          </w:p>
        </w:tc>
        <w:tc>
          <w:tcPr/>
          <w:p>
            <w:pPr>
              <w:pStyle w:val="Compact"/>
              <w:jc w:val="left"/>
            </w:pPr>
            <w:r>
              <w:t xml:space="preserve">Group Managed Service Account — an AD account type that provides automatic password management for service accounts.</w:t>
            </w:r>
          </w:p>
        </w:tc>
      </w:tr>
      <w:tr>
        <w:tc>
          <w:tcPr/>
          <w:p>
            <w:pPr>
              <w:pStyle w:val="Compact"/>
              <w:jc w:val="left"/>
            </w:pPr>
            <w:r>
              <w:rPr>
                <w:b/>
                <w:bCs/>
              </w:rPr>
              <w:t xml:space="preserve">GPO</w:t>
            </w:r>
          </w:p>
        </w:tc>
        <w:tc>
          <w:tcPr/>
          <w:p>
            <w:pPr>
              <w:pStyle w:val="Compact"/>
              <w:jc w:val="left"/>
            </w:pPr>
            <w:r>
              <w:t xml:space="preserve">Group Policy Object — an AD mechanism for applying configuration settings to computers and users within an OU scope.</w:t>
            </w:r>
          </w:p>
        </w:tc>
      </w:tr>
      <w:tr>
        <w:tc>
          <w:tcPr/>
          <w:p>
            <w:pPr>
              <w:pStyle w:val="Compact"/>
              <w:jc w:val="left"/>
            </w:pPr>
            <w:r>
              <w:rPr>
                <w:b/>
                <w:bCs/>
              </w:rPr>
              <w:t xml:space="preserve">Guest Configuration</w:t>
            </w:r>
          </w:p>
        </w:tc>
        <w:tc>
          <w:tcPr/>
          <w:p>
            <w:pPr>
              <w:pStyle w:val="Compact"/>
              <w:jc w:val="left"/>
            </w:pPr>
            <w:r>
              <w:t xml:space="preserve">An Azure Policy feature (via Azure Arc) that audits and enforces OS-level settings on servers.</w:t>
            </w:r>
          </w:p>
        </w:tc>
      </w:tr>
      <w:tr>
        <w:tc>
          <w:tcPr/>
          <w:p>
            <w:pPr>
              <w:pStyle w:val="Compact"/>
              <w:jc w:val="left"/>
            </w:pPr>
            <w:r>
              <w:rPr>
                <w:b/>
                <w:bCs/>
              </w:rPr>
              <w:t xml:space="preserve">Hybrid Join</w:t>
            </w:r>
          </w:p>
        </w:tc>
        <w:tc>
          <w:tcPr/>
          <w:p>
            <w:pPr>
              <w:pStyle w:val="Compact"/>
              <w:jc w:val="left"/>
            </w:pPr>
            <w:r>
              <w:t xml:space="preserve">A device registration state where a device is joined to both on-premises AD and Entra ID simultaneously.</w:t>
            </w:r>
          </w:p>
        </w:tc>
      </w:tr>
      <w:tr>
        <w:tc>
          <w:tcPr/>
          <w:p>
            <w:pPr>
              <w:pStyle w:val="Compact"/>
              <w:jc w:val="left"/>
            </w:pPr>
            <w:r>
              <w:rPr>
                <w:b/>
                <w:bCs/>
              </w:rPr>
              <w:t xml:space="preserve">IIS</w:t>
            </w:r>
          </w:p>
        </w:tc>
        <w:tc>
          <w:tcPr/>
          <w:p>
            <w:pPr>
              <w:pStyle w:val="Compact"/>
              <w:jc w:val="left"/>
            </w:pPr>
            <w:r>
              <w:t xml:space="preserve">Internet Information Services — Microsoft's web server platform used as the reverse proxy for Gitea in the Federal Modernization Program architecture.</w:t>
            </w:r>
          </w:p>
        </w:tc>
      </w:tr>
      <w:tr>
        <w:tc>
          <w:tcPr/>
          <w:p>
            <w:pPr>
              <w:pStyle w:val="Compact"/>
              <w:jc w:val="left"/>
            </w:pPr>
            <w:r>
              <w:rPr>
                <w:b/>
                <w:bCs/>
              </w:rPr>
              <w:t xml:space="preserve">Intune</w:t>
            </w:r>
          </w:p>
        </w:tc>
        <w:tc>
          <w:tcPr/>
          <w:p>
            <w:pPr>
              <w:pStyle w:val="Compact"/>
              <w:jc w:val="left"/>
            </w:pPr>
            <w:r>
              <w:t xml:space="preserve">Microsoft Intune — a cloud-based endpoint management service for device configuration, compliance, and application management.</w:t>
            </w:r>
          </w:p>
        </w:tc>
      </w:tr>
      <w:tr>
        <w:tc>
          <w:tcPr/>
          <w:p>
            <w:pPr>
              <w:pStyle w:val="Compact"/>
              <w:jc w:val="left"/>
            </w:pPr>
            <w:r>
              <w:rPr>
                <w:b/>
                <w:bCs/>
              </w:rPr>
              <w:t xml:space="preserve">Kerberoasting</w:t>
            </w:r>
          </w:p>
        </w:tc>
        <w:tc>
          <w:tcPr/>
          <w:p>
            <w:pPr>
              <w:pStyle w:val="Compact"/>
              <w:jc w:val="left"/>
            </w:pPr>
            <w:r>
              <w:t xml:space="preserve">An attack technique that exploits Kerberos service tickets to extract service account password hashes.</w:t>
            </w:r>
          </w:p>
        </w:tc>
      </w:tr>
      <w:tr>
        <w:tc>
          <w:tcPr/>
          <w:p>
            <w:pPr>
              <w:pStyle w:val="Compact"/>
              <w:jc w:val="left"/>
            </w:pPr>
            <w:r>
              <w:rPr>
                <w:b/>
                <w:bCs/>
              </w:rPr>
              <w:t xml:space="preserve">LDAPS</w:t>
            </w:r>
          </w:p>
        </w:tc>
        <w:tc>
          <w:tcPr/>
          <w:p>
            <w:pPr>
              <w:pStyle w:val="Compact"/>
              <w:jc w:val="left"/>
            </w:pPr>
            <w:r>
              <w:t xml:space="preserve">LDAP over SSL/TLS — the encrypted version of the Lightweight Directory Access Protocol used for AD authentication.</w:t>
            </w:r>
          </w:p>
        </w:tc>
      </w:tr>
      <w:tr>
        <w:tc>
          <w:tcPr/>
          <w:p>
            <w:pPr>
              <w:pStyle w:val="Compact"/>
              <w:jc w:val="left"/>
            </w:pPr>
            <w:r>
              <w:rPr>
                <w:b/>
                <w:bCs/>
              </w:rPr>
              <w:t xml:space="preserve">NDES</w:t>
            </w:r>
          </w:p>
        </w:tc>
        <w:tc>
          <w:tcPr/>
          <w:p>
            <w:pPr>
              <w:pStyle w:val="Compact"/>
              <w:jc w:val="left"/>
            </w:pPr>
            <w:r>
              <w:t xml:space="preserve">Network Device Enrollment Service — an ADCS role service enabling SCEP certificate enrollment for network devices.</w:t>
            </w:r>
          </w:p>
        </w:tc>
      </w:tr>
      <w:tr>
        <w:tc>
          <w:tcPr/>
          <w:p>
            <w:pPr>
              <w:pStyle w:val="Compact"/>
              <w:jc w:val="left"/>
            </w:pPr>
            <w:r>
              <w:rPr>
                <w:b/>
                <w:bCs/>
              </w:rPr>
              <w:t xml:space="preserve">OIDC</w:t>
            </w:r>
          </w:p>
        </w:tc>
        <w:tc>
          <w:tcPr/>
          <w:p>
            <w:pPr>
              <w:pStyle w:val="Compact"/>
              <w:jc w:val="left"/>
            </w:pPr>
            <w:r>
              <w:t xml:space="preserve">OpenID Connect — an authentication protocol built on OAuth 2.0, used for Entra ID SSO integration with Gitea.</w:t>
            </w:r>
          </w:p>
        </w:tc>
      </w:tr>
      <w:tr>
        <w:tc>
          <w:tcPr/>
          <w:p>
            <w:pPr>
              <w:pStyle w:val="Compact"/>
              <w:jc w:val="left"/>
            </w:pPr>
            <w:r>
              <w:rPr>
                <w:b/>
                <w:bCs/>
              </w:rPr>
              <w:t xml:space="preserve">OMA-URI</w:t>
            </w:r>
          </w:p>
        </w:tc>
        <w:tc>
          <w:tcPr/>
          <w:p>
            <w:pPr>
              <w:pStyle w:val="Compact"/>
              <w:jc w:val="left"/>
            </w:pPr>
            <w:r>
              <w:t xml:space="preserve">Open Mobile Alliance Uniform Resource Identifier — a custom Intune policy format for settings not available in the Settings Catalog.</w:t>
            </w:r>
          </w:p>
        </w:tc>
      </w:tr>
      <w:tr>
        <w:tc>
          <w:tcPr/>
          <w:p>
            <w:pPr>
              <w:pStyle w:val="Compact"/>
              <w:jc w:val="left"/>
            </w:pPr>
            <w:r>
              <w:rPr>
                <w:b/>
                <w:bCs/>
              </w:rPr>
              <w:t xml:space="preserve">PAW</w:t>
            </w:r>
          </w:p>
        </w:tc>
        <w:tc>
          <w:tcPr/>
          <w:p>
            <w:pPr>
              <w:pStyle w:val="Compact"/>
              <w:jc w:val="left"/>
            </w:pPr>
            <w:r>
              <w:t xml:space="preserve">Privileged Access Workstation — a hardened workstation used for security-sensitive administrative tasks.</w:t>
            </w:r>
          </w:p>
        </w:tc>
      </w:tr>
      <w:tr>
        <w:tc>
          <w:tcPr/>
          <w:p>
            <w:pPr>
              <w:pStyle w:val="Compact"/>
              <w:jc w:val="left"/>
            </w:pPr>
            <w:r>
              <w:rPr>
                <w:b/>
                <w:bCs/>
              </w:rPr>
              <w:t xml:space="preserve">PHS</w:t>
            </w:r>
          </w:p>
        </w:tc>
        <w:tc>
          <w:tcPr/>
          <w:p>
            <w:pPr>
              <w:pStyle w:val="Compact"/>
              <w:jc w:val="left"/>
            </w:pPr>
            <w:r>
              <w:t xml:space="preserve">Password Hash Synchronization — an Entra Connect feature that syncs a hash of the on-premises AD password hash to Entra ID.</w:t>
            </w:r>
          </w:p>
        </w:tc>
      </w:tr>
      <w:tr>
        <w:tc>
          <w:tcPr/>
          <w:p>
            <w:pPr>
              <w:pStyle w:val="Compact"/>
              <w:jc w:val="left"/>
            </w:pPr>
            <w:r>
              <w:rPr>
                <w:b/>
                <w:bCs/>
              </w:rPr>
              <w:t xml:space="preserve">PIM</w:t>
            </w:r>
          </w:p>
        </w:tc>
        <w:tc>
          <w:tcPr/>
          <w:p>
            <w:pPr>
              <w:pStyle w:val="Compact"/>
              <w:jc w:val="left"/>
            </w:pPr>
            <w:r>
              <w:t xml:space="preserve">Privileged Identity Management — an Entra ID feature providing just-in-time, time-bound, and approval-based activation of privileged roles.</w:t>
            </w:r>
          </w:p>
        </w:tc>
      </w:tr>
      <w:tr>
        <w:tc>
          <w:tcPr/>
          <w:p>
            <w:pPr>
              <w:pStyle w:val="Compact"/>
              <w:jc w:val="left"/>
            </w:pPr>
            <w:r>
              <w:rPr>
                <w:b/>
                <w:bCs/>
              </w:rPr>
              <w:t xml:space="preserve">PKCS</w:t>
            </w:r>
          </w:p>
        </w:tc>
        <w:tc>
          <w:tcPr/>
          <w:p>
            <w:pPr>
              <w:pStyle w:val="Compact"/>
              <w:jc w:val="left"/>
            </w:pPr>
            <w:r>
              <w:t xml:space="preserve">Public Key Cryptography Standards — a certificate enrollment protocol used by Intune for certificate deployment.</w:t>
            </w:r>
          </w:p>
        </w:tc>
      </w:tr>
      <w:tr>
        <w:tc>
          <w:tcPr/>
          <w:p>
            <w:pPr>
              <w:pStyle w:val="Compact"/>
              <w:jc w:val="left"/>
            </w:pPr>
            <w:r>
              <w:rPr>
                <w:b/>
                <w:bCs/>
              </w:rPr>
              <w:t xml:space="preserve">Private Resolver</w:t>
            </w:r>
          </w:p>
        </w:tc>
        <w:tc>
          <w:tcPr/>
          <w:p>
            <w:pPr>
              <w:pStyle w:val="Compact"/>
              <w:jc w:val="left"/>
            </w:pPr>
            <w:r>
              <w:t xml:space="preserve">Azure DNS Private Resolver — a cloud-native DNS forwarding service enabling hybrid DNS resolution between on-premises and Azure networks.</w:t>
            </w:r>
          </w:p>
        </w:tc>
      </w:tr>
      <w:tr>
        <w:tc>
          <w:tcPr/>
          <w:p>
            <w:pPr>
              <w:pStyle w:val="Compact"/>
              <w:jc w:val="left"/>
            </w:pPr>
            <w:r>
              <w:rPr>
                <w:b/>
                <w:bCs/>
              </w:rPr>
              <w:t xml:space="preserve">PTA</w:t>
            </w:r>
          </w:p>
        </w:tc>
        <w:tc>
          <w:tcPr/>
          <w:p>
            <w:pPr>
              <w:pStyle w:val="Compact"/>
              <w:jc w:val="left"/>
            </w:pPr>
            <w:r>
              <w:t xml:space="preserve">Pass-Through Authentication — an Entra Connect feature that validates passwords directly against on-premises AD without syncing hashes.</w:t>
            </w:r>
          </w:p>
        </w:tc>
      </w:tr>
      <w:tr>
        <w:tc>
          <w:tcPr/>
          <w:p>
            <w:pPr>
              <w:pStyle w:val="Compact"/>
              <w:jc w:val="left"/>
            </w:pPr>
            <w:r>
              <w:rPr>
                <w:b/>
                <w:bCs/>
              </w:rPr>
              <w:t xml:space="preserve">RSAT</w:t>
            </w:r>
          </w:p>
        </w:tc>
        <w:tc>
          <w:tcPr/>
          <w:p>
            <w:pPr>
              <w:pStyle w:val="Compact"/>
              <w:jc w:val="left"/>
            </w:pPr>
            <w:r>
              <w:t xml:space="preserve">Remote Server Administration Tools — Windows management tools for administering AD, DNS, ADCS, and other server roles remotely.</w:t>
            </w:r>
          </w:p>
        </w:tc>
      </w:tr>
      <w:tr>
        <w:tc>
          <w:tcPr/>
          <w:p>
            <w:pPr>
              <w:pStyle w:val="Compact"/>
              <w:jc w:val="left"/>
            </w:pPr>
            <w:r>
              <w:rPr>
                <w:b/>
                <w:bCs/>
              </w:rPr>
              <w:t xml:space="preserve">SCEP</w:t>
            </w:r>
          </w:p>
        </w:tc>
        <w:tc>
          <w:tcPr/>
          <w:p>
            <w:pPr>
              <w:pStyle w:val="Compact"/>
              <w:jc w:val="left"/>
            </w:pPr>
            <w:r>
              <w:t xml:space="preserve">Simple Certificate Enrollment Protocol — a protocol for automated certificate enrollment, used by Intune for device certificate deployment.</w:t>
            </w:r>
          </w:p>
        </w:tc>
      </w:tr>
      <w:tr>
        <w:tc>
          <w:tcPr/>
          <w:p>
            <w:pPr>
              <w:pStyle w:val="Compact"/>
              <w:jc w:val="left"/>
            </w:pPr>
            <w:r>
              <w:rPr>
                <w:b/>
                <w:bCs/>
              </w:rPr>
              <w:t xml:space="preserve">Settings Catalog</w:t>
            </w:r>
          </w:p>
        </w:tc>
        <w:tc>
          <w:tcPr/>
          <w:p>
            <w:pPr>
              <w:pStyle w:val="Compact"/>
              <w:jc w:val="left"/>
            </w:pPr>
            <w:r>
              <w:t xml:space="preserve">The modern Intune policy configuration surface that provides granular, per-setting control equivalent to Group Policy.</w:t>
            </w:r>
          </w:p>
        </w:tc>
      </w:tr>
      <w:tr>
        <w:tc>
          <w:tcPr/>
          <w:p>
            <w:pPr>
              <w:pStyle w:val="Compact"/>
              <w:jc w:val="left"/>
            </w:pPr>
            <w:r>
              <w:rPr>
                <w:b/>
                <w:bCs/>
              </w:rPr>
              <w:t xml:space="preserve">SLA</w:t>
            </w:r>
          </w:p>
        </w:tc>
        <w:tc>
          <w:tcPr/>
          <w:p>
            <w:pPr>
              <w:pStyle w:val="Compact"/>
              <w:jc w:val="left"/>
            </w:pPr>
            <w:r>
              <w:t xml:space="preserve">Service Level Agreement — a defined target for detection and remediation timeframes, used in the Federal Modernization Program drift remediation framework.</w:t>
            </w:r>
          </w:p>
        </w:tc>
      </w:tr>
      <w:tr>
        <w:tc>
          <w:tcPr/>
          <w:p>
            <w:pPr>
              <w:pStyle w:val="Compact"/>
              <w:jc w:val="left"/>
            </w:pPr>
            <w:r>
              <w:rPr>
                <w:b/>
                <w:bCs/>
              </w:rPr>
              <w:t xml:space="preserve">SPN</w:t>
            </w:r>
          </w:p>
        </w:tc>
        <w:tc>
          <w:tcPr/>
          <w:p>
            <w:pPr>
              <w:pStyle w:val="Compact"/>
              <w:jc w:val="left"/>
            </w:pPr>
            <w:r>
              <w:t xml:space="preserve">Service Principal Name — a Kerberos identifier for a service instance, relevant for Kerberoasting risk assessment.</w:t>
            </w:r>
          </w:p>
        </w:tc>
      </w:tr>
      <w:tr>
        <w:tc>
          <w:tcPr/>
          <w:p>
            <w:pPr>
              <w:pStyle w:val="Compact"/>
              <w:jc w:val="left"/>
            </w:pPr>
            <w:r>
              <w:rPr>
                <w:b/>
                <w:bCs/>
              </w:rPr>
              <w:t xml:space="preserve">SRV Record</w:t>
            </w:r>
          </w:p>
        </w:tc>
        <w:tc>
          <w:tcPr/>
          <w:p>
            <w:pPr>
              <w:pStyle w:val="Compact"/>
              <w:jc w:val="left"/>
            </w:pPr>
            <w:r>
              <w:t xml:space="preserve">A DNS record type used by AD for service location (e.g., domain controller discovery via _ldap._tcp).</w:t>
            </w:r>
          </w:p>
        </w:tc>
      </w:tr>
      <w:tr>
        <w:tc>
          <w:tcPr/>
          <w:p>
            <w:pPr>
              <w:pStyle w:val="Compact"/>
              <w:jc w:val="left"/>
            </w:pPr>
            <w:r>
              <w:rPr>
                <w:b/>
                <w:bCs/>
              </w:rPr>
              <w:t xml:space="preserve">Strong Mapping</w:t>
            </w:r>
          </w:p>
        </w:tc>
        <w:tc>
          <w:tcPr/>
          <w:p>
            <w:pPr>
              <w:pStyle w:val="Compact"/>
              <w:jc w:val="left"/>
            </w:pPr>
            <w:r>
              <w:t xml:space="preserve">A certificate-to-identity binding method required by Microsoft's KB5014754 enforcement for certificate-based authentication against AD.</w:t>
            </w:r>
          </w:p>
        </w:tc>
      </w:tr>
      <w:tr>
        <w:tc>
          <w:tcPr/>
          <w:p>
            <w:pPr>
              <w:pStyle w:val="Compact"/>
              <w:jc w:val="left"/>
            </w:pPr>
            <w:r>
              <w:t xml:space="preserve">**The Federal Modernizatio</w:t>
            </w:r>
          </w:p>
        </w:tc>
        <w:tc>
          <w:tcPr/>
          <w:p>
            <w:pPr>
              <w:pStyle w:val="Compact"/>
              <w:jc w:val="left"/>
            </w:pPr>
            <w:r>
              <w:t xml:space="preserve">n Program** Unified Infrastructure Administration and Operations — the governance framework and toolset for managing AD modernization as code.</w:t>
            </w:r>
          </w:p>
        </w:tc>
      </w:tr>
      <w:tr>
        <w:tc>
          <w:tcPr/>
          <w:p>
            <w:pPr>
              <w:pStyle w:val="Compact"/>
              <w:jc w:val="left"/>
            </w:pPr>
            <w:r>
              <w:rPr>
                <w:b/>
                <w:bCs/>
              </w:rPr>
              <w:t xml:space="preserve">Workload Identity</w:t>
            </w:r>
          </w:p>
        </w:tc>
        <w:tc>
          <w:tcPr/>
          <w:p>
            <w:pPr>
              <w:pStyle w:val="Compact"/>
              <w:jc w:val="left"/>
            </w:pPr>
            <w:r>
              <w:t xml:space="preserve">Microsoft Entra Workload Identity — cloud-native identity for applications and services, replacing traditional service accounts.</w:t>
            </w:r>
          </w:p>
        </w:tc>
      </w:tr>
    </w:tbl>
    <w:p>
      <w:pPr>
        <w:pStyle w:val="BodyText"/>
      </w:pPr>
      <w:r>
        <w:t xml:space="preserve">FMP_013_Master_Project_Plan_v1.0 | Classification: Controlled | Boundary: GCC-Moderate</w:t>
      </w:r>
      <w:r>
        <w:br/>
      </w:r>
      <w:r>
        <w:t xml:space="preserve">Generated 21 April 2026 | Canon Steward: Michael | Repository: https://github.com/WhalerMike/modernization-workbook</w:t>
      </w:r>
      <w:r>
        <w:br/>
      </w:r>
      <w:r>
        <w:t xml:space="preserve">Status: DRAFT — Pending Canon Steward review and steering committee approval</w:t>
      </w:r>
    </w:p>
    <w:p>
      <w:r>
        <w:pict>
          <v:rect style="width:0;height:1.5pt" o:hralign="center" o:hrstd="t" o:hr="t"/>
        </w:pict>
      </w:r>
    </w:p>
    <w:bookmarkStart w:id="579" w:name="Xb26d8590322ee3b38c3eb27e4b47f251b49a1da"/>
    <w:p>
      <w:pPr>
        <w:pStyle w:val="Heading2"/>
      </w:pPr>
      <w:r>
        <w:t xml:space="preserve">Compliance Amendment — Control Traceability and Risk Register (</w:t>
      </w:r>
      <w:r>
        <w:rPr>
          <w:rStyle w:val="VerbatimChar"/>
        </w:rPr>
        <w:t xml:space="preserve">PL-2</w:t>
      </w:r>
      <w:r>
        <w:t xml:space="preserve">,</w:t>
      </w:r>
      <w:r>
        <w:t xml:space="preserve"> </w:t>
      </w:r>
      <w:r>
        <w:rPr>
          <w:rStyle w:val="VerbatimChar"/>
        </w:rPr>
        <w:t xml:space="preserve">RA-3</w:t>
      </w:r>
      <w:r>
        <w:t xml:space="preserve">)</w:t>
      </w:r>
    </w:p>
    <w:bookmarkStart w:id="577" w:name="X28112829499d8dbe5ce3004739e1588679d6cc2"/>
    <w:p>
      <w:pPr>
        <w:pStyle w:val="Heading3"/>
      </w:pPr>
      <w:r>
        <w:t xml:space="preserve">Milestone-to-control-family traceability (</w:t>
      </w:r>
      <w:r>
        <w:rPr>
          <w:rStyle w:val="VerbatimChar"/>
        </w:rPr>
        <w:t xml:space="preserve">PL-2</w:t>
      </w:r>
      <w:r>
        <w:t xml:space="preserve">)</w:t>
      </w:r>
    </w:p>
    <w:p>
      <w:pPr>
        <w:pStyle w:val="FirstParagraph"/>
      </w:pPr>
      <w:r>
        <w:t xml:space="preserve">Each program milestone is mapped to the NIST 800-53 control families it advances, so that program progress is traceable to control coverage. This traceability complements the SSP (</w:t>
      </w:r>
      <w:r>
        <w:rPr>
          <w:rStyle w:val="VerbatimChar"/>
        </w:rPr>
        <w:t xml:space="preserve">FMP_185</w:t>
      </w:r>
      <w:r>
        <w:t xml:space="preserve">), which holds the authoritative per-control disposition; the program plan references control families at the milestone level.</w:t>
      </w:r>
    </w:p>
    <w:bookmarkEnd w:id="577"/>
    <w:bookmarkStart w:id="578" w:name="risk-register-ra-3"/>
    <w:p>
      <w:pPr>
        <w:pStyle w:val="Heading3"/>
      </w:pPr>
      <w:r>
        <w:t xml:space="preserve">Risk register (</w:t>
      </w:r>
      <w:r>
        <w:rPr>
          <w:rStyle w:val="VerbatimChar"/>
        </w:rPr>
        <w:t xml:space="preserve">RA-3</w:t>
      </w:r>
      <w:r>
        <w:t xml:space="preserve">)</w:t>
      </w:r>
    </w:p>
    <w:p>
      <w:pPr>
        <w:pStyle w:val="FirstParagraph"/>
      </w:pPr>
      <w:r>
        <w:t xml:space="preserve">The program maintains a risk register recording identified program and security risks, their likelihood/impact rating, owner, mitigation, and status. Security risks with residual exposure are cross-referenced to POA&amp;M items (</w:t>
      </w:r>
      <w:r>
        <w:rPr>
          <w:rStyle w:val="VerbatimChar"/>
        </w:rPr>
        <w:t xml:space="preserve">FMP_189</w:t>
      </w:r>
      <w:r>
        <w:t xml:space="preserve">); the register is reviewed at each phase gate per</w:t>
      </w:r>
      <w:r>
        <w:t xml:space="preserve"> </w:t>
      </w:r>
      <w:r>
        <w:rPr>
          <w:rStyle w:val="VerbatimChar"/>
        </w:rPr>
        <w:t xml:space="preserve">RA-3</w:t>
      </w:r>
      <w:r>
        <w:t xml:space="preserve">.</w:t>
      </w:r>
    </w:p>
    <w:bookmarkEnd w:id="578"/>
    <w:bookmarkEnd w:id="579"/>
    <w:bookmarkEnd w:id="580"/>
    <w:bookmarkStart w:id="612" w:name="X569f0041b1f03611ae2d5f1d2464286a730d3c8"/>
    <w:p>
      <w:pPr>
        <w:pStyle w:val="Heading1"/>
      </w:pPr>
      <w:r>
        <w:t xml:space="preserve">Microsoft Entra ID — Identity Telemetry Emission</w:t>
      </w:r>
    </w:p>
    <w:bookmarkStart w:id="583" w:name="prerequisites-2"/>
    <w:p>
      <w:pPr>
        <w:pStyle w:val="Heading2"/>
      </w:pPr>
      <w:r>
        <w:t xml:space="preserve">Prerequisites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Detail</w:t>
            </w:r>
          </w:p>
        </w:tc>
      </w:tr>
      <w:tr>
        <w:tc>
          <w:tcPr/>
          <w:p>
            <w:pPr>
              <w:pStyle w:val="Compact"/>
            </w:pPr>
            <w:r>
              <w:t xml:space="preserve">Role</w:t>
            </w:r>
          </w:p>
        </w:tc>
        <w:tc>
          <w:tcPr/>
          <w:p>
            <w:pPr>
              <w:pStyle w:val="Compact"/>
            </w:pPr>
            <w:r>
              <w:rPr>
                <w:b/>
                <w:bCs/>
              </w:rPr>
              <w:t xml:space="preserve">Security Administrator</w:t>
            </w:r>
            <w:r>
              <w:t xml:space="preserve"> </w:t>
            </w:r>
            <w:r>
              <w:t xml:space="preserve">on the Entra tenant — required to create or edit any diagnostic setting (</w:t>
            </w:r>
            <w:hyperlink r:id="rId581">
              <w:r>
                <w:rPr>
                  <w:rStyle w:val="Hyperlink"/>
                </w:rPr>
                <w:t xml:space="preserve">log options reference</w:t>
              </w:r>
            </w:hyperlink>
            <w:r>
              <w:t xml:space="preserve">)</w:t>
            </w:r>
          </w:p>
        </w:tc>
      </w:tr>
      <w:tr>
        <w:tc>
          <w:tcPr/>
          <w:p>
            <w:pPr>
              <w:pStyle w:val="Compact"/>
            </w:pPr>
            <w:r>
              <w:t xml:space="preserve">Additional role</w:t>
            </w:r>
          </w:p>
        </w:tc>
        <w:tc>
          <w:tcPr/>
          <w:p>
            <w:pPr>
              <w:pStyle w:val="Compact"/>
            </w:pPr>
            <w:r>
              <w:rPr>
                <w:b/>
                <w:bCs/>
              </w:rPr>
              <w:t xml:space="preserve">Attribute Log Administrator</w:t>
            </w:r>
            <w:r>
              <w:t xml:space="preserve"> </w:t>
            </w:r>
            <w:r>
              <w:rPr>
                <w:i/>
                <w:iCs/>
              </w:rPr>
              <w:t xml:space="preserve">plus</w:t>
            </w:r>
            <w:r>
              <w:t xml:space="preserve"> </w:t>
            </w:r>
            <w:r>
              <w:t xml:space="preserve">Security Administrator, if routing</w:t>
            </w:r>
            <w:r>
              <w:t xml:space="preserve"> </w:t>
            </w:r>
            <w:r>
              <w:rPr>
                <w:rStyle w:val="VerbatimChar"/>
              </w:rPr>
              <w:t xml:space="preserve">CustomSecurityAttributeAuditLogs</w:t>
            </w:r>
          </w:p>
        </w:tc>
      </w:tr>
      <w:tr>
        <w:tc>
          <w:tcPr/>
          <w:p>
            <w:pPr>
              <w:pStyle w:val="Compact"/>
            </w:pPr>
            <w:r>
              <w:t xml:space="preserve">Destination</w:t>
            </w:r>
          </w:p>
        </w:tc>
        <w:tc>
          <w:tcPr/>
          <w:p>
            <w:pPr>
              <w:pStyle w:val="Compact"/>
            </w:pPr>
            <w:r>
              <w:t xml:space="preserve">Log Analytics workspace, Event Hubs namespace, or storage account —</w:t>
            </w:r>
            <w:r>
              <w:t xml:space="preserve"> </w:t>
            </w:r>
            <w:r>
              <w:rPr>
                <w:b/>
                <w:bCs/>
              </w:rPr>
              <w:t xml:space="preserve">must exist before</w:t>
            </w:r>
            <w:r>
              <w:t xml:space="preserve"> </w:t>
            </w:r>
            <w:r>
              <w:t xml:space="preserve">the diagnostic setting is created</w:t>
            </w:r>
          </w:p>
        </w:tc>
      </w:tr>
      <w:tr>
        <w:tc>
          <w:tcPr/>
          <w:p>
            <w:pPr>
              <w:pStyle w:val="Compact"/>
            </w:pPr>
            <w:r>
              <w:t xml:space="preserve">License</w:t>
            </w:r>
          </w:p>
        </w:tc>
        <w:tc>
          <w:tcPr/>
          <w:p>
            <w:pPr>
              <w:pStyle w:val="Compact"/>
            </w:pPr>
            <w:r>
              <w:rPr>
                <w:rStyle w:val="VerbatimChar"/>
              </w:rPr>
              <w:t xml:space="preserve">MicrosoftGraphActivityLogs</w:t>
            </w:r>
            <w:r>
              <w:t xml:space="preserve"> </w:t>
            </w:r>
            <w:r>
              <w:t xml:space="preserve">requires Entra ID</w:t>
            </w:r>
            <w:r>
              <w:t xml:space="preserve"> </w:t>
            </w:r>
            <w:r>
              <w:rPr>
                <w:b/>
                <w:bCs/>
              </w:rPr>
              <w:t xml:space="preserve">P1 or P2</w:t>
            </w:r>
            <w:r>
              <w:t xml:space="preserve"> </w:t>
            </w:r>
            <w:r>
              <w:t xml:space="preserve">(</w:t>
            </w:r>
            <w:hyperlink r:id="rId582">
              <w:r>
                <w:rPr>
                  <w:rStyle w:val="Hyperlink"/>
                </w:rPr>
                <w:t xml:space="preserve">data retention</w:t>
              </w:r>
            </w:hyperlink>
            <w:r>
              <w:t xml:space="preserve">)</w:t>
            </w:r>
          </w:p>
        </w:tc>
      </w:tr>
      <w:tr>
        <w:tc>
          <w:tcPr/>
          <w:p>
            <w:pPr>
              <w:pStyle w:val="Compact"/>
            </w:pPr>
            <w:r>
              <w:t xml:space="preserve">Tenancy</w:t>
            </w:r>
          </w:p>
        </w:tc>
        <w:tc>
          <w:tcPr/>
          <w:p>
            <w:pPr>
              <w:pStyle w:val="Compact"/>
            </w:pPr>
            <w:r>
              <w:t xml:space="preserve">The subscription and Event Hubs namespace must be associated with the same Entra tenant whose logs you are streaming</w:t>
            </w:r>
          </w:p>
        </w:tc>
      </w:tr>
    </w:tbl>
    <w:bookmarkEnd w:id="583"/>
    <w:bookmarkStart w:id="586" w:name="the-log-categories"/>
    <w:p>
      <w:pPr>
        <w:pStyle w:val="Heading2"/>
      </w:pPr>
      <w:r>
        <w:t xml:space="preserve">The log categories</w:t>
      </w:r>
    </w:p>
    <w:p>
      <w:pPr>
        <w:pStyle w:val="FirstParagraph"/>
      </w:pPr>
      <w:r>
        <w:t xml:space="preserve">These are every category Entra diagnostic settings can route, with the</w:t>
      </w:r>
      <w:r>
        <w:t xml:space="preserve"> </w:t>
      </w:r>
      <w:r>
        <w:t xml:space="preserve">Log Analytics table each lands in. Categories marked</w:t>
      </w:r>
      <w:r>
        <w:t xml:space="preserve"> </w:t>
      </w:r>
      <w:r>
        <w:rPr>
          <w:b/>
          <w:bCs/>
        </w:rPr>
        <w:t xml:space="preserve">Core</w:t>
      </w:r>
      <w:r>
        <w:t xml:space="preserve"> </w:t>
      </w:r>
      <w:r>
        <w:t xml:space="preserve">carry the</w:t>
      </w:r>
      <w:r>
        <w:t xml:space="preserve"> </w:t>
      </w:r>
      <w:r>
        <w:t xml:space="preserve">AU-2 / AU-3 / AU-12 evidence stream and should be enabled in every federal</w:t>
      </w:r>
      <w:r>
        <w:t xml:space="preserve"> </w:t>
      </w:r>
      <w:r>
        <w:t xml:space="preserve">tenant regardless of feature adoption.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Log Analytics table</w:t>
            </w:r>
          </w:p>
        </w:tc>
        <w:tc>
          <w:tcPr/>
          <w:p>
            <w:pPr>
              <w:pStyle w:val="Compact"/>
            </w:pPr>
            <w:r>
              <w:t xml:space="preserve">Tier</w:t>
            </w:r>
          </w:p>
        </w:tc>
        <w:tc>
          <w:tcPr/>
          <w:p>
            <w:pPr>
              <w:pStyle w:val="Compact"/>
            </w:pPr>
            <w:r>
              <w:t xml:space="preserve">What it captures</w:t>
            </w:r>
          </w:p>
        </w:tc>
      </w:tr>
      <w:tr>
        <w:tc>
          <w:tcPr/>
          <w:p>
            <w:pPr>
              <w:pStyle w:val="Compact"/>
            </w:pPr>
            <w:r>
              <w:rPr>
                <w:rStyle w:val="VerbatimChar"/>
              </w:rPr>
              <w:t xml:space="preserve">AuditLogs</w:t>
            </w:r>
          </w:p>
        </w:tc>
        <w:tc>
          <w:tcPr/>
          <w:p>
            <w:pPr>
              <w:pStyle w:val="Compact"/>
            </w:pPr>
            <w:r>
              <w:rPr>
                <w:rStyle w:val="VerbatimChar"/>
              </w:rPr>
              <w:t xml:space="preserve">AuditLogs</w:t>
            </w:r>
          </w:p>
        </w:tc>
        <w:tc>
          <w:tcPr/>
          <w:p>
            <w:pPr>
              <w:pStyle w:val="Compact"/>
            </w:pPr>
            <w:r>
              <w:rPr>
                <w:b/>
                <w:bCs/>
              </w:rPr>
              <w:t xml:space="preserve">Core</w:t>
            </w:r>
          </w:p>
        </w:tc>
        <w:tc>
          <w:tcPr/>
          <w:p>
            <w:pPr>
              <w:pStyle w:val="Compact"/>
            </w:pPr>
            <w:r>
              <w:t xml:space="preserve">Directory changes — users, groups, apps, licenses, roles, policy</w:t>
            </w:r>
          </w:p>
        </w:tc>
      </w:tr>
      <w:tr>
        <w:tc>
          <w:tcPr/>
          <w:p>
            <w:pPr>
              <w:pStyle w:val="Compact"/>
            </w:pPr>
            <w:r>
              <w:rPr>
                <w:rStyle w:val="VerbatimChar"/>
              </w:rPr>
              <w:t xml:space="preserve">SignInLogs</w:t>
            </w:r>
          </w:p>
        </w:tc>
        <w:tc>
          <w:tcPr/>
          <w:p>
            <w:pPr>
              <w:pStyle w:val="Compact"/>
            </w:pPr>
            <w:r>
              <w:rPr>
                <w:rStyle w:val="VerbatimChar"/>
              </w:rPr>
              <w:t xml:space="preserve">SigninLogs</w:t>
            </w:r>
          </w:p>
        </w:tc>
        <w:tc>
          <w:tcPr/>
          <w:p>
            <w:pPr>
              <w:pStyle w:val="Compact"/>
            </w:pPr>
            <w:r>
              <w:rPr>
                <w:b/>
                <w:bCs/>
              </w:rPr>
              <w:t xml:space="preserve">Core</w:t>
            </w:r>
          </w:p>
        </w:tc>
        <w:tc>
          <w:tcPr/>
          <w:p>
            <w:pPr>
              <w:pStyle w:val="Compact"/>
            </w:pPr>
            <w:r>
              <w:t xml:space="preserve">Interactive user sign-ins (username/password, MFA challenge)</w:t>
            </w:r>
          </w:p>
        </w:tc>
      </w:tr>
      <w:tr>
        <w:tc>
          <w:tcPr/>
          <w:p>
            <w:pPr>
              <w:pStyle w:val="Compact"/>
            </w:pPr>
            <w:r>
              <w:rPr>
                <w:rStyle w:val="VerbatimChar"/>
              </w:rPr>
              <w:t xml:space="preserve">NonInteractiveUserSignInLogs</w:t>
            </w:r>
          </w:p>
        </w:tc>
        <w:tc>
          <w:tcPr/>
          <w:p>
            <w:pPr>
              <w:pStyle w:val="Compact"/>
            </w:pPr>
            <w:r>
              <w:rPr>
                <w:rStyle w:val="VerbatimChar"/>
              </w:rPr>
              <w:t xml:space="preserve">AADNonInteractiveUserSignInLogs</w:t>
            </w:r>
          </w:p>
        </w:tc>
        <w:tc>
          <w:tcPr/>
          <w:p>
            <w:pPr>
              <w:pStyle w:val="Compact"/>
            </w:pPr>
            <w:r>
              <w:rPr>
                <w:b/>
                <w:bCs/>
              </w:rPr>
              <w:t xml:space="preserve">Core</w:t>
            </w:r>
          </w:p>
        </w:tc>
        <w:tc>
          <w:tcPr/>
          <w:p>
            <w:pPr>
              <w:pStyle w:val="Compact"/>
            </w:pPr>
            <w:r>
              <w:t xml:space="preserve">Sign-ins on behalf of a user by a client app using a token or code</w:t>
            </w:r>
          </w:p>
        </w:tc>
      </w:tr>
      <w:tr>
        <w:tc>
          <w:tcPr/>
          <w:p>
            <w:pPr>
              <w:pStyle w:val="Compact"/>
            </w:pPr>
            <w:r>
              <w:rPr>
                <w:rStyle w:val="VerbatimChar"/>
              </w:rPr>
              <w:t xml:space="preserve">ServicePrincipalSignInLogs</w:t>
            </w:r>
          </w:p>
        </w:tc>
        <w:tc>
          <w:tcPr/>
          <w:p>
            <w:pPr>
              <w:pStyle w:val="Compact"/>
            </w:pPr>
            <w:r>
              <w:rPr>
                <w:rStyle w:val="VerbatimChar"/>
              </w:rPr>
              <w:t xml:space="preserve">AADServicePrincipalSignInLogs</w:t>
            </w:r>
          </w:p>
        </w:tc>
        <w:tc>
          <w:tcPr/>
          <w:p>
            <w:pPr>
              <w:pStyle w:val="Compact"/>
            </w:pPr>
            <w:r>
              <w:rPr>
                <w:b/>
                <w:bCs/>
              </w:rPr>
              <w:t xml:space="preserve">Core</w:t>
            </w:r>
          </w:p>
        </w:tc>
        <w:tc>
          <w:tcPr/>
          <w:p>
            <w:pPr>
              <w:pStyle w:val="Compact"/>
            </w:pPr>
            <w:r>
              <w:t xml:space="preserve">App / service-principal authentication via certificate or client secret</w:t>
            </w:r>
          </w:p>
        </w:tc>
      </w:tr>
      <w:tr>
        <w:tc>
          <w:tcPr/>
          <w:p>
            <w:pPr>
              <w:pStyle w:val="Compact"/>
            </w:pPr>
            <w:r>
              <w:rPr>
                <w:rStyle w:val="VerbatimChar"/>
              </w:rPr>
              <w:t xml:space="preserve">ManagedIdentitySignInLogs</w:t>
            </w:r>
          </w:p>
        </w:tc>
        <w:tc>
          <w:tcPr/>
          <w:p>
            <w:pPr>
              <w:pStyle w:val="Compact"/>
            </w:pPr>
            <w:r>
              <w:rPr>
                <w:rStyle w:val="VerbatimChar"/>
              </w:rPr>
              <w:t xml:space="preserve">AADManagedIdentitySignInLogs</w:t>
            </w:r>
          </w:p>
        </w:tc>
        <w:tc>
          <w:tcPr/>
          <w:p>
            <w:pPr>
              <w:pStyle w:val="Compact"/>
            </w:pPr>
            <w:r>
              <w:rPr>
                <w:b/>
                <w:bCs/>
              </w:rPr>
              <w:t xml:space="preserve">Core</w:t>
            </w:r>
          </w:p>
        </w:tc>
        <w:tc>
          <w:tcPr/>
          <w:p>
            <w:pPr>
              <w:pStyle w:val="Compact"/>
            </w:pPr>
            <w:r>
              <w:t xml:space="preserve">Managed-identity authentication where Azure holds the secret</w:t>
            </w:r>
          </w:p>
        </w:tc>
      </w:tr>
      <w:tr>
        <w:tc>
          <w:tcPr/>
          <w:p>
            <w:pPr>
              <w:pStyle w:val="Compact"/>
            </w:pPr>
            <w:r>
              <w:rPr>
                <w:rStyle w:val="VerbatimChar"/>
              </w:rPr>
              <w:t xml:space="preserve">ProvisioningLogs</w:t>
            </w:r>
          </w:p>
        </w:tc>
        <w:tc>
          <w:tcPr/>
          <w:p>
            <w:pPr>
              <w:pStyle w:val="Compact"/>
            </w:pPr>
            <w:r>
              <w:rPr>
                <w:rStyle w:val="VerbatimChar"/>
              </w:rPr>
              <w:t xml:space="preserve">AADProvisioningLogs</w:t>
            </w:r>
          </w:p>
        </w:tc>
        <w:tc>
          <w:tcPr/>
          <w:p>
            <w:pPr>
              <w:pStyle w:val="Compact"/>
            </w:pPr>
            <w:r>
              <w:rPr>
                <w:b/>
                <w:bCs/>
              </w:rPr>
              <w:t xml:space="preserve">Core</w:t>
            </w:r>
          </w:p>
        </w:tc>
        <w:tc>
          <w:tcPr/>
          <w:p>
            <w:pPr>
              <w:pStyle w:val="Compact"/>
            </w:pPr>
            <w:r>
              <w:t xml:space="preserve">Users, groups, roles provisioned by the Entra provisioning service</w:t>
            </w:r>
          </w:p>
        </w:tc>
      </w:tr>
      <w:tr>
        <w:tc>
          <w:tcPr/>
          <w:p>
            <w:pPr>
              <w:pStyle w:val="Compact"/>
            </w:pPr>
            <w:r>
              <w:rPr>
                <w:rStyle w:val="VerbatimChar"/>
              </w:rPr>
              <w:t xml:space="preserve">MicrosoftGraphActivityLogs</w:t>
            </w:r>
          </w:p>
        </w:tc>
        <w:tc>
          <w:tcPr/>
          <w:p>
            <w:pPr>
              <w:pStyle w:val="Compact"/>
            </w:pPr>
            <w:r>
              <w:rPr>
                <w:rStyle w:val="VerbatimChar"/>
              </w:rPr>
              <w:t xml:space="preserve">MicrosoftGraphActivityLogs</w:t>
            </w:r>
          </w:p>
        </w:tc>
        <w:tc>
          <w:tcPr/>
          <w:p>
            <w:pPr>
              <w:pStyle w:val="Compact"/>
            </w:pPr>
            <w:r>
              <w:rPr>
                <w:b/>
                <w:bCs/>
              </w:rPr>
              <w:t xml:space="preserve">Core</w:t>
            </w:r>
          </w:p>
        </w:tc>
        <w:tc>
          <w:tcPr/>
          <w:p>
            <w:pPr>
              <w:pStyle w:val="Compact"/>
            </w:pPr>
            <w:r>
              <w:t xml:space="preserve">Every HTTP request against tenant resources through the Graph API</w:t>
            </w:r>
          </w:p>
        </w:tc>
      </w:tr>
      <w:tr>
        <w:tc>
          <w:tcPr/>
          <w:p>
            <w:pPr>
              <w:pStyle w:val="Compact"/>
            </w:pPr>
            <w:r>
              <w:rPr>
                <w:rStyle w:val="VerbatimChar"/>
              </w:rPr>
              <w:t xml:space="preserve">RiskyUsers</w:t>
            </w:r>
          </w:p>
        </w:tc>
        <w:tc>
          <w:tcPr/>
          <w:p>
            <w:pPr>
              <w:pStyle w:val="Compact"/>
            </w:pPr>
            <w:r>
              <w:rPr>
                <w:rStyle w:val="VerbatimChar"/>
              </w:rPr>
              <w:t xml:space="preserve">AADRiskyUsers</w:t>
            </w:r>
          </w:p>
        </w:tc>
        <w:tc>
          <w:tcPr/>
          <w:p>
            <w:pPr>
              <w:pStyle w:val="Compact"/>
            </w:pPr>
            <w:r>
              <w:t xml:space="preserve">High value</w:t>
            </w:r>
          </w:p>
        </w:tc>
        <w:tc>
          <w:tcPr/>
          <w:p>
            <w:pPr>
              <w:pStyle w:val="Compact"/>
            </w:pPr>
            <w:r>
              <w:t xml:space="preserve">ID Protection — users assessed as at risk</w:t>
            </w:r>
          </w:p>
        </w:tc>
      </w:tr>
      <w:tr>
        <w:tc>
          <w:tcPr/>
          <w:p>
            <w:pPr>
              <w:pStyle w:val="Compact"/>
            </w:pPr>
            <w:r>
              <w:rPr>
                <w:rStyle w:val="VerbatimChar"/>
              </w:rPr>
              <w:t xml:space="preserve">UserRiskEvents</w:t>
            </w:r>
          </w:p>
        </w:tc>
        <w:tc>
          <w:tcPr/>
          <w:p>
            <w:pPr>
              <w:pStyle w:val="Compact"/>
            </w:pPr>
            <w:r>
              <w:rPr>
                <w:rStyle w:val="VerbatimChar"/>
              </w:rPr>
              <w:t xml:space="preserve">AADUserRiskEvents</w:t>
            </w:r>
          </w:p>
        </w:tc>
        <w:tc>
          <w:tcPr/>
          <w:p>
            <w:pPr>
              <w:pStyle w:val="Compact"/>
            </w:pPr>
            <w:r>
              <w:t xml:space="preserve">High value</w:t>
            </w:r>
          </w:p>
        </w:tc>
        <w:tc>
          <w:tcPr/>
          <w:p>
            <w:pPr>
              <w:pStyle w:val="Compact"/>
            </w:pPr>
            <w:r>
              <w:t xml:space="preserve">ID Protection — individual risk detections</w:t>
            </w:r>
          </w:p>
        </w:tc>
      </w:tr>
      <w:tr>
        <w:tc>
          <w:tcPr/>
          <w:p>
            <w:pPr>
              <w:pStyle w:val="Compact"/>
            </w:pPr>
            <w:r>
              <w:rPr>
                <w:rStyle w:val="VerbatimChar"/>
              </w:rPr>
              <w:t xml:space="preserve">RiskyServicePrincipals</w:t>
            </w:r>
          </w:p>
        </w:tc>
        <w:tc>
          <w:tcPr/>
          <w:p>
            <w:pPr>
              <w:pStyle w:val="Compact"/>
            </w:pPr>
            <w:r>
              <w:rPr>
                <w:rStyle w:val="VerbatimChar"/>
              </w:rPr>
              <w:t xml:space="preserve">AADRiskyServicePrincipals</w:t>
            </w:r>
          </w:p>
        </w:tc>
        <w:tc>
          <w:tcPr/>
          <w:p>
            <w:pPr>
              <w:pStyle w:val="Compact"/>
            </w:pPr>
            <w:r>
              <w:t xml:space="preserve">High value</w:t>
            </w:r>
          </w:p>
        </w:tc>
        <w:tc>
          <w:tcPr/>
          <w:p>
            <w:pPr>
              <w:pStyle w:val="Compact"/>
            </w:pPr>
            <w:r>
              <w:t xml:space="preserve">ID Protection — risky workload identities</w:t>
            </w:r>
          </w:p>
        </w:tc>
      </w:tr>
      <w:tr>
        <w:tc>
          <w:tcPr/>
          <w:p>
            <w:pPr>
              <w:pStyle w:val="Compact"/>
            </w:pPr>
            <w:r>
              <w:rPr>
                <w:rStyle w:val="VerbatimChar"/>
              </w:rPr>
              <w:t xml:space="preserve">ServicePrincipalRiskEvents</w:t>
            </w:r>
          </w:p>
        </w:tc>
        <w:tc>
          <w:tcPr/>
          <w:p>
            <w:pPr>
              <w:pStyle w:val="Compact"/>
            </w:pPr>
            <w:r>
              <w:rPr>
                <w:rStyle w:val="VerbatimChar"/>
              </w:rPr>
              <w:t xml:space="preserve">AADServicePrincipalRiskEvents</w:t>
            </w:r>
          </w:p>
        </w:tc>
        <w:tc>
          <w:tcPr/>
          <w:p>
            <w:pPr>
              <w:pStyle w:val="Compact"/>
            </w:pPr>
            <w:r>
              <w:t xml:space="preserve">High value</w:t>
            </w:r>
          </w:p>
        </w:tc>
        <w:tc>
          <w:tcPr/>
          <w:p>
            <w:pPr>
              <w:pStyle w:val="Compact"/>
            </w:pPr>
            <w:r>
              <w:t xml:space="preserve">ID Protection — workload-identity risk detections</w:t>
            </w:r>
          </w:p>
        </w:tc>
      </w:tr>
      <w:tr>
        <w:tc>
          <w:tcPr/>
          <w:p>
            <w:pPr>
              <w:pStyle w:val="Compact"/>
            </w:pPr>
            <w:r>
              <w:rPr>
                <w:rStyle w:val="VerbatimChar"/>
              </w:rPr>
              <w:t xml:space="preserve">ADFSSignInLogs</w:t>
            </w:r>
          </w:p>
        </w:tc>
        <w:tc>
          <w:tcPr/>
          <w:p>
            <w:pPr>
              <w:pStyle w:val="Compact"/>
            </w:pPr>
            <w:r>
              <w:rPr>
                <w:rStyle w:val="VerbatimChar"/>
              </w:rPr>
              <w:t xml:space="preserve">ADFSSignInLogs</w:t>
            </w:r>
          </w:p>
        </w:tc>
        <w:tc>
          <w:tcPr/>
          <w:p>
            <w:pPr>
              <w:pStyle w:val="Compact"/>
            </w:pPr>
            <w:r>
              <w:t xml:space="preserve">Conditional</w:t>
            </w:r>
          </w:p>
        </w:tc>
        <w:tc>
          <w:tcPr/>
          <w:p>
            <w:pPr>
              <w:pStyle w:val="Compact"/>
            </w:pPr>
            <w:r>
              <w:t xml:space="preserve">AD FS application sign-in activity — required while federation persists</w:t>
            </w:r>
          </w:p>
        </w:tc>
      </w:tr>
      <w:tr>
        <w:tc>
          <w:tcPr/>
          <w:p>
            <w:pPr>
              <w:pStyle w:val="Compact"/>
            </w:pPr>
            <w:r>
              <w:rPr>
                <w:rStyle w:val="VerbatimChar"/>
              </w:rPr>
              <w:t xml:space="preserve">CustomSecurityAttributeAuditLogs</w:t>
            </w:r>
          </w:p>
        </w:tc>
        <w:tc>
          <w:tcPr/>
          <w:p>
            <w:pPr>
              <w:pStyle w:val="Compact"/>
            </w:pPr>
            <w:r>
              <w:rPr>
                <w:rStyle w:val="VerbatimChar"/>
              </w:rPr>
              <w:t xml:space="preserve">CustomSecurityAttributeAuditLogs</w:t>
            </w:r>
          </w:p>
        </w:tc>
        <w:tc>
          <w:tcPr/>
          <w:p>
            <w:pPr>
              <w:pStyle w:val="Compact"/>
            </w:pPr>
            <w:r>
              <w:t xml:space="preserve">Conditional</w:t>
            </w:r>
          </w:p>
        </w:tc>
        <w:tc>
          <w:tcPr/>
          <w:p>
            <w:pPr>
              <w:pStyle w:val="Compact"/>
            </w:pPr>
            <w:r>
              <w:t xml:space="preserve">Changes to custom security attributes</w:t>
            </w:r>
          </w:p>
        </w:tc>
      </w:tr>
      <w:tr>
        <w:tc>
          <w:tcPr/>
          <w:p>
            <w:pPr>
              <w:pStyle w:val="Compact"/>
            </w:pPr>
            <w:r>
              <w:rPr>
                <w:rStyle w:val="VerbatimChar"/>
              </w:rPr>
              <w:t xml:space="preserve">RiskyAgents</w:t>
            </w:r>
          </w:p>
        </w:tc>
        <w:tc>
          <w:tcPr/>
          <w:p>
            <w:pPr>
              <w:pStyle w:val="Compact"/>
            </w:pPr>
            <w:r>
              <w:rPr>
                <w:rStyle w:val="VerbatimChar"/>
              </w:rPr>
              <w:t xml:space="preserve">RiskyAgents</w:t>
            </w:r>
          </w:p>
        </w:tc>
        <w:tc>
          <w:tcPr/>
          <w:p>
            <w:pPr>
              <w:pStyle w:val="Compact"/>
            </w:pPr>
            <w:r>
              <w:t xml:space="preserve">Conditional</w:t>
            </w:r>
          </w:p>
        </w:tc>
        <w:tc>
          <w:tcPr/>
          <w:p>
            <w:pPr>
              <w:pStyle w:val="Compact"/>
            </w:pPr>
            <w:r>
              <w:t xml:space="preserve">ID Protection — agent identities assessed as risky</w:t>
            </w:r>
          </w:p>
        </w:tc>
      </w:tr>
      <w:tr>
        <w:tc>
          <w:tcPr/>
          <w:p>
            <w:pPr>
              <w:pStyle w:val="Compact"/>
            </w:pPr>
            <w:r>
              <w:rPr>
                <w:rStyle w:val="VerbatimChar"/>
              </w:rPr>
              <w:t xml:space="preserve">AgentRiskEvents</w:t>
            </w:r>
          </w:p>
        </w:tc>
        <w:tc>
          <w:tcPr/>
          <w:p>
            <w:pPr>
              <w:pStyle w:val="Compact"/>
            </w:pPr>
            <w:r>
              <w:rPr>
                <w:rStyle w:val="VerbatimChar"/>
              </w:rPr>
              <w:t xml:space="preserve">AgentRiskEvents</w:t>
            </w:r>
          </w:p>
        </w:tc>
        <w:tc>
          <w:tcPr/>
          <w:p>
            <w:pPr>
              <w:pStyle w:val="Compact"/>
            </w:pPr>
            <w:r>
              <w:t xml:space="preserve">Conditional</w:t>
            </w:r>
          </w:p>
        </w:tc>
        <w:tc>
          <w:tcPr/>
          <w:p>
            <w:pPr>
              <w:pStyle w:val="Compact"/>
            </w:pPr>
            <w:r>
              <w:t xml:space="preserve">ID Protection — agent risk detections</w:t>
            </w:r>
          </w:p>
        </w:tc>
      </w:tr>
      <w:tr>
        <w:tc>
          <w:tcPr/>
          <w:p>
            <w:pPr>
              <w:pStyle w:val="Compact"/>
            </w:pPr>
            <w:r>
              <w:rPr>
                <w:rStyle w:val="VerbatimChar"/>
              </w:rPr>
              <w:t xml:space="preserve">NetworkAccessTrafficLogs</w:t>
            </w:r>
          </w:p>
        </w:tc>
        <w:tc>
          <w:tcPr/>
          <w:p>
            <w:pPr>
              <w:pStyle w:val="Compact"/>
            </w:pPr>
            <w:r>
              <w:rPr>
                <w:rStyle w:val="VerbatimChar"/>
              </w:rPr>
              <w:t xml:space="preserve">NetworkAccessTraffic</w:t>
            </w:r>
          </w:p>
        </w:tc>
        <w:tc>
          <w:tcPr/>
          <w:p>
            <w:pPr>
              <w:pStyle w:val="Compact"/>
            </w:pPr>
            <w:r>
              <w:t xml:space="preserve">Conditional</w:t>
            </w:r>
          </w:p>
        </w:tc>
        <w:tc>
          <w:tcPr/>
          <w:p>
            <w:pPr>
              <w:pStyle w:val="Compact"/>
            </w:pPr>
            <w:r>
              <w:t xml:space="preserve">Global Secure Access traffic — no data unless GSA is deployed</w:t>
            </w:r>
          </w:p>
        </w:tc>
      </w:tr>
      <w:tr>
        <w:tc>
          <w:tcPr/>
          <w:p>
            <w:pPr>
              <w:pStyle w:val="Compact"/>
            </w:pPr>
            <w:r>
              <w:rPr>
                <w:rStyle w:val="VerbatimChar"/>
              </w:rPr>
              <w:t xml:space="preserve">RemoteNetworkHealthLogs</w:t>
            </w:r>
          </w:p>
        </w:tc>
        <w:tc>
          <w:tcPr/>
          <w:p>
            <w:pPr>
              <w:pStyle w:val="Compact"/>
            </w:pPr>
            <w:r>
              <w:rPr>
                <w:rStyle w:val="VerbatimChar"/>
              </w:rPr>
              <w:t xml:space="preserve">RemoteNetworkHealthLogs</w:t>
            </w:r>
          </w:p>
        </w:tc>
        <w:tc>
          <w:tcPr/>
          <w:p>
            <w:pPr>
              <w:pStyle w:val="Compact"/>
            </w:pPr>
            <w:r>
              <w:t xml:space="preserve">Conditional</w:t>
            </w:r>
          </w:p>
        </w:tc>
        <w:tc>
          <w:tcPr/>
          <w:p>
            <w:pPr>
              <w:pStyle w:val="Compact"/>
            </w:pPr>
            <w:r>
              <w:t xml:space="preserve">Global Secure Access remote-network health</w:t>
            </w:r>
          </w:p>
        </w:tc>
      </w:tr>
      <w:tr>
        <w:tc>
          <w:tcPr/>
          <w:p>
            <w:pPr>
              <w:pStyle w:val="Compact"/>
            </w:pPr>
            <w:r>
              <w:rPr>
                <w:rStyle w:val="VerbatimChar"/>
              </w:rPr>
              <w:t xml:space="preserve">EnrichedOffice365AuditLogs</w:t>
            </w:r>
          </w:p>
        </w:tc>
        <w:tc>
          <w:tcPr/>
          <w:p>
            <w:pPr>
              <w:pStyle w:val="Compact"/>
            </w:pPr>
            <w:r>
              <w:rPr>
                <w:rStyle w:val="VerbatimChar"/>
              </w:rPr>
              <w:t xml:space="preserve">EnrichedMicrosoft365AuditLogs</w:t>
            </w:r>
          </w:p>
        </w:tc>
        <w:tc>
          <w:tcPr/>
          <w:p>
            <w:pPr>
              <w:pStyle w:val="Compact"/>
            </w:pPr>
            <w:r>
              <w:t xml:space="preserve">Conditional</w:t>
            </w:r>
          </w:p>
        </w:tc>
        <w:tc>
          <w:tcPr/>
          <w:p>
            <w:pPr>
              <w:pStyle w:val="Compact"/>
            </w:pPr>
            <w:r>
              <w:t xml:space="preserve">GSA-enriched M365 logs — requires GSA</w:t>
            </w:r>
            <w:r>
              <w:t xml:space="preserve"> </w:t>
            </w:r>
            <w:r>
              <w:rPr>
                <w:i/>
                <w:iCs/>
              </w:rPr>
              <w:t xml:space="preserve">and</w:t>
            </w:r>
            <w:r>
              <w:t xml:space="preserve"> </w:t>
            </w:r>
            <w:r>
              <w:t xml:space="preserve">enrichment enabled</w:t>
            </w:r>
          </w:p>
        </w:tc>
      </w:tr>
      <w:tr>
        <w:tc>
          <w:tcPr/>
          <w:p>
            <w:pPr>
              <w:pStyle w:val="Compact"/>
            </w:pPr>
            <w:r>
              <w:rPr>
                <w:rStyle w:val="VerbatimChar"/>
              </w:rPr>
              <w:t xml:space="preserve">MicrosoftServicePrincipalSignInLogs</w:t>
            </w:r>
          </w:p>
        </w:tc>
        <w:tc>
          <w:tcPr/>
          <w:p>
            <w:pPr>
              <w:pStyle w:val="Compact"/>
            </w:pPr>
            <w:r>
              <w:t xml:space="preserve">—</w:t>
            </w:r>
          </w:p>
        </w:tc>
        <w:tc>
          <w:tcPr/>
          <w:p>
            <w:pPr>
              <w:pStyle w:val="Compact"/>
            </w:pPr>
            <w:r>
              <w:rPr>
                <w:b/>
                <w:bCs/>
              </w:rPr>
              <w:t xml:space="preserve">Not recommended</w:t>
            </w:r>
          </w:p>
        </w:tc>
        <w:tc>
          <w:tcPr/>
          <w:p>
            <w:pPr>
              <w:pStyle w:val="Compact"/>
            </w:pPr>
            <w:r>
              <w:t xml:space="preserve">First-party Microsoft service-to-service auth (preview)</w:t>
            </w:r>
          </w:p>
        </w:tc>
      </w:tr>
    </w:tbl>
    <w:p>
      <w:pPr>
        <w:pStyle w:val="BodyText"/>
      </w:pPr>
      <w:r>
        <w:t xml:space="preserve">Category names and behavior are from</w:t>
      </w:r>
      <w:r>
        <w:t xml:space="preserve"> </w:t>
      </w:r>
      <w:hyperlink r:id="rId581">
        <w:r>
          <w:rPr>
            <w:rStyle w:val="Hyperlink"/>
          </w:rPr>
          <w:t xml:space="preserve">What are the identity logs you can stream to an endpoint?</w:t>
        </w:r>
      </w:hyperlink>
      <w:r>
        <w:t xml:space="preserve">;</w:t>
      </w:r>
      <w:r>
        <w:t xml:space="preserve"> </w:t>
      </w:r>
      <w:r>
        <w:t xml:space="preserve">table names from the</w:t>
      </w:r>
      <w:r>
        <w:t xml:space="preserve"> </w:t>
      </w:r>
      <w:hyperlink r:id="rId584">
        <w:r>
          <w:rPr>
            <w:rStyle w:val="Hyperlink"/>
          </w:rPr>
          <w:t xml:space="preserve">Microsoft Entra ID data connector reference</w:t>
        </w:r>
      </w:hyperlink>
      <w:r>
        <w:t xml:space="preserve"> </w:t>
      </w:r>
      <w:r>
        <w:t xml:space="preserve">and the</w:t>
      </w:r>
      <w:r>
        <w:t xml:space="preserve"> </w:t>
      </w:r>
      <w:hyperlink r:id="rId585">
        <w:r>
          <w:rPr>
            <w:rStyle w:val="Hyperlink"/>
          </w:rPr>
          <w:t xml:space="preserve">ID Protection export guidance</w:t>
        </w:r>
      </w:hyperlink>
      <w:r>
        <w:t xml:space="preserve">.</w:t>
      </w:r>
    </w:p>
    <w:bookmarkEnd w:id="586"/>
    <w:bookmarkStart w:id="587" w:name="Xbbde2bdfdeaa45c28f5dc46f43a457ed24e4d8c"/>
    <w:p>
      <w:pPr>
        <w:pStyle w:val="Heading2"/>
      </w:pPr>
      <w:r>
        <w:t xml:space="preserve">Confirm table names against your own workspace</w:t>
      </w:r>
    </w:p>
    <w:p>
      <w:pPr>
        <w:pStyle w:val="FirstParagraph"/>
      </w:pPr>
      <w:r>
        <w:t xml:space="preserve">Most — not all — Entra tables carry an</w:t>
      </w:r>
      <w:r>
        <w:t xml:space="preserve"> </w:t>
      </w:r>
      <w:r>
        <w:rPr>
          <w:rStyle w:val="VerbatimChar"/>
        </w:rPr>
        <w:t xml:space="preserve">AAD</w:t>
      </w:r>
      <w:r>
        <w:t xml:space="preserve"> </w:t>
      </w:r>
      <w:r>
        <w:t xml:space="preserve">prefix, and the mapping is not</w:t>
      </w:r>
      <w:r>
        <w:t xml:space="preserve"> </w:t>
      </w:r>
      <w:r>
        <w:t xml:space="preserve">mechanical (</w:t>
      </w:r>
      <w:r>
        <w:rPr>
          <w:rStyle w:val="VerbatimChar"/>
        </w:rPr>
        <w:t xml:space="preserve">SignInLogs</w:t>
      </w:r>
      <w:r>
        <w:t xml:space="preserve"> </w:t>
      </w:r>
      <w:r>
        <w:t xml:space="preserve">→</w:t>
      </w:r>
      <w:r>
        <w:t xml:space="preserve"> </w:t>
      </w:r>
      <w:r>
        <w:rPr>
          <w:rStyle w:val="VerbatimChar"/>
        </w:rPr>
        <w:t xml:space="preserve">SigninLogs</w:t>
      </w:r>
      <w:r>
        <w:t xml:space="preserve"> </w:t>
      </w:r>
      <w:r>
        <w:t xml:space="preserve">with a lowercase</w:t>
      </w:r>
      <w:r>
        <w:t xml:space="preserve"> </w:t>
      </w:r>
      <w:r>
        <w:rPr>
          <w:rStyle w:val="VerbatimChar"/>
        </w:rPr>
        <w:t xml:space="preserve">i</w:t>
      </w:r>
      <w:r>
        <w:t xml:space="preserve">;</w:t>
      </w:r>
      <w:r>
        <w:t xml:space="preserve"> </w:t>
      </w:r>
      <w:r>
        <w:rPr>
          <w:rStyle w:val="VerbatimChar"/>
        </w:rPr>
        <w:t xml:space="preserve">EnrichedOffice365AuditLogs</w:t>
      </w:r>
      <w:r>
        <w:t xml:space="preserve"> </w:t>
      </w:r>
      <w:r>
        <w:t xml:space="preserve">→</w:t>
      </w:r>
      <w:r>
        <w:t xml:space="preserve"> </w:t>
      </w:r>
      <w:r>
        <w:rPr>
          <w:rStyle w:val="VerbatimChar"/>
        </w:rPr>
        <w:t xml:space="preserve">EnrichedMicrosoft365AuditLogs</w:t>
      </w:r>
      <w:r>
        <w:t xml:space="preserve">). Before</w:t>
      </w:r>
      <w:r>
        <w:t xml:space="preserve"> </w:t>
      </w:r>
      <w:r>
        <w:t xml:space="preserve">committing detection rules or retention policy that name a table, confirm it</w:t>
      </w:r>
      <w:r>
        <w:t xml:space="preserve"> </w:t>
      </w:r>
      <w:r>
        <w:t xml:space="preserve">resolves in the target workspace. The verification query in</w:t>
      </w:r>
      <w:r>
        <w:t xml:space="preserve"> </w:t>
      </w:r>
      <w:hyperlink w:anchor="verify-emission">
        <w:r>
          <w:rPr>
            <w:rStyle w:val="Hyperlink"/>
          </w:rPr>
          <w:t xml:space="preserve">§Verify emission</w:t>
        </w:r>
      </w:hyperlink>
      <w:r>
        <w:t xml:space="preserve"> </w:t>
      </w:r>
      <w:r>
        <w:t xml:space="preserve">does this for the seven core tables.</w:t>
      </w:r>
    </w:p>
    <w:bookmarkEnd w:id="587"/>
    <w:bookmarkStart w:id="588" w:name="Xf841b4dded92041cb777b8fdbd9cebc66096335"/>
    <w:p>
      <w:pPr>
        <w:pStyle w:val="Heading2"/>
      </w:pPr>
      <w:r>
        <w:t xml:space="preserve">Do not enable</w:t>
      </w:r>
      <w:r>
        <w:t xml:space="preserve"> </w:t>
      </w:r>
      <w:r>
        <w:rPr>
          <w:rStyle w:val="VerbatimChar"/>
        </w:rPr>
        <w:t xml:space="preserve">MicrosoftServicePrincipalSignInLogs</w:t>
      </w:r>
    </w:p>
    <w:p>
      <w:pPr>
        <w:pStyle w:val="FirstParagraph"/>
      </w:pPr>
      <w:r>
        <w:t xml:space="preserve">Microsoft’s own guidance is that these logs</w:t>
      </w:r>
      <w:r>
        <w:t xml:space="preserve"> </w:t>
      </w:r>
      <w:r>
        <w:t xml:space="preserve">“are not necessary for most</w:t>
      </w:r>
      <w:r>
        <w:t xml:space="preserve"> </w:t>
      </w:r>
      <w:r>
        <w:t xml:space="preserve">customers as they are complex and generate a high volume of data,”</w:t>
      </w:r>
      <w:r>
        <w:t xml:space="preserve"> </w:t>
      </w:r>
      <w:r>
        <w:t xml:space="preserve">that the</w:t>
      </w:r>
      <w:r>
        <w:t xml:space="preserve"> </w:t>
      </w:r>
      <w:r>
        <w:t xml:space="preserve">data</w:t>
      </w:r>
      <w:r>
        <w:t xml:space="preserve"> </w:t>
      </w:r>
      <w:r>
        <w:t xml:space="preserve">“is not essential for security investigations,”</w:t>
      </w:r>
      <w:r>
        <w:t xml:space="preserve"> </w:t>
      </w:r>
      <w:r>
        <w:t xml:space="preserve">and that Microsoft</w:t>
      </w:r>
      <w:r>
        <w:t xml:space="preserve"> </w:t>
      </w:r>
      <w:r>
        <w:t xml:space="preserve">“strongly advise[s] against taking actions such as disabling applications</w:t>
      </w:r>
      <w:r>
        <w:t xml:space="preserve"> </w:t>
      </w:r>
      <w:r>
        <w:t xml:space="preserve">based on this data, as doing so could cause misconfigurations and potential</w:t>
      </w:r>
      <w:r>
        <w:t xml:space="preserve"> </w:t>
      </w:r>
      <w:r>
        <w:t xml:space="preserve">adverse effects such as tenant lock-out”</w:t>
      </w:r>
      <w:r>
        <w:t xml:space="preserve"> </w:t>
      </w:r>
      <w:r>
        <w:t xml:space="preserve">(</w:t>
      </w:r>
      <w:hyperlink r:id="rId581">
        <w:r>
          <w:rPr>
            <w:rStyle w:val="Hyperlink"/>
          </w:rPr>
          <w:t xml:space="preserve">log options reference</w:t>
        </w:r>
      </w:hyperlink>
      <w:r>
        <w:t xml:space="preserve">).</w:t>
      </w:r>
    </w:p>
    <w:p>
      <w:pPr>
        <w:pStyle w:val="BodyText"/>
      </w:pPr>
      <w:r>
        <w:t xml:space="preserve">The ingestion cost is real and the analytic value is negative. Leave it off.</w:t>
      </w:r>
    </w:p>
    <w:bookmarkEnd w:id="588"/>
    <w:bookmarkStart w:id="589" w:name="Xf01b66b7ac5a91c1daf5ff13c05e60f1371c98e"/>
    <w:p>
      <w:pPr>
        <w:pStyle w:val="Heading3"/>
      </w:pPr>
      <w:r>
        <w:t xml:space="preserve">Why the four sign-in categories are not optional</w:t>
      </w:r>
    </w:p>
    <w:p>
      <w:pPr>
        <w:pStyle w:val="FirstParagraph"/>
      </w:pPr>
      <w:r>
        <w:rPr>
          <w:rStyle w:val="VerbatimChar"/>
        </w:rPr>
        <w:t xml:space="preserve">SignInLogs</w:t>
      </w:r>
      <w:r>
        <w:t xml:space="preserve"> </w:t>
      </w:r>
      <w:r>
        <w:t xml:space="preserve">alone covers interactive human sign-ins. It does not cover the</w:t>
      </w:r>
      <w:r>
        <w:t xml:space="preserve"> </w:t>
      </w:r>
      <w:r>
        <w:t xml:space="preserve">client app refreshing a token on a user’s behalf, the service principal</w:t>
      </w:r>
      <w:r>
        <w:t xml:space="preserve"> </w:t>
      </w:r>
      <w:r>
        <w:t xml:space="preserve">authenticating with a client secret, or the managed identity pulling from Key</w:t>
      </w:r>
      <w:r>
        <w:t xml:space="preserve"> </w:t>
      </w:r>
      <w:r>
        <w:t xml:space="preserve">Vault. Those are</w:t>
      </w:r>
      <w:r>
        <w:t xml:space="preserve"> </w:t>
      </w:r>
      <w:r>
        <w:rPr>
          <w:rStyle w:val="VerbatimChar"/>
        </w:rPr>
        <w:t xml:space="preserve">NonInteractiveUserSignInLogs</w:t>
      </w:r>
      <w:r>
        <w:t xml:space="preserve">,</w:t>
      </w:r>
      <w:r>
        <w:t xml:space="preserve"> </w:t>
      </w:r>
      <w:r>
        <w:rPr>
          <w:rStyle w:val="VerbatimChar"/>
        </w:rPr>
        <w:t xml:space="preserve">ServicePrincipalSignInLogs</w:t>
      </w:r>
      <w:r>
        <w:t xml:space="preserve">, and</w:t>
      </w:r>
      <w:r>
        <w:t xml:space="preserve"> </w:t>
      </w:r>
      <w:r>
        <w:rPr>
          <w:rStyle w:val="VerbatimChar"/>
        </w:rPr>
        <w:t xml:space="preserve">ManagedIdentitySignInLogs</w:t>
      </w:r>
      <w:r>
        <w:t xml:space="preserve"> </w:t>
      </w:r>
      <w:r>
        <w:t xml:space="preserve">respectively.</w:t>
      </w:r>
    </w:p>
    <w:p>
      <w:pPr>
        <w:pStyle w:val="BodyText"/>
      </w:pPr>
      <w:r>
        <w:t xml:space="preserve">This is the exact failure the repo’s own boundary probe was written to catch —</w:t>
      </w:r>
      <w:r>
        <w:t xml:space="preserve"> </w:t>
      </w:r>
      <w:r>
        <w:t xml:space="preserve">symptom #1,</w:t>
      </w:r>
      <w:r>
        <w:t xml:space="preserve"> </w:t>
      </w:r>
      <w:r>
        <w:t xml:space="preserve">“invisible non-interactive / service-principal / managed-identity</w:t>
      </w:r>
      <w:r>
        <w:t xml:space="preserve"> </w:t>
      </w:r>
      <w:r>
        <w:t xml:space="preserve">sign-in activity,”</w:t>
      </w:r>
      <w:r>
        <w:t xml:space="preserve"> </w:t>
      </w:r>
      <w:r>
        <w:t xml:space="preserve">validated by</w:t>
      </w:r>
      <w:r>
        <w:t xml:space="preserve"> </w:t>
      </w:r>
      <w:r>
        <w:t xml:space="preserve">[</w:t>
      </w:r>
      <w:r>
        <w:rPr>
          <w:rStyle w:val="VerbatimChar"/>
        </w:rPr>
        <w:t xml:space="preserve">01-entra-diagnostic-completeness.kql</w:t>
      </w:r>
      <w:r>
        <w:t xml:space="preserve">].</w:t>
      </w:r>
      <w:r>
        <w:t xml:space="preserve"> </w:t>
      </w:r>
      <w:r>
        <w:t xml:space="preserve">A tenant with only</w:t>
      </w:r>
      <w:r>
        <w:t xml:space="preserve"> </w:t>
      </w:r>
      <w:r>
        <w:rPr>
          <w:rStyle w:val="VerbatimChar"/>
        </w:rPr>
        <w:t xml:space="preserve">SignInLogs</w:t>
      </w:r>
      <w:r>
        <w:t xml:space="preserve"> </w:t>
      </w:r>
      <w:r>
        <w:t xml:space="preserve">enabled is blind to every non-human</w:t>
      </w:r>
      <w:r>
        <w:t xml:space="preserve"> </w:t>
      </w:r>
      <w:r>
        <w:t xml:space="preserve">authentication in the estate while appearing, on the sign-ins blade, to be</w:t>
      </w:r>
      <w:r>
        <w:t xml:space="preserve"> </w:t>
      </w:r>
      <w:r>
        <w:t xml:space="preserve">fully instrumented.</w:t>
      </w:r>
    </w:p>
    <w:bookmarkEnd w:id="589"/>
    <w:bookmarkStart w:id="591" w:name="path-a-portal"/>
    <w:p>
      <w:pPr>
        <w:pStyle w:val="Heading2"/>
      </w:pPr>
      <w:r>
        <w:t xml:space="preserve">Path A — Portal</w:t>
      </w:r>
    </w:p>
    <w:p>
      <w:pPr>
        <w:pStyle w:val="FirstParagraph"/>
      </w:pPr>
      <w:r>
        <w:t xml:space="preserve">The click-path, for tenants where configuration is a one-time manual act:</w:t>
      </w:r>
    </w:p>
    <w:p>
      <w:pPr>
        <w:pStyle w:val="Compact"/>
        <w:numPr>
          <w:ilvl w:val="0"/>
          <w:numId w:val="1307"/>
        </w:numPr>
      </w:pPr>
      <w:r>
        <w:t xml:space="preserve">Sign in to the</w:t>
      </w:r>
      <w:r>
        <w:t xml:space="preserve"> </w:t>
      </w:r>
      <w:hyperlink r:id="rId172">
        <w:r>
          <w:rPr>
            <w:rStyle w:val="Hyperlink"/>
          </w:rPr>
          <w:t xml:space="preserve">Microsoft Entra admin center</w:t>
        </w:r>
      </w:hyperlink>
      <w:r>
        <w:t xml:space="preserve"> </w:t>
      </w:r>
      <w:r>
        <w:t xml:space="preserve">as at least</w:t>
      </w:r>
      <w:r>
        <w:t xml:space="preserve"> </w:t>
      </w:r>
      <w:r>
        <w:rPr>
          <w:b/>
          <w:bCs/>
        </w:rPr>
        <w:t xml:space="preserve">Security Administrator</w:t>
      </w:r>
      <w:r>
        <w:t xml:space="preserve">.</w:t>
      </w:r>
    </w:p>
    <w:p>
      <w:pPr>
        <w:pStyle w:val="Compact"/>
        <w:numPr>
          <w:ilvl w:val="0"/>
          <w:numId w:val="1307"/>
        </w:numPr>
      </w:pPr>
      <w:r>
        <w:t xml:space="preserve">Browse to</w:t>
      </w:r>
      <w:r>
        <w:t xml:space="preserve"> </w:t>
      </w:r>
      <w:r>
        <w:rPr>
          <w:b/>
          <w:bCs/>
        </w:rPr>
        <w:t xml:space="preserve">Entra ID</w:t>
      </w:r>
      <w:r>
        <w:t xml:space="preserve"> </w:t>
      </w:r>
      <w:r>
        <w:t xml:space="preserve">→</w:t>
      </w:r>
      <w:r>
        <w:t xml:space="preserve"> </w:t>
      </w:r>
      <w:r>
        <w:rPr>
          <w:b/>
          <w:bCs/>
        </w:rPr>
        <w:t xml:space="preserve">Monitoring &amp; health</w:t>
      </w:r>
      <w:r>
        <w:t xml:space="preserve"> </w:t>
      </w:r>
      <w:r>
        <w:t xml:space="preserve">→</w:t>
      </w:r>
      <w:r>
        <w:t xml:space="preserve"> </w:t>
      </w:r>
      <w:r>
        <w:rPr>
          <w:b/>
          <w:bCs/>
        </w:rPr>
        <w:t xml:space="preserve">Diagnostic settings</w:t>
      </w:r>
      <w:r>
        <w:t xml:space="preserve">.</w:t>
      </w:r>
      <w:r>
        <w:t xml:space="preserve"> </w:t>
      </w:r>
      <w:r>
        <w:t xml:space="preserve">(</w:t>
      </w:r>
      <w:r>
        <w:rPr>
          <w:b/>
          <w:bCs/>
        </w:rPr>
        <w:t xml:space="preserve">Export Settings</w:t>
      </w:r>
      <w:r>
        <w:t xml:space="preserve"> </w:t>
      </w:r>
      <w:r>
        <w:t xml:space="preserve">on the</w:t>
      </w:r>
      <w:r>
        <w:t xml:space="preserve"> </w:t>
      </w:r>
      <w:r>
        <w:rPr>
          <w:b/>
          <w:bCs/>
        </w:rPr>
        <w:t xml:space="preserve">Audit Logs</w:t>
      </w:r>
      <w:r>
        <w:t xml:space="preserve"> </w:t>
      </w:r>
      <w:r>
        <w:t xml:space="preserve">or</w:t>
      </w:r>
      <w:r>
        <w:t xml:space="preserve"> </w:t>
      </w:r>
      <w:r>
        <w:rPr>
          <w:b/>
          <w:bCs/>
        </w:rPr>
        <w:t xml:space="preserve">Sign-ins</w:t>
      </w:r>
      <w:r>
        <w:t xml:space="preserve"> </w:t>
      </w:r>
      <w:r>
        <w:t xml:space="preserve">blade reaches</w:t>
      </w:r>
      <w:r>
        <w:t xml:space="preserve"> </w:t>
      </w:r>
      <w:r>
        <w:t xml:space="preserve">the same place.)</w:t>
      </w:r>
    </w:p>
    <w:p>
      <w:pPr>
        <w:pStyle w:val="Compact"/>
        <w:numPr>
          <w:ilvl w:val="0"/>
          <w:numId w:val="1307"/>
        </w:numPr>
      </w:pPr>
      <w:r>
        <w:t xml:space="preserve">Select</w:t>
      </w:r>
      <w:r>
        <w:t xml:space="preserve"> </w:t>
      </w:r>
      <w:r>
        <w:rPr>
          <w:b/>
          <w:bCs/>
        </w:rPr>
        <w:t xml:space="preserve">+ Add diagnostic setting</w:t>
      </w:r>
      <w:r>
        <w:t xml:space="preserve">.</w:t>
      </w:r>
    </w:p>
    <w:p>
      <w:pPr>
        <w:pStyle w:val="Compact"/>
        <w:numPr>
          <w:ilvl w:val="0"/>
          <w:numId w:val="1307"/>
        </w:numPr>
      </w:pPr>
      <w:r>
        <w:t xml:space="preserve">Enter a</w:t>
      </w:r>
      <w:r>
        <w:t xml:space="preserve"> </w:t>
      </w:r>
      <w:r>
        <w:rPr>
          <w:b/>
          <w:bCs/>
        </w:rPr>
        <w:t xml:space="preserve">Diagnostic setting name</w:t>
      </w:r>
      <w:r>
        <w:t xml:space="preserve">. This cannot be changed later — pick</w:t>
      </w:r>
      <w:r>
        <w:t xml:space="preserve"> </w:t>
      </w:r>
      <w:r>
        <w:t xml:space="preserve">something an assessor will recognize, e.g. </w:t>
      </w:r>
      <w:r>
        <w:rPr>
          <w:rStyle w:val="VerbatimChar"/>
        </w:rPr>
        <w:t xml:space="preserve">fmp-siem-emission-core</w:t>
      </w:r>
      <w:r>
        <w:t xml:space="preserve">.</w:t>
      </w:r>
    </w:p>
    <w:p>
      <w:pPr>
        <w:pStyle w:val="Compact"/>
        <w:numPr>
          <w:ilvl w:val="0"/>
          <w:numId w:val="1307"/>
        </w:numPr>
      </w:pPr>
      <w:r>
        <w:t xml:space="preserve">Under</w:t>
      </w:r>
      <w:r>
        <w:t xml:space="preserve"> </w:t>
      </w:r>
      <w:r>
        <w:rPr>
          <w:b/>
          <w:bCs/>
        </w:rPr>
        <w:t xml:space="preserve">Logs</w:t>
      </w:r>
      <w:r>
        <w:t xml:space="preserve">, check every category from the</w:t>
      </w:r>
      <w:r>
        <w:t xml:space="preserve"> </w:t>
      </w:r>
      <w:r>
        <w:rPr>
          <w:b/>
          <w:bCs/>
        </w:rPr>
        <w:t xml:space="preserve">Core</w:t>
      </w:r>
      <w:r>
        <w:t xml:space="preserve"> </w:t>
      </w:r>
      <w:r>
        <w:t xml:space="preserve">tier above, plus the</w:t>
      </w:r>
      <w:r>
        <w:t xml:space="preserve"> </w:t>
      </w:r>
      <w:r>
        <w:rPr>
          <w:b/>
          <w:bCs/>
        </w:rPr>
        <w:t xml:space="preserve">High value</w:t>
      </w:r>
      <w:r>
        <w:t xml:space="preserve"> </w:t>
      </w:r>
      <w:r>
        <w:t xml:space="preserve">tier if ID Protection is licensed.</w:t>
      </w:r>
    </w:p>
    <w:p>
      <w:pPr>
        <w:pStyle w:val="Compact"/>
        <w:numPr>
          <w:ilvl w:val="0"/>
          <w:numId w:val="1307"/>
        </w:numPr>
      </w:pPr>
      <w:r>
        <w:t xml:space="preserve">Under</w:t>
      </w:r>
      <w:r>
        <w:t xml:space="preserve"> </w:t>
      </w:r>
      <w:r>
        <w:rPr>
          <w:b/>
          <w:bCs/>
        </w:rPr>
        <w:t xml:space="preserve">Destination details</w:t>
      </w:r>
      <w:r>
        <w:t xml:space="preserve">, select</w:t>
      </w:r>
      <w:r>
        <w:t xml:space="preserve"> </w:t>
      </w:r>
      <w:r>
        <w:rPr>
          <w:b/>
          <w:bCs/>
        </w:rPr>
        <w:t xml:space="preserve">Send to Log Analytics workspace</w:t>
      </w:r>
      <w:r>
        <w:t xml:space="preserve"> </w:t>
      </w:r>
      <w:r>
        <w:t xml:space="preserve">(and/or</w:t>
      </w:r>
      <w:r>
        <w:t xml:space="preserve"> </w:t>
      </w:r>
      <w:r>
        <w:rPr>
          <w:b/>
          <w:bCs/>
        </w:rPr>
        <w:t xml:space="preserve">Stream to an event hub</w:t>
      </w:r>
      <w:r>
        <w:t xml:space="preserve"> </w:t>
      </w:r>
      <w:r>
        <w:t xml:space="preserve">for a third-party SIEM), then choose the</w:t>
      </w:r>
      <w:r>
        <w:t xml:space="preserve"> </w:t>
      </w:r>
      <w:r>
        <w:t xml:space="preserve">subscription and target.</w:t>
      </w:r>
    </w:p>
    <w:p>
      <w:pPr>
        <w:pStyle w:val="Compact"/>
        <w:numPr>
          <w:ilvl w:val="0"/>
          <w:numId w:val="1307"/>
        </w:numPr>
      </w:pPr>
      <w:r>
        <w:rPr>
          <w:b/>
          <w:bCs/>
        </w:rPr>
        <w:t xml:space="preserve">Save</w:t>
      </w:r>
      <w:r>
        <w:t xml:space="preserve">.</w:t>
      </w:r>
    </w:p>
    <w:p>
      <w:pPr>
        <w:pStyle w:val="FirstParagraph"/>
      </w:pPr>
      <w:r>
        <w:t xml:space="preserve">Data begins appearing at the destination after roughly</w:t>
      </w:r>
      <w:r>
        <w:t xml:space="preserve"> </w:t>
      </w:r>
      <w:r>
        <w:rPr>
          <w:b/>
          <w:bCs/>
        </w:rPr>
        <w:t xml:space="preserve">15 minutes</w:t>
      </w:r>
      <w:r>
        <w:t xml:space="preserve"> </w:t>
      </w:r>
      <w:r>
        <w:t xml:space="preserve">(</w:t>
      </w:r>
      <w:hyperlink r:id="rId590">
        <w:r>
          <w:rPr>
            <w:rStyle w:val="Hyperlink"/>
          </w:rPr>
          <w:t xml:space="preserve">configure diagnostic settings</w:t>
        </w:r>
      </w:hyperlink>
      <w:r>
        <w:t xml:space="preserve">).</w:t>
      </w:r>
    </w:p>
    <w:bookmarkEnd w:id="591"/>
    <w:bookmarkStart w:id="592" w:name="X0c3a7e436d2dde67429746e68f43089432676cf"/>
    <w:p>
      <w:pPr>
        <w:pStyle w:val="Heading2"/>
      </w:pPr>
      <w:r>
        <w:t xml:space="preserve">The portal is fine for the first tenant and wrong for the fleet</w:t>
      </w:r>
    </w:p>
    <w:p>
      <w:pPr>
        <w:pStyle w:val="FirstParagraph"/>
      </w:pPr>
      <w:r>
        <w:t xml:space="preserve">A portal-configured diagnostic setting has no source of truth, no review</w:t>
      </w:r>
      <w:r>
        <w:t xml:space="preserve"> </w:t>
      </w:r>
      <w:r>
        <w:t xml:space="preserve">trail, and no drift detection — it is a click somebody made once. FedRAMP</w:t>
      </w:r>
      <w:r>
        <w:t xml:space="preserve"> </w:t>
      </w:r>
      <w:r>
        <w:rPr>
          <w:b/>
          <w:bCs/>
        </w:rPr>
        <w:t xml:space="preserve">KSI-MLA-EVC</w:t>
      </w:r>
      <w:r>
        <w:t xml:space="preserve"> </w:t>
      </w:r>
      <w:r>
        <w:t xml:space="preserve">requires that the configuration of machine-based information</w:t>
      </w:r>
      <w:r>
        <w:t xml:space="preserve"> </w:t>
      </w:r>
      <w:r>
        <w:t xml:space="preserve">resources</w:t>
      </w:r>
      <w:r>
        <w:t xml:space="preserve"> </w:t>
      </w:r>
      <w:r>
        <w:t xml:space="preserve">“especially infrastructure as code, is persistently evaluated and</w:t>
      </w:r>
      <w:r>
        <w:t xml:space="preserve"> </w:t>
      </w:r>
      <w:r>
        <w:t xml:space="preserve">tested.”</w:t>
      </w:r>
      <w:r>
        <w:t xml:space="preserve"> </w:t>
      </w:r>
      <w:r>
        <w:t xml:space="preserve">Use Path B or C for anything that has to survive an assessment.</w:t>
      </w:r>
    </w:p>
    <w:bookmarkEnd w:id="592"/>
    <w:bookmarkStart w:id="594" w:name="path-b-tenant-scope-arm-bicep"/>
    <w:p>
      <w:pPr>
        <w:pStyle w:val="Heading2"/>
      </w:pPr>
      <w:r>
        <w:t xml:space="preserve">Path B — Tenant-scope ARM / Bicep</w:t>
      </w:r>
    </w:p>
    <w:p>
      <w:pPr>
        <w:pStyle w:val="FirstParagraph"/>
      </w:pPr>
      <w:r>
        <w:t xml:space="preserve">Entra diagnostic settings are the ARM resource type</w:t>
      </w:r>
      <w:r>
        <w:t xml:space="preserve"> </w:t>
      </w:r>
      <w:r>
        <w:rPr>
          <w:rStyle w:val="VerbatimChar"/>
        </w:rPr>
        <w:t xml:space="preserve">microsoft.aadiam/diagnosticSettings</w:t>
      </w:r>
      <w:r>
        <w:t xml:space="preserve">, API version</w:t>
      </w:r>
      <w:r>
        <w:t xml:space="preserve"> </w:t>
      </w:r>
      <w:r>
        <w:rPr>
          <w:rStyle w:val="VerbatimChar"/>
        </w:rPr>
        <w:t xml:space="preserve">2017-04-01</w:t>
      </w:r>
      <w:r>
        <w:t xml:space="preserve">, and they</w:t>
      </w:r>
      <w:r>
        <w:t xml:space="preserve"> </w:t>
      </w:r>
      <w:r>
        <w:t xml:space="preserve">deploy at</w:t>
      </w:r>
      <w:r>
        <w:t xml:space="preserve"> </w:t>
      </w:r>
      <w:r>
        <w:rPr>
          <w:b/>
          <w:bCs/>
        </w:rPr>
        <w:t xml:space="preserve">tenant scope</w:t>
      </w:r>
      <w:r>
        <w:t xml:space="preserve"> </w:t>
      </w:r>
      <w:r>
        <w:t xml:space="preserve">(</w:t>
      </w:r>
      <w:hyperlink r:id="rId593">
        <w:r>
          <w:rPr>
            <w:rStyle w:val="Hyperlink"/>
          </w:rPr>
          <w:t xml:space="preserve">resource reference</w:t>
        </w:r>
      </w:hyperlink>
      <w:r>
        <w:t xml:space="preserve">).</w:t>
      </w:r>
    </w:p>
    <w:p>
      <w:pPr>
        <w:pStyle w:val="SourceCode"/>
      </w:pPr>
      <w:r>
        <w:rPr>
          <w:rStyle w:val="VerbatimChar"/>
        </w:rPr>
        <w:t xml:space="preserve">// entra-diagnostics.bicep</w:t>
      </w:r>
      <w:r>
        <w:br/>
      </w:r>
      <w:r>
        <w:rPr>
          <w:rStyle w:val="VerbatimChar"/>
        </w:rPr>
        <w:t xml:space="preserve">// Deploy with: az deployment tenant create --location &lt;region&gt; \</w:t>
      </w:r>
      <w:r>
        <w:br/>
      </w:r>
      <w:r>
        <w:rPr>
          <w:rStyle w:val="VerbatimChar"/>
        </w:rPr>
        <w:t xml:space="preserve">//   --template-file entra-diagnostics.bicep \</w:t>
      </w:r>
      <w:r>
        <w:br/>
      </w:r>
      <w:r>
        <w:rPr>
          <w:rStyle w:val="VerbatimChar"/>
        </w:rPr>
        <w:t xml:space="preserve">//   --parameters workspaceId=&lt;log-analytics-resource-id&gt;</w:t>
      </w:r>
      <w:r>
        <w:br/>
      </w:r>
      <w:r>
        <w:rPr>
          <w:rStyle w:val="VerbatimChar"/>
        </w:rPr>
        <w:t xml:space="preserve">targetScope = 'tenant'</w:t>
      </w:r>
      <w:r>
        <w:br/>
      </w:r>
      <w:r>
        <w:br/>
      </w:r>
      <w:r>
        <w:rPr>
          <w:rStyle w:val="VerbatimChar"/>
        </w:rPr>
        <w:t xml:space="preserve">@description('Full ARM resource ID of the destination Log Analytics workspace.')</w:t>
      </w:r>
      <w:r>
        <w:br/>
      </w:r>
      <w:r>
        <w:rPr>
          <w:rStyle w:val="VerbatimChar"/>
        </w:rPr>
        <w:t xml:space="preserve">param workspaceId string</w:t>
      </w:r>
      <w:r>
        <w:br/>
      </w:r>
      <w:r>
        <w:br/>
      </w:r>
      <w:r>
        <w:rPr>
          <w:rStyle w:val="VerbatimChar"/>
        </w:rPr>
        <w:t xml:space="preserve">@description('Diagnostic setting name. Immutable once created.')</w:t>
      </w:r>
      <w:r>
        <w:br/>
      </w:r>
      <w:r>
        <w:rPr>
          <w:rStyle w:val="VerbatimChar"/>
        </w:rPr>
        <w:t xml:space="preserve">param settingName string = 'fmp-siem-emission-core'</w:t>
      </w:r>
      <w:r>
        <w:br/>
      </w:r>
      <w:r>
        <w:br/>
      </w:r>
      <w:r>
        <w:rPr>
          <w:rStyle w:val="VerbatimChar"/>
        </w:rPr>
        <w:t xml:space="preserve">var coreCategories = [</w:t>
      </w:r>
      <w:r>
        <w:br/>
      </w:r>
      <w:r>
        <w:rPr>
          <w:rStyle w:val="VerbatimChar"/>
        </w:rPr>
        <w:t xml:space="preserve">  'AuditLogs'</w:t>
      </w:r>
      <w:r>
        <w:br/>
      </w:r>
      <w:r>
        <w:rPr>
          <w:rStyle w:val="VerbatimChar"/>
        </w:rPr>
        <w:t xml:space="preserve">  'SignInLogs'</w:t>
      </w:r>
      <w:r>
        <w:br/>
      </w:r>
      <w:r>
        <w:rPr>
          <w:rStyle w:val="VerbatimChar"/>
        </w:rPr>
        <w:t xml:space="preserve">  'NonInteractiveUserSignInLogs'</w:t>
      </w:r>
      <w:r>
        <w:br/>
      </w:r>
      <w:r>
        <w:rPr>
          <w:rStyle w:val="VerbatimChar"/>
        </w:rPr>
        <w:t xml:space="preserve">  'ServicePrincipalSignInLogs'</w:t>
      </w:r>
      <w:r>
        <w:br/>
      </w:r>
      <w:r>
        <w:rPr>
          <w:rStyle w:val="VerbatimChar"/>
        </w:rPr>
        <w:t xml:space="preserve">  'ManagedIdentitySignInLogs'</w:t>
      </w:r>
      <w:r>
        <w:br/>
      </w:r>
      <w:r>
        <w:rPr>
          <w:rStyle w:val="VerbatimChar"/>
        </w:rPr>
        <w:t xml:space="preserve">  'ProvisioningLogs'</w:t>
      </w:r>
      <w:r>
        <w:br/>
      </w:r>
      <w:r>
        <w:rPr>
          <w:rStyle w:val="VerbatimChar"/>
        </w:rPr>
        <w:t xml:space="preserve">  'MicrosoftGraphActivityLogs'</w:t>
      </w:r>
      <w:r>
        <w:br/>
      </w:r>
      <w:r>
        <w:rPr>
          <w:rStyle w:val="VerbatimChar"/>
        </w:rPr>
        <w:t xml:space="preserve">  'RiskyUsers'</w:t>
      </w:r>
      <w:r>
        <w:br/>
      </w:r>
      <w:r>
        <w:rPr>
          <w:rStyle w:val="VerbatimChar"/>
        </w:rPr>
        <w:t xml:space="preserve">  'UserRiskEvents'</w:t>
      </w:r>
      <w:r>
        <w:br/>
      </w:r>
      <w:r>
        <w:rPr>
          <w:rStyle w:val="VerbatimChar"/>
        </w:rPr>
        <w:t xml:space="preserve">  'RiskyServicePrincipals'</w:t>
      </w:r>
      <w:r>
        <w:br/>
      </w:r>
      <w:r>
        <w:rPr>
          <w:rStyle w:val="VerbatimChar"/>
        </w:rPr>
        <w:t xml:space="preserve">  'ServicePrincipalRiskEvents'</w:t>
      </w:r>
      <w:r>
        <w:br/>
      </w:r>
      <w:r>
        <w:rPr>
          <w:rStyle w:val="VerbatimChar"/>
        </w:rPr>
        <w:t xml:space="preserve">]</w:t>
      </w:r>
      <w:r>
        <w:br/>
      </w:r>
      <w:r>
        <w:br/>
      </w:r>
      <w:r>
        <w:rPr>
          <w:rStyle w:val="VerbatimChar"/>
        </w:rPr>
        <w:t xml:space="preserve">resource entraDiagnostics 'microsoft.aadiam/diagnosticSettings@2017-04-01' = {</w:t>
      </w:r>
      <w:r>
        <w:br/>
      </w:r>
      <w:r>
        <w:rPr>
          <w:rStyle w:val="VerbatimChar"/>
        </w:rPr>
        <w:t xml:space="preserve">  name: settingName</w:t>
      </w:r>
      <w:r>
        <w:br/>
      </w:r>
      <w:r>
        <w:rPr>
          <w:rStyle w:val="VerbatimChar"/>
        </w:rPr>
        <w:t xml:space="preserve">  properties: {</w:t>
      </w:r>
      <w:r>
        <w:br/>
      </w:r>
      <w:r>
        <w:rPr>
          <w:rStyle w:val="VerbatimChar"/>
        </w:rPr>
        <w:t xml:space="preserve">    workspaceId: workspaceId</w:t>
      </w:r>
      <w:r>
        <w:br/>
      </w:r>
      <w:r>
        <w:rPr>
          <w:rStyle w:val="VerbatimChar"/>
        </w:rPr>
        <w:t xml:space="preserve">    logs: [for category in coreCategories: {</w:t>
      </w:r>
      <w:r>
        <w:br/>
      </w:r>
      <w:r>
        <w:rPr>
          <w:rStyle w:val="VerbatimChar"/>
        </w:rPr>
        <w:t xml:space="preserve">      category: category</w:t>
      </w:r>
      <w:r>
        <w:br/>
      </w:r>
      <w:r>
        <w:rPr>
          <w:rStyle w:val="VerbatimChar"/>
        </w:rPr>
        <w:t xml:space="preserve">      enabled: true</w:t>
      </w:r>
      <w:r>
        <w:br/>
      </w:r>
      <w:r>
        <w:rPr>
          <w:rStyle w:val="VerbatimChar"/>
        </w:rPr>
        <w:t xml:space="preserve">      // retentionPolicy is honored only for storage-account destinations.</w:t>
      </w:r>
      <w:r>
        <w:br/>
      </w:r>
      <w:r>
        <w:rPr>
          <w:rStyle w:val="VerbatimChar"/>
        </w:rPr>
        <w:t xml:space="preserve">      // Log Analytics retention is set per-table — see page 4.</w:t>
      </w:r>
      <w:r>
        <w:br/>
      </w:r>
      <w:r>
        <w:rPr>
          <w:rStyle w:val="VerbatimChar"/>
        </w:rPr>
        <w:t xml:space="preserve">      retentionPolicy: {</w:t>
      </w:r>
      <w:r>
        <w:br/>
      </w:r>
      <w:r>
        <w:rPr>
          <w:rStyle w:val="VerbatimChar"/>
        </w:rPr>
        <w:t xml:space="preserve">        days: 0</w:t>
      </w:r>
      <w:r>
        <w:br/>
      </w:r>
      <w:r>
        <w:rPr>
          <w:rStyle w:val="VerbatimChar"/>
        </w:rPr>
        <w:t xml:space="preserve">        enabled: false</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bookmarkEnd w:id="594"/>
    <w:bookmarkStart w:id="596" w:name="Xe3249d2f7ca5b88d26bdc847b94ba51dcf3b993"/>
    <w:p>
      <w:pPr>
        <w:pStyle w:val="Heading2"/>
      </w:pPr>
      <w:r>
        <w:rPr>
          <w:rStyle w:val="VerbatimChar"/>
        </w:rPr>
        <w:t xml:space="preserve">retentionPolicy</w:t>
      </w:r>
      <w:r>
        <w:t xml:space="preserve"> </w:t>
      </w:r>
      <w:r>
        <w:t xml:space="preserve">here does nothing for Log Analytics</w:t>
      </w:r>
    </w:p>
    <w:p>
      <w:pPr>
        <w:pStyle w:val="FirstParagraph"/>
      </w:pPr>
      <w:r>
        <w:t xml:space="preserve">The</w:t>
      </w:r>
      <w:r>
        <w:t xml:space="preserve"> </w:t>
      </w:r>
      <w:r>
        <w:rPr>
          <w:rStyle w:val="VerbatimChar"/>
        </w:rPr>
        <w:t xml:space="preserve">retentionPolicy</w:t>
      </w:r>
      <w:r>
        <w:t xml:space="preserve"> </w:t>
      </w:r>
      <w:r>
        <w:t xml:space="preserve">block on a diagnostic setting is</w:t>
      </w:r>
      <w:r>
        <w:t xml:space="preserve"> </w:t>
      </w:r>
      <w:r>
        <w:t xml:space="preserve">“used for storage</w:t>
      </w:r>
      <w:r>
        <w:t xml:space="preserve"> </w:t>
      </w:r>
      <w:r>
        <w:t xml:space="preserve">accounts only”</w:t>
      </w:r>
      <w:r>
        <w:t xml:space="preserve"> </w:t>
      </w:r>
      <w:r>
        <w:t xml:space="preserve">(</w:t>
      </w:r>
      <w:hyperlink r:id="rId595">
        <w:r>
          <w:rPr>
            <w:rStyle w:val="Hyperlink"/>
          </w:rPr>
          <w:t xml:space="preserve">Azure Monitor REST API reference</w:t>
        </w:r>
      </w:hyperlink>
      <w:r>
        <w:t xml:space="preserve">).</w:t>
      </w:r>
      <w:r>
        <w:t xml:space="preserve"> </w:t>
      </w:r>
      <w:r>
        <w:t xml:space="preserve">Setting</w:t>
      </w:r>
      <w:r>
        <w:t xml:space="preserve"> </w:t>
      </w:r>
      <w:r>
        <w:rPr>
          <w:rStyle w:val="VerbatimChar"/>
        </w:rPr>
        <w:t xml:space="preserve">days: 3650</w:t>
      </w:r>
      <w:r>
        <w:t xml:space="preserve"> </w:t>
      </w:r>
      <w:r>
        <w:t xml:space="preserve">here and believing you have satisfied AU-11 or M-21-31 is</w:t>
      </w:r>
      <w:r>
        <w:t xml:space="preserve"> </w:t>
      </w:r>
      <w:r>
        <w:t xml:space="preserve">a common and expensive mistake — the retention that counts is configured</w:t>
      </w:r>
      <w:r>
        <w:t xml:space="preserve"> </w:t>
      </w:r>
      <w:r>
        <w:t xml:space="preserve">per-table on the workspace. See</w:t>
      </w:r>
      <w:r>
        <w:t xml:space="preserve"> </w:t>
      </w:r>
      <w:r>
        <w:t xml:space="preserve">Compliance crosswalk and verification.</w:t>
      </w:r>
    </w:p>
    <w:bookmarkEnd w:id="596"/>
    <w:bookmarkStart w:id="597" w:name="path-c-az-rest"/>
    <w:p>
      <w:pPr>
        <w:pStyle w:val="Heading2"/>
      </w:pPr>
      <w:r>
        <w:t xml:space="preserve">Path C —</w:t>
      </w:r>
      <w:r>
        <w:t xml:space="preserve"> </w:t>
      </w:r>
      <w:r>
        <w:rPr>
          <w:rStyle w:val="VerbatimChar"/>
        </w:rPr>
        <w:t xml:space="preserve">az rest</w:t>
      </w:r>
    </w:p>
    <w:p>
      <w:pPr>
        <w:pStyle w:val="FirstParagraph"/>
      </w:pPr>
      <w:r>
        <w:rPr>
          <w:rStyle w:val="VerbatimChar"/>
        </w:rPr>
        <w:t xml:space="preserve">az monitor diagnostic-settings create</w:t>
      </w:r>
      <w:r>
        <w:t xml:space="preserve"> </w:t>
      </w:r>
      <w:r>
        <w:t xml:space="preserve">targets resources inside a resource</w:t>
      </w:r>
      <w:r>
        <w:t xml:space="preserve"> </w:t>
      </w:r>
      <w:r>
        <w:t xml:space="preserve">group and</w:t>
      </w:r>
      <w:r>
        <w:t xml:space="preserve"> </w:t>
      </w:r>
      <w:r>
        <w:rPr>
          <w:b/>
          <w:bCs/>
        </w:rPr>
        <w:t xml:space="preserve">cannot</w:t>
      </w:r>
      <w:r>
        <w:t xml:space="preserve"> </w:t>
      </w:r>
      <w:r>
        <w:t xml:space="preserve">create an Entra tenant-scope setting. Operators who try</w:t>
      </w:r>
      <w:r>
        <w:t xml:space="preserve"> </w:t>
      </w:r>
      <w:r>
        <w:t xml:space="preserve">it hit an opaque failure. Use</w:t>
      </w:r>
      <w:r>
        <w:t xml:space="preserve"> </w:t>
      </w:r>
      <w:r>
        <w:rPr>
          <w:rStyle w:val="VerbatimChar"/>
        </w:rPr>
        <w:t xml:space="preserve">az rest</w:t>
      </w:r>
      <w:r>
        <w:t xml:space="preserve"> </w:t>
      </w:r>
      <w:r>
        <w:t xml:space="preserve">against the ARM endpoint directly:</w:t>
      </w:r>
    </w:p>
    <w:p>
      <w:pPr>
        <w:pStyle w:val="SourceCode"/>
      </w:pPr>
      <w:r>
        <w:rPr>
          <w:rStyle w:val="CommentTok"/>
        </w:rPr>
        <w:t xml:space="preserve">#!/usr/bin/env bash</w:t>
      </w:r>
      <w:r>
        <w:br/>
      </w:r>
      <w:r>
        <w:rPr>
          <w:rStyle w:val="CommentTok"/>
        </w:rPr>
        <w:t xml:space="preserve"># Create or update the Entra tenant diagnostic setting.</w:t>
      </w:r>
      <w:r>
        <w:br/>
      </w:r>
      <w:r>
        <w:rPr>
          <w:rStyle w:val="CommentTok"/>
        </w:rPr>
        <w:t xml:space="preserve"># Requires: Security Administrator on the tenant.</w:t>
      </w:r>
      <w:r>
        <w:br/>
      </w:r>
      <w:r>
        <w:rPr>
          <w:rStyle w:val="BuiltInTok"/>
        </w:rPr>
        <w:t xml:space="preserve">set</w:t>
      </w:r>
      <w:r>
        <w:rPr>
          <w:rStyle w:val="NormalTok"/>
        </w:rPr>
        <w:t xml:space="preserve"> </w:t>
      </w:r>
      <w:r>
        <w:rPr>
          <w:rStyle w:val="AttributeTok"/>
        </w:rPr>
        <w:t xml:space="preserve">-euo</w:t>
      </w:r>
      <w:r>
        <w:rPr>
          <w:rStyle w:val="NormalTok"/>
        </w:rPr>
        <w:t xml:space="preserve"> pipefail</w:t>
      </w:r>
      <w:r>
        <w:br/>
      </w:r>
      <w:r>
        <w:br/>
      </w:r>
      <w:r>
        <w:rPr>
          <w:rStyle w:val="VariableTok"/>
        </w:rPr>
        <w:t xml:space="preserve">SETTING_NAME</w:t>
      </w:r>
      <w:r>
        <w:rPr>
          <w:rStyle w:val="OperatorTok"/>
        </w:rPr>
        <w:t xml:space="preserve">=</w:t>
      </w:r>
      <w:r>
        <w:rPr>
          <w:rStyle w:val="StringTok"/>
        </w:rPr>
        <w:t xml:space="preserve">"fmp-siem-emission-core"</w:t>
      </w:r>
      <w:r>
        <w:br/>
      </w:r>
      <w:r>
        <w:rPr>
          <w:rStyle w:val="VariableTok"/>
        </w:rPr>
        <w:t xml:space="preserve">WORKSPACE_ID</w:t>
      </w:r>
      <w:r>
        <w:rPr>
          <w:rStyle w:val="OperatorTok"/>
        </w:rPr>
        <w:t xml:space="preserve">=</w:t>
      </w:r>
      <w:r>
        <w:rPr>
          <w:rStyle w:val="StringTok"/>
        </w:rPr>
        <w:t xml:space="preserve">"/subscriptions/</w:t>
      </w:r>
      <w:r>
        <w:rPr>
          <w:rStyle w:val="VariableTok"/>
        </w:rPr>
        <w:t xml:space="preserve">${SUBSCRIPTION_ID}</w:t>
      </w:r>
      <w:r>
        <w:rPr>
          <w:rStyle w:val="StringTok"/>
        </w:rPr>
        <w:t xml:space="preserve">/resourceGroups/</w:t>
      </w:r>
      <w:r>
        <w:rPr>
          <w:rStyle w:val="VariableTok"/>
        </w:rPr>
        <w:t xml:space="preserve">${RG}</w:t>
      </w:r>
      <w:r>
        <w:rPr>
          <w:rStyle w:val="StringTok"/>
        </w:rPr>
        <w:t xml:space="preserve">/providers/Microsoft.OperationalInsights/workspaces/</w:t>
      </w:r>
      <w:r>
        <w:rPr>
          <w:rStyle w:val="VariableTok"/>
        </w:rPr>
        <w:t xml:space="preserve">${WORKSPACE}</w:t>
      </w:r>
      <w:r>
        <w:rPr>
          <w:rStyle w:val="StringTok"/>
        </w:rPr>
        <w:t xml:space="preserve">"</w:t>
      </w:r>
      <w:r>
        <w:br/>
      </w:r>
      <w:r>
        <w:br/>
      </w:r>
      <w:r>
        <w:rPr>
          <w:rStyle w:val="VariableTok"/>
        </w:rPr>
        <w:t xml:space="preserve">CATEGORIES</w:t>
      </w:r>
      <w:r>
        <w:rPr>
          <w:rStyle w:val="OperatorTok"/>
        </w:rPr>
        <w:t xml:space="preserve">=</w:t>
      </w:r>
      <w:r>
        <w:rPr>
          <w:rStyle w:val="VariableTok"/>
        </w:rPr>
        <w:t xml:space="preserve">(</w:t>
      </w:r>
      <w:r>
        <w:br/>
      </w:r>
      <w:r>
        <w:rPr>
          <w:rStyle w:val="NormalTok"/>
        </w:rPr>
        <w:t xml:space="preserve">  AuditLogs SignInLogs NonInteractiveUserSignInLogs</w:t>
      </w:r>
      <w:r>
        <w:br/>
      </w:r>
      <w:r>
        <w:rPr>
          <w:rStyle w:val="NormalTok"/>
        </w:rPr>
        <w:t xml:space="preserve">  ServicePrincipalSignInLogs ManagedIdentitySignInLogs</w:t>
      </w:r>
      <w:r>
        <w:br/>
      </w:r>
      <w:r>
        <w:rPr>
          <w:rStyle w:val="NormalTok"/>
        </w:rPr>
        <w:t xml:space="preserve">  ProvisioningLogs MicrosoftGraphActivityLogs</w:t>
      </w:r>
      <w:r>
        <w:br/>
      </w:r>
      <w:r>
        <w:rPr>
          <w:rStyle w:val="NormalTok"/>
        </w:rPr>
        <w:t xml:space="preserve">  RiskyUsers UserRiskEvents</w:t>
      </w:r>
      <w:r>
        <w:br/>
      </w:r>
      <w:r>
        <w:rPr>
          <w:rStyle w:val="NormalTok"/>
        </w:rPr>
        <w:t xml:space="preserve">  RiskyServicePrincipals ServicePrincipalRiskEvents</w:t>
      </w:r>
      <w:r>
        <w:br/>
      </w:r>
      <w:r>
        <w:rPr>
          <w:rStyle w:val="VariableTok"/>
        </w:rPr>
        <w:t xml:space="preserve">)</w:t>
      </w:r>
      <w:r>
        <w:br/>
      </w:r>
      <w:r>
        <w:br/>
      </w:r>
      <w:r>
        <w:rPr>
          <w:rStyle w:val="VariableTok"/>
        </w:rPr>
        <w:t xml:space="preserve">LOGS_JSON</w:t>
      </w:r>
      <w:r>
        <w:rPr>
          <w:rStyle w:val="OperatorTok"/>
        </w:rPr>
        <w:t xml:space="preserve">=</w:t>
      </w:r>
      <w:r>
        <w:rPr>
          <w:rStyle w:val="VariableTok"/>
        </w:rPr>
        <w:t xml:space="preserve">$(</w:t>
      </w:r>
      <w:r>
        <w:rPr>
          <w:rStyle w:val="BuiltInTok"/>
        </w:rPr>
        <w:t xml:space="preserve">printf</w:t>
      </w:r>
      <w:r>
        <w:rPr>
          <w:rStyle w:val="NormalTok"/>
        </w:rPr>
        <w:t xml:space="preserve"> </w:t>
      </w:r>
      <w:r>
        <w:rPr>
          <w:rStyle w:val="StringTok"/>
        </w:rPr>
        <w:t xml:space="preserve">'%s\n'</w:t>
      </w:r>
      <w:r>
        <w:rPr>
          <w:rStyle w:val="NormalTok"/>
        </w:rPr>
        <w:t xml:space="preserve"> </w:t>
      </w:r>
      <w:r>
        <w:rPr>
          <w:rStyle w:val="StringTok"/>
        </w:rPr>
        <w:t xml:space="preserve">"</w:t>
      </w:r>
      <w:r>
        <w:rPr>
          <w:rStyle w:val="VariableTok"/>
        </w:rPr>
        <w:t xml:space="preserve">${CATEGORIES</w:t>
      </w:r>
      <w:r>
        <w:rPr>
          <w:rStyle w:val="OperatorTok"/>
        </w:rPr>
        <w:t xml:space="preserve">[@]</w:t>
      </w:r>
      <w:r>
        <w:rPr>
          <w:rStyle w:val="VariableTok"/>
        </w:rPr>
        <w:t xml:space="preserve">}</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-s</w:t>
      </w:r>
      <w:r>
        <w:rPr>
          <w:rStyle w:val="NormalTok"/>
        </w:rPr>
        <w:t xml:space="preserve"> </w:t>
      </w:r>
      <w:r>
        <w:rPr>
          <w:rStyle w:val="StringTok"/>
        </w:rPr>
        <w:t xml:space="preserve">'map({category: ., enabled: true})'</w:t>
      </w:r>
      <w:r>
        <w:rPr>
          <w:rStyle w:val="VariableTok"/>
        </w:rPr>
        <w:t xml:space="preserve">)</w:t>
      </w:r>
      <w:r>
        <w:br/>
      </w:r>
      <w:r>
        <w:br/>
      </w:r>
      <w:r>
        <w:rPr>
          <w:rStyle w:val="ExtensionTok"/>
        </w:rPr>
        <w:t xml:space="preserve">az</w:t>
      </w:r>
      <w:r>
        <w:rPr>
          <w:rStyle w:val="NormalTok"/>
        </w:rPr>
        <w:t xml:space="preserve"> rest </w:t>
      </w:r>
      <w:r>
        <w:rPr>
          <w:rStyle w:val="AttributeTok"/>
        </w:rPr>
        <w:t xml:space="preserve">--method</w:t>
      </w:r>
      <w:r>
        <w:rPr>
          <w:rStyle w:val="NormalTok"/>
        </w:rPr>
        <w:t xml:space="preserve"> PUT </w:t>
      </w:r>
      <w:r>
        <w:rPr>
          <w:rStyle w:val="DataTypeTok"/>
        </w:rPr>
        <w:t xml:space="preserve">\</w:t>
      </w:r>
      <w:r>
        <w:br/>
      </w:r>
      <w:r>
        <w:rPr>
          <w:rStyle w:val="NormalTok"/>
        </w:rPr>
        <w:t xml:space="preserve">  </w:t>
      </w:r>
      <w:r>
        <w:rPr>
          <w:rStyle w:val="AttributeTok"/>
        </w:rPr>
        <w:t xml:space="preserve">--uri</w:t>
      </w:r>
      <w:r>
        <w:rPr>
          <w:rStyle w:val="NormalTok"/>
        </w:rPr>
        <w:t xml:space="preserve"> </w:t>
      </w:r>
      <w:r>
        <w:rPr>
          <w:rStyle w:val="StringTok"/>
        </w:rPr>
        <w:t xml:space="preserve">"https://management.azure.com/providers/microsoft.aadiam/diagnosticSettings/</w:t>
      </w:r>
      <w:r>
        <w:rPr>
          <w:rStyle w:val="VariableTok"/>
        </w:rPr>
        <w:t xml:space="preserve">${SETTING_NAME}</w:t>
      </w:r>
      <w:r>
        <w:rPr>
          <w:rStyle w:val="StringTok"/>
        </w:rPr>
        <w:t xml:space="preserve">?api-version=2017-04-01"</w:t>
      </w:r>
      <w:r>
        <w:rPr>
          <w:rStyle w:val="NormalTok"/>
        </w:rPr>
        <w:t xml:space="preserve"> </w:t>
      </w:r>
      <w:r>
        <w:rPr>
          <w:rStyle w:val="DataTypeTok"/>
        </w:rPr>
        <w:t xml:space="preserve">\</w:t>
      </w:r>
      <w:r>
        <w:br/>
      </w:r>
      <w:r>
        <w:rPr>
          <w:rStyle w:val="NormalTok"/>
        </w:rPr>
        <w:t xml:space="preserve">  </w:t>
      </w:r>
      <w:r>
        <w:rPr>
          <w:rStyle w:val="AttributeTok"/>
        </w:rPr>
        <w:t xml:space="preserve">--headers</w:t>
      </w:r>
      <w:r>
        <w:rPr>
          <w:rStyle w:val="NormalTok"/>
        </w:rPr>
        <w:t xml:space="preserve"> </w:t>
      </w:r>
      <w:r>
        <w:rPr>
          <w:rStyle w:val="StringTok"/>
        </w:rPr>
        <w:t xml:space="preserve">"Content-Type=application/json"</w:t>
      </w:r>
      <w:r>
        <w:rPr>
          <w:rStyle w:val="NormalTok"/>
        </w:rPr>
        <w:t xml:space="preserve"> </w:t>
      </w:r>
      <w:r>
        <w:rPr>
          <w:rStyle w:val="DataTypeTok"/>
        </w:rPr>
        <w:t xml:space="preserve">\</w:t>
      </w:r>
      <w:r>
        <w:br/>
      </w:r>
      <w:r>
        <w:rPr>
          <w:rStyle w:val="NormalTok"/>
        </w:rPr>
        <w:t xml:space="preserve">  </w:t>
      </w:r>
      <w:r>
        <w:rPr>
          <w:rStyle w:val="AttributeTok"/>
        </w:rPr>
        <w:t xml:space="preserve">--body</w:t>
      </w:r>
      <w:r>
        <w:rPr>
          <w:rStyle w:val="NormalTok"/>
        </w:rPr>
        <w:t xml:space="preserve"> </w:t>
      </w:r>
      <w:r>
        <w:rPr>
          <w:rStyle w:val="StringTok"/>
        </w:rPr>
        <w:t xml:space="preserve">"</w:t>
      </w:r>
      <w:r>
        <w:rPr>
          <w:rStyle w:val="VariableTok"/>
        </w:rPr>
        <w:t xml:space="preserve">$(</w:t>
      </w:r>
      <w:r>
        <w:rPr>
          <w:rStyle w:val="ExtensionTok"/>
        </w:rPr>
        <w:t xml:space="preserve">jq</w:t>
      </w:r>
      <w:r>
        <w:rPr>
          <w:rStyle w:val="NormalTok"/>
        </w:rPr>
        <w:t xml:space="preserve"> </w:t>
      </w:r>
      <w:r>
        <w:rPr>
          <w:rStyle w:val="AttributeTok"/>
        </w:rPr>
        <w:t xml:space="preserve">-n</w:t>
      </w:r>
      <w:r>
        <w:rPr>
          <w:rStyle w:val="NormalTok"/>
        </w:rPr>
        <w:t xml:space="preserve"> </w:t>
      </w:r>
      <w:r>
        <w:rPr>
          <w:rStyle w:val="AttributeTok"/>
        </w:rPr>
        <w:t xml:space="preserve">--arg</w:t>
      </w:r>
      <w:r>
        <w:rPr>
          <w:rStyle w:val="NormalTok"/>
        </w:rPr>
        <w:t xml:space="preserve"> ws </w:t>
      </w:r>
      <w:r>
        <w:rPr>
          <w:rStyle w:val="StringTok"/>
        </w:rPr>
        <w:t xml:space="preserve">"</w:t>
      </w:r>
      <w:r>
        <w:rPr>
          <w:rStyle w:val="VariableTok"/>
        </w:rPr>
        <w:t xml:space="preserve">$WORKSPACE_ID</w:t>
      </w:r>
      <w:r>
        <w:rPr>
          <w:rStyle w:val="StringTok"/>
        </w:rPr>
        <w:t xml:space="preserve">"</w:t>
      </w:r>
      <w:r>
        <w:rPr>
          <w:rStyle w:val="NormalTok"/>
        </w:rPr>
        <w:t xml:space="preserve"> </w:t>
      </w:r>
      <w:r>
        <w:rPr>
          <w:rStyle w:val="AttributeTok"/>
        </w:rPr>
        <w:t xml:space="preserve">--argjson</w:t>
      </w:r>
      <w:r>
        <w:rPr>
          <w:rStyle w:val="NormalTok"/>
        </w:rPr>
        <w:t xml:space="preserve"> logs </w:t>
      </w:r>
      <w:r>
        <w:rPr>
          <w:rStyle w:val="StringTok"/>
        </w:rPr>
        <w:t xml:space="preserve">"</w:t>
      </w:r>
      <w:r>
        <w:rPr>
          <w:rStyle w:val="VariableTok"/>
        </w:rPr>
        <w:t xml:space="preserve">$LOGS_JSON</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StringTok"/>
        </w:rPr>
        <w:t xml:space="preserve">'{properties: {workspaceId: $ws, logs: $logs}}'</w:t>
      </w:r>
      <w:r>
        <w:rPr>
          <w:rStyle w:val="VariableTok"/>
        </w:rPr>
        <w:t xml:space="preserve">)</w:t>
      </w:r>
      <w:r>
        <w:rPr>
          <w:rStyle w:val="StringTok"/>
        </w:rPr>
        <w:t xml:space="preserve">"</w:t>
      </w:r>
    </w:p>
    <w:p>
      <w:pPr>
        <w:pStyle w:val="FirstParagraph"/>
      </w:pPr>
      <w:r>
        <w:t xml:space="preserve">Read the current state back — this is also the supported way to discover which</w:t>
      </w:r>
      <w:r>
        <w:t xml:space="preserve"> </w:t>
      </w:r>
      <w:r>
        <w:t xml:space="preserve">categories a given tenant actually supports, since availability varies with</w:t>
      </w:r>
      <w:r>
        <w:t xml:space="preserve"> </w:t>
      </w:r>
      <w:r>
        <w:t xml:space="preserve">licensing and feature enablement:</w:t>
      </w:r>
    </w:p>
    <w:p>
      <w:pPr>
        <w:pStyle w:val="SourceCode"/>
      </w:pPr>
      <w:r>
        <w:rPr>
          <w:rStyle w:val="ExtensionTok"/>
        </w:rPr>
        <w:t xml:space="preserve">az</w:t>
      </w:r>
      <w:r>
        <w:rPr>
          <w:rStyle w:val="NormalTok"/>
        </w:rPr>
        <w:t xml:space="preserve"> rest </w:t>
      </w:r>
      <w:r>
        <w:rPr>
          <w:rStyle w:val="AttributeTok"/>
        </w:rPr>
        <w:t xml:space="preserve">--method</w:t>
      </w:r>
      <w:r>
        <w:rPr>
          <w:rStyle w:val="NormalTok"/>
        </w:rPr>
        <w:t xml:space="preserve"> GET </w:t>
      </w:r>
      <w:r>
        <w:rPr>
          <w:rStyle w:val="DataTypeTok"/>
        </w:rPr>
        <w:t xml:space="preserve">\</w:t>
      </w:r>
      <w:r>
        <w:br/>
      </w:r>
      <w:r>
        <w:rPr>
          <w:rStyle w:val="NormalTok"/>
        </w:rPr>
        <w:t xml:space="preserve">  </w:t>
      </w:r>
      <w:r>
        <w:rPr>
          <w:rStyle w:val="AttributeTok"/>
        </w:rPr>
        <w:t xml:space="preserve">--uri</w:t>
      </w:r>
      <w:r>
        <w:rPr>
          <w:rStyle w:val="NormalTok"/>
        </w:rPr>
        <w:t xml:space="preserve"> </w:t>
      </w:r>
      <w:r>
        <w:rPr>
          <w:rStyle w:val="StringTok"/>
        </w:rPr>
        <w:t xml:space="preserve">"https://management.azure.com/providers/microsoft.aadiam/diagnosticSettings?api-version=2017-04-01"</w:t>
      </w:r>
      <w:r>
        <w:rPr>
          <w:rStyle w:val="NormalTok"/>
        </w:rPr>
        <w:t xml:space="preserve"> </w:t>
      </w:r>
      <w:r>
        <w:rPr>
          <w:rStyle w:val="DataTypeTok"/>
        </w:rPr>
        <w:t xml:space="preserve">\</w:t>
      </w:r>
      <w:r>
        <w:br/>
      </w:r>
      <w:r>
        <w:rPr>
          <w:rStyle w:val="NormalTok"/>
        </w:rPr>
        <w:t xml:space="preserve">  </w:t>
      </w:r>
      <w:r>
        <w:rPr>
          <w:rStyle w:val="AttributeTok"/>
        </w:rPr>
        <w:t xml:space="preserve">--query</w:t>
      </w:r>
      <w:r>
        <w:rPr>
          <w:rStyle w:val="NormalTok"/>
        </w:rPr>
        <w:t xml:space="preserve"> </w:t>
      </w:r>
      <w:r>
        <w:rPr>
          <w:rStyle w:val="StringTok"/>
        </w:rPr>
        <w:t xml:space="preserve">"value[].{name:name, workspace:properties.workspaceId, categories:properties.logs[?enabled].category}"</w:t>
      </w:r>
      <w:r>
        <w:rPr>
          <w:rStyle w:val="NormalTok"/>
        </w:rPr>
        <w:t xml:space="preserve"> </w:t>
      </w:r>
      <w:r>
        <w:rPr>
          <w:rStyle w:val="DataTypeTok"/>
        </w:rPr>
        <w:t xml:space="preserve">\</w:t>
      </w:r>
      <w:r>
        <w:br/>
      </w:r>
      <w:r>
        <w:rPr>
          <w:rStyle w:val="NormalTok"/>
        </w:rPr>
        <w:t xml:space="preserve">  </w:t>
      </w:r>
      <w:r>
        <w:rPr>
          <w:rStyle w:val="AttributeTok"/>
        </w:rPr>
        <w:t xml:space="preserve">-o</w:t>
      </w:r>
      <w:r>
        <w:rPr>
          <w:rStyle w:val="NormalTok"/>
        </w:rPr>
        <w:t xml:space="preserve"> jsonc</w:t>
      </w:r>
    </w:p>
    <w:bookmarkEnd w:id="597"/>
    <w:bookmarkStart w:id="598" w:name="sovereign-clouds"/>
    <w:p>
      <w:pPr>
        <w:pStyle w:val="Heading2"/>
      </w:pPr>
      <w:r>
        <w:t xml:space="preserve">Sovereign clouds</w:t>
      </w:r>
    </w:p>
    <w:p>
      <w:pPr>
        <w:pStyle w:val="FirstParagraph"/>
      </w:pPr>
      <w:r>
        <w:t xml:space="preserve">Replace</w:t>
      </w:r>
      <w:r>
        <w:t xml:space="preserve"> </w:t>
      </w:r>
      <w:r>
        <w:rPr>
          <w:rStyle w:val="VerbatimChar"/>
        </w:rPr>
        <w:t xml:space="preserve">management.azure.com</w:t>
      </w:r>
      <w:r>
        <w:t xml:space="preserve"> </w:t>
      </w:r>
      <w:r>
        <w:t xml:space="preserve">with</w:t>
      </w:r>
      <w:r>
        <w:t xml:space="preserve"> </w:t>
      </w:r>
      <w:r>
        <w:rPr>
          <w:rStyle w:val="VerbatimChar"/>
        </w:rPr>
        <w:t xml:space="preserve">management.usgovcloudapi.net</w:t>
      </w:r>
      <w:r>
        <w:t xml:space="preserve"> </w:t>
      </w:r>
      <w:r>
        <w:t xml:space="preserve">for Azure</w:t>
      </w:r>
      <w:r>
        <w:t xml:space="preserve"> </w:t>
      </w:r>
      <w:r>
        <w:t xml:space="preserve">Government. Entra portal and Graph endpoints shift too — see the</w:t>
      </w:r>
      <w:r>
        <w:t xml:space="preserve"> </w:t>
      </w:r>
      <w:r>
        <w:t xml:space="preserve">endpoint table. GCC (the current the Federal Modernization Program</w:t>
      </w:r>
      <w:r>
        <w:t xml:space="preserve"> </w:t>
      </w:r>
      <w:r>
        <w:t xml:space="preserve">boundary) stays on the worldwide ARM and Graph endpoints.</w:t>
      </w:r>
    </w:p>
    <w:bookmarkEnd w:id="598"/>
    <w:bookmarkStart w:id="604" w:name="Xd9eb44045406074b62423f2dcda3a57cbef88dd"/>
    <w:p>
      <w:pPr>
        <w:pStyle w:val="Heading2"/>
      </w:pPr>
      <w:r>
        <w:t xml:space="preserve">Microsoft Graph — targeted evidence, not the feed</w:t>
      </w:r>
    </w:p>
    <w:p>
      <w:pPr>
        <w:pStyle w:val="FirstParagraph"/>
      </w:pPr>
      <w:r>
        <w:t xml:space="preserve">Graph’s</w:t>
      </w:r>
      <w:r>
        <w:t xml:space="preserve"> </w:t>
      </w:r>
      <w:r>
        <w:rPr>
          <w:rStyle w:val="VerbatimChar"/>
        </w:rPr>
        <w:t xml:space="preserve">auditLogs</w:t>
      </w:r>
      <w:r>
        <w:t xml:space="preserve"> </w:t>
      </w:r>
      <w:r>
        <w:t xml:space="preserve">endpoints answer</w:t>
      </w:r>
      <w:r>
        <w:t xml:space="preserve"> </w:t>
      </w:r>
      <w:r>
        <w:rPr>
          <w:i/>
          <w:iCs/>
        </w:rPr>
        <w:t xml:space="preserve">“show me this specific thing”</w:t>
      </w:r>
      <w:r>
        <w:t xml:space="preserve">. They are</w:t>
      </w:r>
      <w:r>
        <w:t xml:space="preserve"> </w:t>
      </w:r>
      <w:r>
        <w:t xml:space="preserve">the wrong tool for continuous ingestion, and Microsoft says so directly: the</w:t>
      </w:r>
      <w:r>
        <w:t xml:space="preserve"> </w:t>
      </w:r>
      <w:r>
        <w:t xml:space="preserve">API</w:t>
      </w:r>
      <w:r>
        <w:t xml:space="preserve"> </w:t>
      </w:r>
      <w:r>
        <w:t xml:space="preserve">“isn’t designed for pulling large amounts of activity data,”</w:t>
      </w:r>
      <w:r>
        <w:t xml:space="preserve"> </w:t>
      </w:r>
      <w:r>
        <w:t xml:space="preserve">which</w:t>
      </w:r>
      <w:r>
        <w:t xml:space="preserve"> </w:t>
      </w:r>
      <w:r>
        <w:t xml:space="preserve">“might</w:t>
      </w:r>
      <w:r>
        <w:t xml:space="preserve"> </w:t>
      </w:r>
      <w:r>
        <w:t xml:space="preserve">lead to issues with pagination and performance”</w:t>
      </w:r>
      <w:r>
        <w:t xml:space="preserve"> </w:t>
      </w:r>
      <w:r>
        <w:t xml:space="preserve">(</w:t>
      </w:r>
      <w:hyperlink r:id="rId599">
        <w:r>
          <w:rPr>
            <w:rStyle w:val="Hyperlink"/>
          </w:rPr>
          <w:t xml:space="preserve">analyze activity logs with Graph</w:t>
        </w:r>
      </w:hyperlink>
      <w:r>
        <w:t xml:space="preserve">).</w:t>
      </w:r>
    </w:p>
    <w:bookmarkStart w:id="602" w:name="endpoints"/>
    <w:p>
      <w:pPr>
        <w:pStyle w:val="Heading3"/>
      </w:pPr>
      <w:r>
        <w:t xml:space="preserve">Endpoints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Returns</w:t>
            </w:r>
          </w:p>
        </w:tc>
      </w:tr>
      <w:tr>
        <w:tc>
          <w:tcPr/>
          <w:p>
            <w:pPr>
              <w:pStyle w:val="Compact"/>
            </w:pPr>
            <w:r>
              <w:rPr>
                <w:rStyle w:val="VerbatimChar"/>
              </w:rPr>
              <w:t xml:space="preserve">GET /v1.0/auditLogs/directoryAudits</w:t>
            </w:r>
          </w:p>
        </w:tc>
        <w:tc>
          <w:tcPr/>
          <w:p>
            <w:pPr>
              <w:pStyle w:val="Compact"/>
            </w:pPr>
            <w:r>
              <w:t xml:space="preserve">Directory change history — role grants, app consent, password resets, group management (</w:t>
            </w:r>
            <w:hyperlink r:id="rId600">
              <w:r>
                <w:rPr>
                  <w:rStyle w:val="Hyperlink"/>
                </w:rPr>
                <w:t xml:space="preserve">reference</w:t>
              </w:r>
            </w:hyperlink>
            <w:r>
              <w:t xml:space="preserve">)</w:t>
            </w:r>
          </w:p>
        </w:tc>
      </w:tr>
      <w:tr>
        <w:tc>
          <w:tcPr/>
          <w:p>
            <w:pPr>
              <w:pStyle w:val="Compact"/>
            </w:pPr>
            <w:r>
              <w:rPr>
                <w:rStyle w:val="VerbatimChar"/>
              </w:rPr>
              <w:t xml:space="preserve">GET /v1.0/auditLogs/signIns</w:t>
            </w:r>
          </w:p>
        </w:tc>
        <w:tc>
          <w:tcPr/>
          <w:p>
            <w:pPr>
              <w:pStyle w:val="Compact"/>
            </w:pPr>
            <w:r>
              <w:t xml:space="preserve">Interactive, non-interactive, service-principal, and managed-identity sign-ins (</w:t>
            </w:r>
            <w:hyperlink r:id="rId601">
              <w:r>
                <w:rPr>
                  <w:rStyle w:val="Hyperlink"/>
                </w:rPr>
                <w:t xml:space="preserve">reference</w:t>
              </w:r>
            </w:hyperlink>
            <w:r>
              <w:t xml:space="preserve">)</w:t>
            </w:r>
          </w:p>
        </w:tc>
      </w:tr>
      <w:tr>
        <w:tc>
          <w:tcPr/>
          <w:p>
            <w:pPr>
              <w:pStyle w:val="Compact"/>
            </w:pPr>
            <w:r>
              <w:rPr>
                <w:rStyle w:val="VerbatimChar"/>
              </w:rPr>
              <w:t xml:space="preserve">GET /v1.0/auditLogs/provisioning</w:t>
            </w:r>
          </w:p>
        </w:tc>
        <w:tc>
          <w:tcPr/>
          <w:p>
            <w:pPr>
              <w:pStyle w:val="Compact"/>
            </w:pPr>
            <w:r>
              <w:t xml:space="preserve">Provisioning-service activity</w:t>
            </w:r>
          </w:p>
        </w:tc>
      </w:tr>
      <w:tr>
        <w:tc>
          <w:tcPr/>
          <w:p>
            <w:pPr>
              <w:pStyle w:val="Compact"/>
            </w:pPr>
            <w:r>
              <w:rPr>
                <w:rStyle w:val="VerbatimChar"/>
              </w:rPr>
              <w:t xml:space="preserve">GET /beta/auditLogs/signUps</w:t>
            </w:r>
          </w:p>
        </w:tc>
        <w:tc>
          <w:tcPr/>
          <w:p>
            <w:pPr>
              <w:pStyle w:val="Compact"/>
            </w:pPr>
            <w:r>
              <w:t xml:space="preserve">Self-service sign-up activity (beta — not for production)</w:t>
            </w:r>
          </w:p>
        </w:tc>
      </w:tr>
    </w:tbl>
    <w:bookmarkEnd w:id="602"/>
    <w:bookmarkStart w:id="603" w:name="permissions"/>
    <w:p>
      <w:pPr>
        <w:pStyle w:val="Heading3"/>
      </w:pPr>
      <w:r>
        <w:t xml:space="preserve">Permissions</w:t>
      </w:r>
    </w:p>
    <w:p>
      <w:pPr>
        <w:pStyle w:val="FirstParagraph"/>
      </w:pPr>
      <w:r>
        <w:rPr>
          <w:rStyle w:val="VerbatimChar"/>
        </w:rPr>
        <w:t xml:space="preserve">AuditLog.Read.All</w:t>
      </w:r>
      <w:r>
        <w:t xml:space="preserve"> </w:t>
      </w:r>
      <w:r>
        <w:t xml:space="preserve">is the least-privileged permission for both delegated and</w:t>
      </w:r>
      <w:r>
        <w:t xml:space="preserve"> </w:t>
      </w:r>
      <w:r>
        <w:t xml:space="preserve">application access on</w:t>
      </w:r>
      <w:r>
        <w:t xml:space="preserve"> </w:t>
      </w:r>
      <w:r>
        <w:rPr>
          <w:rStyle w:val="VerbatimChar"/>
        </w:rPr>
        <w:t xml:space="preserve">directoryAudits</w:t>
      </w:r>
      <w:r>
        <w:t xml:space="preserve"> </w:t>
      </w:r>
      <w:r>
        <w:t xml:space="preserve">and</w:t>
      </w:r>
      <w:r>
        <w:t xml:space="preserve"> </w:t>
      </w:r>
      <w:r>
        <w:rPr>
          <w:rStyle w:val="VerbatimChar"/>
        </w:rPr>
        <w:t xml:space="preserve">signIns</w:t>
      </w:r>
      <w:r>
        <w:t xml:space="preserve">.</w:t>
      </w:r>
      <w:r>
        <w:t xml:space="preserve"> </w:t>
      </w:r>
      <w:r>
        <w:rPr>
          <w:rStyle w:val="VerbatimChar"/>
        </w:rPr>
        <w:t xml:space="preserve">Get directoryAudit</w:t>
      </w:r>
      <w:r>
        <w:t xml:space="preserve"> </w:t>
      </w:r>
      <w:r>
        <w:t xml:space="preserve">(single item) additionally requires</w:t>
      </w:r>
      <w:r>
        <w:t xml:space="preserve"> </w:t>
      </w:r>
      <w:r>
        <w:rPr>
          <w:rStyle w:val="VerbatimChar"/>
        </w:rPr>
        <w:t xml:space="preserve">Directory.Read.All</w:t>
      </w:r>
      <w:r>
        <w:t xml:space="preserve">. For delegated</w:t>
      </w:r>
      <w:r>
        <w:t xml:space="preserve"> </w:t>
      </w:r>
      <w:r>
        <w:t xml:space="preserve">access the signed-in user must hold a supporting role —</w:t>
      </w:r>
      <w:r>
        <w:t xml:space="preserve"> </w:t>
      </w:r>
      <w:r>
        <w:rPr>
          <w:b/>
          <w:bCs/>
        </w:rPr>
        <w:t xml:space="preserve">Reports Reader</w:t>
      </w:r>
      <w:r>
        <w:t xml:space="preserve">,</w:t>
      </w:r>
      <w:r>
        <w:t xml:space="preserve"> </w:t>
      </w:r>
      <w:r>
        <w:rPr>
          <w:b/>
          <w:bCs/>
        </w:rPr>
        <w:t xml:space="preserve">Security Reader</w:t>
      </w:r>
      <w:r>
        <w:t xml:space="preserve">,</w:t>
      </w:r>
      <w:r>
        <w:t xml:space="preserve"> </w:t>
      </w:r>
      <w:r>
        <w:rPr>
          <w:b/>
          <w:bCs/>
        </w:rPr>
        <w:t xml:space="preserve">Security Administrator</w:t>
      </w:r>
      <w:r>
        <w:t xml:space="preserve">, or</w:t>
      </w:r>
      <w:r>
        <w:t xml:space="preserve"> </w:t>
      </w:r>
      <w:r>
        <w:rPr>
          <w:b/>
          <w:bCs/>
        </w:rPr>
        <w:t xml:space="preserve">Global Reader</w:t>
      </w:r>
      <w:r>
        <w:t xml:space="preserve"> </w:t>
      </w:r>
      <w:r>
        <w:t xml:space="preserve">depending on the endpoint.</w:t>
      </w:r>
    </w:p>
    <w:bookmarkEnd w:id="603"/>
    <w:bookmarkEnd w:id="604"/>
    <w:bookmarkStart w:id="605" w:name="X0f2c8cc0889510f093d38af0f1778c73a93cef8"/>
    <w:p>
      <w:pPr>
        <w:pStyle w:val="Heading2"/>
      </w:pPr>
      <w:r>
        <w:t xml:space="preserve">Conditional Access data is separately gated</w:t>
      </w:r>
    </w:p>
    <w:p>
      <w:pPr>
        <w:pStyle w:val="FirstParagraph"/>
      </w:pPr>
      <w:r>
        <w:rPr>
          <w:rStyle w:val="VerbatimChar"/>
        </w:rPr>
        <w:t xml:space="preserve">appliedConditionalAccessPolicies</w:t>
      </w:r>
      <w:r>
        <w:t xml:space="preserve"> </w:t>
      </w:r>
      <w:r>
        <w:t xml:space="preserve">is</w:t>
      </w:r>
      <w:r>
        <w:t xml:space="preserve"> </w:t>
      </w:r>
      <w:r>
        <w:rPr>
          <w:b/>
          <w:bCs/>
        </w:rPr>
        <w:t xml:space="preserve">omitted</w:t>
      </w:r>
      <w:r>
        <w:t xml:space="preserve"> </w:t>
      </w:r>
      <w:r>
        <w:t xml:space="preserve">from the</w:t>
      </w:r>
      <w:r>
        <w:t xml:space="preserve"> </w:t>
      </w:r>
      <w:r>
        <w:rPr>
          <w:rStyle w:val="VerbatimChar"/>
        </w:rPr>
        <w:t xml:space="preserve">signIns</w:t>
      </w:r>
      <w:r>
        <w:t xml:space="preserve"> </w:t>
      </w:r>
      <w:r>
        <w:t xml:space="preserve">response</w:t>
      </w:r>
      <w:r>
        <w:t xml:space="preserve"> </w:t>
      </w:r>
      <w:r>
        <w:t xml:space="preserve">unless the caller also holds</w:t>
      </w:r>
      <w:r>
        <w:t xml:space="preserve"> </w:t>
      </w:r>
      <w:r>
        <w:rPr>
          <w:rStyle w:val="VerbatimChar"/>
        </w:rPr>
        <w:t xml:space="preserve">Policy.Read.All</w:t>
      </w:r>
      <w:r>
        <w:t xml:space="preserve">,</w:t>
      </w:r>
      <w:r>
        <w:t xml:space="preserve"> </w:t>
      </w:r>
      <w:r>
        <w:rPr>
          <w:rStyle w:val="VerbatimChar"/>
        </w:rPr>
        <w:t xml:space="preserve">Policy.Read.ConditionalAccess</w:t>
      </w:r>
      <w:r>
        <w:t xml:space="preserve">, or</w:t>
      </w:r>
      <w:r>
        <w:t xml:space="preserve"> </w:t>
      </w:r>
      <w:r>
        <w:rPr>
          <w:rStyle w:val="VerbatimChar"/>
        </w:rPr>
        <w:t xml:space="preserve">Policy.ReadWrite.ConditionalAccess</w:t>
      </w:r>
      <w:r>
        <w:t xml:space="preserve"> </w:t>
      </w:r>
      <w:r>
        <w:t xml:space="preserve">(</w:t>
      </w:r>
      <w:hyperlink r:id="rId601">
        <w:r>
          <w:rPr>
            <w:rStyle w:val="Hyperlink"/>
          </w:rPr>
          <w:t xml:space="preserve">signIns permissions</w:t>
        </w:r>
      </w:hyperlink>
      <w:r>
        <w:t xml:space="preserve">).</w:t>
      </w:r>
    </w:p>
    <w:p>
      <w:pPr>
        <w:pStyle w:val="BodyText"/>
      </w:pPr>
      <w:r>
        <w:t xml:space="preserve">The property is dropped silently — no error, no warning. An evidence pipeline</w:t>
      </w:r>
      <w:r>
        <w:t xml:space="preserve"> </w:t>
      </w:r>
      <w:r>
        <w:t xml:space="preserve">built without one of those permissions produces sign-in records that look</w:t>
      </w:r>
      <w:r>
        <w:t xml:space="preserve"> </w:t>
      </w:r>
      <w:r>
        <w:t xml:space="preserve">complete and contain no CA evaluation data at all, which is precisely the</w:t>
      </w:r>
      <w:r>
        <w:t xml:space="preserve"> </w:t>
      </w:r>
      <w:r>
        <w:t xml:space="preserve">evidence AC-2 and AC-6 assessment turns on. This is the repo’s boundary-probe</w:t>
      </w:r>
      <w:r>
        <w:t xml:space="preserve"> </w:t>
      </w:r>
      <w:r>
        <w:t xml:space="preserve">symptom #5,</w:t>
      </w:r>
      <w:r>
        <w:t xml:space="preserve"> </w:t>
      </w:r>
      <w:r>
        <w:t xml:space="preserve">“CA evaluation-log incompleteness.”</w:t>
      </w:r>
    </w:p>
    <w:bookmarkEnd w:id="605"/>
    <w:bookmarkStart w:id="607" w:name="example-ca-failures-in-a-bounded-window"/>
    <w:p>
      <w:pPr>
        <w:pStyle w:val="Heading3"/>
      </w:pPr>
      <w:r>
        <w:t xml:space="preserve">Example — CA failures in a bounded window</w:t>
      </w:r>
    </w:p>
    <w:p>
      <w:pPr>
        <w:pStyle w:val="FirstParagraph"/>
      </w:pPr>
      <w:r>
        <w:t xml:space="preserve">Always apply a</w:t>
      </w:r>
      <w:r>
        <w:t xml:space="preserve"> </w:t>
      </w:r>
      <w:r>
        <w:rPr>
          <w:rStyle w:val="VerbatimChar"/>
        </w:rPr>
        <w:t xml:space="preserve">createdDateTime</w:t>
      </w:r>
      <w:r>
        <w:t xml:space="preserve"> </w:t>
      </w:r>
      <w:r>
        <w:t xml:space="preserve">filter; unbounded queries time out.</w:t>
      </w:r>
    </w:p>
    <w:p>
      <w:pPr>
        <w:pStyle w:val="SourceCode"/>
      </w:pPr>
      <w:r>
        <w:rPr>
          <w:rStyle w:val="VerbatimChar"/>
        </w:rPr>
        <w:t xml:space="preserve">GET https://graph.microsoft.com/v1.0/auditLogs/signIns</w:t>
      </w:r>
      <w:r>
        <w:br/>
      </w:r>
      <w:r>
        <w:rPr>
          <w:rStyle w:val="VerbatimChar"/>
        </w:rPr>
        <w:t xml:space="preserve">  ?$filter=conditionalAccessStatus eq 'failure'</w:t>
      </w:r>
      <w:r>
        <w:br/>
      </w:r>
      <w:r>
        <w:rPr>
          <w:rStyle w:val="VerbatimChar"/>
        </w:rPr>
        <w:t xml:space="preserve">    and createdDateTime ge 2026-08-01T00:00:00Z</w:t>
      </w:r>
      <w:r>
        <w:br/>
      </w:r>
      <w:r>
        <w:rPr>
          <w:rStyle w:val="VerbatimChar"/>
        </w:rPr>
        <w:t xml:space="preserve">    and createdDateTime lt 2026-08-08T00:00:00Z</w:t>
      </w:r>
      <w:r>
        <w:br/>
      </w:r>
      <w:r>
        <w:rPr>
          <w:rStyle w:val="VerbatimChar"/>
        </w:rPr>
        <w:t xml:space="preserve">  &amp;$top=999</w:t>
      </w:r>
      <w:r>
        <w:br/>
      </w:r>
      <w:r>
        <w:rPr>
          <w:rStyle w:val="VerbatimChar"/>
        </w:rPr>
        <w:t xml:space="preserve">Authorization: Bearer {token}</w:t>
      </w:r>
    </w:p>
    <w:p>
      <w:pPr>
        <w:pStyle w:val="FirstParagraph"/>
      </w:pPr>
      <w:r>
        <w:t xml:space="preserve">PowerShell equivalent, via the Graph SDK:</w:t>
      </w:r>
    </w:p>
    <w:p>
      <w:pPr>
        <w:pStyle w:val="SourceCode"/>
      </w:pPr>
      <w:r>
        <w:rPr>
          <w:rStyle w:val="NormalTok"/>
        </w:rPr>
        <w:t xml:space="preserve">Connect-MgGraph </w:t>
      </w:r>
      <w:r>
        <w:rPr>
          <w:rStyle w:val="OperatorTok"/>
        </w:rPr>
        <w:t xml:space="preserve">-</w:t>
      </w:r>
      <w:r>
        <w:rPr>
          <w:rStyle w:val="NormalTok"/>
        </w:rPr>
        <w:t xml:space="preserve">Scopes </w:t>
      </w:r>
      <w:r>
        <w:rPr>
          <w:rStyle w:val="StringTok"/>
        </w:rPr>
        <w:t xml:space="preserve">'AuditLog.Read.All'</w:t>
      </w:r>
      <w:r>
        <w:rPr>
          <w:rStyle w:val="OperatorTok"/>
        </w:rPr>
        <w:t xml:space="preserve">,</w:t>
      </w:r>
      <w:r>
        <w:rPr>
          <w:rStyle w:val="StringTok"/>
        </w:rPr>
        <w:t xml:space="preserve">'Policy.Read.All'</w:t>
      </w:r>
      <w:r>
        <w:br/>
      </w:r>
      <w:r>
        <w:br/>
      </w:r>
      <w:r>
        <w:rPr>
          <w:rStyle w:val="NormalTok"/>
        </w:rPr>
        <w:t xml:space="preserve">Get-MgAuditLogDirectoryAudit </w:t>
      </w:r>
      <w:r>
        <w:rPr>
          <w:rStyle w:val="OperatorTok"/>
        </w:rPr>
        <w:t xml:space="preserve">-</w:t>
      </w:r>
      <w:r>
        <w:rPr>
          <w:rStyle w:val="NormalTok"/>
        </w:rPr>
        <w:t xml:space="preserve">Filter </w:t>
      </w:r>
      <w:r>
        <w:rPr>
          <w:rStyle w:val="VerbatimStringTok"/>
        </w:rPr>
        <w:t xml:space="preserve">@"</w:t>
      </w:r>
      <w:r>
        <w:br/>
      </w:r>
      <w:r>
        <w:rPr>
          <w:rStyle w:val="VerbatimStringTok"/>
        </w:rPr>
        <w:t xml:space="preserve">category eq 'RoleManagement' and activityDateTime gt 2026-08-01T00:00:00Z</w:t>
      </w:r>
      <w:r>
        <w:br/>
      </w:r>
      <w:r>
        <w:rPr>
          <w:rStyle w:val="VerbatimStringTok"/>
        </w:rPr>
        <w:t xml:space="preserve">"@</w:t>
      </w:r>
      <w:r>
        <w:rPr>
          <w:rStyle w:val="NormalTok"/>
        </w:rPr>
        <w:t xml:space="preserve"> </w:t>
      </w:r>
      <w:r>
        <w:rPr>
          <w:rStyle w:val="OperatorTok"/>
        </w:rPr>
        <w:t xml:space="preserve">-</w:t>
      </w:r>
      <w:r>
        <w:rPr>
          <w:rStyle w:val="NormalTok"/>
        </w:rPr>
        <w:t xml:space="preserve">All</w:t>
      </w:r>
    </w:p>
    <w:p>
      <w:pPr>
        <w:pStyle w:val="FirstParagraph"/>
      </w:pPr>
      <w:r>
        <w:t xml:space="preserve">For Azure Government, connect with</w:t>
      </w:r>
      <w:r>
        <w:t xml:space="preserve"> </w:t>
      </w:r>
      <w:r>
        <w:rPr>
          <w:rStyle w:val="VerbatimChar"/>
        </w:rPr>
        <w:t xml:space="preserve">-Environment USGov</w:t>
      </w:r>
      <w:r>
        <w:t xml:space="preserve"> </w:t>
      </w:r>
      <w:r>
        <w:t xml:space="preserve">and request the</w:t>
      </w:r>
      <w:r>
        <w:t xml:space="preserve"> </w:t>
      </w:r>
      <w:r>
        <w:rPr>
          <w:rStyle w:val="VerbatimChar"/>
        </w:rPr>
        <w:t xml:space="preserve">https://graph.microsoft.us/.default</w:t>
      </w:r>
      <w:r>
        <w:t xml:space="preserve"> </w:t>
      </w:r>
      <w:r>
        <w:t xml:space="preserve">scope</w:t>
      </w:r>
      <w:r>
        <w:t xml:space="preserve"> </w:t>
      </w:r>
      <w:r>
        <w:t xml:space="preserve">(</w:t>
      </w:r>
      <w:hyperlink r:id="rId606">
        <w:r>
          <w:rPr>
            <w:rStyle w:val="Hyperlink"/>
          </w:rPr>
          <w:t xml:space="preserve">national clouds with the Graph SDKs</w:t>
        </w:r>
      </w:hyperlink>
      <w:r>
        <w:t xml:space="preserve">).</w:t>
      </w:r>
    </w:p>
    <w:bookmarkEnd w:id="607"/>
    <w:bookmarkStart w:id="608" w:name="verify-emission"/>
    <w:p>
      <w:pPr>
        <w:pStyle w:val="Heading2"/>
      </w:pPr>
      <w:r>
        <w:t xml:space="preserve">Verify emission</w:t>
      </w:r>
    </w:p>
    <w:p>
      <w:pPr>
        <w:pStyle w:val="FirstParagraph"/>
      </w:pPr>
      <w:r>
        <w:t xml:space="preserve">Configuration succeeding is not emission succeeding. Run this against the</w:t>
      </w:r>
      <w:r>
        <w:t xml:space="preserve"> </w:t>
      </w:r>
      <w:r>
        <w:t xml:space="preserve">destination workspace 24 hours after the setting is created, and on a</w:t>
      </w:r>
      <w:r>
        <w:t xml:space="preserve"> </w:t>
      </w:r>
      <w:r>
        <w:t xml:space="preserve">schedule thereafter — every core table must return a non-zero</w:t>
      </w:r>
      <w:r>
        <w:t xml:space="preserve"> </w:t>
      </w:r>
      <w:r>
        <w:rPr>
          <w:rStyle w:val="VerbatimChar"/>
        </w:rPr>
        <w:t xml:space="preserve">RecordCount</w:t>
      </w:r>
      <w:r>
        <w:t xml:space="preserve"> </w:t>
      </w:r>
      <w:r>
        <w:t xml:space="preserve">with</w:t>
      </w:r>
      <w:r>
        <w:t xml:space="preserve"> </w:t>
      </w:r>
      <w:r>
        <w:rPr>
          <w:rStyle w:val="VerbatimChar"/>
        </w:rPr>
        <w:t xml:space="preserve">LastRecord</w:t>
      </w:r>
      <w:r>
        <w:t xml:space="preserve"> </w:t>
      </w:r>
      <w:r>
        <w:t xml:space="preserve">inside the last day.</w:t>
      </w:r>
    </w:p>
    <w:p>
      <w:pPr>
        <w:pStyle w:val="SourceCode"/>
      </w:pPr>
      <w:r>
        <w:rPr>
          <w:rStyle w:val="VerbatimChar"/>
        </w:rPr>
        <w:t xml:space="preserve">// Entra diagnostic-setting completeness.</w:t>
      </w:r>
      <w:r>
        <w:br/>
      </w:r>
      <w:r>
        <w:rPr>
          <w:rStyle w:val="VerbatimChar"/>
        </w:rPr>
        <w:t xml:space="preserve">// Pass criterion: every row returns RecordCount &gt; 0</w:t>
      </w:r>
      <w:r>
        <w:br/>
      </w:r>
      <w:r>
        <w:rPr>
          <w:rStyle w:val="VerbatimChar"/>
        </w:rPr>
        <w:t xml:space="preserve">// and LastRecord within the last 24h.</w:t>
      </w:r>
      <w:r>
        <w:br/>
      </w:r>
      <w:r>
        <w:rPr>
          <w:rStyle w:val="VerbatimChar"/>
        </w:rPr>
        <w:t xml:space="preserve">union withsource=TableName</w:t>
      </w:r>
      <w:r>
        <w:br/>
      </w:r>
      <w:r>
        <w:rPr>
          <w:rStyle w:val="VerbatimChar"/>
        </w:rPr>
        <w:t xml:space="preserve">    SigninLogs,</w:t>
      </w:r>
      <w:r>
        <w:br/>
      </w:r>
      <w:r>
        <w:rPr>
          <w:rStyle w:val="VerbatimChar"/>
        </w:rPr>
        <w:t xml:space="preserve">    AADNonInteractiveUserSignInLogs,</w:t>
      </w:r>
      <w:r>
        <w:br/>
      </w:r>
      <w:r>
        <w:rPr>
          <w:rStyle w:val="VerbatimChar"/>
        </w:rPr>
        <w:t xml:space="preserve">    AADServicePrincipalSignInLogs,</w:t>
      </w:r>
      <w:r>
        <w:br/>
      </w:r>
      <w:r>
        <w:rPr>
          <w:rStyle w:val="VerbatimChar"/>
        </w:rPr>
        <w:t xml:space="preserve">    AADManagedIdentitySignInLogs,</w:t>
      </w:r>
      <w:r>
        <w:br/>
      </w:r>
      <w:r>
        <w:rPr>
          <w:rStyle w:val="VerbatimChar"/>
        </w:rPr>
        <w:t xml:space="preserve">    AuditLogs,</w:t>
      </w:r>
      <w:r>
        <w:br/>
      </w:r>
      <w:r>
        <w:rPr>
          <w:rStyle w:val="VerbatimChar"/>
        </w:rPr>
        <w:t xml:space="preserve">    AADProvisioningLogs,</w:t>
      </w:r>
      <w:r>
        <w:br/>
      </w:r>
      <w:r>
        <w:rPr>
          <w:rStyle w:val="VerbatimChar"/>
        </w:rPr>
        <w:t xml:space="preserve">    MicrosoftGraphActivityLogs,</w:t>
      </w:r>
      <w:r>
        <w:br/>
      </w:r>
      <w:r>
        <w:rPr>
          <w:rStyle w:val="VerbatimChar"/>
        </w:rPr>
        <w:t xml:space="preserve">    AADRiskyUsers,</w:t>
      </w:r>
      <w:r>
        <w:br/>
      </w:r>
      <w:r>
        <w:rPr>
          <w:rStyle w:val="VerbatimChar"/>
        </w:rPr>
        <w:t xml:space="preserve">    AADUserRiskEvents</w:t>
      </w:r>
      <w:r>
        <w:br/>
      </w:r>
      <w:r>
        <w:rPr>
          <w:rStyle w:val="VerbatimChar"/>
        </w:rPr>
        <w:t xml:space="preserve">| summarize RecordCount = count, LastRecord = max(TimeGenerated) by TableName</w:t>
      </w:r>
      <w:r>
        <w:br/>
      </w:r>
      <w:r>
        <w:rPr>
          <w:rStyle w:val="VerbatimChar"/>
        </w:rPr>
        <w:t xml:space="preserve">| extend Stale = LastRecord &lt; ago(24h)</w:t>
      </w:r>
      <w:r>
        <w:br/>
      </w:r>
      <w:r>
        <w:rPr>
          <w:rStyle w:val="VerbatimChar"/>
        </w:rPr>
        <w:t xml:space="preserve">| order by Stale desc, TableName asc</w:t>
      </w:r>
    </w:p>
    <w:p>
      <w:pPr>
        <w:pStyle w:val="FirstParagraph"/>
      </w:pPr>
      <w:r>
        <w:t xml:space="preserve">A table that is</w:t>
      </w:r>
      <w:r>
        <w:t xml:space="preserve"> </w:t>
      </w:r>
      <w:r>
        <w:rPr>
          <w:b/>
          <w:bCs/>
        </w:rPr>
        <w:t xml:space="preserve">absent from the result entirely</w:t>
      </w:r>
      <w:r>
        <w:t xml:space="preserve"> </w:t>
      </w:r>
      <w:r>
        <w:t xml:space="preserve">has never received data —</w:t>
      </w:r>
      <w:r>
        <w:t xml:space="preserve"> </w:t>
      </w:r>
      <w:r>
        <w:t xml:space="preserve">that category was never enabled, or was enabled against a different</w:t>
      </w:r>
      <w:r>
        <w:t xml:space="preserve"> </w:t>
      </w:r>
      <w:r>
        <w:t xml:space="preserve">workspace. A table present but</w:t>
      </w:r>
      <w:r>
        <w:t xml:space="preserve"> </w:t>
      </w:r>
      <w:r>
        <w:rPr>
          <w:rStyle w:val="VerbatimChar"/>
        </w:rPr>
        <w:t xml:space="preserve">Stale</w:t>
      </w:r>
      <w:r>
        <w:t xml:space="preserve"> </w:t>
      </w:r>
      <w:r>
        <w:t xml:space="preserve">means emission stopped, which is the</w:t>
      </w:r>
      <w:r>
        <w:t xml:space="preserve"> </w:t>
      </w:r>
      <w:r>
        <w:t xml:space="preserve">more dangerous condition because the historical data masks it on any query</w:t>
      </w:r>
      <w:r>
        <w:t xml:space="preserve"> </w:t>
      </w:r>
      <w:r>
        <w:t xml:space="preserve">with a wide time range.</w:t>
      </w:r>
    </w:p>
    <w:bookmarkEnd w:id="608"/>
    <w:bookmarkStart w:id="609" w:name="this-query-is-canon-not-an-example"/>
    <w:p>
      <w:pPr>
        <w:pStyle w:val="Heading2"/>
      </w:pPr>
      <w:r>
        <w:t xml:space="preserve">This query is canon, not an example</w:t>
      </w:r>
    </w:p>
    <w:p>
      <w:pPr>
        <w:pStyle w:val="FirstParagraph"/>
      </w:pPr>
      <w:r>
        <w:t xml:space="preserve">The substrate ships this check as</w:t>
      </w:r>
      <w:r>
        <w:t xml:space="preserve"> </w:t>
      </w:r>
      <w:r>
        <w:t xml:space="preserve">[</w:t>
      </w:r>
      <w:r>
        <w:rPr>
          <w:rStyle w:val="VerbatimChar"/>
        </w:rPr>
        <w:t xml:space="preserve">01-entra-diagnostic-completeness.kql</w:t>
      </w:r>
      <w:r>
        <w:t xml:space="preserve">],</w:t>
      </w:r>
      <w:r>
        <w:t xml:space="preserve"> </w:t>
      </w:r>
      <w:r>
        <w:t xml:space="preserve">executed by the GCC Boundary Probe adapter, which emits per-symptom</w:t>
      </w:r>
      <w:r>
        <w:t xml:space="preserve"> </w:t>
      </w:r>
      <w:r>
        <w:rPr>
          <w:rStyle w:val="VerbatimChar"/>
        </w:rPr>
        <w:t xml:space="preserve">DRIFT-BOUNDARY</w:t>
      </w:r>
      <w:r>
        <w:t xml:space="preserve"> </w:t>
      </w:r>
      <w:r>
        <w:t xml:space="preserve">findings. The version above adds</w:t>
      </w:r>
      <w:r>
        <w:t xml:space="preserve"> </w:t>
      </w:r>
      <w:r>
        <w:rPr>
          <w:rStyle w:val="VerbatimChar"/>
        </w:rPr>
        <w:t xml:space="preserve">MicrosoftGraphActivityLogs</w:t>
      </w:r>
      <w:r>
        <w:t xml:space="preserve"> </w:t>
      </w:r>
      <w:r>
        <w:t xml:space="preserve">and the explicit staleness flag. Treat the</w:t>
      </w:r>
      <w:r>
        <w:t xml:space="preserve"> </w:t>
      </w:r>
      <w:r>
        <w:t xml:space="preserve">committed</w:t>
      </w:r>
      <w:r>
        <w:t xml:space="preserve"> </w:t>
      </w:r>
      <w:r>
        <w:rPr>
          <w:rStyle w:val="VerbatimChar"/>
        </w:rPr>
        <w:t xml:space="preserve">.kql</w:t>
      </w:r>
      <w:r>
        <w:t xml:space="preserve"> </w:t>
      </w:r>
      <w:r>
        <w:t xml:space="preserve">as the source of truth and this page as its narrative</w:t>
      </w:r>
      <w:r>
        <w:t xml:space="preserve"> </w:t>
      </w:r>
      <w:r>
        <w:t xml:space="preserve">explanation.</w:t>
      </w:r>
    </w:p>
    <w:bookmarkEnd w:id="609"/>
    <w:bookmarkStart w:id="610" w:name="sentinel-data-connector"/>
    <w:p>
      <w:pPr>
        <w:pStyle w:val="Heading2"/>
      </w:pPr>
      <w:r>
        <w:t xml:space="preserve">Sentinel data connector</w:t>
      </w:r>
    </w:p>
    <w:p>
      <w:pPr>
        <w:pStyle w:val="FirstParagraph"/>
      </w:pPr>
      <w:r>
        <w:t xml:space="preserve">If the destination workspace is Microsoft Sentinel, the</w:t>
      </w:r>
      <w:r>
        <w:t xml:space="preserve"> </w:t>
      </w:r>
      <w:r>
        <w:rPr>
          <w:b/>
          <w:bCs/>
        </w:rPr>
        <w:t xml:space="preserve">Microsoft Entra ID</w:t>
      </w:r>
      <w:r>
        <w:t xml:space="preserve"> </w:t>
      </w:r>
      <w:r>
        <w:t xml:space="preserve">data connector surfaces the same categories through the connector UI rather</w:t>
      </w:r>
      <w:r>
        <w:t xml:space="preserve"> </w:t>
      </w:r>
      <w:r>
        <w:t xml:space="preserve">than the Entra diagnostic-settings blade. They write to the same tables;</w:t>
      </w:r>
      <w:r>
        <w:t xml:space="preserve"> </w:t>
      </w:r>
      <w:r>
        <w:t xml:space="preserve">enabling both does not duplicate data. Connector setup, expected EPS at</w:t>
      </w:r>
      <w:r>
        <w:t xml:space="preserve"> </w:t>
      </w:r>
      <w:r>
        <w:t xml:space="preserve">5,000 users, and the detection rules built on these tables are covered in</w:t>
      </w:r>
      <w:r>
        <w:t xml:space="preserve"> </w:t>
      </w:r>
      <w:r>
        <w:t xml:space="preserve">Vol III Book 06 §Connector: Entra ID.</w:t>
      </w:r>
    </w:p>
    <w:bookmarkEnd w:id="610"/>
    <w:bookmarkStart w:id="611" w:name="what-this-page-does-not-cover"/>
    <w:p>
      <w:pPr>
        <w:pStyle w:val="Heading2"/>
      </w:pPr>
      <w:r>
        <w:t xml:space="preserve">What this page does not cover</w:t>
      </w:r>
    </w:p>
    <w:p>
      <w:pPr>
        <w:pStyle w:val="FirstParagraph"/>
      </w:pPr>
      <w:r>
        <w:t xml:space="preserve">Entra diagnostic settings emit</w:t>
      </w:r>
      <w:r>
        <w:t xml:space="preserve"> </w:t>
      </w:r>
      <w:r>
        <w:rPr>
          <w:b/>
          <w:bCs/>
        </w:rPr>
        <w:t xml:space="preserve">identity</w:t>
      </w:r>
      <w:r>
        <w:t xml:space="preserve"> </w:t>
      </w:r>
      <w:r>
        <w:t xml:space="preserve">events. They do not emit Azure</w:t>
      </w:r>
      <w:r>
        <w:t xml:space="preserve"> </w:t>
      </w:r>
      <w:r>
        <w:t xml:space="preserve">resource activity (see Azure platform) and they do</w:t>
      </w:r>
      <w:r>
        <w:t xml:space="preserve"> </w:t>
      </w:r>
      <w:r>
        <w:t xml:space="preserve">not emit the Microsoft 365 unified audit log (see</w:t>
      </w:r>
      <w:r>
        <w:t xml:space="preserve"> </w:t>
      </w:r>
      <w:r>
        <w:t xml:space="preserve">M365 unified audit). Nor do they recover the</w:t>
      </w:r>
      <w:r>
        <w:t xml:space="preserve"> </w:t>
      </w:r>
      <w:r>
        <w:t xml:space="preserve">26 telemetry signals the FedRAMP Moderate boundary blocks outright — that</w:t>
      </w:r>
      <w:r>
        <w:t xml:space="preserve"> </w:t>
      </w:r>
      <w:r>
        <w:t xml:space="preserve">accounting is in</w:t>
      </w:r>
      <w:r>
        <w:t xml:space="preserve"> </w:t>
      </w:r>
      <w:r>
        <w:t xml:space="preserve">B.1.3 - Rebuilding Boundary-Blocked Analytics.</w:t>
      </w:r>
    </w:p>
    <w:bookmarkEnd w:id="611"/>
    <w:bookmarkEnd w:id="612"/>
    <w:bookmarkStart w:id="635" w:name="Xe77cff17199e4693e9e92ba8790c2de8f61a514"/>
    <w:p>
      <w:pPr>
        <w:pStyle w:val="Heading1"/>
      </w:pPr>
      <w:r>
        <w:t xml:space="preserve">Azure Platform — Activity Log and Resource Log Emission</w:t>
      </w:r>
    </w:p>
    <w:p>
      <w:pPr>
        <w:pStyle w:val="FirstParagraph"/>
      </w:pPr>
      <w:r>
        <w:t xml:space="preserve">Azure emits on two distinct planes, and both are required for AU-2 coverage of</w:t>
      </w:r>
      <w:r>
        <w:t xml:space="preserve"> </w:t>
      </w:r>
      <w:r>
        <w:t xml:space="preserve">the Azure estate.</w:t>
      </w:r>
    </w:p>
    <w:p>
      <w:pPr>
        <w:pStyle w:val="BodyText"/>
      </w:pPr>
      <w:r>
        <w:rPr>
          <w:b/>
          <w:bCs/>
        </w:rPr>
        <w:t xml:space="preserve">Control plane — the activity log.</w:t>
      </w:r>
      <w:r>
        <w:t xml:space="preserve"> </w:t>
      </w:r>
      <w:r>
        <w:t xml:space="preserve">Every create, update, delete, and action</w:t>
      </w:r>
      <w:r>
        <w:t xml:space="preserve"> </w:t>
      </w:r>
      <w:r>
        <w:t xml:space="preserve">executed through Azure Resource Manager, plus policy evaluations, Defender for</w:t>
      </w:r>
      <w:r>
        <w:t xml:space="preserve"> </w:t>
      </w:r>
      <w:r>
        <w:t xml:space="preserve">Cloud alerts, and service/resource health. One diagnostic setting per</w:t>
      </w:r>
      <w:r>
        <w:t xml:space="preserve"> </w:t>
      </w:r>
      <w:r>
        <w:t xml:space="preserve">subscription. This is</w:t>
      </w:r>
      <w:r>
        <w:t xml:space="preserve"> </w:t>
      </w:r>
      <w:r>
        <w:rPr>
          <w:i/>
          <w:iCs/>
        </w:rPr>
        <w:t xml:space="preserve">who changed what</w:t>
      </w:r>
      <w:r>
        <w:t xml:space="preserve"> </w:t>
      </w:r>
      <w:r>
        <w:t xml:space="preserve">in the estate.</w:t>
      </w:r>
    </w:p>
    <w:p>
      <w:pPr>
        <w:pStyle w:val="BodyText"/>
      </w:pPr>
      <w:r>
        <w:rPr>
          <w:b/>
          <w:bCs/>
        </w:rPr>
        <w:t xml:space="preserve">Resource plane — resource logs.</w:t>
      </w:r>
      <w:r>
        <w:t xml:space="preserve"> </w:t>
      </w:r>
      <w:r>
        <w:t xml:space="preserve">What happens</w:t>
      </w:r>
      <w:r>
        <w:t xml:space="preserve"> </w:t>
      </w:r>
      <w:r>
        <w:rPr>
          <w:i/>
          <w:iCs/>
        </w:rPr>
        <w:t xml:space="preserve">inside</w:t>
      </w:r>
      <w:r>
        <w:t xml:space="preserve"> </w:t>
      </w:r>
      <w:r>
        <w:t xml:space="preserve">a resource: Key Vault</w:t>
      </w:r>
      <w:r>
        <w:t xml:space="preserve"> </w:t>
      </w:r>
      <w:r>
        <w:t xml:space="preserve">secret reads, storage-account data operations, SQL audit events, firewall</w:t>
      </w:r>
      <w:r>
        <w:t xml:space="preserve"> </w:t>
      </w:r>
      <w:r>
        <w:t xml:space="preserve">flows. One diagnostic setting per resource, per resource type, with</w:t>
      </w:r>
      <w:r>
        <w:t xml:space="preserve"> </w:t>
      </w:r>
      <w:r>
        <w:t xml:space="preserve">type-specific categories.</w:t>
      </w:r>
    </w:p>
    <w:p>
      <w:pPr>
        <w:pStyle w:val="BodyText"/>
      </w:pPr>
      <w:r>
        <w:t xml:space="preserve">An agency that has configured only the activity log can prove a Key Vault was</w:t>
      </w:r>
      <w:r>
        <w:t xml:space="preserve"> </w:t>
      </w:r>
      <w:r>
        <w:t xml:space="preserve">created and cannot prove which secrets were read out of it.</w:t>
      </w:r>
    </w:p>
    <w:bookmarkStart w:id="616" w:name="part-1-activity-log"/>
    <w:p>
      <w:pPr>
        <w:pStyle w:val="Heading2"/>
      </w:pPr>
      <w:r>
        <w:t xml:space="preserve">Part 1 — Activity log</w:t>
      </w:r>
    </w:p>
    <w:bookmarkStart w:id="615" w:name="categories"/>
    <w:p>
      <w:pPr>
        <w:pStyle w:val="Heading3"/>
      </w:pPr>
      <w:r>
        <w:t xml:space="preserve">Categories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Category</w:t>
            </w:r>
          </w:p>
        </w:tc>
        <w:tc>
          <w:tcPr/>
          <w:p>
            <w:pPr>
              <w:pStyle w:val="Compact"/>
            </w:pPr>
            <w:r>
              <w:t xml:space="preserve">Contains</w:t>
            </w:r>
          </w:p>
        </w:tc>
      </w:tr>
      <w:tr>
        <w:tc>
          <w:tcPr/>
          <w:p>
            <w:pPr>
              <w:pStyle w:val="Compact"/>
            </w:pPr>
            <w:r>
              <w:rPr>
                <w:rStyle w:val="VerbatimChar"/>
              </w:rPr>
              <w:t xml:space="preserve">Administrative</w:t>
            </w:r>
          </w:p>
        </w:tc>
        <w:tc>
          <w:tcPr/>
          <w:p>
            <w:pPr>
              <w:pStyle w:val="Compact"/>
            </w:pPr>
            <w:r>
              <w:t xml:space="preserve">Every create / update / delete / action through Resource Manager,</w:t>
            </w:r>
            <w:r>
              <w:t xml:space="preserve"> </w:t>
            </w:r>
            <w:r>
              <w:rPr>
                <w:b/>
                <w:bCs/>
              </w:rPr>
              <w:t xml:space="preserve">including all Azure RBAC changes in the subscription</w:t>
            </w:r>
          </w:p>
        </w:tc>
      </w:tr>
      <w:tr>
        <w:tc>
          <w:tcPr/>
          <w:p>
            <w:pPr>
              <w:pStyle w:val="Compact"/>
            </w:pPr>
            <w:r>
              <w:rPr>
                <w:rStyle w:val="VerbatimChar"/>
              </w:rPr>
              <w:t xml:space="preserve">Security</w:t>
            </w:r>
          </w:p>
        </w:tc>
        <w:tc>
          <w:tcPr/>
          <w:p>
            <w:pPr>
              <w:pStyle w:val="Compact"/>
            </w:pPr>
            <w:r>
              <w:t xml:space="preserve">Alerts generated by Microsoft Defender for Cloud</w:t>
            </w:r>
          </w:p>
        </w:tc>
      </w:tr>
      <w:tr>
        <w:tc>
          <w:tcPr/>
          <w:p>
            <w:pPr>
              <w:pStyle w:val="Compact"/>
            </w:pPr>
            <w:r>
              <w:rPr>
                <w:rStyle w:val="VerbatimChar"/>
              </w:rPr>
              <w:t xml:space="preserve">Policy</w:t>
            </w:r>
          </w:p>
        </w:tc>
        <w:tc>
          <w:tcPr/>
          <w:p>
            <w:pPr>
              <w:pStyle w:val="Compact"/>
            </w:pPr>
            <w:r>
              <w:t xml:space="preserve">All effect-action operations by Azure Policy —</w:t>
            </w:r>
            <w:r>
              <w:t xml:space="preserve"> </w:t>
            </w:r>
            <w:r>
              <w:rPr>
                <w:rStyle w:val="VerbatimChar"/>
              </w:rPr>
              <w:t xml:space="preserve">Audit</w:t>
            </w:r>
            <w:r>
              <w:t xml:space="preserve">,</w:t>
            </w:r>
            <w:r>
              <w:t xml:space="preserve"> </w:t>
            </w:r>
            <w:r>
              <w:rPr>
                <w:rStyle w:val="VerbatimChar"/>
              </w:rPr>
              <w:t xml:space="preserve">Deny</w:t>
            </w:r>
          </w:p>
        </w:tc>
      </w:tr>
      <w:tr>
        <w:tc>
          <w:tcPr/>
          <w:p>
            <w:pPr>
              <w:pStyle w:val="Compact"/>
            </w:pPr>
            <w:r>
              <w:rPr>
                <w:rStyle w:val="VerbatimChar"/>
              </w:rPr>
              <w:t xml:space="preserve">ServiceHealth</w:t>
            </w:r>
          </w:p>
        </w:tc>
        <w:tc>
          <w:tcPr/>
          <w:p>
            <w:pPr>
              <w:pStyle w:val="Compact"/>
            </w:pPr>
            <w:r>
              <w:t xml:space="preserve">Azure service-health incidents affecting your resources</w:t>
            </w:r>
          </w:p>
        </w:tc>
      </w:tr>
      <w:tr>
        <w:tc>
          <w:tcPr/>
          <w:p>
            <w:pPr>
              <w:pStyle w:val="Compact"/>
            </w:pPr>
            <w:r>
              <w:rPr>
                <w:rStyle w:val="VerbatimChar"/>
              </w:rPr>
              <w:t xml:space="preserve">ResourceHealth</w:t>
            </w:r>
          </w:p>
        </w:tc>
        <w:tc>
          <w:tcPr/>
          <w:p>
            <w:pPr>
              <w:pStyle w:val="Compact"/>
            </w:pPr>
            <w:r>
              <w:t xml:space="preserve">Resource health-status transitions — Available, Unavailable, Degraded, Unknown</w:t>
            </w:r>
          </w:p>
        </w:tc>
      </w:tr>
      <w:tr>
        <w:tc>
          <w:tcPr/>
          <w:p>
            <w:pPr>
              <w:pStyle w:val="Compact"/>
            </w:pPr>
            <w:r>
              <w:rPr>
                <w:rStyle w:val="VerbatimChar"/>
              </w:rPr>
              <w:t xml:space="preserve">Alert</w:t>
            </w:r>
          </w:p>
        </w:tc>
        <w:tc>
          <w:tcPr/>
          <w:p>
            <w:pPr>
              <w:pStyle w:val="Compact"/>
            </w:pPr>
            <w:r>
              <w:t xml:space="preserve">Azure Monitor alert activations</w:t>
            </w:r>
          </w:p>
        </w:tc>
      </w:tr>
      <w:tr>
        <w:tc>
          <w:tcPr/>
          <w:p>
            <w:pPr>
              <w:pStyle w:val="Compact"/>
            </w:pPr>
            <w:r>
              <w:rPr>
                <w:rStyle w:val="VerbatimChar"/>
              </w:rPr>
              <w:t xml:space="preserve">Autoscale</w:t>
            </w:r>
          </w:p>
        </w:tc>
        <w:tc>
          <w:tcPr/>
          <w:p>
            <w:pPr>
              <w:pStyle w:val="Compact"/>
            </w:pPr>
            <w:r>
              <w:t xml:space="preserve">Autoscale engine operations</w:t>
            </w:r>
          </w:p>
        </w:tc>
      </w:tr>
      <w:tr>
        <w:tc>
          <w:tcPr/>
          <w:p>
            <w:pPr>
              <w:pStyle w:val="Compact"/>
            </w:pPr>
            <w:r>
              <w:rPr>
                <w:rStyle w:val="VerbatimChar"/>
              </w:rPr>
              <w:t xml:space="preserve">Recommendation</w:t>
            </w:r>
          </w:p>
        </w:tc>
        <w:tc>
          <w:tcPr/>
          <w:p>
            <w:pPr>
              <w:pStyle w:val="Compact"/>
            </w:pPr>
            <w:r>
              <w:t xml:space="preserve">Azure Advisor recommendations</w:t>
            </w:r>
          </w:p>
        </w:tc>
      </w:tr>
    </w:tbl>
    <w:p>
      <w:pPr>
        <w:pStyle w:val="BodyText"/>
      </w:pPr>
      <w:r>
        <w:t xml:space="preserve">Definitions from the</w:t>
      </w:r>
      <w:r>
        <w:t xml:space="preserve"> </w:t>
      </w:r>
      <w:hyperlink r:id="rId613">
        <w:r>
          <w:rPr>
            <w:rStyle w:val="Hyperlink"/>
          </w:rPr>
          <w:t xml:space="preserve">Azure Activity Log event schema</w:t>
        </w:r>
      </w:hyperlink>
      <w:r>
        <w:t xml:space="preserve">;</w:t>
      </w:r>
      <w:r>
        <w:t xml:space="preserve"> </w:t>
      </w:r>
      <w:r>
        <w:t xml:space="preserve">the enumerable list is confirmed by</w:t>
      </w:r>
      <w:r>
        <w:t xml:space="preserve"> </w:t>
      </w:r>
      <w:hyperlink r:id="rId614">
        <w:r>
          <w:rPr>
            <w:rStyle w:val="VerbatimChar"/>
          </w:rPr>
          <w:t xml:space="preserve">Get-AzEventCategory</w:t>
        </w:r>
      </w:hyperlink>
      <w:r>
        <w:t xml:space="preserve">.</w:t>
      </w:r>
    </w:p>
    <w:p>
      <w:pPr>
        <w:pStyle w:val="BodyText"/>
      </w:pPr>
      <w:r>
        <w:rPr>
          <w:rStyle w:val="VerbatimChar"/>
        </w:rPr>
        <w:t xml:space="preserve">Administrative</w:t>
      </w:r>
      <w:r>
        <w:t xml:space="preserve">,</w:t>
      </w:r>
      <w:r>
        <w:t xml:space="preserve"> </w:t>
      </w:r>
      <w:r>
        <w:rPr>
          <w:rStyle w:val="VerbatimChar"/>
        </w:rPr>
        <w:t xml:space="preserve">Security</w:t>
      </w:r>
      <w:r>
        <w:t xml:space="preserve">, and</w:t>
      </w:r>
      <w:r>
        <w:t xml:space="preserve"> </w:t>
      </w:r>
      <w:r>
        <w:rPr>
          <w:rStyle w:val="VerbatimChar"/>
        </w:rPr>
        <w:t xml:space="preserve">Policy</w:t>
      </w:r>
      <w:r>
        <w:t xml:space="preserve"> </w:t>
      </w:r>
      <w:r>
        <w:t xml:space="preserve">are the AU-2 / AU-12 core.</w:t>
      </w:r>
      <w:r>
        <w:t xml:space="preserve"> </w:t>
      </w:r>
      <w:r>
        <w:rPr>
          <w:rStyle w:val="VerbatimChar"/>
        </w:rPr>
        <w:t xml:space="preserve">Administrative</w:t>
      </w:r>
      <w:r>
        <w:t xml:space="preserve"> </w:t>
      </w:r>
      <w:r>
        <w:t xml:space="preserve">in particular carries RBAC changes, which is the AC-2 and</w:t>
      </w:r>
      <w:r>
        <w:t xml:space="preserve"> </w:t>
      </w:r>
      <w:r>
        <w:t xml:space="preserve">AC-6 evidence stream for the Azure estate — there is no separate RBAC audit</w:t>
      </w:r>
      <w:r>
        <w:t xml:space="preserve"> </w:t>
      </w:r>
      <w:r>
        <w:t xml:space="preserve">log to fall back on.</w:t>
      </w:r>
    </w:p>
    <w:bookmarkEnd w:id="615"/>
    <w:bookmarkEnd w:id="616"/>
    <w:bookmarkStart w:id="617" w:name="enable-all-eight"/>
    <w:p>
      <w:pPr>
        <w:pStyle w:val="Heading2"/>
      </w:pPr>
      <w:r>
        <w:t xml:space="preserve">Enable all eight</w:t>
      </w:r>
    </w:p>
    <w:p>
      <w:pPr>
        <w:pStyle w:val="FirstParagraph"/>
      </w:pPr>
      <w:r>
        <w:t xml:space="preserve">The activity log is low-volume relative to resource logs and there is no</w:t>
      </w:r>
      <w:r>
        <w:t xml:space="preserve"> </w:t>
      </w:r>
      <w:r>
        <w:t xml:space="preserve">meaningful cost argument for selective enablement.</w:t>
      </w:r>
      <w:r>
        <w:t xml:space="preserve"> </w:t>
      </w:r>
      <w:r>
        <w:rPr>
          <w:rStyle w:val="VerbatimChar"/>
        </w:rPr>
        <w:t xml:space="preserve">ServiceHealth</w:t>
      </w:r>
      <w:r>
        <w:t xml:space="preserve"> </w:t>
      </w:r>
      <w:r>
        <w:t xml:space="preserve">and</w:t>
      </w:r>
      <w:r>
        <w:t xml:space="preserve"> </w:t>
      </w:r>
      <w:r>
        <w:rPr>
          <w:rStyle w:val="VerbatimChar"/>
        </w:rPr>
        <w:t xml:space="preserve">ResourceHealth</w:t>
      </w:r>
      <w:r>
        <w:t xml:space="preserve"> </w:t>
      </w:r>
      <w:r>
        <w:t xml:space="preserve">in particular become valuable during incident</w:t>
      </w:r>
      <w:r>
        <w:t xml:space="preserve"> </w:t>
      </w:r>
      <w:r>
        <w:t xml:space="preserve">reconstruction, when you need to rule out a platform cause before attributing</w:t>
      </w:r>
      <w:r>
        <w:t xml:space="preserve"> </w:t>
      </w:r>
      <w:r>
        <w:t xml:space="preserve">an outage to an attack.</w:t>
      </w:r>
    </w:p>
    <w:bookmarkEnd w:id="617"/>
    <w:bookmarkStart w:id="620" w:name="portal"/>
    <w:p>
      <w:pPr>
        <w:pStyle w:val="Heading3"/>
      </w:pPr>
      <w:r>
        <w:t xml:space="preserve">Portal</w:t>
      </w:r>
    </w:p>
    <w:p>
      <w:pPr>
        <w:pStyle w:val="Compact"/>
        <w:numPr>
          <w:ilvl w:val="0"/>
          <w:numId w:val="1308"/>
        </w:numPr>
      </w:pPr>
      <w:r>
        <w:t xml:space="preserve">In the</w:t>
      </w:r>
      <w:r>
        <w:t xml:space="preserve"> </w:t>
      </w:r>
      <w:hyperlink r:id="rId618">
        <w:r>
          <w:rPr>
            <w:rStyle w:val="Hyperlink"/>
          </w:rPr>
          <w:t xml:space="preserve">Azure portal</w:t>
        </w:r>
      </w:hyperlink>
      <w:r>
        <w:t xml:space="preserve">, open</w:t>
      </w:r>
      <w:r>
        <w:t xml:space="preserve"> </w:t>
      </w:r>
      <w:r>
        <w:rPr>
          <w:b/>
          <w:bCs/>
        </w:rPr>
        <w:t xml:space="preserve">Monitor</w:t>
      </w:r>
      <w:r>
        <w:t xml:space="preserve"> </w:t>
      </w:r>
      <w:r>
        <w:t xml:space="preserve">→</w:t>
      </w:r>
      <w:r>
        <w:t xml:space="preserve"> </w:t>
      </w:r>
      <w:r>
        <w:rPr>
          <w:b/>
          <w:bCs/>
        </w:rPr>
        <w:t xml:space="preserve">Activity log</w:t>
      </w:r>
      <w:r>
        <w:t xml:space="preserve">.</w:t>
      </w:r>
    </w:p>
    <w:p>
      <w:pPr>
        <w:pStyle w:val="Compact"/>
        <w:numPr>
          <w:ilvl w:val="0"/>
          <w:numId w:val="1308"/>
        </w:numPr>
      </w:pPr>
      <w:r>
        <w:t xml:space="preserve">Select</w:t>
      </w:r>
      <w:r>
        <w:t xml:space="preserve"> </w:t>
      </w:r>
      <w:r>
        <w:rPr>
          <w:b/>
          <w:bCs/>
        </w:rPr>
        <w:t xml:space="preserve">Export Activity Logs</w:t>
      </w:r>
      <w:r>
        <w:t xml:space="preserve">.</w:t>
      </w:r>
    </w:p>
    <w:p>
      <w:pPr>
        <w:pStyle w:val="Compact"/>
        <w:numPr>
          <w:ilvl w:val="0"/>
          <w:numId w:val="1308"/>
        </w:numPr>
      </w:pPr>
      <w:r>
        <w:t xml:space="preserve">Select the subscription, then</w:t>
      </w:r>
      <w:r>
        <w:t xml:space="preserve"> </w:t>
      </w:r>
      <w:r>
        <w:rPr>
          <w:b/>
          <w:bCs/>
        </w:rPr>
        <w:t xml:space="preserve">Add diagnostic setting</w:t>
      </w:r>
      <w:r>
        <w:t xml:space="preserve">.</w:t>
      </w:r>
    </w:p>
    <w:p>
      <w:pPr>
        <w:pStyle w:val="Compact"/>
        <w:numPr>
          <w:ilvl w:val="0"/>
          <w:numId w:val="1308"/>
        </w:numPr>
      </w:pPr>
      <w:r>
        <w:t xml:space="preserve">Name the setting, check all applicable categories, choose the destination.</w:t>
      </w:r>
    </w:p>
    <w:p>
      <w:pPr>
        <w:pStyle w:val="Compact"/>
        <w:numPr>
          <w:ilvl w:val="0"/>
          <w:numId w:val="1308"/>
        </w:numPr>
      </w:pPr>
      <w:r>
        <w:rPr>
          <w:b/>
          <w:bCs/>
        </w:rPr>
        <w:t xml:space="preserve">Save</w:t>
      </w:r>
      <w:r>
        <w:t xml:space="preserve">.</w:t>
      </w:r>
    </w:p>
    <w:p>
      <w:pPr>
        <w:pStyle w:val="FirstParagraph"/>
      </w:pPr>
      <w:r>
        <w:t xml:space="preserve">Export typically begins within about</w:t>
      </w:r>
      <w:r>
        <w:t xml:space="preserve"> </w:t>
      </w:r>
      <w:r>
        <w:rPr>
          <w:b/>
          <w:bCs/>
        </w:rPr>
        <w:t xml:space="preserve">30 minutes</w:t>
      </w:r>
      <w:r>
        <w:t xml:space="preserve"> </w:t>
      </w:r>
      <w:r>
        <w:t xml:space="preserve">(</w:t>
      </w:r>
      <w:hyperlink r:id="rId619">
        <w:r>
          <w:rPr>
            <w:rStyle w:val="Hyperlink"/>
          </w:rPr>
          <w:t xml:space="preserve">configuring activity log export</w:t>
        </w:r>
      </w:hyperlink>
      <w:r>
        <w:t xml:space="preserve">).</w:t>
      </w:r>
    </w:p>
    <w:bookmarkEnd w:id="620"/>
    <w:bookmarkStart w:id="621" w:name="cli"/>
    <w:p>
      <w:pPr>
        <w:pStyle w:val="Heading3"/>
      </w:pPr>
      <w:r>
        <w:t xml:space="preserve">CLI</w:t>
      </w:r>
    </w:p>
    <w:p>
      <w:pPr>
        <w:pStyle w:val="FirstParagraph"/>
      </w:pPr>
      <w:r>
        <w:t xml:space="preserve">The activity log needs the</w:t>
      </w:r>
      <w:r>
        <w:t xml:space="preserve"> </w:t>
      </w:r>
      <w:r>
        <w:rPr>
          <w:b/>
          <w:bCs/>
        </w:rPr>
        <w:t xml:space="preserve">subscription</w:t>
      </w:r>
      <w:r>
        <w:t xml:space="preserve"> </w:t>
      </w:r>
      <w:r>
        <w:t xml:space="preserve">subcommand — the plain</w:t>
      </w:r>
      <w:r>
        <w:t xml:space="preserve"> </w:t>
      </w:r>
      <w:r>
        <w:rPr>
          <w:rStyle w:val="VerbatimChar"/>
        </w:rPr>
        <w:t xml:space="preserve">az monitor diagnostic-settings create</w:t>
      </w:r>
      <w:r>
        <w:t xml:space="preserve"> </w:t>
      </w:r>
      <w:r>
        <w:t xml:space="preserve">is resource-scoped and will not do it:</w:t>
      </w:r>
    </w:p>
    <w:p>
      <w:pPr>
        <w:pStyle w:val="SourceCode"/>
      </w:pPr>
      <w:r>
        <w:rPr>
          <w:rStyle w:val="ExtensionTok"/>
        </w:rPr>
        <w:t xml:space="preserve">az</w:t>
      </w:r>
      <w:r>
        <w:rPr>
          <w:rStyle w:val="NormalTok"/>
        </w:rPr>
        <w:t xml:space="preserve"> monitor diagnostic-settings subscription create </w:t>
      </w:r>
      <w:r>
        <w:rPr>
          <w:rStyle w:val="DataTypeTok"/>
        </w:rPr>
        <w:t xml:space="preserve">\</w:t>
      </w:r>
      <w:r>
        <w:br/>
      </w:r>
      <w:r>
        <w:rPr>
          <w:rStyle w:val="NormalTok"/>
        </w:rPr>
        <w:t xml:space="preserve">  </w:t>
      </w:r>
      <w:r>
        <w:rPr>
          <w:rStyle w:val="AttributeTok"/>
        </w:rPr>
        <w:t xml:space="preserve">--name</w:t>
      </w:r>
      <w:r>
        <w:rPr>
          <w:rStyle w:val="NormalTok"/>
        </w:rPr>
        <w:t xml:space="preserve"> </w:t>
      </w:r>
      <w:r>
        <w:rPr>
          <w:rStyle w:val="StringTok"/>
        </w:rPr>
        <w:t xml:space="preserve">"fmp-activity-log-export"</w:t>
      </w:r>
      <w:r>
        <w:rPr>
          <w:rStyle w:val="NormalTok"/>
        </w:rPr>
        <w:t xml:space="preserve"> </w:t>
      </w:r>
      <w:r>
        <w:rPr>
          <w:rStyle w:val="DataTypeTok"/>
        </w:rPr>
        <w:t xml:space="preserve">\</w:t>
      </w:r>
      <w:r>
        <w:br/>
      </w:r>
      <w:r>
        <w:rPr>
          <w:rStyle w:val="NormalTok"/>
        </w:rPr>
        <w:t xml:space="preserve">  </w:t>
      </w:r>
      <w:r>
        <w:rPr>
          <w:rStyle w:val="AttributeTok"/>
        </w:rPr>
        <w:t xml:space="preserve">--location</w:t>
      </w:r>
      <w:r>
        <w:rPr>
          <w:rStyle w:val="NormalTok"/>
        </w:rPr>
        <w:t xml:space="preserve"> </w:t>
      </w:r>
      <w:r>
        <w:rPr>
          <w:rStyle w:val="StringTok"/>
        </w:rPr>
        <w:t xml:space="preserve">"usgovvirginia"</w:t>
      </w:r>
      <w:r>
        <w:rPr>
          <w:rStyle w:val="NormalTok"/>
        </w:rPr>
        <w:t xml:space="preserve"> </w:t>
      </w:r>
      <w:r>
        <w:rPr>
          <w:rStyle w:val="DataTypeTok"/>
        </w:rPr>
        <w:t xml:space="preserve">\</w:t>
      </w:r>
      <w:r>
        <w:br/>
      </w:r>
      <w:r>
        <w:rPr>
          <w:rStyle w:val="NormalTok"/>
        </w:rPr>
        <w:t xml:space="preserve">  </w:t>
      </w:r>
      <w:r>
        <w:rPr>
          <w:rStyle w:val="AttributeTok"/>
        </w:rPr>
        <w:t xml:space="preserve">--workspace</w:t>
      </w:r>
      <w:r>
        <w:rPr>
          <w:rStyle w:val="NormalTok"/>
        </w:rPr>
        <w:t xml:space="preserve"> </w:t>
      </w:r>
      <w:r>
        <w:rPr>
          <w:rStyle w:val="StringTok"/>
        </w:rPr>
        <w:t xml:space="preserve">"/subscriptions/</w:t>
      </w:r>
      <w:r>
        <w:rPr>
          <w:rStyle w:val="VariableTok"/>
        </w:rPr>
        <w:t xml:space="preserve">${SUBSCRIPTION_ID}</w:t>
      </w:r>
      <w:r>
        <w:rPr>
          <w:rStyle w:val="StringTok"/>
        </w:rPr>
        <w:t xml:space="preserve">/resourceGroups/</w:t>
      </w:r>
      <w:r>
        <w:rPr>
          <w:rStyle w:val="VariableTok"/>
        </w:rPr>
        <w:t xml:space="preserve">${RG}</w:t>
      </w:r>
      <w:r>
        <w:rPr>
          <w:rStyle w:val="StringTok"/>
        </w:rPr>
        <w:t xml:space="preserve">/providers/Microsoft.OperationalInsights/workspaces/</w:t>
      </w:r>
      <w:r>
        <w:rPr>
          <w:rStyle w:val="VariableTok"/>
        </w:rPr>
        <w:t xml:space="preserve">${WORKSPACE}</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--logs</w:t>
      </w:r>
      <w:r>
        <w:rPr>
          <w:rStyle w:val="NormalTok"/>
        </w:rPr>
        <w:t xml:space="preserve"> </w:t>
      </w:r>
      <w:r>
        <w:rPr>
          <w:rStyle w:val="StringTok"/>
        </w:rPr>
        <w:t xml:space="preserve">'[</w:t>
      </w:r>
      <w:r>
        <w:br/>
      </w:r>
      <w:r>
        <w:rPr>
          <w:rStyle w:val="StringTok"/>
        </w:rPr>
        <w:t xml:space="preserve">    {"category": "Administrative",  "enabled": true},</w:t>
      </w:r>
      <w:r>
        <w:br/>
      </w:r>
      <w:r>
        <w:rPr>
          <w:rStyle w:val="StringTok"/>
        </w:rPr>
        <w:t xml:space="preserve">    {"category": "Security",        "enabled": true},</w:t>
      </w:r>
      <w:r>
        <w:br/>
      </w:r>
      <w:r>
        <w:rPr>
          <w:rStyle w:val="StringTok"/>
        </w:rPr>
        <w:t xml:space="preserve">    {"category": "Policy",          "enabled": true},</w:t>
      </w:r>
      <w:r>
        <w:br/>
      </w:r>
      <w:r>
        <w:rPr>
          <w:rStyle w:val="StringTok"/>
        </w:rPr>
        <w:t xml:space="preserve">    {"category": "ServiceHealth",   "enabled": true},</w:t>
      </w:r>
      <w:r>
        <w:br/>
      </w:r>
      <w:r>
        <w:rPr>
          <w:rStyle w:val="StringTok"/>
        </w:rPr>
        <w:t xml:space="preserve">    {"category": "ResourceHealth",  "enabled": true},</w:t>
      </w:r>
      <w:r>
        <w:br/>
      </w:r>
      <w:r>
        <w:rPr>
          <w:rStyle w:val="StringTok"/>
        </w:rPr>
        <w:t xml:space="preserve">    {"category": "Alert",           "enabled": true},</w:t>
      </w:r>
      <w:r>
        <w:br/>
      </w:r>
      <w:r>
        <w:rPr>
          <w:rStyle w:val="StringTok"/>
        </w:rPr>
        <w:t xml:space="preserve">    {"category": "Autoscale",       "enabled": true},</w:t>
      </w:r>
      <w:r>
        <w:br/>
      </w:r>
      <w:r>
        <w:rPr>
          <w:rStyle w:val="StringTok"/>
        </w:rPr>
        <w:t xml:space="preserve">    {"category": "Recommendation",  "enabled": true}</w:t>
      </w:r>
      <w:r>
        <w:br/>
      </w:r>
      <w:r>
        <w:rPr>
          <w:rStyle w:val="StringTok"/>
        </w:rPr>
        <w:t xml:space="preserve">  ]'</w:t>
      </w:r>
    </w:p>
    <w:bookmarkEnd w:id="621"/>
    <w:bookmarkStart w:id="623" w:name="X30c32884d3be64aa0f65fa692860193e051d276"/>
    <w:p>
      <w:pPr>
        <w:pStyle w:val="Heading2"/>
      </w:pPr>
      <w:r>
        <w:rPr>
          <w:rStyle w:val="VerbatimChar"/>
        </w:rPr>
        <w:t xml:space="preserve">New-AzDiagnosticSetting</w:t>
      </w:r>
      <w:r>
        <w:t xml:space="preserve"> </w:t>
      </w:r>
      <w:r>
        <w:t xml:space="preserve">cannot export the activity log</w:t>
      </w:r>
    </w:p>
    <w:p>
      <w:pPr>
        <w:pStyle w:val="FirstParagraph"/>
      </w:pPr>
      <w:r>
        <w:t xml:space="preserve">Microsoft states it plainly:</w:t>
      </w:r>
      <w:r>
        <w:t xml:space="preserve"> </w:t>
      </w:r>
      <w:r>
        <w:t xml:space="preserve">“You can’t use this method for an activity log.</w:t>
      </w:r>
      <w:r>
        <w:t xml:space="preserve"> </w:t>
      </w:r>
      <w:r>
        <w:t xml:space="preserve">Instead, create an Azure Resource Manager template and deploy it by using</w:t>
      </w:r>
      <w:r>
        <w:t xml:space="preserve"> </w:t>
      </w:r>
      <w:r>
        <w:t xml:space="preserve">PowerShell”</w:t>
      </w:r>
      <w:r>
        <w:t xml:space="preserve"> </w:t>
      </w:r>
      <w:r>
        <w:t xml:space="preserve">(</w:t>
      </w:r>
      <w:hyperlink r:id="rId622">
        <w:r>
          <w:rPr>
            <w:rStyle w:val="Hyperlink"/>
          </w:rPr>
          <w:t xml:space="preserve">diagnostic settings in Azure Monitor</w:t>
        </w:r>
      </w:hyperlink>
      <w:r>
        <w:t xml:space="preserve">).</w:t>
      </w:r>
    </w:p>
    <w:p>
      <w:pPr>
        <w:pStyle w:val="BodyText"/>
      </w:pPr>
      <w:r>
        <w:t xml:space="preserve">PowerShell-first shops routinely write a</w:t>
      </w:r>
      <w:r>
        <w:t xml:space="preserve"> </w:t>
      </w:r>
      <w:r>
        <w:rPr>
          <w:rStyle w:val="VerbatimChar"/>
        </w:rPr>
        <w:t xml:space="preserve">New-AzDiagnosticSetting</w:t>
      </w:r>
      <w:r>
        <w:t xml:space="preserve"> </w:t>
      </w:r>
      <w:r>
        <w:t xml:space="preserve">call for</w:t>
      </w:r>
      <w:r>
        <w:t xml:space="preserve"> </w:t>
      </w:r>
      <w:r>
        <w:t xml:space="preserve">the activity log, see it fail or silently no-op, and conclude the activity log</w:t>
      </w:r>
      <w:r>
        <w:t xml:space="preserve"> </w:t>
      </w:r>
      <w:r>
        <w:t xml:space="preserve">“doesn’t support export.”</w:t>
      </w:r>
      <w:r>
        <w:t xml:space="preserve"> </w:t>
      </w:r>
      <w:r>
        <w:t xml:space="preserve">Use</w:t>
      </w:r>
      <w:r>
        <w:t xml:space="preserve"> </w:t>
      </w:r>
      <w:r>
        <w:rPr>
          <w:rStyle w:val="VerbatimChar"/>
        </w:rPr>
        <w:t xml:space="preserve">az monitor diagnostic-settings subscription create</w:t>
      </w:r>
      <w:r>
        <w:t xml:space="preserve">, or a subscription-scope ARM/Bicep deployment.</w:t>
      </w:r>
    </w:p>
    <w:bookmarkEnd w:id="623"/>
    <w:bookmarkStart w:id="625" w:name="bicep-at-subscription-scope"/>
    <w:p>
      <w:pPr>
        <w:pStyle w:val="Heading3"/>
      </w:pPr>
      <w:r>
        <w:t xml:space="preserve">Bicep at subscription scope</w:t>
      </w:r>
    </w:p>
    <w:p>
      <w:pPr>
        <w:pStyle w:val="SourceCode"/>
      </w:pPr>
      <w:r>
        <w:rPr>
          <w:rStyle w:val="VerbatimChar"/>
        </w:rPr>
        <w:t xml:space="preserve">// activity-log-export.bicep</w:t>
      </w:r>
      <w:r>
        <w:br/>
      </w:r>
      <w:r>
        <w:rPr>
          <w:rStyle w:val="VerbatimChar"/>
        </w:rPr>
        <w:t xml:space="preserve">// az deployment sub create --location &lt;region&gt; --template-file activity-log-export.bicep</w:t>
      </w:r>
      <w:r>
        <w:br/>
      </w:r>
      <w:r>
        <w:rPr>
          <w:rStyle w:val="VerbatimChar"/>
        </w:rPr>
        <w:t xml:space="preserve">targetScope = 'subscription'</w:t>
      </w:r>
      <w:r>
        <w:br/>
      </w:r>
      <w:r>
        <w:br/>
      </w:r>
      <w:r>
        <w:rPr>
          <w:rStyle w:val="VerbatimChar"/>
        </w:rPr>
        <w:t xml:space="preserve">param workspaceId string</w:t>
      </w:r>
      <w:r>
        <w:br/>
      </w:r>
      <w:r>
        <w:rPr>
          <w:rStyle w:val="VerbatimChar"/>
        </w:rPr>
        <w:t xml:space="preserve">param settingName string = 'fmp-activity-log-export'</w:t>
      </w:r>
      <w:r>
        <w:br/>
      </w:r>
      <w:r>
        <w:br/>
      </w:r>
      <w:r>
        <w:rPr>
          <w:rStyle w:val="VerbatimChar"/>
        </w:rPr>
        <w:t xml:space="preserve">var categories = [</w:t>
      </w:r>
      <w:r>
        <w:br/>
      </w:r>
      <w:r>
        <w:rPr>
          <w:rStyle w:val="VerbatimChar"/>
        </w:rPr>
        <w:t xml:space="preserve">  'Administrative'</w:t>
      </w:r>
      <w:r>
        <w:br/>
      </w:r>
      <w:r>
        <w:rPr>
          <w:rStyle w:val="VerbatimChar"/>
        </w:rPr>
        <w:t xml:space="preserve">  'Security'</w:t>
      </w:r>
      <w:r>
        <w:br/>
      </w:r>
      <w:r>
        <w:rPr>
          <w:rStyle w:val="VerbatimChar"/>
        </w:rPr>
        <w:t xml:space="preserve">  'Policy'</w:t>
      </w:r>
      <w:r>
        <w:br/>
      </w:r>
      <w:r>
        <w:rPr>
          <w:rStyle w:val="VerbatimChar"/>
        </w:rPr>
        <w:t xml:space="preserve">  'ServiceHealth'</w:t>
      </w:r>
      <w:r>
        <w:br/>
      </w:r>
      <w:r>
        <w:rPr>
          <w:rStyle w:val="VerbatimChar"/>
        </w:rPr>
        <w:t xml:space="preserve">  'ResourceHealth'</w:t>
      </w:r>
      <w:r>
        <w:br/>
      </w:r>
      <w:r>
        <w:rPr>
          <w:rStyle w:val="VerbatimChar"/>
        </w:rPr>
        <w:t xml:space="preserve">  'Alert'</w:t>
      </w:r>
      <w:r>
        <w:br/>
      </w:r>
      <w:r>
        <w:rPr>
          <w:rStyle w:val="VerbatimChar"/>
        </w:rPr>
        <w:t xml:space="preserve">  'Autoscale'</w:t>
      </w:r>
      <w:r>
        <w:br/>
      </w:r>
      <w:r>
        <w:rPr>
          <w:rStyle w:val="VerbatimChar"/>
        </w:rPr>
        <w:t xml:space="preserve">  'Recommendation'</w:t>
      </w:r>
      <w:r>
        <w:br/>
      </w:r>
      <w:r>
        <w:rPr>
          <w:rStyle w:val="VerbatimChar"/>
        </w:rPr>
        <w:t xml:space="preserve">]</w:t>
      </w:r>
      <w:r>
        <w:br/>
      </w:r>
      <w:r>
        <w:br/>
      </w:r>
      <w:r>
        <w:rPr>
          <w:rStyle w:val="VerbatimChar"/>
        </w:rPr>
        <w:t xml:space="preserve">resource activityLogExport 'Microsoft.Insights/diagnosticSettings@2021-05-01-preview' = {</w:t>
      </w:r>
      <w:r>
        <w:br/>
      </w:r>
      <w:r>
        <w:rPr>
          <w:rStyle w:val="VerbatimChar"/>
        </w:rPr>
        <w:t xml:space="preserve">  name: settingName</w:t>
      </w:r>
      <w:r>
        <w:br/>
      </w:r>
      <w:r>
        <w:rPr>
          <w:rStyle w:val="VerbatimChar"/>
        </w:rPr>
        <w:t xml:space="preserve">  properties: {</w:t>
      </w:r>
      <w:r>
        <w:br/>
      </w:r>
      <w:r>
        <w:rPr>
          <w:rStyle w:val="VerbatimChar"/>
        </w:rPr>
        <w:t xml:space="preserve">    workspaceId: workspaceId</w:t>
      </w:r>
      <w:r>
        <w:br/>
      </w:r>
      <w:r>
        <w:rPr>
          <w:rStyle w:val="VerbatimChar"/>
        </w:rPr>
        <w:t xml:space="preserve">    logs: [for category in categories: {</w:t>
      </w:r>
      <w:r>
        <w:br/>
      </w:r>
      <w:r>
        <w:rPr>
          <w:rStyle w:val="VerbatimChar"/>
        </w:rPr>
        <w:t xml:space="preserve">      category: category</w:t>
      </w:r>
      <w:r>
        <w:br/>
      </w:r>
      <w:r>
        <w:rPr>
          <w:rStyle w:val="VerbatimChar"/>
        </w:rPr>
        <w:t xml:space="preserve">      enabled: true</w:t>
      </w:r>
      <w:r>
        <w:br/>
      </w:r>
      <w:r>
        <w:rPr>
          <w:rStyle w:val="VerbatimChar"/>
        </w:rPr>
        <w:t xml:space="preserve">    }]</w:t>
      </w:r>
      <w:r>
        <w:br/>
      </w:r>
      <w:r>
        <w:rPr>
          <w:rStyle w:val="VerbatimChar"/>
        </w:rPr>
        <w:t xml:space="preserve">  }</w:t>
      </w:r>
      <w:r>
        <w:br/>
      </w:r>
      <w:r>
        <w:rPr>
          <w:rStyle w:val="VerbatimChar"/>
        </w:rPr>
        <w:t xml:space="preserve">}</w:t>
      </w:r>
    </w:p>
    <w:p>
      <w:pPr>
        <w:pStyle w:val="FirstParagraph"/>
      </w:pPr>
      <w:r>
        <w:t xml:space="preserve">Landing zones with a management-group hierarchy can set this once at the top</w:t>
      </w:r>
      <w:r>
        <w:t xml:space="preserve"> </w:t>
      </w:r>
      <w:r>
        <w:t xml:space="preserve">level instead of per subscription: a management-group diagnostic setting</w:t>
      </w:r>
      <w:r>
        <w:t xml:space="preserve"> </w:t>
      </w:r>
      <w:r>
        <w:t xml:space="preserve">“exports Azure Monitor activity log events for that management group in</w:t>
      </w:r>
      <w:r>
        <w:t xml:space="preserve"> </w:t>
      </w:r>
      <w:r>
        <w:t xml:space="preserve">addition to all management groups under it in the hierarchy”</w:t>
      </w:r>
      <w:r>
        <w:t xml:space="preserve"> </w:t>
      </w:r>
      <w:r>
        <w:t xml:space="preserve">(</w:t>
      </w:r>
      <w:hyperlink r:id="rId624">
        <w:r>
          <w:rPr>
            <w:rStyle w:val="Hyperlink"/>
          </w:rPr>
          <w:t xml:space="preserve">activity log</w:t>
        </w:r>
      </w:hyperlink>
      <w:r>
        <w:t xml:space="preserve">).</w:t>
      </w:r>
    </w:p>
    <w:bookmarkEnd w:id="625"/>
    <w:bookmarkStart w:id="626" w:name="duplicates-are-the-intended-trade-off"/>
    <w:p>
      <w:pPr>
        <w:pStyle w:val="Heading2"/>
      </w:pPr>
      <w:r>
        <w:t xml:space="preserve">Duplicates are the intended trade-off</w:t>
      </w:r>
    </w:p>
    <w:p>
      <w:pPr>
        <w:pStyle w:val="FirstParagraph"/>
      </w:pPr>
      <w:r>
        <w:t xml:space="preserve">If both a management group and a subscription beneath it carry diagnostic</w:t>
      </w:r>
      <w:r>
        <w:t xml:space="preserve"> </w:t>
      </w:r>
      <w:r>
        <w:t xml:space="preserve">settings, you receive duplicate events. Microsoft’s position is that</w:t>
      </w:r>
      <w:r>
        <w:t xml:space="preserve"> </w:t>
      </w:r>
      <w:r>
        <w:t xml:space="preserve">“getting duplicate events is better than missing events,”</w:t>
      </w:r>
      <w:r>
        <w:t xml:space="preserve"> </w:t>
      </w:r>
      <w:r>
        <w:t xml:space="preserve">because the</w:t>
      </w:r>
      <w:r>
        <w:t xml:space="preserve"> </w:t>
      </w:r>
      <w:r>
        <w:rPr>
          <w:rStyle w:val="VerbatimChar"/>
        </w:rPr>
        <w:t xml:space="preserve">hierarchy</w:t>
      </w:r>
      <w:r>
        <w:t xml:space="preserve"> </w:t>
      </w:r>
      <w:r>
        <w:t xml:space="preserve">property is not populated by resource providers outside Resource</w:t>
      </w:r>
      <w:r>
        <w:t xml:space="preserve"> </w:t>
      </w:r>
      <w:r>
        <w:t xml:space="preserve">Manager, so their events do not propagate upward.</w:t>
      </w:r>
    </w:p>
    <w:p>
      <w:pPr>
        <w:pStyle w:val="BodyText"/>
      </w:pPr>
      <w:r>
        <w:t xml:space="preserve">Deduplicate at query time rather than by removing a setting:</w:t>
      </w:r>
    </w:p>
    <w:p>
      <w:pPr>
        <w:pStyle w:val="SourceCode"/>
      </w:pPr>
      <w:r>
        <w:rPr>
          <w:rStyle w:val="VerbatimChar"/>
        </w:rPr>
        <w:t xml:space="preserve">AzureActivity</w:t>
      </w:r>
      <w:r>
        <w:br/>
      </w:r>
      <w:r>
        <w:rPr>
          <w:rStyle w:val="VerbatimChar"/>
        </w:rPr>
        <w:t xml:space="preserve">| extend Hash = hash(dynamic_to_json(pack_all))</w:t>
      </w:r>
      <w:r>
        <w:br/>
      </w:r>
      <w:r>
        <w:rPr>
          <w:rStyle w:val="VerbatimChar"/>
        </w:rPr>
        <w:t xml:space="preserve">| summarize arg_max(TimeGenerated, *) by Hash</w:t>
      </w:r>
    </w:p>
    <w:p>
      <w:pPr>
        <w:pStyle w:val="FirstParagraph"/>
      </w:pPr>
      <w:r>
        <w:t xml:space="preserve">For a federal tenant this is the right call — an assessor accepts a</w:t>
      </w:r>
      <w:r>
        <w:t xml:space="preserve"> </w:t>
      </w:r>
      <w:r>
        <w:t xml:space="preserve">deduplicated stream; nobody accepts a gap.</w:t>
      </w:r>
    </w:p>
    <w:bookmarkEnd w:id="626"/>
    <w:bookmarkStart w:id="627" w:name="part-2-resource-logs"/>
    <w:p>
      <w:pPr>
        <w:pStyle w:val="Heading2"/>
      </w:pPr>
      <w:r>
        <w:t xml:space="preserve">Part 2 — Resource logs</w:t>
      </w:r>
    </w:p>
    <w:p>
      <w:pPr>
        <w:pStyle w:val="FirstParagraph"/>
      </w:pPr>
      <w:r>
        <w:t xml:space="preserve">Resource logs are per-resource and the category list varies by resource type.</w:t>
      </w:r>
      <w:r>
        <w:t xml:space="preserve"> </w:t>
      </w:r>
      <w:r>
        <w:t xml:space="preserve">Discover what a given resource supports before writing the setting:</w:t>
      </w:r>
    </w:p>
    <w:p>
      <w:pPr>
        <w:pStyle w:val="SourceCode"/>
      </w:pPr>
      <w:r>
        <w:rPr>
          <w:rStyle w:val="ExtensionTok"/>
        </w:rPr>
        <w:t xml:space="preserve">az</w:t>
      </w:r>
      <w:r>
        <w:rPr>
          <w:rStyle w:val="NormalTok"/>
        </w:rPr>
        <w:t xml:space="preserve"> monitor diagnostic-settings categories list </w:t>
      </w:r>
      <w:r>
        <w:rPr>
          <w:rStyle w:val="DataTypeTok"/>
        </w:rPr>
        <w:t xml:space="preserve">\</w:t>
      </w:r>
      <w:r>
        <w:br/>
      </w:r>
      <w:r>
        <w:rPr>
          <w:rStyle w:val="NormalTok"/>
        </w:rPr>
        <w:t xml:space="preserve">  </w:t>
      </w:r>
      <w:r>
        <w:rPr>
          <w:rStyle w:val="AttributeTok"/>
        </w:rPr>
        <w:t xml:space="preserve">--resource</w:t>
      </w:r>
      <w:r>
        <w:rPr>
          <w:rStyle w:val="NormalTok"/>
        </w:rPr>
        <w:t xml:space="preserve"> </w:t>
      </w:r>
      <w:r>
        <w:rPr>
          <w:rStyle w:val="StringTok"/>
        </w:rPr>
        <w:t xml:space="preserve">"</w:t>
      </w:r>
      <w:r>
        <w:rPr>
          <w:rStyle w:val="VariableTok"/>
        </w:rPr>
        <w:t xml:space="preserve">${RESOURCE_ID}</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--query</w:t>
      </w:r>
      <w:r>
        <w:rPr>
          <w:rStyle w:val="NormalTok"/>
        </w:rPr>
        <w:t xml:space="preserve"> </w:t>
      </w:r>
      <w:r>
        <w:rPr>
          <w:rStyle w:val="StringTok"/>
        </w:rPr>
        <w:t xml:space="preserve">"value[].{name:name, type:categoryType, group:categoryGroups}"</w:t>
      </w:r>
      <w:r>
        <w:rPr>
          <w:rStyle w:val="NormalTok"/>
        </w:rPr>
        <w:t xml:space="preserve"> </w:t>
      </w:r>
      <w:r>
        <w:rPr>
          <w:rStyle w:val="AttributeTok"/>
        </w:rPr>
        <w:t xml:space="preserve">-o</w:t>
      </w:r>
      <w:r>
        <w:rPr>
          <w:rStyle w:val="NormalTok"/>
        </w:rPr>
        <w:t xml:space="preserve"> table</w:t>
      </w:r>
    </w:p>
    <w:p>
      <w:pPr>
        <w:pStyle w:val="FirstParagraph"/>
      </w:pPr>
      <w:r>
        <w:t xml:space="preserve">Then create the setting.</w:t>
      </w:r>
      <w:r>
        <w:t xml:space="preserve"> </w:t>
      </w:r>
      <w:r>
        <w:rPr>
          <w:rStyle w:val="VerbatimChar"/>
        </w:rPr>
        <w:t xml:space="preserve">allLogs</w:t>
      </w:r>
      <w:r>
        <w:t xml:space="preserve"> </w:t>
      </w:r>
      <w:r>
        <w:t xml:space="preserve">is a category</w:t>
      </w:r>
      <w:r>
        <w:t xml:space="preserve"> </w:t>
      </w:r>
      <w:r>
        <w:rPr>
          <w:i/>
          <w:iCs/>
        </w:rPr>
        <w:t xml:space="preserve">group</w:t>
      </w:r>
      <w:r>
        <w:t xml:space="preserve"> </w:t>
      </w:r>
      <w:r>
        <w:t xml:space="preserve">meaning</w:t>
      </w:r>
      <w:r>
        <w:t xml:space="preserve"> </w:t>
      </w:r>
      <w:r>
        <w:t xml:space="preserve">“every log</w:t>
      </w:r>
      <w:r>
        <w:t xml:space="preserve"> </w:t>
      </w:r>
      <w:r>
        <w:t xml:space="preserve">category this resource type has,”</w:t>
      </w:r>
      <w:r>
        <w:t xml:space="preserve"> </w:t>
      </w:r>
      <w:r>
        <w:t xml:space="preserve">which is the correct default for a</w:t>
      </w:r>
      <w:r>
        <w:t xml:space="preserve"> </w:t>
      </w:r>
      <w:r>
        <w:t xml:space="preserve">compliance baseline — it survives Microsoft adding a category later:</w:t>
      </w:r>
    </w:p>
    <w:p>
      <w:pPr>
        <w:pStyle w:val="SourceCode"/>
      </w:pPr>
      <w:r>
        <w:rPr>
          <w:rStyle w:val="ExtensionTok"/>
        </w:rPr>
        <w:t xml:space="preserve">az</w:t>
      </w:r>
      <w:r>
        <w:rPr>
          <w:rStyle w:val="NormalTok"/>
        </w:rPr>
        <w:t xml:space="preserve"> monitor diagnostic-settings create </w:t>
      </w:r>
      <w:r>
        <w:rPr>
          <w:rStyle w:val="DataTypeTok"/>
        </w:rPr>
        <w:t xml:space="preserve">\</w:t>
      </w:r>
      <w:r>
        <w:br/>
      </w:r>
      <w:r>
        <w:rPr>
          <w:rStyle w:val="NormalTok"/>
        </w:rPr>
        <w:t xml:space="preserve">  </w:t>
      </w:r>
      <w:r>
        <w:rPr>
          <w:rStyle w:val="AttributeTok"/>
        </w:rPr>
        <w:t xml:space="preserve">--name</w:t>
      </w:r>
      <w:r>
        <w:rPr>
          <w:rStyle w:val="NormalTok"/>
        </w:rPr>
        <w:t xml:space="preserve"> </w:t>
      </w:r>
      <w:r>
        <w:rPr>
          <w:rStyle w:val="StringTok"/>
        </w:rPr>
        <w:t xml:space="preserve">"fmp-resource-logs"</w:t>
      </w:r>
      <w:r>
        <w:rPr>
          <w:rStyle w:val="NormalTok"/>
        </w:rPr>
        <w:t xml:space="preserve"> </w:t>
      </w:r>
      <w:r>
        <w:rPr>
          <w:rStyle w:val="DataTypeTok"/>
        </w:rPr>
        <w:t xml:space="preserve">\</w:t>
      </w:r>
      <w:r>
        <w:br/>
      </w:r>
      <w:r>
        <w:rPr>
          <w:rStyle w:val="NormalTok"/>
        </w:rPr>
        <w:t xml:space="preserve">  </w:t>
      </w:r>
      <w:r>
        <w:rPr>
          <w:rStyle w:val="AttributeTok"/>
        </w:rPr>
        <w:t xml:space="preserve">--resource</w:t>
      </w:r>
      <w:r>
        <w:rPr>
          <w:rStyle w:val="NormalTok"/>
        </w:rPr>
        <w:t xml:space="preserve"> </w:t>
      </w:r>
      <w:r>
        <w:rPr>
          <w:rStyle w:val="StringTok"/>
        </w:rPr>
        <w:t xml:space="preserve">"</w:t>
      </w:r>
      <w:r>
        <w:rPr>
          <w:rStyle w:val="VariableTok"/>
        </w:rPr>
        <w:t xml:space="preserve">${RESOURCE_ID}</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--workspace</w:t>
      </w:r>
      <w:r>
        <w:rPr>
          <w:rStyle w:val="NormalTok"/>
        </w:rPr>
        <w:t xml:space="preserve"> </w:t>
      </w:r>
      <w:r>
        <w:rPr>
          <w:rStyle w:val="StringTok"/>
        </w:rPr>
        <w:t xml:space="preserve">"</w:t>
      </w:r>
      <w:r>
        <w:rPr>
          <w:rStyle w:val="VariableTok"/>
        </w:rPr>
        <w:t xml:space="preserve">${WORKSPACE_RESOURCE_ID}</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--logs</w:t>
      </w:r>
      <w:r>
        <w:rPr>
          <w:rStyle w:val="NormalTok"/>
        </w:rPr>
        <w:t xml:space="preserve"> </w:t>
      </w:r>
      <w:r>
        <w:rPr>
          <w:rStyle w:val="StringTok"/>
        </w:rPr>
        <w:t xml:space="preserve">'[{"categoryGroup": "allLogs", "enabled": true}]'</w:t>
      </w:r>
      <w:r>
        <w:rPr>
          <w:rStyle w:val="NormalTok"/>
        </w:rPr>
        <w:t xml:space="preserve"> </w:t>
      </w:r>
      <w:r>
        <w:rPr>
          <w:rStyle w:val="DataTypeTok"/>
        </w:rPr>
        <w:t xml:space="preserve">\</w:t>
      </w:r>
      <w:r>
        <w:br/>
      </w:r>
      <w:r>
        <w:rPr>
          <w:rStyle w:val="NormalTok"/>
        </w:rPr>
        <w:t xml:space="preserve">  </w:t>
      </w:r>
      <w:r>
        <w:rPr>
          <w:rStyle w:val="AttributeTok"/>
        </w:rPr>
        <w:t xml:space="preserve">--metrics</w:t>
      </w:r>
      <w:r>
        <w:rPr>
          <w:rStyle w:val="NormalTok"/>
        </w:rPr>
        <w:t xml:space="preserve"> </w:t>
      </w:r>
      <w:r>
        <w:rPr>
          <w:rStyle w:val="StringTok"/>
        </w:rPr>
        <w:t xml:space="preserve">'[{"category": "AllMetrics", "enabled": true}]'</w:t>
      </w:r>
      <w:r>
        <w:rPr>
          <w:rStyle w:val="NormalTok"/>
        </w:rPr>
        <w:t xml:space="preserve"> </w:t>
      </w:r>
      <w:r>
        <w:rPr>
          <w:rStyle w:val="DataTypeTok"/>
        </w:rPr>
        <w:t xml:space="preserve">\</w:t>
      </w:r>
      <w:r>
        <w:br/>
      </w:r>
      <w:r>
        <w:rPr>
          <w:rStyle w:val="NormalTok"/>
        </w:rPr>
        <w:t xml:space="preserve">  </w:t>
      </w:r>
      <w:r>
        <w:rPr>
          <w:rStyle w:val="AttributeTok"/>
        </w:rPr>
        <w:t xml:space="preserve">--export-to-resource-specific</w:t>
      </w:r>
      <w:r>
        <w:rPr>
          <w:rStyle w:val="NormalTok"/>
        </w:rPr>
        <w:t xml:space="preserve"> true</w:t>
      </w:r>
    </w:p>
    <w:bookmarkEnd w:id="627"/>
    <w:bookmarkStart w:id="629" w:name="use-resource-specific-tables"/>
    <w:p>
      <w:pPr>
        <w:pStyle w:val="Heading2"/>
      </w:pPr>
      <w:r>
        <w:t xml:space="preserve">Use resource-specific tables</w:t>
      </w:r>
    </w:p>
    <w:p>
      <w:pPr>
        <w:pStyle w:val="FirstParagraph"/>
      </w:pPr>
      <w:r>
        <w:rPr>
          <w:rStyle w:val="VerbatimChar"/>
        </w:rPr>
        <w:t xml:space="preserve">--export-to-resource-specific true</w:t>
      </w:r>
      <w:r>
        <w:t xml:space="preserve"> </w:t>
      </w:r>
      <w:r>
        <w:t xml:space="preserve">(ARM:</w:t>
      </w:r>
      <w:r>
        <w:t xml:space="preserve"> </w:t>
      </w:r>
      <w:r>
        <w:rPr>
          <w:rStyle w:val="VerbatimChar"/>
        </w:rPr>
        <w:t xml:space="preserve">logAnalyticsDestinationType: 'Dedicated'</w:t>
      </w:r>
      <w:r>
        <w:t xml:space="preserve">) sends logs to purpose-built tables instead of the generic</w:t>
      </w:r>
      <w:r>
        <w:t xml:space="preserve"> </w:t>
      </w:r>
      <w:r>
        <w:rPr>
          <w:rStyle w:val="VerbatimChar"/>
        </w:rPr>
        <w:t xml:space="preserve">AzureDiagnostics</w:t>
      </w:r>
      <w:r>
        <w:t xml:space="preserve"> </w:t>
      </w:r>
      <w:r>
        <w:t xml:space="preserve">table. Microsoft recommends this</w:t>
      </w:r>
      <w:r>
        <w:t xml:space="preserve"> </w:t>
      </w:r>
      <w:r>
        <w:t xml:space="preserve">(</w:t>
      </w:r>
      <w:hyperlink r:id="rId628">
        <w:r>
          <w:rPr>
            <w:rStyle w:val="Hyperlink"/>
          </w:rPr>
          <w:t xml:space="preserve">Azure Monitor REST API guidance</w:t>
        </w:r>
      </w:hyperlink>
      <w:r>
        <w:t xml:space="preserve">).</w:t>
      </w:r>
    </w:p>
    <w:p>
      <w:pPr>
        <w:pStyle w:val="BodyText"/>
      </w:pPr>
      <w:r>
        <w:t xml:space="preserve">It matters for compliance work specifically:</w:t>
      </w:r>
      <w:r>
        <w:t xml:space="preserve"> </w:t>
      </w:r>
      <w:r>
        <w:rPr>
          <w:rStyle w:val="VerbatimChar"/>
        </w:rPr>
        <w:t xml:space="preserve">AzureDiagnostics</w:t>
      </w:r>
      <w:r>
        <w:t xml:space="preserve"> </w:t>
      </w:r>
      <w:r>
        <w:t xml:space="preserve">is a shared,</w:t>
      </w:r>
      <w:r>
        <w:t xml:space="preserve"> </w:t>
      </w:r>
      <w:r>
        <w:t xml:space="preserve">sparsely-populated wide table with a</w:t>
      </w:r>
      <w:r>
        <w:t xml:space="preserve"> </w:t>
      </w:r>
      <w:r>
        <w:rPr>
          <w:b/>
          <w:bCs/>
        </w:rPr>
        <w:t xml:space="preserve">column limit</w:t>
      </w:r>
      <w:r>
        <w:t xml:space="preserve"> </w:t>
      </w:r>
      <w:r>
        <w:t xml:space="preserve">that different resource</w:t>
      </w:r>
      <w:r>
        <w:t xml:space="preserve"> </w:t>
      </w:r>
      <w:r>
        <w:t xml:space="preserve">types compete for. Once that limit is hit, new columns are silently dropped —</w:t>
      </w:r>
      <w:r>
        <w:t xml:space="preserve"> </w:t>
      </w:r>
      <w:r>
        <w:t xml:space="preserve">audit fields disappear from records that otherwise look intact. Resource-</w:t>
      </w:r>
      <w:r>
        <w:t xml:space="preserve"> </w:t>
      </w:r>
      <w:r>
        <w:t xml:space="preserve">specific tables have their own schema and cannot be crowded out.</w:t>
      </w:r>
    </w:p>
    <w:p>
      <w:pPr>
        <w:pStyle w:val="BodyText"/>
      </w:pPr>
      <w:r>
        <w:t xml:space="preserve">The trade-off is that detection rules must name the specific table. Decide</w:t>
      </w:r>
      <w:r>
        <w:t xml:space="preserve"> </w:t>
      </w:r>
      <w:r>
        <w:t xml:space="preserve">once, apply everywhere; mixing modes across a fleet is the worst outcome.</w:t>
      </w:r>
    </w:p>
    <w:bookmarkEnd w:id="629"/>
    <w:bookmarkStart w:id="630" w:name="the-self-reference-loop"/>
    <w:p>
      <w:pPr>
        <w:pStyle w:val="Heading2"/>
      </w:pPr>
      <w:r>
        <w:t xml:space="preserve">The self-reference loop</w:t>
      </w:r>
    </w:p>
    <w:p>
      <w:pPr>
        <w:pStyle w:val="FirstParagraph"/>
      </w:pPr>
      <w:r>
        <w:t xml:space="preserve">A storage account or Event Hubs namespace cannot be the destination for its</w:t>
      </w:r>
      <w:r>
        <w:t xml:space="preserve"> </w:t>
      </w:r>
      <w:r>
        <w:t xml:space="preserve">own diagnostic setting — it would generate data by writing data, forever. The</w:t>
      </w:r>
      <w:r>
        <w:t xml:space="preserve"> </w:t>
      </w:r>
      <w:r>
        <w:t xml:space="preserve">portal blocks this; the CLI, PowerShell, REST API, and ARM templates</w:t>
      </w:r>
      <w:r>
        <w:t xml:space="preserve"> </w:t>
      </w:r>
      <w:r>
        <w:rPr>
          <w:b/>
          <w:bCs/>
        </w:rPr>
        <w:t xml:space="preserve">do</w:t>
      </w:r>
      <w:r>
        <w:rPr>
          <w:b/>
          <w:bCs/>
        </w:rPr>
        <w:t xml:space="preserve"> </w:t>
      </w:r>
      <w:r>
        <w:rPr>
          <w:b/>
          <w:bCs/>
        </w:rPr>
        <w:t xml:space="preserve">not</w:t>
      </w:r>
      <w:r>
        <w:t xml:space="preserve"> </w:t>
      </w:r>
      <w:r>
        <w:t xml:space="preserve">(</w:t>
      </w:r>
      <w:hyperlink r:id="rId622">
        <w:r>
          <w:rPr>
            <w:rStyle w:val="Hyperlink"/>
          </w:rPr>
          <w:t xml:space="preserve">diagnostic settings</w:t>
        </w:r>
      </w:hyperlink>
      <w:r>
        <w:t xml:space="preserve">).</w:t>
      </w:r>
    </w:p>
    <w:p>
      <w:pPr>
        <w:pStyle w:val="BodyText"/>
      </w:pPr>
      <w:r>
        <w:t xml:space="preserve">Automation that enumerates every resource in a subscription and applies a</w:t>
      </w:r>
      <w:r>
        <w:t xml:space="preserve"> </w:t>
      </w:r>
      <w:r>
        <w:t xml:space="preserve">diagnostic setting will eventually hit the logging storage account itself.</w:t>
      </w:r>
      <w:r>
        <w:t xml:space="preserve"> </w:t>
      </w:r>
      <w:r>
        <w:t xml:space="preserve">Exclude the telemetry-infrastructure resources explicitly in any at-scale</w:t>
      </w:r>
      <w:r>
        <w:t xml:space="preserve"> </w:t>
      </w:r>
      <w:r>
        <w:t xml:space="preserve">loop.</w:t>
      </w:r>
    </w:p>
    <w:bookmarkEnd w:id="630"/>
    <w:bookmarkStart w:id="631" w:name="Xba4ae7908dfcd1f43c3a97ccba3060cd676f080"/>
    <w:p>
      <w:pPr>
        <w:pStyle w:val="Heading2"/>
      </w:pPr>
      <w:r>
        <w:t xml:space="preserve">Part 3 — Enforce at scale with Azure Policy</w:t>
      </w:r>
    </w:p>
    <w:p>
      <w:pPr>
        <w:pStyle w:val="FirstParagraph"/>
      </w:pPr>
      <w:r>
        <w:t xml:space="preserve">Everything above configures what exists today. A resource created tomorrow is</w:t>
      </w:r>
      <w:r>
        <w:t xml:space="preserve"> </w:t>
      </w:r>
      <w:r>
        <w:t xml:space="preserve">born silent unless policy makes emission a property of the platform rather</w:t>
      </w:r>
      <w:r>
        <w:t xml:space="preserve"> </w:t>
      </w:r>
      <w:r>
        <w:t xml:space="preserve">than a deployment checklist item.</w:t>
      </w:r>
    </w:p>
    <w:p>
      <w:pPr>
        <w:pStyle w:val="BodyText"/>
      </w:pPr>
      <w:r>
        <w:t xml:space="preserve">Use built-in</w:t>
      </w:r>
      <w:r>
        <w:t xml:space="preserve"> </w:t>
      </w:r>
      <w:r>
        <w:rPr>
          <w:rStyle w:val="VerbatimChar"/>
        </w:rPr>
        <w:t xml:space="preserve">DeployIfNotExists</w:t>
      </w:r>
      <w:r>
        <w:t xml:space="preserve"> </w:t>
      </w:r>
      <w:r>
        <w:t xml:space="preserve">policy initiatives, assigned at management-</w:t>
      </w:r>
      <w:r>
        <w:t xml:space="preserve"> </w:t>
      </w:r>
      <w:r>
        <w:t xml:space="preserve">group scope with a managed identity holding</w:t>
      </w:r>
      <w:r>
        <w:t xml:space="preserve"> </w:t>
      </w:r>
      <w:r>
        <w:rPr>
          <w:b/>
          <w:bCs/>
        </w:rPr>
        <w:t xml:space="preserve">Monitoring Contributor</w:t>
      </w:r>
      <w:r>
        <w:t xml:space="preserve"> </w:t>
      </w:r>
      <w:r>
        <w:t xml:space="preserve">on the</w:t>
      </w:r>
      <w:r>
        <w:t xml:space="preserve"> </w:t>
      </w:r>
      <w:r>
        <w:t xml:space="preserve">target scope and</w:t>
      </w:r>
      <w:r>
        <w:t xml:space="preserve"> </w:t>
      </w:r>
      <w:r>
        <w:rPr>
          <w:b/>
          <w:bCs/>
        </w:rPr>
        <w:t xml:space="preserve">Log Analytics Contributor</w:t>
      </w:r>
      <w:r>
        <w:t xml:space="preserve"> </w:t>
      </w:r>
      <w:r>
        <w:t xml:space="preserve">on the workspace: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Policy pattern</w:t>
            </w:r>
          </w:p>
        </w:tc>
        <w:tc>
          <w:tcPr/>
          <w:p>
            <w:pPr>
              <w:pStyle w:val="Compact"/>
            </w:pPr>
            <w:r>
              <w:t xml:space="preserve">Effect</w:t>
            </w:r>
          </w:p>
        </w:tc>
      </w:tr>
      <w:tr>
        <w:tc>
          <w:tcPr/>
          <w:p>
            <w:pPr>
              <w:pStyle w:val="Compact"/>
            </w:pPr>
            <w:r>
              <w:rPr>
                <w:i/>
                <w:iCs/>
              </w:rPr>
              <w:t xml:space="preserve">Deploy Diagnostic Settings for</w:t>
            </w:r>
            <w:r>
              <w:rPr>
                <w:i/>
                <w:iCs/>
              </w:rPr>
              <w:t xml:space="preserve"> </w:t>
            </w:r>
            <w:r>
              <w:rPr>
                <w:rStyle w:val="VerbatimChar"/>
                <w:i/>
                <w:iCs/>
              </w:rPr>
              <w:t xml:space="preserve">&lt;resource type&gt;</w:t>
            </w:r>
            <w:r>
              <w:rPr>
                <w:i/>
                <w:iCs/>
              </w:rPr>
              <w:t xml:space="preserve"> </w:t>
            </w:r>
            <w:r>
              <w:rPr>
                <w:i/>
                <w:iCs/>
              </w:rPr>
              <w:t xml:space="preserve">to Log Analytics workspace</w:t>
            </w:r>
          </w:p>
        </w:tc>
        <w:tc>
          <w:tcPr/>
          <w:p>
            <w:pPr>
              <w:pStyle w:val="Compact"/>
            </w:pPr>
            <w:r>
              <w:rPr>
                <w:rStyle w:val="VerbatimChar"/>
              </w:rPr>
              <w:t xml:space="preserve">DeployIfNotExists</w:t>
            </w:r>
            <w:r>
              <w:t xml:space="preserve"> </w:t>
            </w:r>
            <w:r>
              <w:t xml:space="preserve">— remediates new and, via a remediation task, existing resources</w:t>
            </w:r>
          </w:p>
        </w:tc>
      </w:tr>
      <w:tr>
        <w:tc>
          <w:tcPr/>
          <w:p>
            <w:pPr>
              <w:pStyle w:val="Compact"/>
            </w:pPr>
            <w:r>
              <w:rPr>
                <w:i/>
                <w:iCs/>
              </w:rPr>
              <w:t xml:space="preserve">Configure Azure Activity logs to stream to specified Log Analytics workspace</w:t>
            </w:r>
          </w:p>
        </w:tc>
        <w:tc>
          <w:tcPr/>
          <w:p>
            <w:pPr>
              <w:pStyle w:val="Compact"/>
            </w:pPr>
            <w:r>
              <w:rPr>
                <w:rStyle w:val="VerbatimChar"/>
              </w:rPr>
              <w:t xml:space="preserve">DeployIfNotExists</w:t>
            </w:r>
            <w:r>
              <w:t xml:space="preserve"> </w:t>
            </w:r>
            <w:r>
              <w:t xml:space="preserve">at subscription scope</w:t>
            </w:r>
          </w:p>
        </w:tc>
      </w:tr>
      <w:tr>
        <w:tc>
          <w:tcPr/>
          <w:p>
            <w:pPr>
              <w:pStyle w:val="Compact"/>
            </w:pPr>
            <w:r>
              <w:rPr>
                <w:i/>
                <w:iCs/>
              </w:rPr>
              <w:t xml:space="preserve">Audit diagnostic setting</w:t>
            </w:r>
          </w:p>
        </w:tc>
        <w:tc>
          <w:tcPr/>
          <w:p>
            <w:pPr>
              <w:pStyle w:val="Compact"/>
            </w:pPr>
            <w:r>
              <w:rPr>
                <w:rStyle w:val="VerbatimChar"/>
              </w:rPr>
              <w:t xml:space="preserve">AuditIfNotExists</w:t>
            </w:r>
            <w:r>
              <w:t xml:space="preserve"> </w:t>
            </w:r>
            <w:r>
              <w:t xml:space="preserve">— reports without changing, for the assessment-only posture</w:t>
            </w:r>
          </w:p>
        </w:tc>
      </w:tr>
    </w:tbl>
    <w:bookmarkEnd w:id="631"/>
    <w:bookmarkStart w:id="632" w:name="X7ddcc1af3cc57bf635ddfc7dca1fc160f45a3d9"/>
    <w:p>
      <w:pPr>
        <w:pStyle w:val="Heading2"/>
      </w:pPr>
      <w:r>
        <w:rPr>
          <w:rStyle w:val="VerbatimChar"/>
        </w:rPr>
        <w:t xml:space="preserve">DeployIfNotExists</w:t>
      </w:r>
      <w:r>
        <w:t xml:space="preserve"> </w:t>
      </w:r>
      <w:r>
        <w:t xml:space="preserve">only fires on resource writes</w:t>
      </w:r>
    </w:p>
    <w:p>
      <w:pPr>
        <w:pStyle w:val="FirstParagraph"/>
      </w:pPr>
      <w:r>
        <w:t xml:space="preserve">A</w:t>
      </w:r>
      <w:r>
        <w:t xml:space="preserve"> </w:t>
      </w:r>
      <w:r>
        <w:rPr>
          <w:rStyle w:val="VerbatimChar"/>
        </w:rPr>
        <w:t xml:space="preserve">DeployIfNotExists</w:t>
      </w:r>
      <w:r>
        <w:t xml:space="preserve"> </w:t>
      </w:r>
      <w:r>
        <w:t xml:space="preserve">assignment evaluates when a resource is created or</w:t>
      </w:r>
      <w:r>
        <w:t xml:space="preserve"> </w:t>
      </w:r>
      <w:r>
        <w:t xml:space="preserve">updated. It does</w:t>
      </w:r>
      <w:r>
        <w:t xml:space="preserve"> </w:t>
      </w:r>
      <w:r>
        <w:rPr>
          <w:b/>
          <w:bCs/>
        </w:rPr>
        <w:t xml:space="preserve">not</w:t>
      </w:r>
      <w:r>
        <w:t xml:space="preserve"> </w:t>
      </w:r>
      <w:r>
        <w:t xml:space="preserve">retroactively fix the estate at assignment time —</w:t>
      </w:r>
      <w:r>
        <w:t xml:space="preserve"> </w:t>
      </w:r>
      <w:r>
        <w:t xml:space="preserve">existing resources stay non-compliant until you run a</w:t>
      </w:r>
      <w:r>
        <w:t xml:space="preserve"> </w:t>
      </w:r>
      <w:r>
        <w:rPr>
          <w:b/>
          <w:bCs/>
        </w:rPr>
        <w:t xml:space="preserve">remediation task</w:t>
      </w:r>
      <w:r>
        <w:t xml:space="preserve"> </w:t>
      </w:r>
      <w:r>
        <w:t xml:space="preserve">against the assignment.</w:t>
      </w:r>
    </w:p>
    <w:p>
      <w:pPr>
        <w:pStyle w:val="BodyText"/>
      </w:pPr>
      <w:r>
        <w:t xml:space="preserve">The standard failure: policy is assigned, the compliance dashboard goes green</w:t>
      </w:r>
      <w:r>
        <w:t xml:space="preserve"> </w:t>
      </w:r>
      <w:r>
        <w:t xml:space="preserve">for newly-created resources, and a year of pre-existing resources continues</w:t>
      </w:r>
      <w:r>
        <w:t xml:space="preserve"> </w:t>
      </w:r>
      <w:r>
        <w:t xml:space="preserve">emitting nothing. Assign the policy</w:t>
      </w:r>
      <w:r>
        <w:t xml:space="preserve"> </w:t>
      </w:r>
      <w:r>
        <w:rPr>
          <w:i/>
          <w:iCs/>
        </w:rPr>
        <w:t xml:space="preserve">and</w:t>
      </w:r>
      <w:r>
        <w:t xml:space="preserve"> </w:t>
      </w:r>
      <w:r>
        <w:t xml:space="preserve">run the remediation task, then</w:t>
      </w:r>
      <w:r>
        <w:t xml:space="preserve"> </w:t>
      </w:r>
      <w:r>
        <w:t xml:space="preserve">confirm the compliance percentage against the resource count.</w:t>
      </w:r>
    </w:p>
    <w:bookmarkEnd w:id="632"/>
    <w:p>
      <w:pPr>
        <w:pStyle w:val="BodyText"/>
      </w:pPr>
      <w:r>
        <w:t xml:space="preserve">This is also the direct implementation of FedRAMP</w:t>
      </w:r>
      <w:r>
        <w:t xml:space="preserve"> </w:t>
      </w:r>
      <w:r>
        <w:rPr>
          <w:b/>
          <w:bCs/>
        </w:rPr>
        <w:t xml:space="preserve">KSI-MLA-EVC</w:t>
      </w:r>
      <w:r>
        <w:t xml:space="preserve"> </w:t>
      </w:r>
      <w:r>
        <w:t xml:space="preserve">—</w:t>
      </w:r>
      <w:r>
        <w:t xml:space="preserve"> </w:t>
      </w:r>
      <w:r>
        <w:t xml:space="preserve">“the</w:t>
      </w:r>
      <w:r>
        <w:t xml:space="preserve"> </w:t>
      </w:r>
      <w:r>
        <w:t xml:space="preserve">configuration of machine-based information resources, especially</w:t>
      </w:r>
      <w:r>
        <w:t xml:space="preserve"> </w:t>
      </w:r>
      <w:r>
        <w:t xml:space="preserve">infrastructure as code, is persistently evaluated and tested.”</w:t>
      </w:r>
      <w:r>
        <w:t xml:space="preserve"> </w:t>
      </w:r>
      <w:r>
        <w:t xml:space="preserve">A policy</w:t>
      </w:r>
      <w:r>
        <w:t xml:space="preserve"> </w:t>
      </w:r>
      <w:r>
        <w:t xml:space="preserve">assignment with continuous compliance evaluation</w:t>
      </w:r>
      <w:r>
        <w:t xml:space="preserve"> </w:t>
      </w:r>
      <w:r>
        <w:rPr>
          <w:i/>
          <w:iCs/>
        </w:rPr>
        <w:t xml:space="preserve">is</w:t>
      </w:r>
      <w:r>
        <w:t xml:space="preserve"> </w:t>
      </w:r>
      <w:r>
        <w:t xml:space="preserve">the persistent</w:t>
      </w:r>
      <w:r>
        <w:t xml:space="preserve"> </w:t>
      </w:r>
      <w:r>
        <w:t xml:space="preserve">evaluation; a spreadsheet of resources somebody checked once is not.</w:t>
      </w:r>
    </w:p>
    <w:p>
      <w:pPr>
        <w:pStyle w:val="BodyText"/>
      </w:pPr>
      <w:r>
        <w:t xml:space="preserve">The repo’s Azure Arc policy library covers the adjacent hybrid-server case:</w:t>
      </w:r>
      <w:r>
        <w:t xml:space="preserve"> </w:t>
      </w:r>
      <w:r>
        <w:t xml:space="preserve">Azure Arc policy library.</w:t>
      </w:r>
    </w:p>
    <w:bookmarkStart w:id="633" w:name="verify-emission-1"/>
    <w:p>
      <w:pPr>
        <w:pStyle w:val="Heading2"/>
      </w:pPr>
      <w:r>
        <w:t xml:space="preserve">Verify emission</w:t>
      </w:r>
    </w:p>
    <w:p>
      <w:pPr>
        <w:pStyle w:val="SourceCode"/>
      </w:pPr>
      <w:r>
        <w:rPr>
          <w:rStyle w:val="VerbatimChar"/>
        </w:rPr>
        <w:t xml:space="preserve">// Azure control-plane emission health, by subscription and category.</w:t>
      </w:r>
      <w:r>
        <w:br/>
      </w:r>
      <w:r>
        <w:rPr>
          <w:rStyle w:val="VerbatimChar"/>
        </w:rPr>
        <w:t xml:space="preserve">AzureActivity</w:t>
      </w:r>
      <w:r>
        <w:br/>
      </w:r>
      <w:r>
        <w:rPr>
          <w:rStyle w:val="VerbatimChar"/>
        </w:rPr>
        <w:t xml:space="preserve">| where TimeGenerated &gt; ago(24h)</w:t>
      </w:r>
      <w:r>
        <w:br/>
      </w:r>
      <w:r>
        <w:rPr>
          <w:rStyle w:val="VerbatimChar"/>
        </w:rPr>
        <w:t xml:space="preserve">| summarize Events = count, LastEvent = max(TimeGenerated)</w:t>
      </w:r>
      <w:r>
        <w:br/>
      </w:r>
      <w:r>
        <w:rPr>
          <w:rStyle w:val="VerbatimChar"/>
        </w:rPr>
        <w:t xml:space="preserve">    by SubscriptionId, Category</w:t>
      </w:r>
      <w:r>
        <w:br/>
      </w:r>
      <w:r>
        <w:rPr>
          <w:rStyle w:val="VerbatimChar"/>
        </w:rPr>
        <w:t xml:space="preserve">| extend Stale = LastEvent &lt; ago(6h)</w:t>
      </w:r>
      <w:r>
        <w:br/>
      </w:r>
      <w:r>
        <w:rPr>
          <w:rStyle w:val="VerbatimChar"/>
        </w:rPr>
        <w:t xml:space="preserve">| order by Stale desc, SubscriptionId asc, Category asc</w:t>
      </w:r>
    </w:p>
    <w:p>
      <w:pPr>
        <w:pStyle w:val="FirstParagraph"/>
      </w:pPr>
      <w:r>
        <w:t xml:space="preserve">A subscription absent from these results is not exporting. Compare the</w:t>
      </w:r>
      <w:r>
        <w:t xml:space="preserve"> </w:t>
      </w:r>
      <w:r>
        <w:t xml:space="preserve">returned</w:t>
      </w:r>
      <w:r>
        <w:t xml:space="preserve"> </w:t>
      </w:r>
      <w:r>
        <w:rPr>
          <w:rStyle w:val="VerbatimChar"/>
        </w:rPr>
        <w:t xml:space="preserve">SubscriptionId</w:t>
      </w:r>
      <w:r>
        <w:t xml:space="preserve"> </w:t>
      </w:r>
      <w:r>
        <w:t xml:space="preserve">set against the full subscription inventory —</w:t>
      </w:r>
      <w:r>
        <w:t xml:space="preserve"> </w:t>
      </w:r>
      <w:r>
        <w:t xml:space="preserve">the query cannot show you a subscription that has never sent a single event,</w:t>
      </w:r>
      <w:r>
        <w:t xml:space="preserve"> </w:t>
      </w:r>
      <w:r>
        <w:t xml:space="preserve">which is exactly the one you need to find:</w:t>
      </w:r>
    </w:p>
    <w:p>
      <w:pPr>
        <w:pStyle w:val="SourceCode"/>
      </w:pPr>
      <w:r>
        <w:rPr>
          <w:rStyle w:val="CommentTok"/>
        </w:rPr>
        <w:t xml:space="preserve"># Subscriptions with no activity-log diagnostic setting.</w:t>
      </w:r>
      <w:r>
        <w:br/>
      </w:r>
      <w:r>
        <w:rPr>
          <w:rStyle w:val="ControlFlowTok"/>
        </w:rPr>
        <w:t xml:space="preserve">for</w:t>
      </w:r>
      <w:r>
        <w:rPr>
          <w:rStyle w:val="NormalTok"/>
        </w:rPr>
        <w:t xml:space="preserve"> sub </w:t>
      </w:r>
      <w:r>
        <w:rPr>
          <w:rStyle w:val="KeywordTok"/>
        </w:rPr>
        <w:t xml:space="preserve">in</w:t>
      </w:r>
      <w:r>
        <w:rPr>
          <w:rStyle w:val="NormalTok"/>
        </w:rPr>
        <w:t xml:space="preserve"> </w:t>
      </w:r>
      <w:r>
        <w:rPr>
          <w:rStyle w:val="VariableTok"/>
        </w:rPr>
        <w:t xml:space="preserve">$(</w:t>
      </w:r>
      <w:r>
        <w:rPr>
          <w:rStyle w:val="ExtensionTok"/>
        </w:rPr>
        <w:t xml:space="preserve">az</w:t>
      </w:r>
      <w:r>
        <w:rPr>
          <w:rStyle w:val="NormalTok"/>
        </w:rPr>
        <w:t xml:space="preserve"> account list </w:t>
      </w:r>
      <w:r>
        <w:rPr>
          <w:rStyle w:val="AttributeTok"/>
        </w:rPr>
        <w:t xml:space="preserve">--query</w:t>
      </w:r>
      <w:r>
        <w:rPr>
          <w:rStyle w:val="NormalTok"/>
        </w:rPr>
        <w:t xml:space="preserve"> </w:t>
      </w:r>
      <w:r>
        <w:rPr>
          <w:rStyle w:val="StringTok"/>
        </w:rPr>
        <w:t xml:space="preserve">"[].id"</w:t>
      </w:r>
      <w:r>
        <w:rPr>
          <w:rStyle w:val="NormalTok"/>
        </w:rPr>
        <w:t xml:space="preserve"> </w:t>
      </w:r>
      <w:r>
        <w:rPr>
          <w:rStyle w:val="AttributeTok"/>
        </w:rPr>
        <w:t xml:space="preserve">-o</w:t>
      </w:r>
      <w:r>
        <w:rPr>
          <w:rStyle w:val="NormalTok"/>
        </w:rPr>
        <w:t xml:space="preserve"> tsv</w:t>
      </w:r>
      <w:r>
        <w:rPr>
          <w:rStyle w:val="VariableTok"/>
        </w:rPr>
        <w:t xml:space="preserve">)</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VariableTok"/>
        </w:rPr>
        <w:t xml:space="preserve">count</w:t>
      </w:r>
      <w:r>
        <w:rPr>
          <w:rStyle w:val="OperatorTok"/>
        </w:rPr>
        <w:t xml:space="preserve">=</w:t>
      </w:r>
      <w:r>
        <w:rPr>
          <w:rStyle w:val="VariableTok"/>
        </w:rPr>
        <w:t xml:space="preserve">$(</w:t>
      </w:r>
      <w:r>
        <w:rPr>
          <w:rStyle w:val="ExtensionTok"/>
        </w:rPr>
        <w:t xml:space="preserve">az</w:t>
      </w:r>
      <w:r>
        <w:rPr>
          <w:rStyle w:val="NormalTok"/>
        </w:rPr>
        <w:t xml:space="preserve"> monitor diagnostic-settings subscription list </w:t>
      </w:r>
      <w:r>
        <w:rPr>
          <w:rStyle w:val="DataTypeTok"/>
        </w:rPr>
        <w:t xml:space="preserve">\</w:t>
      </w:r>
      <w:r>
        <w:br/>
      </w:r>
      <w:r>
        <w:rPr>
          <w:rStyle w:val="NormalTok"/>
        </w:rPr>
        <w:t xml:space="preserve">            </w:t>
      </w:r>
      <w:r>
        <w:rPr>
          <w:rStyle w:val="AttributeTok"/>
        </w:rPr>
        <w:t xml:space="preserve">--subscription</w:t>
      </w:r>
      <w:r>
        <w:rPr>
          <w:rStyle w:val="NormalTok"/>
        </w:rPr>
        <w:t xml:space="preserve"> </w:t>
      </w:r>
      <w:r>
        <w:rPr>
          <w:rStyle w:val="StringTok"/>
        </w:rPr>
        <w:t xml:space="preserve">"</w:t>
      </w:r>
      <w:r>
        <w:rPr>
          <w:rStyle w:val="VariableTok"/>
        </w:rPr>
        <w:t xml:space="preserve">$sub</w:t>
      </w:r>
      <w:r>
        <w:rPr>
          <w:rStyle w:val="StringTok"/>
        </w:rPr>
        <w:t xml:space="preserve">"</w:t>
      </w:r>
      <w:r>
        <w:rPr>
          <w:rStyle w:val="NormalTok"/>
        </w:rPr>
        <w:t xml:space="preserve"> </w:t>
      </w:r>
      <w:r>
        <w:rPr>
          <w:rStyle w:val="AttributeTok"/>
        </w:rPr>
        <w:t xml:space="preserve">--query</w:t>
      </w:r>
      <w:r>
        <w:rPr>
          <w:rStyle w:val="NormalTok"/>
        </w:rPr>
        <w:t xml:space="preserve"> </w:t>
      </w:r>
      <w:r>
        <w:rPr>
          <w:rStyle w:val="StringTok"/>
        </w:rPr>
        <w:t xml:space="preserve">"length(value)"</w:t>
      </w:r>
      <w:r>
        <w:rPr>
          <w:rStyle w:val="NormalTok"/>
        </w:rPr>
        <w:t xml:space="preserve"> </w:t>
      </w:r>
      <w:r>
        <w:rPr>
          <w:rStyle w:val="AttributeTok"/>
        </w:rPr>
        <w:t xml:space="preserve">-o</w:t>
      </w:r>
      <w:r>
        <w:rPr>
          <w:rStyle w:val="NormalTok"/>
        </w:rPr>
        <w:t xml:space="preserve"> tsv </w:t>
      </w:r>
      <w:r>
        <w:rPr>
          <w:rStyle w:val="DecValTok"/>
        </w:rPr>
        <w:t xml:space="preserve">2</w:t>
      </w:r>
      <w:r>
        <w:rPr>
          <w:rStyle w:val="OperatorTok"/>
        </w:rPr>
        <w:t xml:space="preserve">&gt;</w:t>
      </w:r>
      <w:r>
        <w:rPr>
          <w:rStyle w:val="NormalTok"/>
        </w:rPr>
        <w:t xml:space="preserve">/dev/null </w:t>
      </w:r>
      <w:r>
        <w:rPr>
          <w:rStyle w:val="KeywordTok"/>
        </w:rPr>
        <w:t xml:space="preserve">||</w:t>
      </w:r>
      <w:r>
        <w:rPr>
          <w:rStyle w:val="NormalTok"/>
        </w:rPr>
        <w:t xml:space="preserve"> </w:t>
      </w:r>
      <w:r>
        <w:rPr>
          <w:rStyle w:val="BuiltInTok"/>
        </w:rPr>
        <w:t xml:space="preserve">echo</w:t>
      </w:r>
      <w:r>
        <w:rPr>
          <w:rStyle w:val="NormalTok"/>
        </w:rPr>
        <w:t xml:space="preserve"> 0</w:t>
      </w:r>
      <w:r>
        <w:rPr>
          <w:rStyle w:val="VariableTok"/>
        </w:rPr>
        <w:t xml:space="preserve">)</w:t>
      </w:r>
      <w:r>
        <w:br/>
      </w:r>
      <w:r>
        <w:rPr>
          <w:rStyle w:val="NormalTok"/>
        </w:rPr>
        <w:t xml:space="preserve">  </w:t>
      </w:r>
      <w:r>
        <w:rPr>
          <w:rStyle w:val="BuiltInTok"/>
        </w:rPr>
        <w:t xml:space="preserve">[</w:t>
      </w:r>
      <w:r>
        <w:rPr>
          <w:rStyle w:val="NormalTok"/>
        </w:rPr>
        <w:t xml:space="preserve"> </w:t>
      </w:r>
      <w:r>
        <w:rPr>
          <w:rStyle w:val="StringTok"/>
        </w:rPr>
        <w:t xml:space="preserve">"</w:t>
      </w:r>
      <w:r>
        <w:rPr>
          <w:rStyle w:val="VariableTok"/>
        </w:rPr>
        <w:t xml:space="preserve">$count</w:t>
      </w:r>
      <w:r>
        <w:rPr>
          <w:rStyle w:val="StringTok"/>
        </w:rPr>
        <w:t xml:space="preserve">"</w:t>
      </w:r>
      <w:r>
        <w:rPr>
          <w:rStyle w:val="NormalTok"/>
        </w:rPr>
        <w:t xml:space="preserve"> </w:t>
      </w:r>
      <w:r>
        <w:rPr>
          <w:rStyle w:val="OtherTok"/>
        </w:rPr>
        <w:t xml:space="preserve">-eq</w:t>
      </w:r>
      <w:r>
        <w:rPr>
          <w:rStyle w:val="NormalTok"/>
        </w:rPr>
        <w:t xml:space="preserve"> 0 </w:t>
      </w:r>
      <w:r>
        <w:rPr>
          <w:rStyle w:val="BuiltInTok"/>
        </w:rPr>
        <w:t xml:space="preserve">]</w:t>
      </w:r>
      <w:r>
        <w:rPr>
          <w:rStyle w:val="NormalTok"/>
        </w:rPr>
        <w:t xml:space="preserve"> </w:t>
      </w:r>
      <w:r>
        <w:rPr>
          <w:rStyle w:val="KeywordTok"/>
        </w:rPr>
        <w:t xml:space="preserve">&amp;&amp;</w:t>
      </w:r>
      <w:r>
        <w:rPr>
          <w:rStyle w:val="NormalTok"/>
        </w:rPr>
        <w:t xml:space="preserve"> </w:t>
      </w:r>
      <w:r>
        <w:rPr>
          <w:rStyle w:val="BuiltInTok"/>
        </w:rPr>
        <w:t xml:space="preserve">echo</w:t>
      </w:r>
      <w:r>
        <w:rPr>
          <w:rStyle w:val="NormalTok"/>
        </w:rPr>
        <w:t xml:space="preserve"> </w:t>
      </w:r>
      <w:r>
        <w:rPr>
          <w:rStyle w:val="StringTok"/>
        </w:rPr>
        <w:t xml:space="preserve">"NO ACTIVITY LOG EXPORT: </w:t>
      </w:r>
      <w:r>
        <w:rPr>
          <w:rStyle w:val="VariableTok"/>
        </w:rPr>
        <w:t xml:space="preserve">$sub</w:t>
      </w:r>
      <w:r>
        <w:rPr>
          <w:rStyle w:val="StringTok"/>
        </w:rPr>
        <w:t xml:space="preserve">"</w:t>
      </w:r>
      <w:r>
        <w:br/>
      </w:r>
      <w:r>
        <w:rPr>
          <w:rStyle w:val="ControlFlowTok"/>
        </w:rPr>
        <w:t xml:space="preserve">done</w:t>
      </w:r>
    </w:p>
    <w:p>
      <w:pPr>
        <w:pStyle w:val="FirstParagraph"/>
      </w:pPr>
      <w:r>
        <w:t xml:space="preserve">Resource-level coverage, for resources that have emitted at least once:</w:t>
      </w:r>
    </w:p>
    <w:p>
      <w:pPr>
        <w:pStyle w:val="SourceCode"/>
      </w:pPr>
      <w:r>
        <w:rPr>
          <w:rStyle w:val="VerbatimChar"/>
        </w:rPr>
        <w:t xml:space="preserve">// Resource types currently landing in the generic diagnostics table.</w:t>
      </w:r>
      <w:r>
        <w:br/>
      </w:r>
      <w:r>
        <w:rPr>
          <w:rStyle w:val="VerbatimChar"/>
        </w:rPr>
        <w:t xml:space="preserve">AzureDiagnostics</w:t>
      </w:r>
      <w:r>
        <w:br/>
      </w:r>
      <w:r>
        <w:rPr>
          <w:rStyle w:val="VerbatimChar"/>
        </w:rPr>
        <w:t xml:space="preserve">| where TimeGenerated &gt; ago(24h)</w:t>
      </w:r>
      <w:r>
        <w:br/>
      </w:r>
      <w:r>
        <w:rPr>
          <w:rStyle w:val="VerbatimChar"/>
        </w:rPr>
        <w:t xml:space="preserve">| summarize Events = count, LastEvent = max(TimeGenerated) by ResourceType, ResourceProvider</w:t>
      </w:r>
      <w:r>
        <w:br/>
      </w:r>
      <w:r>
        <w:rPr>
          <w:rStyle w:val="VerbatimChar"/>
        </w:rPr>
        <w:t xml:space="preserve">| order by Events desc</w:t>
      </w:r>
    </w:p>
    <w:p>
      <w:pPr>
        <w:pStyle w:val="FirstParagraph"/>
      </w:pPr>
      <w:r>
        <w:t xml:space="preserve">Neither query proves</w:t>
      </w:r>
      <w:r>
        <w:t xml:space="preserve"> </w:t>
      </w:r>
      <w:r>
        <w:rPr>
          <w:i/>
          <w:iCs/>
        </w:rPr>
        <w:t xml:space="preserve">completeness</w:t>
      </w:r>
      <w:r>
        <w:t xml:space="preserve"> </w:t>
      </w:r>
      <w:r>
        <w:t xml:space="preserve">— only Azure Policy compliance state</w:t>
      </w:r>
      <w:r>
        <w:t xml:space="preserve"> </w:t>
      </w:r>
      <w:r>
        <w:t xml:space="preserve">does, because it evaluates against the full resource inventory rather than</w:t>
      </w:r>
      <w:r>
        <w:t xml:space="preserve"> </w:t>
      </w:r>
      <w:r>
        <w:t xml:space="preserve">against what happens to have arrived. Treat the policy compliance percentage</w:t>
      </w:r>
      <w:r>
        <w:t xml:space="preserve"> </w:t>
      </w:r>
      <w:r>
        <w:t xml:space="preserve">as the AU-2 coverage metric and these queries as liveness checks on top of it.</w:t>
      </w:r>
    </w:p>
    <w:bookmarkEnd w:id="633"/>
    <w:bookmarkStart w:id="634" w:name="next"/>
    <w:p>
      <w:pPr>
        <w:pStyle w:val="Heading2"/>
      </w:pPr>
      <w:r>
        <w:t xml:space="preserve">Next</w:t>
      </w:r>
    </w:p>
    <w:p>
      <w:pPr>
        <w:pStyle w:val="FirstParagraph"/>
      </w:pPr>
      <w:r>
        <w:t xml:space="preserve">Microsoft 365 unified audit — the third plane,</w:t>
      </w:r>
      <w:r>
        <w:t xml:space="preserve"> </w:t>
      </w:r>
      <w:r>
        <w:t xml:space="preserve">which neither of the diagnostic-settings pipelines above touches.</w:t>
      </w:r>
    </w:p>
    <w:bookmarkEnd w:id="634"/>
    <w:bookmarkEnd w:id="635"/>
    <w:bookmarkStart w:id="660" w:name="microsoft-365-unified-audit-log-emission"/>
    <w:p>
      <w:pPr>
        <w:pStyle w:val="Heading1"/>
      </w:pPr>
      <w:r>
        <w:t xml:space="preserve">Microsoft 365 Unified Audit Log Emission</w:t>
      </w:r>
    </w:p>
    <w:p>
      <w:pPr>
        <w:pStyle w:val="FirstParagraph"/>
      </w:pPr>
      <w:r>
        <w:t xml:space="preserve">The unified audit log (UAL) is the third emission plane and the one most often</w:t>
      </w:r>
      <w:r>
        <w:t xml:space="preserve"> </w:t>
      </w:r>
      <w:r>
        <w:t xml:space="preserve">assumed rather than verified. It covers Exchange Online, SharePoint, OneDrive,</w:t>
      </w:r>
      <w:r>
        <w:t xml:space="preserve"> </w:t>
      </w:r>
      <w:r>
        <w:t xml:space="preserve">Teams, Power Platform, and Purview activity — none of which appears in Entra</w:t>
      </w:r>
      <w:r>
        <w:t xml:space="preserve"> </w:t>
      </w:r>
      <w:r>
        <w:t xml:space="preserve">diagnostic settings or Azure activity logs.</w:t>
      </w:r>
    </w:p>
    <w:bookmarkStart w:id="637" w:name="step-1-verify-auditing-is-actually-on"/>
    <w:p>
      <w:pPr>
        <w:pStyle w:val="Heading2"/>
      </w:pPr>
      <w:r>
        <w:t xml:space="preserve">Step 1 — Verify auditing is actually on</w:t>
      </w:r>
    </w:p>
    <w:p>
      <w:pPr>
        <w:pStyle w:val="FirstParagraph"/>
      </w:pPr>
      <w:r>
        <w:t xml:space="preserve">Auditing is on by default for Microsoft 365 and Office 365</w:t>
      </w:r>
      <w:r>
        <w:t xml:space="preserve"> </w:t>
      </w:r>
      <w:r>
        <w:rPr>
          <w:b/>
          <w:bCs/>
        </w:rPr>
        <w:t xml:space="preserve">enterprise</w:t>
      </w:r>
      <w:r>
        <w:t xml:space="preserve"> </w:t>
      </w:r>
      <w:r>
        <w:t xml:space="preserve">organizations. It is</w:t>
      </w:r>
      <w:r>
        <w:t xml:space="preserve"> </w:t>
      </w:r>
      <w:r>
        <w:rPr>
          <w:b/>
          <w:bCs/>
        </w:rPr>
        <w:t xml:space="preserve">not</w:t>
      </w:r>
      <w:r>
        <w:t xml:space="preserve"> </w:t>
      </w:r>
      <w:r>
        <w:t xml:space="preserve">on by default for Small and Medium Business</w:t>
      </w:r>
      <w:r>
        <w:t xml:space="preserve"> </w:t>
      </w:r>
      <w:r>
        <w:t xml:space="preserve">licenses (Business Basic, Business Standard, Business Premium), and not for</w:t>
      </w:r>
      <w:r>
        <w:t xml:space="preserve"> </w:t>
      </w:r>
      <w:r>
        <w:t xml:space="preserve">unmanaged tenants using enterprise free trials</w:t>
      </w:r>
      <w:r>
        <w:t xml:space="preserve"> </w:t>
      </w:r>
      <w:r>
        <w:t xml:space="preserve">(</w:t>
      </w:r>
      <w:hyperlink r:id="rId636">
        <w:r>
          <w:rPr>
            <w:rStyle w:val="Hyperlink"/>
          </w:rPr>
          <w:t xml:space="preserve">turn auditing on or off</w:t>
        </w:r>
      </w:hyperlink>
      <w:r>
        <w:t xml:space="preserve">).</w:t>
      </w:r>
    </w:p>
    <w:p>
      <w:pPr>
        <w:pStyle w:val="SourceCode"/>
      </w:pPr>
      <w:r>
        <w:rPr>
          <w:rStyle w:val="CommentTok"/>
        </w:rPr>
        <w:t xml:space="preserve"># Must be Exchange Online PowerShell.</w:t>
      </w:r>
      <w:r>
        <w:br/>
      </w:r>
      <w:r>
        <w:rPr>
          <w:rStyle w:val="NormalTok"/>
        </w:rPr>
        <w:t xml:space="preserve">Connect-ExchangeOnline</w:t>
      </w:r>
      <w:r>
        <w:br/>
      </w:r>
      <w:r>
        <w:rPr>
          <w:rStyle w:val="NormalTok"/>
        </w:rPr>
        <w:t xml:space="preserve">Get-AdminAuditLogConfig </w:t>
      </w:r>
      <w:r>
        <w:rPr>
          <w:rStyle w:val="OperatorTok"/>
        </w:rPr>
        <w:t xml:space="preserve">|</w:t>
      </w:r>
      <w:r>
        <w:rPr>
          <w:rStyle w:val="NormalTok"/>
        </w:rPr>
        <w:t xml:space="preserve"> </w:t>
      </w:r>
      <w:r>
        <w:rPr>
          <w:rStyle w:val="FunctionTok"/>
        </w:rPr>
        <w:t xml:space="preserve">Format-List</w:t>
      </w:r>
      <w:r>
        <w:rPr>
          <w:rStyle w:val="NormalTok"/>
        </w:rPr>
        <w:t xml:space="preserve"> UnifiedAuditLogIngestionEnabled</w:t>
      </w:r>
    </w:p>
    <w:p>
      <w:pPr>
        <w:pStyle w:val="FirstParagraph"/>
      </w:pPr>
      <w:r>
        <w:rPr>
          <w:rStyle w:val="VerbatimChar"/>
        </w:rPr>
        <w:t xml:space="preserve">True</w:t>
      </w:r>
      <w:r>
        <w:t xml:space="preserve"> </w:t>
      </w:r>
      <w:r>
        <w:t xml:space="preserve">means auditing is on.</w:t>
      </w:r>
    </w:p>
    <w:bookmarkEnd w:id="637"/>
    <w:bookmarkStart w:id="639" w:name="X72d365a5050cbeee471f727766f3b8c329394e1"/>
    <w:p>
      <w:pPr>
        <w:pStyle w:val="Heading2"/>
      </w:pPr>
      <w:r>
        <w:t xml:space="preserve">Run this in Exchange Online PowerShell, not Security &amp; Compliance PowerShell</w:t>
      </w:r>
    </w:p>
    <w:p>
      <w:pPr>
        <w:pStyle w:val="FirstParagraph"/>
      </w:pPr>
      <w:r>
        <w:rPr>
          <w:rStyle w:val="VerbatimChar"/>
        </w:rPr>
        <w:t xml:space="preserve">Get-AdminAuditLogConfig</w:t>
      </w:r>
      <w:r>
        <w:t xml:space="preserve"> </w:t>
      </w:r>
      <w:r>
        <w:t xml:space="preserve">exists in both modules. In Security &amp; Compliance</w:t>
      </w:r>
      <w:r>
        <w:t xml:space="preserve"> </w:t>
      </w:r>
      <w:r>
        <w:t xml:space="preserve">PowerShell the</w:t>
      </w:r>
      <w:r>
        <w:t xml:space="preserve"> </w:t>
      </w:r>
      <w:r>
        <w:rPr>
          <w:rStyle w:val="VerbatimChar"/>
        </w:rPr>
        <w:t xml:space="preserve">UnifiedAuditLogIngestionEnabled</w:t>
      </w:r>
      <w:r>
        <w:t xml:space="preserve"> </w:t>
      </w:r>
      <w:r>
        <w:t xml:space="preserve">property is</w:t>
      </w:r>
      <w:r>
        <w:t xml:space="preserve"> </w:t>
      </w:r>
      <w:r>
        <w:rPr>
          <w:b/>
          <w:bCs/>
        </w:rPr>
        <w:t xml:space="preserve">always</w:t>
      </w:r>
      <w:r>
        <w:rPr>
          <w:b/>
          <w:bCs/>
        </w:rPr>
        <w:t xml:space="preserve"> </w:t>
      </w:r>
      <w:r>
        <w:rPr>
          <w:rStyle w:val="VerbatimChar"/>
          <w:b/>
          <w:bCs/>
        </w:rPr>
        <w:t xml:space="preserve">False</w:t>
      </w:r>
      <w:r>
        <w:t xml:space="preserve">, even when auditing is fully enabled</w:t>
      </w:r>
      <w:r>
        <w:t xml:space="preserve"> </w:t>
      </w:r>
      <w:r>
        <w:t xml:space="preserve">(</w:t>
      </w:r>
      <w:hyperlink r:id="rId638">
        <w:r>
          <w:rPr>
            <w:rStyle w:val="Hyperlink"/>
          </w:rPr>
          <w:t xml:space="preserve">turn auditing on or off</w:t>
        </w:r>
      </w:hyperlink>
      <w:r>
        <w:t xml:space="preserve">).</w:t>
      </w:r>
    </w:p>
    <w:p>
      <w:pPr>
        <w:pStyle w:val="BodyText"/>
      </w:pPr>
      <w:r>
        <w:t xml:space="preserve">This produces a specific and expensive false negative: an operator confirms</w:t>
      </w:r>
      <w:r>
        <w:t xml:space="preserve"> </w:t>
      </w:r>
      <w:r>
        <w:t xml:space="preserve">“auditing is off,”</w:t>
      </w:r>
      <w:r>
        <w:t xml:space="preserve"> </w:t>
      </w:r>
      <w:r>
        <w:t xml:space="preserve">enables something that was already enabled, and — worse —</w:t>
      </w:r>
      <w:r>
        <w:t xml:space="preserve"> </w:t>
      </w:r>
      <w:r>
        <w:t xml:space="preserve">an assessor or an automated check records a finding against a compliant</w:t>
      </w:r>
      <w:r>
        <w:t xml:space="preserve"> </w:t>
      </w:r>
      <w:r>
        <w:t xml:space="preserve">tenant. Confirm which module the session is connected to before trusting the</w:t>
      </w:r>
      <w:r>
        <w:t xml:space="preserve"> </w:t>
      </w:r>
      <w:r>
        <w:t xml:space="preserve">output.</w:t>
      </w:r>
    </w:p>
    <w:bookmarkEnd w:id="639"/>
    <w:bookmarkStart w:id="641" w:name="step-2-enable-if-needed"/>
    <w:p>
      <w:pPr>
        <w:pStyle w:val="Heading2"/>
      </w:pPr>
      <w:r>
        <w:t xml:space="preserve">Step 2 — Enable if needed</w:t>
      </w:r>
    </w:p>
    <w:p>
      <w:pPr>
        <w:pStyle w:val="FirstParagraph"/>
      </w:pPr>
      <w:r>
        <w:t xml:space="preserve">Portal path:</w:t>
      </w:r>
      <w:r>
        <w:t xml:space="preserve"> </w:t>
      </w:r>
      <w:hyperlink r:id="rId640">
        <w:r>
          <w:rPr>
            <w:rStyle w:val="Hyperlink"/>
          </w:rPr>
          <w:t xml:space="preserve">Microsoft Purview portal</w:t>
        </w:r>
      </w:hyperlink>
      <w:r>
        <w:t xml:space="preserve"> </w:t>
      </w:r>
      <w:r>
        <w:t xml:space="preserve">→</w:t>
      </w:r>
      <w:r>
        <w:t xml:space="preserve"> </w:t>
      </w:r>
      <w:r>
        <w:rPr>
          <w:b/>
          <w:bCs/>
        </w:rPr>
        <w:t xml:space="preserve">Audit</w:t>
      </w:r>
      <w:r>
        <w:t xml:space="preserve"> </w:t>
      </w:r>
      <w:r>
        <w:t xml:space="preserve">solution card → select the</w:t>
      </w:r>
      <w:r>
        <w:t xml:space="preserve"> </w:t>
      </w:r>
      <w:r>
        <w:rPr>
          <w:b/>
          <w:bCs/>
        </w:rPr>
        <w:t xml:space="preserve">Start recording user and admin</w:t>
      </w:r>
      <w:r>
        <w:rPr>
          <w:b/>
          <w:bCs/>
        </w:rPr>
        <w:t xml:space="preserve"> </w:t>
      </w:r>
      <w:r>
        <w:rPr>
          <w:b/>
          <w:bCs/>
        </w:rPr>
        <w:t xml:space="preserve">activity</w:t>
      </w:r>
      <w:r>
        <w:t xml:space="preserve"> </w:t>
      </w:r>
      <w:r>
        <w:t xml:space="preserve">banner.</w:t>
      </w:r>
    </w:p>
    <w:p>
      <w:pPr>
        <w:pStyle w:val="BodyText"/>
      </w:pPr>
      <w:r>
        <w:t xml:space="preserve">PowerShell:</w:t>
      </w:r>
    </w:p>
    <w:p>
      <w:pPr>
        <w:pStyle w:val="SourceCode"/>
      </w:pPr>
      <w:r>
        <w:rPr>
          <w:rStyle w:val="NormalTok"/>
        </w:rPr>
        <w:t xml:space="preserve">Connect-ExchangeOnline</w:t>
      </w:r>
      <w:r>
        <w:br/>
      </w:r>
      <w:r>
        <w:rPr>
          <w:rStyle w:val="NormalTok"/>
        </w:rPr>
        <w:t xml:space="preserve">Set-AdminAuditLogConfig </w:t>
      </w:r>
      <w:r>
        <w:rPr>
          <w:rStyle w:val="OperatorTok"/>
        </w:rPr>
        <w:t xml:space="preserve">-</w:t>
      </w:r>
      <w:r>
        <w:rPr>
          <w:rStyle w:val="NormalTok"/>
        </w:rPr>
        <w:t xml:space="preserve">UnifiedAuditLogIngestionEnabled </w:t>
      </w:r>
      <w:r>
        <w:rPr>
          <w:rStyle w:val="VariableTok"/>
        </w:rPr>
        <w:t xml:space="preserve">$true</w:t>
      </w:r>
    </w:p>
    <w:p>
      <w:pPr>
        <w:pStyle w:val="FirstParagraph"/>
      </w:pPr>
      <w:r>
        <w:t xml:space="preserve">Enabling takes up to</w:t>
      </w:r>
      <w:r>
        <w:t xml:space="preserve"> </w:t>
      </w:r>
      <w:r>
        <w:rPr>
          <w:b/>
          <w:bCs/>
        </w:rPr>
        <w:t xml:space="preserve">60 minutes</w:t>
      </w:r>
      <w:r>
        <w:t xml:space="preserve"> </w:t>
      </w:r>
      <w:r>
        <w:t xml:space="preserve">to take effect, and audit events may take</w:t>
      </w:r>
      <w:r>
        <w:t xml:space="preserve"> </w:t>
      </w:r>
      <w:r>
        <w:t xml:space="preserve">several more hours to become searchable. You need the</w:t>
      </w:r>
      <w:r>
        <w:t xml:space="preserve"> </w:t>
      </w:r>
      <w:r>
        <w:rPr>
          <w:b/>
          <w:bCs/>
        </w:rPr>
        <w:t xml:space="preserve">Audit Logs</w:t>
      </w:r>
      <w:r>
        <w:t xml:space="preserve"> </w:t>
      </w:r>
      <w:r>
        <w:t xml:space="preserve">role in</w:t>
      </w:r>
      <w:r>
        <w:t xml:space="preserve"> </w:t>
      </w:r>
      <w:r>
        <w:t xml:space="preserve">Exchange Online — held by default by the</w:t>
      </w:r>
      <w:r>
        <w:t xml:space="preserve"> </w:t>
      </w:r>
      <w:r>
        <w:rPr>
          <w:i/>
          <w:iCs/>
        </w:rPr>
        <w:t xml:space="preserve">Compliance Management</w:t>
      </w:r>
      <w:r>
        <w:t xml:space="preserve"> </w:t>
      </w:r>
      <w:r>
        <w:t xml:space="preserve">and</w:t>
      </w:r>
      <w:r>
        <w:t xml:space="preserve"> </w:t>
      </w:r>
      <w:r>
        <w:rPr>
          <w:i/>
          <w:iCs/>
        </w:rPr>
        <w:t xml:space="preserve">Organization Management</w:t>
      </w:r>
      <w:r>
        <w:t xml:space="preserve"> </w:t>
      </w:r>
      <w:r>
        <w:t xml:space="preserve">role groups.</w:t>
      </w:r>
    </w:p>
    <w:bookmarkEnd w:id="641"/>
    <w:bookmarkStart w:id="642" w:name="X29152b1adbab40b562f752a126fed684cd1d4ce"/>
    <w:p>
      <w:pPr>
        <w:pStyle w:val="Heading2"/>
      </w:pPr>
      <w:r>
        <w:t xml:space="preserve">Turning auditing off breaks everything downstream</w:t>
      </w:r>
    </w:p>
    <w:p>
      <w:pPr>
        <w:pStyle w:val="FirstParagraph"/>
      </w:pPr>
      <w:r>
        <w:t xml:space="preserve">With auditing disabled you cannot use the Office 365 Management Activity API</w:t>
      </w:r>
      <w:r>
        <w:t xml:space="preserve"> </w:t>
      </w:r>
      <w:r>
        <w:t xml:space="preserve">or Microsoft Sentinel to access audit data, Purview audit searches return no</w:t>
      </w:r>
      <w:r>
        <w:t xml:space="preserve"> </w:t>
      </w:r>
      <w:r>
        <w:t xml:space="preserve">results, and</w:t>
      </w:r>
      <w:r>
        <w:t xml:space="preserve"> </w:t>
      </w:r>
      <w:r>
        <w:rPr>
          <w:rStyle w:val="VerbatimChar"/>
        </w:rPr>
        <w:t xml:space="preserve">Search-UnifiedAuditLog</w:t>
      </w:r>
      <w:r>
        <w:t xml:space="preserve"> </w:t>
      </w:r>
      <w:r>
        <w:t xml:space="preserve">returns nothing</w:t>
      </w:r>
      <w:r>
        <w:t xml:space="preserve"> </w:t>
      </w:r>
      <w:r>
        <w:t xml:space="preserve">(</w:t>
      </w:r>
      <w:hyperlink r:id="rId636">
        <w:r>
          <w:rPr>
            <w:rStyle w:val="Hyperlink"/>
          </w:rPr>
          <w:t xml:space="preserve">turn auditing on or off</w:t>
        </w:r>
      </w:hyperlink>
      <w:r>
        <w:t xml:space="preserve">).</w:t>
      </w:r>
    </w:p>
    <w:p>
      <w:pPr>
        <w:pStyle w:val="BodyText"/>
      </w:pPr>
      <w:r>
        <w:t xml:space="preserve">Changes to the auditing status are themselves audited. Include</w:t>
      </w:r>
      <w:r>
        <w:t xml:space="preserve"> </w:t>
      </w:r>
      <w:r>
        <w:rPr>
          <w:rStyle w:val="VerbatimChar"/>
        </w:rPr>
        <w:t xml:space="preserve">Set-AdminAuditLogConfig</w:t>
      </w:r>
      <w:r>
        <w:t xml:space="preserve"> </w:t>
      </w:r>
      <w:r>
        <w:t xml:space="preserve">in the SIEM’s high-severity detection set — an</w:t>
      </w:r>
      <w:r>
        <w:t xml:space="preserve"> </w:t>
      </w:r>
      <w:r>
        <w:t xml:space="preserve">adversary disabling tenant auditing is a pre-exfiltration signal, and it is</w:t>
      </w:r>
      <w:r>
        <w:t xml:space="preserve"> </w:t>
      </w:r>
      <w:r>
        <w:t xml:space="preserve">one of the few events that destroys the evidence of everything that follows:</w:t>
      </w:r>
    </w:p>
    <w:p>
      <w:pPr>
        <w:pStyle w:val="SourceCode"/>
      </w:pPr>
      <w:r>
        <w:rPr>
          <w:rStyle w:val="NormalTok"/>
        </w:rPr>
        <w:t xml:space="preserve">Search-UnifiedAuditLog </w:t>
      </w:r>
      <w:r>
        <w:rPr>
          <w:rStyle w:val="OperatorTok"/>
        </w:rPr>
        <w:t xml:space="preserve">-</w:t>
      </w:r>
      <w:r>
        <w:rPr>
          <w:rStyle w:val="NormalTok"/>
        </w:rPr>
        <w:t xml:space="preserve">Operations Set-AdminAuditLogConfig `</w:t>
      </w:r>
      <w:r>
        <w:br/>
      </w:r>
      <w:r>
        <w:rPr>
          <w:rStyle w:val="NormalTok"/>
        </w:rPr>
        <w:t xml:space="preserve">  </w:t>
      </w:r>
      <w:r>
        <w:rPr>
          <w:rStyle w:val="OperatorTok"/>
        </w:rPr>
        <w:t xml:space="preserve">-</w:t>
      </w:r>
      <w:r>
        <w:rPr>
          <w:rStyle w:val="NormalTok"/>
        </w:rPr>
        <w:t xml:space="preserve">StartDate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rPr>
          <w:rStyle w:val="NormalTok"/>
        </w:rPr>
        <w:t xml:space="preserve"> </w:t>
      </w:r>
      <w:r>
        <w:rPr>
          <w:rStyle w:val="OperatorTok"/>
        </w:rPr>
        <w:t xml:space="preserve">-</w:t>
      </w:r>
      <w:r>
        <w:rPr>
          <w:rStyle w:val="NormalTok"/>
        </w:rPr>
        <w:t xml:space="preserve">EndDate </w:t>
      </w:r>
      <w:r>
        <w:rPr>
          <w:rStyle w:val="OperatorTok"/>
        </w:rPr>
        <w:t xml:space="preserve">(</w:t>
      </w:r>
      <w:r>
        <w:rPr>
          <w:rStyle w:val="FunctionTok"/>
        </w:rPr>
        <w:t xml:space="preserve">Get-Date</w:t>
      </w:r>
      <w:r>
        <w:rPr>
          <w:rStyle w:val="OperatorTok"/>
        </w:rPr>
        <w:t xml:space="preserve">)</w:t>
      </w:r>
    </w:p>
    <w:bookmarkEnd w:id="642"/>
    <w:bookmarkStart w:id="645" w:name="step-3-register-the-app-for-api-access"/>
    <w:p>
      <w:pPr>
        <w:pStyle w:val="Heading2"/>
      </w:pPr>
      <w:r>
        <w:t xml:space="preserve">Step 3 — Register the app for API access</w:t>
      </w:r>
    </w:p>
    <w:p>
      <w:pPr>
        <w:pStyle w:val="FirstParagraph"/>
      </w:pPr>
      <w:r>
        <w:t xml:space="preserve">The Management Activity API is app-only. Register an application in Entra ID</w:t>
      </w:r>
      <w:r>
        <w:t xml:space="preserve"> </w:t>
      </w:r>
      <w:r>
        <w:t xml:space="preserve">in the</w:t>
      </w:r>
      <w:r>
        <w:t xml:space="preserve"> </w:t>
      </w:r>
      <w:r>
        <w:rPr>
          <w:b/>
          <w:bCs/>
        </w:rPr>
        <w:t xml:space="preserve">same national cloud as the tenant</w:t>
      </w:r>
      <w:r>
        <w:t xml:space="preserve">, grant it Office 365 Management</w:t>
      </w:r>
      <w:r>
        <w:t xml:space="preserve"> </w:t>
      </w:r>
      <w:r>
        <w:t xml:space="preserve">APIs permissions, and admin-consent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GCC (current boundary)</w:t>
            </w:r>
          </w:p>
        </w:tc>
        <w:tc>
          <w:tcPr/>
          <w:p>
            <w:pPr>
              <w:pStyle w:val="Compact"/>
            </w:pPr>
            <w:r>
              <w:t xml:space="preserve">GCC High</w:t>
            </w:r>
          </w:p>
        </w:tc>
        <w:tc>
          <w:tcPr/>
          <w:p>
            <w:pPr>
              <w:pStyle w:val="Compact"/>
            </w:pPr>
            <w:r>
              <w:t xml:space="preserve">DoD</w:t>
            </w:r>
          </w:p>
        </w:tc>
      </w:tr>
      <w:tr>
        <w:tc>
          <w:tcPr/>
          <w:p>
            <w:pPr>
              <w:pStyle w:val="Compact"/>
            </w:pPr>
            <w:r>
              <w:t xml:space="preserve">API audience / resource</w:t>
            </w:r>
          </w:p>
        </w:tc>
        <w:tc>
          <w:tcPr/>
          <w:p>
            <w:pPr>
              <w:pStyle w:val="Compact"/>
            </w:pPr>
            <w:r>
              <w:rPr>
                <w:rStyle w:val="VerbatimChar"/>
              </w:rPr>
              <w:t xml:space="preserve">https://manage-gcc.office.com</w:t>
            </w:r>
          </w:p>
        </w:tc>
        <w:tc>
          <w:tcPr/>
          <w:p>
            <w:pPr>
              <w:pStyle w:val="Compact"/>
            </w:pPr>
            <w:r>
              <w:rPr>
                <w:rStyle w:val="VerbatimChar"/>
              </w:rPr>
              <w:t xml:space="preserve">https://manage.office365.us</w:t>
            </w:r>
          </w:p>
        </w:tc>
        <w:tc>
          <w:tcPr/>
          <w:p>
            <w:pPr>
              <w:pStyle w:val="Compact"/>
            </w:pPr>
            <w:r>
              <w:rPr>
                <w:rStyle w:val="VerbatimChar"/>
              </w:rPr>
              <w:t xml:space="preserve">https://manage.protection.apps.mil</w:t>
            </w:r>
          </w:p>
        </w:tc>
      </w:tr>
      <w:tr>
        <w:tc>
          <w:tcPr/>
          <w:p>
            <w:pPr>
              <w:pStyle w:val="Compact"/>
            </w:pPr>
            <w:r>
              <w:t xml:space="preserve">Authority</w:t>
            </w:r>
          </w:p>
        </w:tc>
        <w:tc>
          <w:tcPr/>
          <w:p>
            <w:pPr>
              <w:pStyle w:val="Compact"/>
            </w:pPr>
            <w:r>
              <w:rPr>
                <w:rStyle w:val="VerbatimChar"/>
              </w:rPr>
              <w:t xml:space="preserve">https://login.windows.net</w:t>
            </w:r>
          </w:p>
        </w:tc>
        <w:tc>
          <w:tcPr/>
          <w:p>
            <w:pPr>
              <w:pStyle w:val="Compact"/>
            </w:pPr>
            <w:r>
              <w:rPr>
                <w:rStyle w:val="VerbatimChar"/>
              </w:rPr>
              <w:t xml:space="preserve">https://login.microsoftonline.us</w:t>
            </w:r>
          </w:p>
        </w:tc>
        <w:tc>
          <w:tcPr/>
          <w:p>
            <w:pPr>
              <w:pStyle w:val="Compact"/>
            </w:pPr>
            <w:r>
              <w:rPr>
                <w:rStyle w:val="VerbatimChar"/>
              </w:rPr>
              <w:t xml:space="preserve">https://login.microsoftonline.us</w:t>
            </w:r>
          </w:p>
        </w:tc>
      </w:tr>
    </w:tbl>
    <w:p>
      <w:pPr>
        <w:pStyle w:val="BodyText"/>
      </w:pPr>
      <w:r>
        <w:t xml:space="preserve">Endpoint and authority values from the</w:t>
      </w:r>
      <w:r>
        <w:t xml:space="preserve"> </w:t>
      </w:r>
      <w:hyperlink r:id="rId643">
        <w:r>
          <w:rPr>
            <w:rStyle w:val="Hyperlink"/>
          </w:rPr>
          <w:t xml:space="preserve">Management Activity API troubleshooting guide</w:t>
        </w:r>
      </w:hyperlink>
      <w:r>
        <w:t xml:space="preserve"> </w:t>
      </w:r>
      <w:r>
        <w:t xml:space="preserve">and the</w:t>
      </w:r>
      <w:r>
        <w:t xml:space="preserve"> </w:t>
      </w:r>
      <w:hyperlink r:id="rId644">
        <w:r>
          <w:rPr>
            <w:rStyle w:val="Hyperlink"/>
          </w:rPr>
          <w:t xml:space="preserve">Office 365 Management API collection reference</w:t>
        </w:r>
      </w:hyperlink>
      <w:r>
        <w:t xml:space="preserve">.</w:t>
      </w:r>
      <w:r>
        <w:t xml:space="preserve"> </w:t>
      </w:r>
      <w:r>
        <w:t xml:space="preserve">The commercial-cloud audience is</w:t>
      </w:r>
      <w:r>
        <w:t xml:space="preserve"> </w:t>
      </w:r>
      <w:r>
        <w:rPr>
          <w:rStyle w:val="VerbatimChar"/>
        </w:rPr>
        <w:t xml:space="preserve">https://manage.office.com</w:t>
      </w:r>
      <w:r>
        <w:t xml:space="preserve">.</w:t>
      </w:r>
    </w:p>
    <w:bookmarkEnd w:id="645"/>
    <w:bookmarkStart w:id="646" w:name="Xf700dc1fad3982649a08fda02ef8d355598ade9"/>
    <w:p>
      <w:pPr>
        <w:pStyle w:val="Heading2"/>
      </w:pPr>
      <w:r>
        <w:t xml:space="preserve">GCC differs here even though it matches worldwide elsewhere</w:t>
      </w:r>
    </w:p>
    <w:p>
      <w:pPr>
        <w:pStyle w:val="FirstParagraph"/>
      </w:pPr>
      <w:r>
        <w:t xml:space="preserve">Microsoft Graph and the Azure portal use worldwide endpoints for GCC. The</w:t>
      </w:r>
      <w:r>
        <w:t xml:space="preserve"> </w:t>
      </w:r>
      <w:r>
        <w:t xml:space="preserve">Management Activity API does</w:t>
      </w:r>
      <w:r>
        <w:t xml:space="preserve"> </w:t>
      </w:r>
      <w:r>
        <w:rPr>
          <w:b/>
          <w:bCs/>
        </w:rPr>
        <w:t xml:space="preserve">not</w:t>
      </w:r>
      <w:r>
        <w:t xml:space="preserve"> </w:t>
      </w:r>
      <w:r>
        <w:t xml:space="preserve">— GCC has its own</w:t>
      </w:r>
      <w:r>
        <w:t xml:space="preserve"> </w:t>
      </w:r>
      <w:r>
        <w:rPr>
          <w:rStyle w:val="VerbatimChar"/>
        </w:rPr>
        <w:t xml:space="preserve">manage-gcc.office.com</w:t>
      </w:r>
      <w:r>
        <w:t xml:space="preserve"> </w:t>
      </w:r>
      <w:r>
        <w:t xml:space="preserve">endpoint. This is the single most common cross-cloud misconfiguration on this</w:t>
      </w:r>
      <w:r>
        <w:t xml:space="preserve"> </w:t>
      </w:r>
      <w:r>
        <w:t xml:space="preserve">surface, because the Graph endpoint working reinforces the assumption that</w:t>
      </w:r>
      <w:r>
        <w:t xml:space="preserve"> </w:t>
      </w:r>
      <w:r>
        <w:t xml:space="preserve">everything else is worldwide too.</w:t>
      </w:r>
    </w:p>
    <w:bookmarkEnd w:id="646"/>
    <w:bookmarkStart w:id="648" w:name="step-4-subscribe-to-content-types"/>
    <w:p>
      <w:pPr>
        <w:pStyle w:val="Heading2"/>
      </w:pPr>
      <w:r>
        <w:t xml:space="preserve">Step 4 — Subscribe to content types</w:t>
      </w:r>
    </w:p>
    <w:p>
      <w:pPr>
        <w:pStyle w:val="FirstParagraph"/>
      </w:pPr>
      <w:r>
        <w:t xml:space="preserve">Unlike Entra diagnostic settings, the Management Activity API has no</w:t>
      </w:r>
      <w:r>
        <w:t xml:space="preserve"> </w:t>
      </w:r>
      <w:r>
        <w:t xml:space="preserve">per-event-category selection. You subscribe per</w:t>
      </w:r>
      <w:r>
        <w:t xml:space="preserve"> </w:t>
      </w:r>
      <w:r>
        <w:rPr>
          <w:b/>
          <w:bCs/>
        </w:rPr>
        <w:t xml:space="preserve">content type</w:t>
      </w:r>
      <w:r>
        <w:t xml:space="preserve">, and each</w:t>
      </w:r>
      <w:r>
        <w:t xml:space="preserve"> </w:t>
      </w:r>
      <w:r>
        <w:t xml:space="preserve">subscription is per tenant.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Content type</w:t>
            </w:r>
          </w:p>
        </w:tc>
        <w:tc>
          <w:tcPr/>
          <w:p>
            <w:pPr>
              <w:pStyle w:val="Compact"/>
            </w:pPr>
            <w:r>
              <w:t xml:space="preserve">Workload</w:t>
            </w:r>
          </w:p>
        </w:tc>
      </w:tr>
      <w:tr>
        <w:tc>
          <w:tcPr/>
          <w:p>
            <w:pPr>
              <w:pStyle w:val="Compact"/>
            </w:pPr>
            <w:r>
              <w:rPr>
                <w:rStyle w:val="VerbatimChar"/>
              </w:rPr>
              <w:t xml:space="preserve">Audit.AzureActiveDirectory</w:t>
            </w:r>
          </w:p>
        </w:tc>
        <w:tc>
          <w:tcPr/>
          <w:p>
            <w:pPr>
              <w:pStyle w:val="Compact"/>
            </w:pPr>
            <w:r>
              <w:t xml:space="preserve">User sign-in and directory-change events as recorded by M365</w:t>
            </w:r>
          </w:p>
        </w:tc>
      </w:tr>
      <w:tr>
        <w:tc>
          <w:tcPr/>
          <w:p>
            <w:pPr>
              <w:pStyle w:val="Compact"/>
            </w:pPr>
            <w:r>
              <w:rPr>
                <w:rStyle w:val="VerbatimChar"/>
              </w:rPr>
              <w:t xml:space="preserve">Audit.Exchange</w:t>
            </w:r>
          </w:p>
        </w:tc>
        <w:tc>
          <w:tcPr/>
          <w:p>
            <w:pPr>
              <w:pStyle w:val="Compact"/>
            </w:pPr>
            <w:r>
              <w:t xml:space="preserve">Mailbox activity — reads, deletes, rule changes, admin actions</w:t>
            </w:r>
          </w:p>
        </w:tc>
      </w:tr>
      <w:tr>
        <w:tc>
          <w:tcPr/>
          <w:p>
            <w:pPr>
              <w:pStyle w:val="Compact"/>
            </w:pPr>
            <w:r>
              <w:rPr>
                <w:rStyle w:val="VerbatimChar"/>
              </w:rPr>
              <w:t xml:space="preserve">Audit.SharePoint</w:t>
            </w:r>
          </w:p>
        </w:tc>
        <w:tc>
          <w:tcPr/>
          <w:p>
            <w:pPr>
              <w:pStyle w:val="Compact"/>
            </w:pPr>
            <w:r>
              <w:t xml:space="preserve">SharePoint and OneDrive file access, edits, sharing, downloads</w:t>
            </w:r>
          </w:p>
        </w:tc>
      </w:tr>
      <w:tr>
        <w:tc>
          <w:tcPr/>
          <w:p>
            <w:pPr>
              <w:pStyle w:val="Compact"/>
            </w:pPr>
            <w:r>
              <w:rPr>
                <w:rStyle w:val="VerbatimChar"/>
              </w:rPr>
              <w:t xml:space="preserve">Audit.General</w:t>
            </w:r>
          </w:p>
        </w:tc>
        <w:tc>
          <w:tcPr/>
          <w:p>
            <w:pPr>
              <w:pStyle w:val="Compact"/>
            </w:pPr>
            <w:r>
              <w:t xml:space="preserve">All other workloads — Teams, Power Platform, Purview, Forms</w:t>
            </w:r>
          </w:p>
        </w:tc>
      </w:tr>
      <w:tr>
        <w:tc>
          <w:tcPr/>
          <w:p>
            <w:pPr>
              <w:pStyle w:val="Compact"/>
            </w:pPr>
            <w:r>
              <w:rPr>
                <w:rStyle w:val="VerbatimChar"/>
              </w:rPr>
              <w:t xml:space="preserve">DLP.All</w:t>
            </w:r>
          </w:p>
        </w:tc>
        <w:tc>
          <w:tcPr/>
          <w:p>
            <w:pPr>
              <w:pStyle w:val="Compact"/>
            </w:pPr>
            <w:r>
              <w:t xml:space="preserve">Data Loss Prevention policy matches across all workloads</w:t>
            </w:r>
          </w:p>
        </w:tc>
      </w:tr>
    </w:tbl>
    <w:p>
      <w:pPr>
        <w:pStyle w:val="BodyText"/>
      </w:pPr>
      <w:r>
        <w:t xml:space="preserve">Content types from the</w:t>
      </w:r>
      <w:r>
        <w:t xml:space="preserve"> </w:t>
      </w:r>
      <w:hyperlink r:id="rId647">
        <w:r>
          <w:rPr>
            <w:rStyle w:val="Hyperlink"/>
          </w:rPr>
          <w:t xml:space="preserve">Management Activity API reference</w:t>
        </w:r>
      </w:hyperlink>
      <w:r>
        <w:t xml:space="preserve">.</w:t>
      </w:r>
    </w:p>
    <w:p>
      <w:pPr>
        <w:pStyle w:val="BodyText"/>
      </w:pPr>
      <w:r>
        <w:t xml:space="preserve">Start a subscription:</w:t>
      </w:r>
    </w:p>
    <w:p>
      <w:pPr>
        <w:pStyle w:val="SourceCode"/>
      </w:pPr>
      <w:r>
        <w:rPr>
          <w:rStyle w:val="VariableTok"/>
        </w:rPr>
        <w:t xml:space="preserve">$tenantGUID</w:t>
      </w:r>
      <w:r>
        <w:rPr>
          <w:rStyle w:val="NormalTok"/>
        </w:rPr>
        <w:t xml:space="preserve"> </w:t>
      </w:r>
      <w:r>
        <w:rPr>
          <w:rStyle w:val="OperatorTok"/>
        </w:rPr>
        <w:t xml:space="preserve">=</w:t>
      </w:r>
      <w:r>
        <w:rPr>
          <w:rStyle w:val="NormalTok"/>
        </w:rPr>
        <w:t xml:space="preserve"> </w:t>
      </w:r>
      <w:r>
        <w:rPr>
          <w:rStyle w:val="StringTok"/>
        </w:rPr>
        <w:t xml:space="preserve">"&lt;tenant-guid&gt;"</w:t>
      </w:r>
      <w:r>
        <w:br/>
      </w:r>
      <w:r>
        <w:rPr>
          <w:rStyle w:val="VariableTok"/>
        </w:rPr>
        <w:t xml:space="preserve">$resource</w:t>
      </w:r>
      <w:r>
        <w:rPr>
          <w:rStyle w:val="NormalTok"/>
        </w:rPr>
        <w:t xml:space="preserve">   </w:t>
      </w:r>
      <w:r>
        <w:rPr>
          <w:rStyle w:val="OperatorTok"/>
        </w:rPr>
        <w:t xml:space="preserve">=</w:t>
      </w:r>
      <w:r>
        <w:rPr>
          <w:rStyle w:val="NormalTok"/>
        </w:rPr>
        <w:t xml:space="preserve"> </w:t>
      </w:r>
      <w:r>
        <w:rPr>
          <w:rStyle w:val="StringTok"/>
        </w:rPr>
        <w:t xml:space="preserve">"https://manage-gcc.office.com"</w:t>
      </w:r>
      <w:r>
        <w:rPr>
          <w:rStyle w:val="NormalTok"/>
        </w:rPr>
        <w:t xml:space="preserve">   </w:t>
      </w:r>
      <w:r>
        <w:rPr>
          <w:rStyle w:val="CommentTok"/>
        </w:rPr>
        <w:t xml:space="preserve"># GCC; see the endpoint table</w:t>
      </w:r>
      <w:r>
        <w:br/>
      </w:r>
      <w:r>
        <w:br/>
      </w:r>
      <w:r>
        <w:rPr>
          <w:rStyle w:val="ControlFlowTok"/>
        </w:rPr>
        <w:t xml:space="preserve">foreach</w:t>
      </w:r>
      <w:r>
        <w:rPr>
          <w:rStyle w:val="NormalTok"/>
        </w:rPr>
        <w:t xml:space="preserve"> </w:t>
      </w:r>
      <w:r>
        <w:rPr>
          <w:rStyle w:val="OperatorTok"/>
        </w:rPr>
        <w:t xml:space="preserve">(</w:t>
      </w:r>
      <w:r>
        <w:rPr>
          <w:rStyle w:val="VariableTok"/>
        </w:rPr>
        <w:t xml:space="preserve">$contentType</w:t>
      </w:r>
      <w:r>
        <w:rPr>
          <w:rStyle w:val="NormalTok"/>
        </w:rPr>
        <w:t xml:space="preserve"> </w:t>
      </w:r>
      <w:r>
        <w:rPr>
          <w:rStyle w:val="KeywordTok"/>
        </w:rPr>
        <w:t xml:space="preserve">in</w:t>
      </w:r>
      <w:r>
        <w:rPr>
          <w:rStyle w:val="NormalTok"/>
        </w:rPr>
        <w:t xml:space="preserve"> </w:t>
      </w:r>
      <w:r>
        <w:rPr>
          <w:rStyle w:val="OperatorTok"/>
        </w:rPr>
        <w:t xml:space="preserve">@(</w:t>
      </w:r>
      <w:r>
        <w:br/>
      </w:r>
      <w:r>
        <w:rPr>
          <w:rStyle w:val="NormalTok"/>
        </w:rPr>
        <w:t xml:space="preserve">    </w:t>
      </w:r>
      <w:r>
        <w:rPr>
          <w:rStyle w:val="StringTok"/>
        </w:rPr>
        <w:t xml:space="preserve">'Audit.AzureActiveDirectory'</w:t>
      </w:r>
      <w:r>
        <w:rPr>
          <w:rStyle w:val="OperatorTok"/>
        </w:rPr>
        <w:t xml:space="preserve">,</w:t>
      </w:r>
      <w:r>
        <w:br/>
      </w:r>
      <w:r>
        <w:rPr>
          <w:rStyle w:val="NormalTok"/>
        </w:rPr>
        <w:t xml:space="preserve">    </w:t>
      </w:r>
      <w:r>
        <w:rPr>
          <w:rStyle w:val="StringTok"/>
        </w:rPr>
        <w:t xml:space="preserve">'Audit.Exchange'</w:t>
      </w:r>
      <w:r>
        <w:rPr>
          <w:rStyle w:val="OperatorTok"/>
        </w:rPr>
        <w:t xml:space="preserve">,</w:t>
      </w:r>
      <w:r>
        <w:br/>
      </w:r>
      <w:r>
        <w:rPr>
          <w:rStyle w:val="NormalTok"/>
        </w:rPr>
        <w:t xml:space="preserve">    </w:t>
      </w:r>
      <w:r>
        <w:rPr>
          <w:rStyle w:val="StringTok"/>
        </w:rPr>
        <w:t xml:space="preserve">'Audit.SharePoint'</w:t>
      </w:r>
      <w:r>
        <w:rPr>
          <w:rStyle w:val="OperatorTok"/>
        </w:rPr>
        <w:t xml:space="preserve">,</w:t>
      </w:r>
      <w:r>
        <w:br/>
      </w:r>
      <w:r>
        <w:rPr>
          <w:rStyle w:val="NormalTok"/>
        </w:rPr>
        <w:t xml:space="preserve">    </w:t>
      </w:r>
      <w:r>
        <w:rPr>
          <w:rStyle w:val="StringTok"/>
        </w:rPr>
        <w:t xml:space="preserve">'Audit.General'</w:t>
      </w:r>
      <w:r>
        <w:rPr>
          <w:rStyle w:val="OperatorTok"/>
        </w:rPr>
        <w:t xml:space="preserve">,</w:t>
      </w:r>
      <w:r>
        <w:br/>
      </w:r>
      <w:r>
        <w:rPr>
          <w:rStyle w:val="NormalTok"/>
        </w:rPr>
        <w:t xml:space="preserve">    </w:t>
      </w:r>
      <w:r>
        <w:rPr>
          <w:rStyle w:val="StringTok"/>
        </w:rPr>
        <w:t xml:space="preserve">'DLP.All'</w:t>
      </w:r>
      <w:r>
        <w:br/>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Invoke-WebRequest</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$headerParams</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$resource</w:t>
      </w:r>
      <w:r>
        <w:rPr>
          <w:rStyle w:val="StringTok"/>
        </w:rPr>
        <w:t xml:space="preserve">/api/v1.0/</w:t>
      </w:r>
      <w:r>
        <w:rPr>
          <w:rStyle w:val="VariableTok"/>
        </w:rPr>
        <w:t xml:space="preserve">$tenantGUID</w:t>
      </w:r>
      <w:r>
        <w:rPr>
          <w:rStyle w:val="StringTok"/>
        </w:rPr>
        <w:t xml:space="preserve">/activity/feed/subscriptions/start?contentType=</w:t>
      </w:r>
      <w:r>
        <w:rPr>
          <w:rStyle w:val="VariableTok"/>
        </w:rPr>
        <w:t xml:space="preserve">$contentType</w:t>
      </w:r>
      <w:r>
        <w:rPr>
          <w:rStyle w:val="StringTok"/>
        </w:rPr>
        <w:t xml:space="preserve">"</w:t>
      </w:r>
      <w:r>
        <w:br/>
      </w:r>
      <w:r>
        <w:rPr>
          <w:rStyle w:val="NormalTok"/>
        </w:rPr>
        <w:t xml:space="preserve">    </w:t>
      </w:r>
      <w:r>
        <w:rPr>
          <w:rStyle w:val="FunctionTok"/>
        </w:rPr>
        <w:t xml:space="preserve">Start-Sleep</w:t>
      </w:r>
      <w:r>
        <w:rPr>
          <w:rStyle w:val="NormalTok"/>
        </w:rPr>
        <w:t xml:space="preserve"> </w:t>
      </w:r>
      <w:r>
        <w:rPr>
          <w:rStyle w:val="OperatorTok"/>
        </w:rPr>
        <w:t xml:space="preserve">-</w:t>
      </w:r>
      <w:r>
        <w:rPr>
          <w:rStyle w:val="NormalTok"/>
        </w:rPr>
        <w:t xml:space="preserve">Seconds </w:t>
      </w:r>
      <w:r>
        <w:rPr>
          <w:rStyle w:val="DecValTok"/>
        </w:rPr>
        <w:t xml:space="preserve">900</w:t>
      </w:r>
      <w:r>
        <w:rPr>
          <w:rStyle w:val="NormalTok"/>
        </w:rPr>
        <w:t xml:space="preserve">   </w:t>
      </w:r>
      <w:r>
        <w:rPr>
          <w:rStyle w:val="CommentTok"/>
        </w:rPr>
        <w:t xml:space="preserve"># 15-minute throttle between start requests</w:t>
      </w:r>
      <w:r>
        <w:br/>
      </w:r>
      <w:r>
        <w:rPr>
          <w:rStyle w:val="OperatorTok"/>
        </w:rPr>
        <w:t xml:space="preserve">}</w:t>
      </w:r>
    </w:p>
    <w:p>
      <w:pPr>
        <w:pStyle w:val="FirstParagraph"/>
      </w:pPr>
      <w:r>
        <w:t xml:space="preserve">Confirm what is actually subscribed:</w:t>
      </w:r>
    </w:p>
    <w:p>
      <w:pPr>
        <w:pStyle w:val="SourceCode"/>
      </w:pPr>
      <w:r>
        <w:rPr>
          <w:rStyle w:val="FunctionTok"/>
        </w:rPr>
        <w:t xml:space="preserve">Invoke-WebRequest</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Headers </w:t>
      </w:r>
      <w:r>
        <w:rPr>
          <w:rStyle w:val="VariableTok"/>
        </w:rPr>
        <w:t xml:space="preserve">$headerParams</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$resource</w:t>
      </w:r>
      <w:r>
        <w:rPr>
          <w:rStyle w:val="StringTok"/>
        </w:rPr>
        <w:t xml:space="preserve">/api/v1.0/</w:t>
      </w:r>
      <w:r>
        <w:rPr>
          <w:rStyle w:val="VariableTok"/>
        </w:rPr>
        <w:t xml:space="preserve">$tenantGUID</w:t>
      </w:r>
      <w:r>
        <w:rPr>
          <w:rStyle w:val="StringTok"/>
        </w:rPr>
        <w:t xml:space="preserve">/activity/feed/subscriptions/list"</w:t>
      </w:r>
    </w:p>
    <w:bookmarkEnd w:id="648"/>
    <w:bookmarkStart w:id="649" w:name="Xd4710ff2eed3bf6bacf7aaa7456d7058c808392"/>
    <w:p>
      <w:pPr>
        <w:pStyle w:val="Heading2"/>
      </w:pPr>
      <w:r>
        <w:t xml:space="preserve">Two timing rules that break first-time integrations</w:t>
      </w:r>
    </w:p>
    <w:p>
      <w:pPr>
        <w:pStyle w:val="FirstParagraph"/>
      </w:pPr>
      <w:r>
        <w:rPr>
          <w:b/>
          <w:bCs/>
        </w:rPr>
        <w:t xml:space="preserve">15-minute throttle.</w:t>
      </w:r>
      <w:r>
        <w:t xml:space="preserve"> </w:t>
      </w:r>
      <w:r>
        <w:t xml:space="preserve">After submitting a subscription-start request, a</w:t>
      </w:r>
      <w:r>
        <w:t xml:space="preserve"> </w:t>
      </w:r>
      <w:r>
        <w:t xml:space="preserve">15-minute wait is required before another can be made. Stopping a subscription</w:t>
      </w:r>
      <w:r>
        <w:t xml:space="preserve"> </w:t>
      </w:r>
      <w:r>
        <w:t xml:space="preserve">is not throttled.</w:t>
      </w:r>
    </w:p>
    <w:p>
      <w:pPr>
        <w:pStyle w:val="BodyText"/>
      </w:pPr>
      <w:r>
        <w:rPr>
          <w:b/>
          <w:bCs/>
        </w:rPr>
        <w:t xml:space="preserve">12-hour first blob.</w:t>
      </w:r>
      <w:r>
        <w:t xml:space="preserve"> </w:t>
      </w:r>
      <w:r>
        <w:t xml:space="preserve">“When a subscription is created, it can take up to 12</w:t>
      </w:r>
      <w:r>
        <w:t xml:space="preserve"> </w:t>
      </w:r>
      <w:r>
        <w:t xml:space="preserve">hours for the first content blobs to become available for that subscription.”</w:t>
      </w:r>
    </w:p>
    <w:p>
      <w:pPr>
        <w:pStyle w:val="BodyText"/>
      </w:pPr>
      <w:r>
        <w:t xml:space="preserve">Both from the</w:t>
      </w:r>
      <w:r>
        <w:t xml:space="preserve"> </w:t>
      </w:r>
      <w:hyperlink r:id="rId647">
        <w:r>
          <w:rPr>
            <w:rStyle w:val="Hyperlink"/>
          </w:rPr>
          <w:t xml:space="preserve">Management Activity API reference</w:t>
        </w:r>
      </w:hyperlink>
      <w:r>
        <w:t xml:space="preserve">.</w:t>
      </w:r>
      <w:r>
        <w:t xml:space="preserve"> </w:t>
      </w:r>
      <w:r>
        <w:t xml:space="preserve">A team that subscribes all five content types in a loop and declares failure</w:t>
      </w:r>
      <w:r>
        <w:t xml:space="preserve"> </w:t>
      </w:r>
      <w:r>
        <w:t xml:space="preserve">an hour later has hit both rules at once — the loop was throttled and the data</w:t>
      </w:r>
      <w:r>
        <w:t xml:space="preserve"> </w:t>
      </w:r>
      <w:r>
        <w:t xml:space="preserve">was never due yet.</w:t>
      </w:r>
    </w:p>
    <w:bookmarkEnd w:id="649"/>
    <w:bookmarkStart w:id="651" w:name="step-5-retrieve-content"/>
    <w:p>
      <w:pPr>
        <w:pStyle w:val="Heading2"/>
      </w:pPr>
      <w:r>
        <w:t xml:space="preserve">Step 5 — Retrieve content</w:t>
      </w:r>
    </w:p>
    <w:p>
      <w:pPr>
        <w:pStyle w:val="FirstParagraph"/>
      </w:pPr>
      <w:r>
        <w:t xml:space="preserve">Poll for available blobs, or register a webhook and be notified.</w:t>
      </w:r>
    </w:p>
    <w:p>
      <w:pPr>
        <w:pStyle w:val="SourceCode"/>
      </w:pPr>
      <w:r>
        <w:rPr>
          <w:rStyle w:val="FunctionTok"/>
        </w:rPr>
        <w:t xml:space="preserve">Invoke-WebRequest</w:t>
      </w:r>
      <w:r>
        <w:rPr>
          <w:rStyle w:val="NormalTok"/>
        </w:rPr>
        <w:t xml:space="preserve"> </w:t>
      </w:r>
      <w:r>
        <w:rPr>
          <w:rStyle w:val="OperatorTok"/>
        </w:rPr>
        <w:t xml:space="preserve">-</w:t>
      </w:r>
      <w:r>
        <w:rPr>
          <w:rStyle w:val="NormalTok"/>
        </w:rPr>
        <w:t xml:space="preserve">Method GET </w:t>
      </w:r>
      <w:r>
        <w:rPr>
          <w:rStyle w:val="OperatorTok"/>
        </w:rPr>
        <w:t xml:space="preserve">-</w:t>
      </w:r>
      <w:r>
        <w:rPr>
          <w:rStyle w:val="NormalTok"/>
        </w:rPr>
        <w:t xml:space="preserve">Headers </w:t>
      </w:r>
      <w:r>
        <w:rPr>
          <w:rStyle w:val="VariableTok"/>
        </w:rPr>
        <w:t xml:space="preserve">$headerParams</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$resource</w:t>
      </w:r>
      <w:r>
        <w:rPr>
          <w:rStyle w:val="StringTok"/>
        </w:rPr>
        <w:t xml:space="preserve">/api/v1.0/</w:t>
      </w:r>
      <w:r>
        <w:rPr>
          <w:rStyle w:val="VariableTok"/>
        </w:rPr>
        <w:t xml:space="preserve">$tenantGUID</w:t>
      </w:r>
      <w:r>
        <w:rPr>
          <w:rStyle w:val="StringTok"/>
        </w:rPr>
        <w:t xml:space="preserve">/activity/feed/subscriptions/content?contentType=Audit.AzureActiveDirectory&amp;startTime=2026-08-26T00:00&amp;endTime=2026-08-27T00:00"</w:t>
      </w:r>
    </w:p>
    <w:p>
      <w:pPr>
        <w:pStyle w:val="FirstParagraph"/>
      </w:pPr>
      <w:r>
        <w:t xml:space="preserve">Constraints from the</w:t>
      </w:r>
      <w:r>
        <w:t xml:space="preserve"> </w:t>
      </w:r>
      <w:hyperlink r:id="rId650">
        <w:r>
          <w:rPr>
            <w:rStyle w:val="Hyperlink"/>
          </w:rPr>
          <w:t xml:space="preserve">API reference</w:t>
        </w:r>
      </w:hyperlink>
      <w:r>
        <w:t xml:space="preserve">:</w:t>
      </w:r>
    </w:p>
    <w:p>
      <w:pPr>
        <w:pStyle w:val="Compact"/>
        <w:numPr>
          <w:ilvl w:val="0"/>
          <w:numId w:val="1309"/>
        </w:numPr>
      </w:pPr>
      <w:r>
        <w:rPr>
          <w:rStyle w:val="VerbatimChar"/>
        </w:rPr>
        <w:t xml:space="preserve">startTime</w:t>
      </w:r>
      <w:r>
        <w:t xml:space="preserve"> </w:t>
      </w:r>
      <w:r>
        <w:t xml:space="preserve">and</w:t>
      </w:r>
      <w:r>
        <w:t xml:space="preserve"> </w:t>
      </w:r>
      <w:r>
        <w:rPr>
          <w:rStyle w:val="VerbatimChar"/>
        </w:rPr>
        <w:t xml:space="preserve">endTime</w:t>
      </w:r>
      <w:r>
        <w:t xml:space="preserve"> </w:t>
      </w:r>
      <w:r>
        <w:t xml:space="preserve">must both be supplied or both omitted.</w:t>
      </w:r>
    </w:p>
    <w:p>
      <w:pPr>
        <w:pStyle w:val="Compact"/>
        <w:numPr>
          <w:ilvl w:val="0"/>
          <w:numId w:val="1309"/>
        </w:numPr>
      </w:pPr>
      <w:r>
        <w:t xml:space="preserve">They must be no more than</w:t>
      </w:r>
      <w:r>
        <w:t xml:space="preserve"> </w:t>
      </w:r>
      <w:r>
        <w:rPr>
          <w:b/>
          <w:bCs/>
        </w:rPr>
        <w:t xml:space="preserve">24 hours</w:t>
      </w:r>
      <w:r>
        <w:t xml:space="preserve"> </w:t>
      </w:r>
      <w:r>
        <w:t xml:space="preserve">apart, with</w:t>
      </w:r>
      <w:r>
        <w:t xml:space="preserve"> </w:t>
      </w:r>
      <w:r>
        <w:rPr>
          <w:rStyle w:val="VerbatimChar"/>
        </w:rPr>
        <w:t xml:space="preserve">startTime</w:t>
      </w:r>
      <w:r>
        <w:t xml:space="preserve"> </w:t>
      </w:r>
      <w:r>
        <w:t xml:space="preserve">no more than</w:t>
      </w:r>
      <w:r>
        <w:t xml:space="preserve"> </w:t>
      </w:r>
      <w:r>
        <w:rPr>
          <w:b/>
          <w:bCs/>
        </w:rPr>
        <w:t xml:space="preserve">7 days</w:t>
      </w:r>
      <w:r>
        <w:t xml:space="preserve"> </w:t>
      </w:r>
      <w:r>
        <w:t xml:space="preserve">in the past. Requests spanning more than 24 hours</w:t>
      </w:r>
      <w:r>
        <w:t xml:space="preserve"> </w:t>
      </w:r>
      <w:r>
        <w:t xml:space="preserve">“could be</w:t>
      </w:r>
      <w:r>
        <w:t xml:space="preserve"> </w:t>
      </w:r>
      <w:r>
        <w:t xml:space="preserve">partial results and should not be taken into account.”</w:t>
      </w:r>
    </w:p>
    <w:p>
      <w:pPr>
        <w:pStyle w:val="Compact"/>
        <w:numPr>
          <w:ilvl w:val="0"/>
          <w:numId w:val="1309"/>
        </w:numPr>
      </w:pPr>
      <w:r>
        <w:t xml:space="preserve">Results paginate via a</w:t>
      </w:r>
      <w:r>
        <w:t xml:space="preserve"> </w:t>
      </w:r>
      <w:r>
        <w:rPr>
          <w:rStyle w:val="VerbatimChar"/>
        </w:rPr>
        <w:t xml:space="preserve">NextPageUri</w:t>
      </w:r>
      <w:r>
        <w:t xml:space="preserve"> </w:t>
      </w:r>
      <w:r>
        <w:t xml:space="preserve">response header. Keep following it</w:t>
      </w:r>
      <w:r>
        <w:t xml:space="preserve"> </w:t>
      </w:r>
      <w:r>
        <w:t xml:space="preserve">until a response arrives without one — a single page is not the full set.</w:t>
      </w:r>
    </w:p>
    <w:p>
      <w:pPr>
        <w:pStyle w:val="Compact"/>
        <w:numPr>
          <w:ilvl w:val="0"/>
          <w:numId w:val="1309"/>
        </w:numPr>
      </w:pPr>
      <w:r>
        <w:t xml:space="preserve">Set</w:t>
      </w:r>
      <w:r>
        <w:t xml:space="preserve"> </w:t>
      </w:r>
      <w:r>
        <w:rPr>
          <w:rStyle w:val="VerbatimChar"/>
        </w:rPr>
        <w:t xml:space="preserve">PublisherIdentifier</w:t>
      </w:r>
      <w:r>
        <w:t xml:space="preserve"> </w:t>
      </w:r>
      <w:r>
        <w:t xml:space="preserve">to your organization’s tenant GUID on every</w:t>
      </w:r>
      <w:r>
        <w:t xml:space="preserve"> </w:t>
      </w:r>
      <w:r>
        <w:t xml:space="preserve">request to get a dedicated throttling quota. Requests without it share one</w:t>
      </w:r>
      <w:r>
        <w:t xml:space="preserve"> </w:t>
      </w:r>
      <w:r>
        <w:t xml:space="preserve">global quota with every other caller who also omitted it.</w:t>
      </w:r>
    </w:p>
    <w:bookmarkEnd w:id="651"/>
    <w:bookmarkStart w:id="652" w:name="X50c84e841aeeeeffecf2b19157a7e3612455b70"/>
    <w:p>
      <w:pPr>
        <w:pStyle w:val="Heading2"/>
      </w:pPr>
      <w:r>
        <w:t xml:space="preserve">Events are not ordered, and this is by design</w:t>
      </w:r>
    </w:p>
    <w:p>
      <w:pPr>
        <w:pStyle w:val="FirstParagraph"/>
      </w:pPr>
      <w:r>
        <w:t xml:space="preserve">“The actions and events contained in the content blobs will not necessarily</w:t>
      </w:r>
      <w:r>
        <w:t xml:space="preserve"> </w:t>
      </w:r>
      <w:r>
        <w:t xml:space="preserve">appear in the order in which they occurred. One content blob can contain</w:t>
      </w:r>
      <w:r>
        <w:t xml:space="preserve"> </w:t>
      </w:r>
      <w:r>
        <w:t xml:space="preserve">actions and events that occurred prior to the actions and events contained in</w:t>
      </w:r>
      <w:r>
        <w:t xml:space="preserve"> </w:t>
      </w:r>
      <w:r>
        <w:t xml:space="preserve">an earlier content blob”</w:t>
      </w:r>
      <w:r>
        <w:t xml:space="preserve"> </w:t>
      </w:r>
      <w:r>
        <w:t xml:space="preserve">(</w:t>
      </w:r>
      <w:hyperlink r:id="rId647">
        <w:r>
          <w:rPr>
            <w:rStyle w:val="Hyperlink"/>
          </w:rPr>
          <w:t xml:space="preserve">API reference</w:t>
        </w:r>
      </w:hyperlink>
      <w:r>
        <w:t xml:space="preserve">).</w:t>
      </w:r>
    </w:p>
    <w:p>
      <w:pPr>
        <w:pStyle w:val="BodyText"/>
      </w:pPr>
      <w:r>
        <w:t xml:space="preserve">Any ingestion pipeline that assumes blob order equals event order, or that</w:t>
      </w:r>
      <w:r>
        <w:t xml:space="preserve"> </w:t>
      </w:r>
      <w:r>
        <w:t xml:space="preserve">uses</w:t>
      </w:r>
      <w:r>
        <w:t xml:space="preserve"> </w:t>
      </w:r>
      <w:r>
        <w:t xml:space="preserve">“last blob retrieved”</w:t>
      </w:r>
      <w:r>
        <w:t xml:space="preserve"> </w:t>
      </w:r>
      <w:r>
        <w:t xml:space="preserve">as a high-water mark, will silently drop events.</w:t>
      </w:r>
      <w:r>
        <w:t xml:space="preserve"> </w:t>
      </w:r>
      <w:r>
        <w:t xml:space="preserve">Track ingestion by</w:t>
      </w:r>
      <w:r>
        <w:t xml:space="preserve"> </w:t>
      </w:r>
      <w:r>
        <w:rPr>
          <w:rStyle w:val="VerbatimChar"/>
        </w:rPr>
        <w:t xml:space="preserve">contentId</w:t>
      </w:r>
      <w:r>
        <w:t xml:space="preserve">, deduplicate on it, and re-scan a trailing</w:t>
      </w:r>
      <w:r>
        <w:t xml:space="preserve"> </w:t>
      </w:r>
      <w:r>
        <w:t xml:space="preserve">window. This is a direct instance of the the program decision determinism requirement — no</w:t>
      </w:r>
      <w:r>
        <w:t xml:space="preserve"> </w:t>
      </w:r>
      <w:r>
        <w:t xml:space="preserve">silent drops — that the</w:t>
      </w:r>
      <w:r>
        <w:t xml:space="preserve"> </w:t>
      </w:r>
      <w:r>
        <w:t xml:space="preserve">Telemetry Modernization Spec</w:t>
      </w:r>
      <w:r>
        <w:t xml:space="preserve"> </w:t>
      </w:r>
      <w:r>
        <w:t xml:space="preserve">imposes on every telemetry adapter.</w:t>
      </w:r>
    </w:p>
    <w:bookmarkEnd w:id="652"/>
    <w:bookmarkStart w:id="655" w:name="X2965e629906fd39bba8191bc20c71986c2165a8"/>
    <w:p>
      <w:pPr>
        <w:pStyle w:val="Heading2"/>
      </w:pPr>
      <w:r>
        <w:t xml:space="preserve">Retention — the tier that decides the evidence</w:t>
      </w:r>
    </w:p>
    <w:p>
      <w:pPr>
        <w:pStyle w:val="FirstParagraph"/>
      </w:pPr>
      <w:r>
        <w:t xml:space="preserve">Enabling the UAL does not by itself satisfy AU-11 or OMB M-21-31. Retention is</w:t>
      </w:r>
      <w:r>
        <w:t xml:space="preserve"> </w:t>
      </w:r>
      <w:r>
        <w:t xml:space="preserve">governed by license tier and by audit retention policies: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Tier</w:t>
            </w:r>
          </w:p>
        </w:tc>
        <w:tc>
          <w:tcPr/>
          <w:p>
            <w:pPr>
              <w:pStyle w:val="Compact"/>
            </w:pPr>
            <w:r>
              <w:t xml:space="preserve">Retention</w:t>
            </w:r>
          </w:p>
        </w:tc>
      </w:tr>
      <w:tr>
        <w:tc>
          <w:tcPr/>
          <w:p>
            <w:pPr>
              <w:pStyle w:val="Compact"/>
            </w:pPr>
            <w:r>
              <w:t xml:space="preserve">Audit (Standard)</w:t>
            </w:r>
          </w:p>
        </w:tc>
        <w:tc>
          <w:tcPr/>
          <w:p>
            <w:pPr>
              <w:pStyle w:val="Compact"/>
            </w:pPr>
            <w:r>
              <w:rPr>
                <w:b/>
                <w:bCs/>
              </w:rPr>
              <w:t xml:space="preserve">180 days</w:t>
            </w:r>
            <w:r>
              <w:t xml:space="preserve"> </w:t>
            </w:r>
            <w:r>
              <w:t xml:space="preserve">by default (logs generated before 2023-10-17: 90 days)</w:t>
            </w:r>
          </w:p>
        </w:tc>
      </w:tr>
      <w:tr>
        <w:tc>
          <w:tcPr/>
          <w:p>
            <w:pPr>
              <w:pStyle w:val="Compact"/>
            </w:pPr>
            <w:r>
              <w:t xml:space="preserve">Audit (Premium)</w:t>
            </w:r>
          </w:p>
        </w:tc>
        <w:tc>
          <w:tcPr/>
          <w:p>
            <w:pPr>
              <w:pStyle w:val="Compact"/>
            </w:pPr>
            <w:r>
              <w:rPr>
                <w:b/>
                <w:bCs/>
              </w:rPr>
              <w:t xml:space="preserve">1 year</w:t>
            </w:r>
            <w:r>
              <w:t xml:space="preserve"> </w:t>
            </w:r>
            <w:r>
              <w:t xml:space="preserve">for Exchange, SharePoint, OneDrive, and</w:t>
            </w:r>
            <w:r>
              <w:t xml:space="preserve"> </w:t>
            </w:r>
            <w:r>
              <w:rPr>
                <w:rStyle w:val="VerbatimChar"/>
              </w:rPr>
              <w:t xml:space="preserve">AzureActiveDirectory</w:t>
            </w:r>
            <w:r>
              <w:t xml:space="preserve"> </w:t>
            </w:r>
            <w:r>
              <w:t xml:space="preserve">workload records, via a non-modifiable default policy</w:t>
            </w:r>
          </w:p>
        </w:tc>
      </w:tr>
      <w:tr>
        <w:tc>
          <w:tcPr/>
          <w:p>
            <w:pPr>
              <w:pStyle w:val="Compact"/>
            </w:pPr>
            <w:r>
              <w:t xml:space="preserve">Audit (Premium), all other workloads</w:t>
            </w:r>
          </w:p>
        </w:tc>
        <w:tc>
          <w:tcPr/>
          <w:p>
            <w:pPr>
              <w:pStyle w:val="Compact"/>
            </w:pPr>
            <w:r>
              <w:rPr>
                <w:b/>
                <w:bCs/>
              </w:rPr>
              <w:t xml:space="preserve">180 days</w:t>
            </w:r>
            <w:r>
              <w:t xml:space="preserve"> </w:t>
            </w:r>
            <w:r>
              <w:t xml:space="preserve">unless a custom retention policy extends them</w:t>
            </w:r>
          </w:p>
        </w:tc>
      </w:tr>
      <w:tr>
        <w:tc>
          <w:tcPr/>
          <w:p>
            <w:pPr>
              <w:pStyle w:val="Compact"/>
            </w:pPr>
            <w:r>
              <w:t xml:space="preserve">Audit (Premium) + 10-year add-on</w:t>
            </w:r>
          </w:p>
        </w:tc>
        <w:tc>
          <w:tcPr/>
          <w:p>
            <w:pPr>
              <w:pStyle w:val="Compact"/>
            </w:pPr>
            <w:r>
              <w:t xml:space="preserve">Up to</w:t>
            </w:r>
            <w:r>
              <w:t xml:space="preserve"> </w:t>
            </w:r>
            <w:r>
              <w:rPr>
                <w:b/>
                <w:bCs/>
              </w:rPr>
              <w:t xml:space="preserve">10 years</w:t>
            </w:r>
            <w:r>
              <w:t xml:space="preserve">, per-user add-on license required</w:t>
            </w:r>
          </w:p>
        </w:tc>
      </w:tr>
    </w:tbl>
    <w:p>
      <w:pPr>
        <w:pStyle w:val="BodyText"/>
      </w:pPr>
      <w:r>
        <w:t xml:space="preserve">From</w:t>
      </w:r>
      <w:r>
        <w:t xml:space="preserve"> </w:t>
      </w:r>
      <w:hyperlink r:id="rId653">
        <w:r>
          <w:rPr>
            <w:rStyle w:val="Hyperlink"/>
          </w:rPr>
          <w:t xml:space="preserve">Manage audit log retention policies</w:t>
        </w:r>
      </w:hyperlink>
      <w:r>
        <w:t xml:space="preserve"> </w:t>
      </w:r>
      <w:r>
        <w:t xml:space="preserve">and</w:t>
      </w:r>
      <w:r>
        <w:t xml:space="preserve"> </w:t>
      </w:r>
      <w:hyperlink r:id="rId654">
        <w:r>
          <w:rPr>
            <w:rStyle w:val="Hyperlink"/>
          </w:rPr>
          <w:t xml:space="preserve">auditing solutions in Microsoft Purview</w:t>
        </w:r>
      </w:hyperlink>
      <w:r>
        <w:t xml:space="preserve">.</w:t>
      </w:r>
    </w:p>
    <w:bookmarkEnd w:id="655"/>
    <w:bookmarkStart w:id="656" w:name="X2c630e7377d4d8c2140cda50a99c3b9dd4c0e8a"/>
    <w:p>
      <w:pPr>
        <w:pStyle w:val="Heading2"/>
      </w:pPr>
      <w:r>
        <w:t xml:space="preserve">The default Premium policy is license-scoped, not tenant-scoped</w:t>
      </w:r>
    </w:p>
    <w:p>
      <w:pPr>
        <w:pStyle w:val="FirstParagraph"/>
      </w:pPr>
      <w:r>
        <w:t xml:space="preserve">The one-year default retention applies only to records for activity performed</w:t>
      </w:r>
      <w:r>
        <w:t xml:space="preserve"> </w:t>
      </w:r>
      <w:r>
        <w:t xml:space="preserve">by users assigned an Office 365 / Microsoft 365</w:t>
      </w:r>
      <w:r>
        <w:t xml:space="preserve"> </w:t>
      </w:r>
      <w:r>
        <w:rPr>
          <w:b/>
          <w:bCs/>
        </w:rPr>
        <w:t xml:space="preserve">E5</w:t>
      </w:r>
      <w:r>
        <w:t xml:space="preserve"> </w:t>
      </w:r>
      <w:r>
        <w:t xml:space="preserve">license, a Microsoft</w:t>
      </w:r>
      <w:r>
        <w:t xml:space="preserve"> </w:t>
      </w:r>
      <w:r>
        <w:t xml:space="preserve">Purview Suite license, or the E5 eDiscovery and Audit add-on.</w:t>
      </w:r>
      <w:r>
        <w:t xml:space="preserve"> </w:t>
      </w:r>
      <w:r>
        <w:t xml:space="preserve">“If you have</w:t>
      </w:r>
      <w:r>
        <w:t xml:space="preserve"> </w:t>
      </w:r>
      <w:r>
        <w:t xml:space="preserve">non-E5 users or guest users in your organization, their corresponding audit</w:t>
      </w:r>
      <w:r>
        <w:t xml:space="preserve"> </w:t>
      </w:r>
      <w:r>
        <w:t xml:space="preserve">records are retained for 180 days”</w:t>
      </w:r>
      <w:r>
        <w:t xml:space="preserve"> </w:t>
      </w:r>
      <w:r>
        <w:t xml:space="preserve">(</w:t>
      </w:r>
      <w:hyperlink r:id="rId653">
        <w:r>
          <w:rPr>
            <w:rStyle w:val="Hyperlink"/>
          </w:rPr>
          <w:t xml:space="preserve">audit log retention policies</w:t>
        </w:r>
      </w:hyperlink>
      <w:r>
        <w:t xml:space="preserve">).</w:t>
      </w:r>
    </w:p>
    <w:p>
      <w:pPr>
        <w:pStyle w:val="BodyText"/>
      </w:pPr>
      <w:r>
        <w:t xml:space="preserve">Federal tenants are rarely uniformly E5. A mixed-license estate has a</w:t>
      </w:r>
      <w:r>
        <w:t xml:space="preserve"> </w:t>
      </w:r>
      <w:r>
        <w:rPr>
          <w:b/>
          <w:bCs/>
        </w:rPr>
        <w:t xml:space="preserve">split retention horizon</w:t>
      </w:r>
      <w:r>
        <w:t xml:space="preserve"> </w:t>
      </w:r>
      <w:r>
        <w:t xml:space="preserve">that no dashboard displays: E5 users at one year,</w:t>
      </w:r>
      <w:r>
        <w:t xml:space="preserve"> </w:t>
      </w:r>
      <w:r>
        <w:t xml:space="preserve">everyone else — including every guest and every service account on a lower</w:t>
      </w:r>
      <w:r>
        <w:t xml:space="preserve"> </w:t>
      </w:r>
      <w:r>
        <w:t xml:space="preserve">SKU — at 180 days. Enumerate license assignment against the M-21-31 scope</w:t>
      </w:r>
      <w:r>
        <w:t xml:space="preserve"> </w:t>
      </w:r>
      <w:r>
        <w:t xml:space="preserve">before asserting a retention position, and record the mixed state explicitly</w:t>
      </w:r>
      <w:r>
        <w:t xml:space="preserve"> </w:t>
      </w:r>
      <w:r>
        <w:t xml:space="preserve">if it exists.</w:t>
      </w:r>
    </w:p>
    <w:p>
      <w:pPr>
        <w:pStyle w:val="BodyText"/>
      </w:pPr>
      <w:r>
        <w:t xml:space="preserve">Retention policies are also</w:t>
      </w:r>
      <w:r>
        <w:t xml:space="preserve"> </w:t>
      </w:r>
      <w:r>
        <w:rPr>
          <w:b/>
          <w:bCs/>
        </w:rPr>
        <w:t xml:space="preserve">not retroactive</w:t>
      </w:r>
      <w:r>
        <w:t xml:space="preserve">. A 10-year policy created</w:t>
      </w:r>
      <w:r>
        <w:t xml:space="preserve"> </w:t>
      </w:r>
      <w:r>
        <w:t xml:space="preserve">today cannot retain records generated yesterday.</w:t>
      </w:r>
    </w:p>
    <w:bookmarkEnd w:id="656"/>
    <w:bookmarkStart w:id="657" w:name="sentinel-ingestion"/>
    <w:p>
      <w:pPr>
        <w:pStyle w:val="Heading2"/>
      </w:pPr>
      <w:r>
        <w:t xml:space="preserve">Sentinel ingestion</w:t>
      </w:r>
    </w:p>
    <w:p>
      <w:pPr>
        <w:pStyle w:val="FirstParagraph"/>
      </w:pPr>
      <w:r>
        <w:t xml:space="preserve">For Sentinel, the</w:t>
      </w:r>
      <w:r>
        <w:t xml:space="preserve"> </w:t>
      </w:r>
      <w:r>
        <w:rPr>
          <w:b/>
          <w:bCs/>
        </w:rPr>
        <w:t xml:space="preserve">Microsoft 365</w:t>
      </w:r>
      <w:r>
        <w:t xml:space="preserve"> </w:t>
      </w:r>
      <w:r>
        <w:t xml:space="preserve">(Office 365) data connector ingests</w:t>
      </w:r>
      <w:r>
        <w:t xml:space="preserve"> </w:t>
      </w:r>
      <w:r>
        <w:t xml:space="preserve">Exchange, SharePoint, and Teams activity into the</w:t>
      </w:r>
      <w:r>
        <w:t xml:space="preserve"> </w:t>
      </w:r>
      <w:r>
        <w:rPr>
          <w:rStyle w:val="VerbatimChar"/>
        </w:rPr>
        <w:t xml:space="preserve">OfficeActivity</w:t>
      </w:r>
      <w:r>
        <w:t xml:space="preserve"> </w:t>
      </w:r>
      <w:r>
        <w:t xml:space="preserve">table</w:t>
      </w:r>
      <w:r>
        <w:t xml:space="preserve"> </w:t>
      </w:r>
      <w:r>
        <w:t xml:space="preserve">without a custom Management API client. Use the connector for the</w:t>
      </w:r>
      <w:r>
        <w:t xml:space="preserve"> </w:t>
      </w:r>
      <w:r>
        <w:t xml:space="preserve">SOC-detection path and the Management Activity API for the substrate’s</w:t>
      </w:r>
      <w:r>
        <w:t xml:space="preserve"> </w:t>
      </w:r>
      <w:r>
        <w:t xml:space="preserve">evidence path, where the</w:t>
      </w:r>
      <w:r>
        <w:t xml:space="preserve"> </w:t>
      </w:r>
      <w:r>
        <w:t xml:space="preserve">SIEM adapter spec requires a</w:t>
      </w:r>
      <w:r>
        <w:t xml:space="preserve"> </w:t>
      </w:r>
      <w:r>
        <w:t xml:space="preserve">provenance envelope the connector does not produce.</w:t>
      </w:r>
    </w:p>
    <w:p>
      <w:pPr>
        <w:pStyle w:val="BodyText"/>
      </w:pPr>
      <w:r>
        <w:t xml:space="preserve">Where both are running, they are independent readers of the same UAL. The</w:t>
      </w:r>
      <w:r>
        <w:t xml:space="preserve"> </w:t>
      </w:r>
      <w:r>
        <w:t xml:space="preserve">connector does not consume blobs in a way that hides them from an API</w:t>
      </w:r>
      <w:r>
        <w:t xml:space="preserve"> </w:t>
      </w:r>
      <w:r>
        <w:t xml:space="preserve">subscription.</w:t>
      </w:r>
    </w:p>
    <w:bookmarkEnd w:id="657"/>
    <w:bookmarkStart w:id="658" w:name="verify-emission-2"/>
    <w:p>
      <w:pPr>
        <w:pStyle w:val="Heading2"/>
      </w:pPr>
      <w:r>
        <w:t xml:space="preserve">Verify emission</w:t>
      </w:r>
    </w:p>
    <w:p>
      <w:pPr>
        <w:pStyle w:val="SourceCode"/>
      </w:pPr>
      <w:r>
        <w:rPr>
          <w:rStyle w:val="VerbatimChar"/>
        </w:rPr>
        <w:t xml:space="preserve">// M365 unified audit emission health by workload.</w:t>
      </w:r>
      <w:r>
        <w:br/>
      </w:r>
      <w:r>
        <w:rPr>
          <w:rStyle w:val="VerbatimChar"/>
        </w:rPr>
        <w:t xml:space="preserve">OfficeActivity</w:t>
      </w:r>
      <w:r>
        <w:br/>
      </w:r>
      <w:r>
        <w:rPr>
          <w:rStyle w:val="VerbatimChar"/>
        </w:rPr>
        <w:t xml:space="preserve">| where TimeGenerated &gt; ago(24h)</w:t>
      </w:r>
      <w:r>
        <w:br/>
      </w:r>
      <w:r>
        <w:rPr>
          <w:rStyle w:val="VerbatimChar"/>
        </w:rPr>
        <w:t xml:space="preserve">| summarize Events = count, LastEvent = max(TimeGenerated) by OfficeWorkload, RecordType</w:t>
      </w:r>
      <w:r>
        <w:br/>
      </w:r>
      <w:r>
        <w:rPr>
          <w:rStyle w:val="VerbatimChar"/>
        </w:rPr>
        <w:t xml:space="preserve">| extend Stale = LastEvent &lt; ago(6h)</w:t>
      </w:r>
      <w:r>
        <w:br/>
      </w:r>
      <w:r>
        <w:rPr>
          <w:rStyle w:val="VerbatimChar"/>
        </w:rPr>
        <w:t xml:space="preserve">| order by Stale desc, Events desc</w:t>
      </w:r>
    </w:p>
    <w:p>
      <w:pPr>
        <w:pStyle w:val="FirstParagraph"/>
      </w:pPr>
      <w:r>
        <w:t xml:space="preserve">Tenant-side, independent of any SIEM:</w:t>
      </w:r>
    </w:p>
    <w:p>
      <w:pPr>
        <w:pStyle w:val="SourceCode"/>
      </w:pPr>
      <w:r>
        <w:rPr>
          <w:rStyle w:val="CommentTok"/>
        </w:rPr>
        <w:t xml:space="preserve"># Does the UAL itself hold recent records for each workload?</w:t>
      </w:r>
      <w:r>
        <w:br/>
      </w:r>
      <w:r>
        <w:rPr>
          <w:rStyle w:val="ControlFlowTok"/>
        </w:rPr>
        <w:t xml:space="preserve">foreach</w:t>
      </w:r>
      <w:r>
        <w:rPr>
          <w:rStyle w:val="NormalTok"/>
        </w:rPr>
        <w:t xml:space="preserve"> </w:t>
      </w:r>
      <w:r>
        <w:rPr>
          <w:rStyle w:val="OperatorTok"/>
        </w:rPr>
        <w:t xml:space="preserve">(</w:t>
      </w:r>
      <w:r>
        <w:rPr>
          <w:rStyle w:val="VariableTok"/>
        </w:rPr>
        <w:t xml:space="preserve">$wl</w:t>
      </w:r>
      <w:r>
        <w:rPr>
          <w:rStyle w:val="NormalTok"/>
        </w:rPr>
        <w:t xml:space="preserve"> </w:t>
      </w:r>
      <w:r>
        <w:rPr>
          <w:rStyle w:val="KeywordTok"/>
        </w:rPr>
        <w:t xml:space="preserve">in</w:t>
      </w:r>
      <w:r>
        <w:rPr>
          <w:rStyle w:val="NormalTok"/>
        </w:rPr>
        <w:t xml:space="preserve"> </w:t>
      </w:r>
      <w:r>
        <w:rPr>
          <w:rStyle w:val="OperatorTok"/>
        </w:rPr>
        <w:t xml:space="preserve">@(</w:t>
      </w:r>
      <w:r>
        <w:rPr>
          <w:rStyle w:val="StringTok"/>
        </w:rPr>
        <w:t xml:space="preserve">'AzureActiveDirectory'</w:t>
      </w:r>
      <w:r>
        <w:rPr>
          <w:rStyle w:val="OperatorTok"/>
        </w:rPr>
        <w:t xml:space="preserve">,</w:t>
      </w:r>
      <w:r>
        <w:rPr>
          <w:rStyle w:val="StringTok"/>
        </w:rPr>
        <w:t xml:space="preserve">'Exchange'</w:t>
      </w:r>
      <w:r>
        <w:rPr>
          <w:rStyle w:val="OperatorTok"/>
        </w:rPr>
        <w:t xml:space="preserve">,</w:t>
      </w:r>
      <w:r>
        <w:rPr>
          <w:rStyle w:val="StringTok"/>
        </w:rPr>
        <w:t xml:space="preserve">'SharePoint'</w:t>
      </w:r>
      <w:r>
        <w:rPr>
          <w:rStyle w:val="OperatorTok"/>
        </w:rPr>
        <w:t xml:space="preserve">,</w:t>
      </w:r>
      <w:r>
        <w:rPr>
          <w:rStyle w:val="StringTok"/>
        </w:rPr>
        <w:t xml:space="preserve">'MicrosoftTeams'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$n</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Search-UnifiedAuditLog </w:t>
      </w:r>
      <w:r>
        <w:rPr>
          <w:rStyle w:val="OperatorTok"/>
        </w:rPr>
        <w:t xml:space="preserve">-</w:t>
      </w:r>
      <w:r>
        <w:rPr>
          <w:rStyle w:val="NormalTok"/>
        </w:rPr>
        <w:t xml:space="preserve">StartDate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1</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EndDate </w:t>
      </w:r>
      <w:r>
        <w:rPr>
          <w:rStyle w:val="OperatorTok"/>
        </w:rPr>
        <w:t xml:space="preserve">(</w:t>
      </w:r>
      <w:r>
        <w:rPr>
          <w:rStyle w:val="FunctionTok"/>
        </w:rPr>
        <w:t xml:space="preserve">Get-Date</w:t>
      </w:r>
      <w:r>
        <w:rPr>
          <w:rStyle w:val="OperatorTok"/>
        </w:rPr>
        <w:t xml:space="preserve">)</w:t>
      </w:r>
      <w:r>
        <w:rPr>
          <w:rStyle w:val="NormalTok"/>
        </w:rPr>
        <w:t xml:space="preserve"> </w:t>
      </w:r>
      <w:r>
        <w:rPr>
          <w:rStyle w:val="OperatorTok"/>
        </w:rPr>
        <w:t xml:space="preserve">-</w:t>
      </w:r>
      <w:r>
        <w:rPr>
          <w:rStyle w:val="NormalTok"/>
        </w:rPr>
        <w:t xml:space="preserve">RecordType </w:t>
      </w:r>
      <w:r>
        <w:rPr>
          <w:rStyle w:val="VariableTok"/>
        </w:rPr>
        <w:t xml:space="preserve">$wl</w:t>
      </w:r>
      <w:r>
        <w:rPr>
          <w:rStyle w:val="NormalTok"/>
        </w:rPr>
        <w:t xml:space="preserve"> </w:t>
      </w:r>
      <w:r>
        <w:rPr>
          <w:rStyle w:val="OperatorTok"/>
        </w:rPr>
        <w:t xml:space="preserve">-</w:t>
      </w:r>
      <w:r>
        <w:rPr>
          <w:rStyle w:val="NormalTok"/>
        </w:rPr>
        <w:t xml:space="preserve">ResultSize </w:t>
      </w:r>
      <w:r>
        <w:rPr>
          <w:rStyle w:val="DecValTok"/>
        </w:rPr>
        <w:t xml:space="preserve">1</w:t>
      </w:r>
      <w:r>
        <w:rPr>
          <w:rStyle w:val="OperatorTok"/>
        </w:rPr>
        <w:t xml:space="preserve">).</w:t>
      </w:r>
      <w:r>
        <w:rPr>
          <w:rStyle w:val="FunctionTok"/>
        </w:rPr>
        <w:t xml:space="preserve">Count</w:t>
      </w:r>
      <w:r>
        <w:br/>
      </w:r>
      <w:r>
        <w:rPr>
          <w:rStyle w:val="NormalTok"/>
        </w:rPr>
        <w:t xml:space="preserve">    </w:t>
      </w:r>
      <w:r>
        <w:rPr>
          <w:rStyle w:val="StringTok"/>
        </w:rPr>
        <w:t xml:space="preserve">"{0,-22} {1}"</w:t>
      </w:r>
      <w:r>
        <w:rPr>
          <w:rStyle w:val="NormalTok"/>
        </w:rPr>
        <w:t xml:space="preserve"> </w:t>
      </w:r>
      <w:r>
        <w:rPr>
          <w:rStyle w:val="OperatorTok"/>
        </w:rPr>
        <w:t xml:space="preserve">-</w:t>
      </w:r>
      <w:r>
        <w:rPr>
          <w:rStyle w:val="NormalTok"/>
        </w:rPr>
        <w:t xml:space="preserve">f </w:t>
      </w:r>
      <w:r>
        <w:rPr>
          <w:rStyle w:val="VariableTok"/>
        </w:rPr>
        <w:t xml:space="preserve">$wl</w:t>
      </w:r>
      <w:r>
        <w:rPr>
          <w:rStyle w:val="OperatorTok"/>
        </w:rPr>
        <w:t xml:space="preserve">,</w:t>
      </w:r>
      <w:r>
        <w:rPr>
          <w:rStyle w:val="NormalTok"/>
        </w:rPr>
        <w:t xml:space="preserve"> </w:t>
      </w:r>
      <w:r>
        <w:rPr>
          <w:rStyle w:val="OperatorTok"/>
        </w:rPr>
        <w:t xml:space="preserve">$(</w:t>
      </w:r>
      <w:r>
        <w:rPr>
          <w:rStyle w:val="ControlFlowTok"/>
        </w:rPr>
        <w:t xml:space="preserve">if</w:t>
      </w:r>
      <w:r>
        <w:rPr>
          <w:rStyle w:val="NormalTok"/>
        </w:rPr>
        <w:t xml:space="preserve"> </w:t>
      </w:r>
      <w:r>
        <w:rPr>
          <w:rStyle w:val="OperatorTok"/>
        </w:rPr>
        <w:t xml:space="preserve">(</w:t>
      </w:r>
      <w:r>
        <w:rPr>
          <w:rStyle w:val="VariableTok"/>
        </w:rPr>
        <w:t xml:space="preserve">$n</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"OK"</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"NO RECORDS"</w:t>
      </w:r>
      <w:r>
        <w:rPr>
          <w:rStyle w:val="NormalTok"/>
        </w:rPr>
        <w:t xml:space="preserve"> </w:t>
      </w:r>
      <w:r>
        <w:rPr>
          <w:rStyle w:val="OperatorTok"/>
        </w:rPr>
        <w:t xml:space="preserve">})</w:t>
      </w:r>
      <w:r>
        <w:br/>
      </w:r>
      <w:r>
        <w:rPr>
          <w:rStyle w:val="OperatorTok"/>
        </w:rPr>
        <w:t xml:space="preserve">}</w:t>
      </w:r>
    </w:p>
    <w:p>
      <w:pPr>
        <w:pStyle w:val="FirstParagraph"/>
      </w:pPr>
      <w:r>
        <w:t xml:space="preserve">Run both. The KQL proves the SIEM is receiving; the PowerShell proves the</w:t>
      </w:r>
      <w:r>
        <w:t xml:space="preserve"> </w:t>
      </w:r>
      <w:r>
        <w:t xml:space="preserve">tenant is recording. A green KQL result with a stale pipeline can persist for</w:t>
      </w:r>
      <w:r>
        <w:t xml:space="preserve"> </w:t>
      </w:r>
      <w:r>
        <w:t xml:space="preserve">hours on cached data — only the tenant-side check distinguishes</w:t>
      </w:r>
      <w:r>
        <w:t xml:space="preserve"> </w:t>
      </w:r>
      <w:r>
        <w:t xml:space="preserve">“nothing</w:t>
      </w:r>
      <w:r>
        <w:t xml:space="preserve"> </w:t>
      </w:r>
      <w:r>
        <w:t xml:space="preserve">happened”</w:t>
      </w:r>
      <w:r>
        <w:t xml:space="preserve"> </w:t>
      </w:r>
      <w:r>
        <w:t xml:space="preserve">from</w:t>
      </w:r>
      <w:r>
        <w:t xml:space="preserve"> </w:t>
      </w:r>
      <w:r>
        <w:t xml:space="preserve">“nothing is being captured.”</w:t>
      </w:r>
    </w:p>
    <w:bookmarkEnd w:id="658"/>
    <w:bookmarkStart w:id="659" w:name="next-1"/>
    <w:p>
      <w:pPr>
        <w:pStyle w:val="Heading2"/>
      </w:pPr>
      <w:r>
        <w:t xml:space="preserve">Next</w:t>
      </w:r>
    </w:p>
    <w:p>
      <w:pPr>
        <w:pStyle w:val="FirstParagraph"/>
      </w:pPr>
      <w:r>
        <w:t xml:space="preserve">Compliance crosswalk and verification — mapping</w:t>
      </w:r>
      <w:r>
        <w:t xml:space="preserve"> </w:t>
      </w:r>
      <w:r>
        <w:t xml:space="preserve">all three planes to M-21-31 tiers, NIST controls, CISA baselines, and FedRAMP</w:t>
      </w:r>
      <w:r>
        <w:t xml:space="preserve"> </w:t>
      </w:r>
      <w:r>
        <w:t xml:space="preserve">KSIs, and setting the retention that makes the evidence admissible.</w:t>
      </w:r>
    </w:p>
    <w:bookmarkEnd w:id="659"/>
    <w:bookmarkEnd w:id="660"/>
    <w:bookmarkStart w:id="662" w:name="e.-target-surface-hybrid-cloud"/>
    <w:p>
      <w:pPr>
        <w:pStyle w:val="Heading1"/>
      </w:pPr>
      <w:r>
        <w:t xml:space="preserve">E. Target Surface (Hybrid Cloud)</w:t>
      </w:r>
    </w:p>
    <w:p>
      <w:pPr>
        <w:pStyle w:val="FirstParagraph"/>
      </w:pPr>
      <w:r>
        <w:t xml:space="preserve">The Hybrid-Cloud estate where the Federal Modernization Program delivers governed identity, device,</w:t>
      </w:r>
      <w:r>
        <w:t xml:space="preserve"> </w:t>
      </w:r>
      <w:r>
        <w:t xml:space="preserve">and policy data. Every target has a canonical adapter in</w:t>
      </w:r>
      <w:r>
        <w:t xml:space="preserve"> </w:t>
      </w:r>
      <w:r>
        <w:t xml:space="preserve">adapter-specs and a validation suite in</w:t>
      </w:r>
      <w:r>
        <w:t xml:space="preserve"> </w:t>
      </w:r>
      <w:r>
        <w:t xml:space="preserve">validation-suites.</w:t>
      </w:r>
    </w:p>
    <w:bookmarkStart w:id="661" w:name="leaves-5"/>
    <w:p>
      <w:pPr>
        <w:pStyle w:val="Heading2"/>
      </w:pPr>
      <w:r>
        <w:t xml:space="preserve">Leaves</w:t>
      </w:r>
    </w:p>
    <w:p>
      <w:pPr>
        <w:pStyle w:val="Compact"/>
        <w:numPr>
          <w:ilvl w:val="0"/>
          <w:numId w:val="1310"/>
        </w:numPr>
      </w:pPr>
      <w:r>
        <w:rPr>
          <w:b/>
          <w:bCs/>
        </w:rPr>
        <w:t xml:space="preserve">E.1</w:t>
      </w:r>
      <w:r>
        <w:t xml:space="preserve"> </w:t>
      </w:r>
      <w:r>
        <w:t xml:space="preserve">Entra ID tenant — adapter</w:t>
      </w:r>
    </w:p>
    <w:p>
      <w:pPr>
        <w:pStyle w:val="Compact"/>
        <w:numPr>
          <w:ilvl w:val="0"/>
          <w:numId w:val="1310"/>
        </w:numPr>
      </w:pPr>
      <w:r>
        <w:rPr>
          <w:b/>
          <w:bCs/>
        </w:rPr>
        <w:t xml:space="preserve">E.2</w:t>
      </w:r>
      <w:r>
        <w:t xml:space="preserve"> </w:t>
      </w:r>
      <w:r>
        <w:t xml:space="preserve">Administrative Units — FMP_154</w:t>
      </w:r>
    </w:p>
    <w:p>
      <w:pPr>
        <w:pStyle w:val="Compact"/>
        <w:numPr>
          <w:ilvl w:val="0"/>
          <w:numId w:val="1310"/>
        </w:numPr>
      </w:pPr>
      <w:r>
        <w:rPr>
          <w:b/>
          <w:bCs/>
        </w:rPr>
        <w:t xml:space="preserve">E.3</w:t>
      </w:r>
      <w:r>
        <w:t xml:space="preserve"> </w:t>
      </w:r>
      <w:r>
        <w:t xml:space="preserve">Intune — adapter</w:t>
      </w:r>
    </w:p>
    <w:p>
      <w:pPr>
        <w:pStyle w:val="Compact"/>
        <w:numPr>
          <w:ilvl w:val="0"/>
          <w:numId w:val="1310"/>
        </w:numPr>
      </w:pPr>
      <w:r>
        <w:rPr>
          <w:b/>
          <w:bCs/>
        </w:rPr>
        <w:t xml:space="preserve">E.4</w:t>
      </w:r>
      <w:r>
        <w:t xml:space="preserve"> </w:t>
      </w:r>
      <w:r>
        <w:t xml:space="preserve">Azure Arc — (adapter pending)</w:t>
      </w:r>
    </w:p>
    <w:p>
      <w:pPr>
        <w:pStyle w:val="Compact"/>
        <w:numPr>
          <w:ilvl w:val="0"/>
          <w:numId w:val="1310"/>
        </w:numPr>
      </w:pPr>
      <w:r>
        <w:rPr>
          <w:b/>
          <w:bCs/>
        </w:rPr>
        <w:t xml:space="preserve">E.5</w:t>
      </w:r>
      <w:r>
        <w:t xml:space="preserve"> </w:t>
      </w:r>
      <w:r>
        <w:t xml:space="preserve">Microsoft 365 SaaS — adapter</w:t>
      </w:r>
    </w:p>
    <w:p>
      <w:pPr>
        <w:pStyle w:val="Compact"/>
        <w:numPr>
          <w:ilvl w:val="0"/>
          <w:numId w:val="1310"/>
        </w:numPr>
      </w:pPr>
      <w:r>
        <w:rPr>
          <w:b/>
          <w:bCs/>
        </w:rPr>
        <w:t xml:space="preserve">E.6</w:t>
      </w:r>
      <w:r>
        <w:t xml:space="preserve"> </w:t>
      </w:r>
      <w:r>
        <w:t xml:space="preserve">Conditional Access targeting — (see Compliance D.1)</w:t>
      </w:r>
    </w:p>
    <w:p>
      <w:pPr>
        <w:pStyle w:val="Compact"/>
        <w:numPr>
          <w:ilvl w:val="0"/>
          <w:numId w:val="1310"/>
        </w:numPr>
      </w:pPr>
      <w:r>
        <w:rPr>
          <w:b/>
          <w:bCs/>
        </w:rPr>
        <w:t xml:space="preserve">E.7</w:t>
      </w:r>
      <w:r>
        <w:t xml:space="preserve"> </w:t>
      </w:r>
      <w:r>
        <w:t xml:space="preserve">PIM + Access Reviews + Entitlement Management — (adapter pending)</w:t>
      </w:r>
    </w:p>
    <w:bookmarkEnd w:id="661"/>
    <w:bookmarkEnd w:id="662"/>
    <w:bookmarkStart w:id="665" w:name="gpo-sunset-program-1"/>
    <w:p>
      <w:pPr>
        <w:pStyle w:val="Heading1"/>
      </w:pPr>
      <w:r>
        <w:t xml:space="preserve">GPO Sunset Program</w:t>
      </w:r>
    </w:p>
    <w:bookmarkStart w:id="663" w:name="about-this-program"/>
    <w:p>
      <w:pPr>
        <w:pStyle w:val="Heading2"/>
      </w:pPr>
      <w:r>
        <w:t xml:space="preserve">About this program</w:t>
      </w:r>
    </w:p>
    <w:p>
      <w:pPr>
        <w:pStyle w:val="FirstParagraph"/>
      </w:pPr>
      <w:r>
        <w:rPr>
          <w:b/>
          <w:bCs/>
        </w:rPr>
        <w:t xml:space="preserve">GPO Sunset Program</w:t>
      </w:r>
      <w:r>
        <w:t xml:space="preserve"> </w:t>
      </w:r>
      <w:r>
        <w:t xml:space="preserve">is one of three distinct programs in the Federal Modernization Program governance corpus that touch Intune. Per the program decision (Intune-First Scope Disambiguation), do not conflate them:</w:t>
      </w:r>
    </w:p>
    <w:p>
      <w:pPr>
        <w:pStyle w:val="Compact"/>
        <w:numPr>
          <w:ilvl w:val="0"/>
          <w:numId w:val="1311"/>
        </w:numPr>
      </w:pPr>
      <w:r>
        <w:rPr>
          <w:b/>
          <w:bCs/>
        </w:rPr>
        <w:t xml:space="preserve">Intune-First Asset Onboarding</w:t>
      </w:r>
      <w:r>
        <w:t xml:space="preserve"> </w:t>
      </w:r>
      <w:r>
        <w:t xml:space="preserve">— the canon doctrine for</w:t>
      </w:r>
      <w:r>
        <w:t xml:space="preserve"> </w:t>
      </w:r>
      <w:r>
        <w:rPr>
          <w:b/>
          <w:bCs/>
        </w:rPr>
        <w:t xml:space="preserve">net-new devices</w:t>
      </w:r>
      <w:r>
        <w:t xml:space="preserve"> </w:t>
      </w:r>
      <w:r>
        <w:t xml:space="preserve">(procurement-time governance, 5-phase Procure→Validate). Not this page.</w:t>
      </w:r>
    </w:p>
    <w:p>
      <w:pPr>
        <w:pStyle w:val="Compact"/>
        <w:numPr>
          <w:ilvl w:val="0"/>
          <w:numId w:val="1311"/>
        </w:numPr>
      </w:pPr>
      <w:r>
        <w:rPr>
          <w:b/>
          <w:bCs/>
        </w:rPr>
        <w:t xml:space="preserve">GPO Sunset Program</w:t>
      </w:r>
      <w:r>
        <w:t xml:space="preserve"> </w:t>
      </w:r>
      <w:r>
        <w:rPr>
          <w:i/>
          <w:iCs/>
        </w:rPr>
        <w:t xml:space="preserve">(this page)</w:t>
      </w:r>
      <w:r>
        <w:t xml:space="preserve"> </w:t>
      </w:r>
      <w:r>
        <w:t xml:space="preserve">— the</w:t>
      </w:r>
      <w:r>
        <w:t xml:space="preserve"> </w:t>
      </w:r>
      <w:r>
        <w:rPr>
          <w:b/>
          <w:bCs/>
        </w:rPr>
        <w:t xml:space="preserve">existing-fleet</w:t>
      </w:r>
      <w:r>
        <w:t xml:space="preserve"> </w:t>
      </w:r>
      <w:r>
        <w:t xml:space="preserve">program. 7-phase replacement of GPOs on currently-deployed endpoints, ending in formal GPO retirement. ~34-week timeline.</w:t>
      </w:r>
    </w:p>
    <w:p>
      <w:pPr>
        <w:pStyle w:val="Compact"/>
        <w:numPr>
          <w:ilvl w:val="0"/>
          <w:numId w:val="1311"/>
        </w:numPr>
      </w:pPr>
      <w:r>
        <w:rPr>
          <w:b/>
          <w:bCs/>
        </w:rPr>
        <w:t xml:space="preserve">Policy Transformation Pattern</w:t>
      </w:r>
      <w:r>
        <w:t xml:space="preserve"> </w:t>
      </w:r>
      <w:r>
        <w:t xml:space="preserve">(</w:t>
      </w:r>
      <w:r>
        <w:t xml:space="preserve">“Regenerate, Not Copy”</w:t>
      </w:r>
      <w:r>
        <w:t xml:space="preserve">) — the</w:t>
      </w:r>
      <w:r>
        <w:t xml:space="preserve"> </w:t>
      </w:r>
      <w:r>
        <w:rPr>
          <w:b/>
          <w:bCs/>
        </w:rPr>
        <w:t xml:space="preserve">philosophy</w:t>
      </w:r>
      <w:r>
        <w:t xml:space="preserve"> </w:t>
      </w:r>
      <w:r>
        <w:t xml:space="preserve">governing how this program authors replacement policies. Not a separate program.</w:t>
      </w:r>
    </w:p>
    <w:p>
      <w:pPr>
        <w:pStyle w:val="FirstParagraph"/>
      </w:pPr>
      <w:r>
        <w:t xml:space="preserve">The 50-row GPO→Intune mapping later in this document is a</w:t>
      </w:r>
      <w:r>
        <w:t xml:space="preserve"> </w:t>
      </w:r>
      <w:r>
        <w:rPr>
          <w:b/>
          <w:bCs/>
        </w:rPr>
        <w:t xml:space="preserve">Semantic Translation Reference</w:t>
      </w:r>
      <w:r>
        <w:t xml:space="preserve"> </w:t>
      </w:r>
      <w:r>
        <w:t xml:space="preserve">— engineers’ lookup card for</w:t>
      </w:r>
      <w:r>
        <w:t xml:space="preserve"> </w:t>
      </w:r>
      <w:r>
        <w:t xml:space="preserve">“what’s the closest Intune equivalent for this GPO setting.”</w:t>
      </w:r>
      <w:r>
        <w:t xml:space="preserve"> </w:t>
      </w:r>
      <w:r>
        <w:t xml:space="preserve">It is</w:t>
      </w:r>
      <w:r>
        <w:t xml:space="preserve"> </w:t>
      </w:r>
      <w:r>
        <w:rPr>
          <w:i/>
          <w:iCs/>
        </w:rPr>
        <w:t xml:space="preserve">not</w:t>
      </w:r>
      <w:r>
        <w:t xml:space="preserve"> </w:t>
      </w:r>
      <w:r>
        <w:t xml:space="preserve">a literal 1:1 copy prescription. The</w:t>
      </w:r>
      <w:r>
        <w:t xml:space="preserve"> </w:t>
      </w:r>
      <w:r>
        <w:t xml:space="preserve">“regenerate, not copy”</w:t>
      </w:r>
      <w:r>
        <w:t xml:space="preserve"> </w:t>
      </w:r>
      <w:r>
        <w:t xml:space="preserve">philosophy applies to policy authoring decisions; this reference applies to setting-level translation.</w:t>
      </w:r>
    </w:p>
    <w:bookmarkEnd w:id="663"/>
    <w:p>
      <w:pPr>
        <w:pStyle w:val="BodyText"/>
      </w:pPr>
      <w:r>
        <w:t xml:space="preserve">GPO Sunset Program</w:t>
      </w:r>
    </w:p>
    <w:p>
      <w:pPr>
        <w:pStyle w:val="BodyText"/>
      </w:pPr>
      <w:r>
        <w:t xml:space="preserve">Existing-fleet GPO Replacement — 7-Phase Migration to Intune (per the program decision)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p>
    <w:p>
      <w:pPr>
        <w:pStyle w:val="BodyText"/>
      </w:pPr>
      <w:r>
        <w:rPr>
          <w:b/>
          <w:bCs/>
        </w:rPr>
        <w:t xml:space="preserve">Version:</w:t>
      </w:r>
      <w:r>
        <w:t xml:space="preserve"> </w:t>
      </w:r>
      <w:r>
        <w:t xml:space="preserve">1.0 |</w:t>
      </w:r>
      <w:r>
        <w:t xml:space="preserve"> </w:t>
      </w:r>
      <w:r>
        <w:rPr>
          <w:b/>
          <w:bCs/>
        </w:rPr>
        <w:t xml:space="preserve">Date:</w:t>
      </w:r>
      <w:r>
        <w:t xml:space="preserve"> </w:t>
      </w:r>
      <w:r>
        <w:t xml:space="preserve">April 21, 2026</w:t>
      </w:r>
    </w:p>
    <w:p>
      <w:pPr>
        <w:pStyle w:val="BodyText"/>
      </w:pPr>
      <w:r>
        <w:rPr>
          <w:b/>
          <w:bCs/>
        </w:rPr>
        <w:t xml:space="preserve">Author:</w:t>
      </w:r>
      <w:r>
        <w:t xml:space="preserve"> </w:t>
      </w:r>
      <w:r>
        <w:t xml:space="preserve">Michael |</w:t>
      </w:r>
      <w:r>
        <w:t xml:space="preserve"> </w:t>
      </w:r>
      <w:r>
        <w:rPr>
          <w:b/>
          <w:bCs/>
        </w:rPr>
        <w:t xml:space="preserve">Program:</w:t>
      </w:r>
      <w:r>
        <w:t xml:space="preserve"> </w:t>
      </w:r>
      <w:r>
        <w:t xml:space="preserve">Unified Identity Architecture &amp; Operations (the Federal Modernization Program)</w:t>
      </w:r>
    </w:p>
    <w:p>
      <w:pPr>
        <w:pStyle w:val="BodyText"/>
      </w:pPr>
      <w:r>
        <w:rPr>
          <w:b/>
          <w:bCs/>
        </w:rPr>
        <w:t xml:space="preserve">Audience:</w:t>
      </w:r>
      <w:r>
        <w:t xml:space="preserve"> </w:t>
      </w:r>
      <w:r>
        <w:t xml:space="preserve">Identity Engineers, Endpoint Administrators, Security Architects, IT Governance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Document Purpose</w:t>
            </w:r>
            <w:r>
              <w:t xml:space="preserve"> </w:t>
            </w:r>
            <w:r>
              <w:t xml:space="preserve">|</w:t>
            </w:r>
            <w:r>
              <w:t xml:space="preserve"> </w:t>
            </w:r>
            <w:r>
              <w:t xml:space="preserve">|</w:t>
            </w:r>
            <w:r>
              <w:t xml:space="preserve"> </w:t>
            </w:r>
            <w:r>
              <w:t xml:space="preserve">This document provides a complete, production-ready library of Microsoft Intune policy templates designed to replace Active Directory Group Policy Objects (GPOs) in organizations modernizing to cloud-native endpoint management. Every policy includes full settings tables, GPO equivalence mappings, attribute-based targeting guidance, and deployment methodology aligned to the Federal Modernization Program framework.</w:t>
            </w:r>
          </w:p>
        </w:tc>
      </w:tr>
    </w:tbl>
    <w:p>
      <w:pPr>
        <w:pStyle w:val="BodyText"/>
      </w:pPr>
      <w:r>
        <w:t xml:space="preserve">Table of Contents</w:t>
      </w:r>
    </w:p>
    <w:p>
      <w:pPr>
        <w:numPr>
          <w:ilvl w:val="0"/>
          <w:numId w:val="1312"/>
        </w:numPr>
      </w:pPr>
      <w:r>
        <w:t xml:space="preserve">Executive Summary</w:t>
      </w:r>
    </w:p>
    <w:p>
      <w:pPr>
        <w:numPr>
          <w:ilvl w:val="0"/>
          <w:numId w:val="1312"/>
        </w:numPr>
      </w:pPr>
      <w:r>
        <w:t xml:space="preserve">Policy Architecture</w:t>
      </w:r>
    </w:p>
    <w:p>
      <w:pPr>
        <w:numPr>
          <w:ilvl w:val="0"/>
          <w:numId w:val="1312"/>
        </w:numPr>
      </w:pPr>
      <w:r>
        <w:t xml:space="preserve">Compliance Policies (CP-001 through CP-005)</w:t>
      </w:r>
    </w:p>
    <w:p>
      <w:pPr>
        <w:numPr>
          <w:ilvl w:val="0"/>
          <w:numId w:val="1312"/>
        </w:numPr>
      </w:pPr>
      <w:r>
        <w:t xml:space="preserve">Configuration Profiles — Settings Catalog (SC-001 through SC-010)</w:t>
      </w:r>
    </w:p>
    <w:p>
      <w:pPr>
        <w:numPr>
          <w:ilvl w:val="0"/>
          <w:numId w:val="1312"/>
        </w:numPr>
      </w:pPr>
      <w:r>
        <w:t xml:space="preserve">Endpoint Security Policies (ES-001 through ES-006)</w:t>
      </w:r>
    </w:p>
    <w:p>
      <w:pPr>
        <w:numPr>
          <w:ilvl w:val="0"/>
          <w:numId w:val="1312"/>
        </w:numPr>
      </w:pPr>
      <w:r>
        <w:t xml:space="preserve">App Protection Policies (AP-001 through AP-002)</w:t>
      </w:r>
    </w:p>
    <w:p>
      <w:pPr>
        <w:numPr>
          <w:ilvl w:val="0"/>
          <w:numId w:val="1312"/>
        </w:numPr>
      </w:pPr>
      <w:r>
        <w:t xml:space="preserve">GPO→Intune Semantic Translation Reference</w:t>
      </w:r>
    </w:p>
    <w:p>
      <w:pPr>
        <w:numPr>
          <w:ilvl w:val="0"/>
          <w:numId w:val="1312"/>
        </w:numPr>
      </w:pPr>
      <w:r>
        <w:t xml:space="preserve">Dynamic Group Templates</w:t>
      </w:r>
    </w:p>
    <w:p>
      <w:pPr>
        <w:numPr>
          <w:ilvl w:val="0"/>
          <w:numId w:val="1312"/>
        </w:numPr>
      </w:pPr>
      <w:r>
        <w:t xml:space="preserve">Deployment Methodology</w:t>
      </w:r>
    </w:p>
    <w:p>
      <w:pPr>
        <w:numPr>
          <w:ilvl w:val="0"/>
          <w:numId w:val="1312"/>
        </w:numPr>
      </w:pPr>
      <w:r>
        <w:t xml:space="preserve">Monitoring and Drift Detection</w:t>
      </w:r>
    </w:p>
    <w:p>
      <w:pPr>
        <w:numPr>
          <w:ilvl w:val="0"/>
          <w:numId w:val="1312"/>
        </w:numPr>
      </w:pPr>
      <w:r>
        <w:t xml:space="preserve">Appendix A: Settings Catalog Reference</w:t>
      </w:r>
    </w:p>
    <w:p>
      <w:pPr>
        <w:numPr>
          <w:ilvl w:val="0"/>
          <w:numId w:val="1312"/>
        </w:numPr>
      </w:pPr>
      <w:r>
        <w:t xml:space="preserve">Appendix B: JSON Export Templates</w:t>
      </w:r>
    </w:p>
    <w:p>
      <w:pPr>
        <w:numPr>
          <w:ilvl w:val="0"/>
          <w:numId w:val="1312"/>
        </w:numPr>
      </w:pPr>
      <w:r>
        <w:t xml:space="preserve">Appendix C: Co-Management Decision Matrix</w:t>
      </w:r>
    </w:p>
    <w:p>
      <w:pPr>
        <w:numPr>
          <w:ilvl w:val="0"/>
          <w:numId w:val="1312"/>
        </w:numPr>
      </w:pPr>
      <w:r>
        <w:t xml:space="preserve">Appendix D: Compliance Mapping</w:t>
      </w:r>
    </w:p>
    <w:p>
      <w:pPr>
        <w:pStyle w:val="FirstParagraph"/>
      </w:pPr>
      <w:r>
        <w:t xml:space="preserve">1. Executive Summary</w:t>
      </w:r>
    </w:p>
    <w:p>
      <w:pPr>
        <w:pStyle w:val="BodyText"/>
      </w:pPr>
      <w:r>
        <w:t xml:space="preserve">1.1 Purpose</w:t>
      </w:r>
    </w:p>
    <w:p>
      <w:pPr>
        <w:pStyle w:val="BodyText"/>
      </w:pPr>
      <w:r>
        <w:t xml:space="preserve">This document establishes a complete policy template library for transitioning GPO-managed Windows devices to Microsoft Intune within a GCC-Moderate boundary. It serves as the authoritative reference for endpoint policy configurations, providing standardized, repeatable templates that map legacy Group Policy settings to their Intune equivalents across Compliance Policies, Configuration Profiles (Settings Catalog), Endpoint Security baselines, and App Protection Policies.</w:t>
      </w:r>
    </w:p>
    <w:p>
      <w:pPr>
        <w:pStyle w:val="BodyText"/>
      </w:pPr>
      <w:r>
        <w:t xml:space="preserve">1.2 Scope</w:t>
      </w:r>
    </w:p>
    <w:p>
      <w:pPr>
        <w:numPr>
          <w:ilvl w:val="0"/>
          <w:numId w:val="1313"/>
        </w:numPr>
      </w:pPr>
      <w:r>
        <w:rPr>
          <w:b/>
          <w:bCs/>
        </w:rPr>
        <w:t xml:space="preserve">Windows 10 (22H2) and Windows 11 (23H2+)</w:t>
      </w:r>
      <w:r>
        <w:t xml:space="preserve"> </w:t>
      </w:r>
      <w:r>
        <w:t xml:space="preserve">— corporate-owned and BYOD workstations</w:t>
      </w:r>
    </w:p>
    <w:p>
      <w:pPr>
        <w:numPr>
          <w:ilvl w:val="0"/>
          <w:numId w:val="1313"/>
        </w:numPr>
      </w:pPr>
      <w:r>
        <w:rPr>
          <w:b/>
          <w:bCs/>
        </w:rPr>
        <w:t xml:space="preserve">Windows Server 2025</w:t>
      </w:r>
      <w:r>
        <w:t xml:space="preserve"> </w:t>
      </w:r>
      <w:r>
        <w:t xml:space="preserve">— Azure Arc-managed servers enrolled in Intune (where applicable)</w:t>
      </w:r>
    </w:p>
    <w:p>
      <w:pPr>
        <w:numPr>
          <w:ilvl w:val="0"/>
          <w:numId w:val="1313"/>
        </w:numPr>
      </w:pPr>
      <w:r>
        <w:rPr>
          <w:b/>
          <w:bCs/>
        </w:rPr>
        <w:t xml:space="preserve">Tiered device model:</w:t>
      </w:r>
      <w:r>
        <w:t xml:space="preserve"> </w:t>
      </w:r>
      <w:r>
        <w:t xml:space="preserve">Tier 0 (Privileged), Tier 1 (Server), Tier 2 (Standard Workstation), Kiosk</w:t>
      </w:r>
    </w:p>
    <w:p>
      <w:pPr>
        <w:numPr>
          <w:ilvl w:val="0"/>
          <w:numId w:val="1313"/>
        </w:numPr>
      </w:pPr>
      <w:r>
        <w:rPr>
          <w:b/>
          <w:bCs/>
        </w:rPr>
        <w:t xml:space="preserve">Management boundary:</w:t>
      </w:r>
      <w:r>
        <w:t xml:space="preserve"> </w:t>
      </w:r>
      <w:r>
        <w:t xml:space="preserve">Microsoft Intune in GCC-Moderate (commercial Intune service, intune.microsoft.com)</w:t>
      </w:r>
    </w:p>
    <w:p>
      <w:pPr>
        <w:pStyle w:val="FirstParagraph"/>
      </w:pPr>
      <w:r>
        <w:t xml:space="preserve">1.3 Related the Federal Modernization Program Deliverables</w:t>
      </w:r>
    </w:p>
    <w:tbl>
      <w:tblPr>
        <w:tblStyle w:val="Table"/>
        <w:tblW w:type="pct" w:w="4945"/>
        <w:tblLayout w:type="fixed"/>
        <w:tblLook w:firstRow="1" w:lastRow="0" w:firstColumn="0" w:lastColumn="0" w:noHBand="0" w:noVBand="0" w:val="0020"/>
      </w:tblPr>
      <w:tblGrid>
        <w:gridCol w:w="1794"/>
        <w:gridCol w:w="6038"/>
      </w:tblGrid>
      <w:tr>
        <w:trPr>
          <w:tblHeader w:val="on"/>
        </w:trPr>
        <w:tc>
          <w:tcPr/>
          <w:p>
            <w:pPr>
              <w:pStyle w:val="Compact"/>
              <w:jc w:val="left"/>
            </w:pPr>
            <w:r>
              <w:rPr>
                <w:b/>
                <w:bCs/>
              </w:rPr>
              <w:t xml:space="preserve">Deliverable</w:t>
            </w:r>
          </w:p>
        </w:tc>
        <w:tc>
          <w:tcPr/>
          <w:p>
            <w:pPr>
              <w:pStyle w:val="Compact"/>
              <w:jc w:val="left"/>
            </w:pPr>
            <w:r>
              <w:rPr>
                <w:b/>
                <w:bCs/>
              </w:rPr>
              <w:t xml:space="preserve">Relationship</w:t>
            </w:r>
          </w:p>
        </w:tc>
      </w:tr>
      <w:tr>
        <w:tc>
          <w:tcPr/>
          <w:p>
            <w:pPr>
              <w:pStyle w:val="Compact"/>
              <w:jc w:val="left"/>
            </w:pPr>
            <w:r>
              <w:t xml:space="preserve">The Federal Modernization Program AD Asse</w:t>
            </w:r>
          </w:p>
        </w:tc>
        <w:tc>
          <w:tcPr/>
          <w:p>
            <w:pPr>
              <w:pStyle w:val="Compact"/>
              <w:jc w:val="left"/>
            </w:pPr>
            <w:r>
              <w:t xml:space="preserve">ssment — GPO Inventory Source inventory of all existing GPOs; input for migration matrix (Section 7)</w:t>
            </w:r>
          </w:p>
        </w:tc>
      </w:tr>
      <w:tr>
        <w:tc>
          <w:tcPr/>
          <w:p>
            <w:pPr>
              <w:pStyle w:val="Compact"/>
              <w:jc w:val="left"/>
            </w:pPr>
            <w:r>
              <w:t xml:space="preserve">The Federal Modernization Program Identit</w:t>
            </w:r>
          </w:p>
        </w:tc>
        <w:tc>
          <w:tcPr/>
          <w:p>
            <w:pPr>
              <w:pStyle w:val="Compact"/>
              <w:jc w:val="left"/>
            </w:pPr>
            <w:r>
              <w:t xml:space="preserve">y Modernization Roadmap Timeline and phasing for moving from on-premises AD to Entra ID + Intune</w:t>
            </w:r>
          </w:p>
        </w:tc>
      </w:tr>
      <w:tr>
        <w:tc>
          <w:tcPr/>
          <w:p>
            <w:pPr>
              <w:pStyle w:val="Compact"/>
              <w:jc w:val="left"/>
            </w:pPr>
            <w:r>
              <w:t xml:space="preserve">The Federal Modernization Program Conditi</w:t>
            </w:r>
          </w:p>
        </w:tc>
        <w:tc>
          <w:tcPr/>
          <w:p>
            <w:pPr>
              <w:pStyle w:val="Compact"/>
              <w:jc w:val="left"/>
            </w:pPr>
            <w:r>
              <w:t xml:space="preserve">onal Access Policy Library Compliance policies (this document) are consumed by Conditional Access as grant controls ("Require device to be marked as compliant")</w:t>
            </w:r>
          </w:p>
        </w:tc>
      </w:tr>
      <w:tr>
        <w:tc>
          <w:tcPr/>
          <w:p>
            <w:pPr>
              <w:pStyle w:val="Compact"/>
              <w:jc w:val="left"/>
            </w:pPr>
            <w:r>
              <w:t xml:space="preserve">The Federal Modernization Program Drift D</w:t>
            </w:r>
          </w:p>
        </w:tc>
        <w:tc>
          <w:tcPr/>
          <w:p>
            <w:pPr>
              <w:pStyle w:val="Compact"/>
              <w:jc w:val="left"/>
            </w:pPr>
            <w:r>
              <w:t xml:space="preserve">etection Module Monitors for policy drift and configuration regression post-deployment</w:t>
            </w:r>
          </w:p>
        </w:tc>
      </w:tr>
    </w:tbl>
    <w:p>
      <w:pPr>
        <w:pStyle w:val="BodyText"/>
      </w:pPr>
      <w:r>
        <w:t xml:space="preserve">1.4 Extension Attribute Schema</w:t>
      </w:r>
    </w:p>
    <w:p>
      <w:pPr>
        <w:pStyle w:val="BodyText"/>
      </w:pPr>
      <w:r>
        <w:t xml:space="preserve">All policies in this document are targeted via dynamic Azure AD (Entra ID) groups built from the following extension attribute schema. This eliminates OU-based GPO targeting and replaces it with attribute-based, cloud-native group membership:</w:t>
      </w:r>
    </w:p>
    <w:tbl>
      <w:tblPr>
        <w:tblStyle w:val="Table"/>
        <w:tblW w:type="pct" w:w="4888"/>
        <w:tblLayout w:type="fixed"/>
        <w:tblLook w:firstRow="1" w:lastRow="0" w:firstColumn="0" w:lastColumn="0" w:noHBand="0" w:noVBand="0" w:val="0020"/>
      </w:tblPr>
      <w:tblGrid>
        <w:gridCol w:w="2313"/>
        <w:gridCol w:w="2135"/>
        <w:gridCol w:w="3292"/>
      </w:tblGrid>
      <w:tr>
        <w:trPr>
          <w:tblHeader w:val="on"/>
        </w:trPr>
        <w:tc>
          <w:tcPr/>
          <w:p>
            <w:pPr>
              <w:pStyle w:val="Compact"/>
              <w:jc w:val="left"/>
            </w:pPr>
            <w:r>
              <w:rPr>
                <w:b/>
                <w:bCs/>
              </w:rPr>
              <w:t xml:space="preserve">Extension Attribute</w:t>
            </w:r>
          </w:p>
        </w:tc>
        <w:tc>
          <w:tcPr/>
          <w:p>
            <w:pPr>
              <w:pStyle w:val="Compact"/>
              <w:jc w:val="left"/>
            </w:pPr>
            <w:r>
              <w:rPr>
                <w:b/>
                <w:bCs/>
              </w:rPr>
              <w:t xml:space="preserve">Purpose</w:t>
            </w:r>
          </w:p>
        </w:tc>
        <w:tc>
          <w:tcPr/>
          <w:p>
            <w:pPr>
              <w:pStyle w:val="Compact"/>
              <w:jc w:val="left"/>
            </w:pPr>
            <w:r>
              <w:rPr>
                <w:b/>
                <w:bCs/>
              </w:rPr>
              <w:t xml:space="preserve">Example Values</w:t>
            </w:r>
          </w:p>
        </w:tc>
      </w:tr>
      <w:tr>
        <w:tc>
          <w:tcPr/>
          <w:p>
            <w:pPr>
              <w:pStyle w:val="Compact"/>
              <w:jc w:val="left"/>
            </w:pPr>
            <w:r>
              <w:t xml:space="preserve">extensionAttribute1</w:t>
            </w:r>
          </w:p>
        </w:tc>
        <w:tc>
          <w:tcPr/>
          <w:p>
            <w:pPr>
              <w:pStyle w:val="Compact"/>
              <w:jc w:val="left"/>
            </w:pPr>
            <w:r>
              <w:t xml:space="preserve">Region</w:t>
            </w:r>
          </w:p>
        </w:tc>
        <w:tc>
          <w:tcPr/>
          <w:p>
            <w:pPr>
              <w:pStyle w:val="Compact"/>
              <w:jc w:val="left"/>
            </w:pPr>
            <w:r>
              <w:t xml:space="preserve">East, West, Central, EMEA</w:t>
            </w:r>
          </w:p>
        </w:tc>
      </w:tr>
      <w:tr>
        <w:tc>
          <w:tcPr/>
          <w:p>
            <w:pPr>
              <w:pStyle w:val="Compact"/>
              <w:jc w:val="left"/>
            </w:pPr>
            <w:r>
              <w:t xml:space="preserve">extensionAttribute3</w:t>
            </w:r>
          </w:p>
        </w:tc>
        <w:tc>
          <w:tcPr/>
          <w:p>
            <w:pPr>
              <w:pStyle w:val="Compact"/>
              <w:jc w:val="left"/>
            </w:pPr>
            <w:r>
              <w:t xml:space="preserve">Department / Function</w:t>
            </w:r>
          </w:p>
        </w:tc>
        <w:tc>
          <w:tcPr/>
          <w:p>
            <w:pPr>
              <w:pStyle w:val="Compact"/>
              <w:jc w:val="left"/>
            </w:pPr>
            <w:r>
              <w:t xml:space="preserve">Governance, Engineering, Finance</w:t>
            </w:r>
          </w:p>
        </w:tc>
      </w:tr>
      <w:tr>
        <w:tc>
          <w:tcPr/>
          <w:p>
            <w:pPr>
              <w:pStyle w:val="Compact"/>
              <w:jc w:val="left"/>
            </w:pPr>
            <w:r>
              <w:t xml:space="preserve">extensionAttribute4</w:t>
            </w:r>
          </w:p>
        </w:tc>
        <w:tc>
          <w:tcPr/>
          <w:p>
            <w:pPr>
              <w:pStyle w:val="Compact"/>
              <w:jc w:val="left"/>
            </w:pPr>
            <w:r>
              <w:t xml:space="preserve">Security Tier</w:t>
            </w:r>
          </w:p>
        </w:tc>
        <w:tc>
          <w:tcPr/>
          <w:p>
            <w:pPr>
              <w:pStyle w:val="Compact"/>
              <w:jc w:val="left"/>
            </w:pPr>
            <w:r>
              <w:t xml:space="preserve">Tier0, Tier1, Tier2</w:t>
            </w:r>
          </w:p>
        </w:tc>
      </w:tr>
      <w:tr>
        <w:tc>
          <w:tcPr/>
          <w:p>
            <w:pPr>
              <w:pStyle w:val="Compact"/>
              <w:jc w:val="left"/>
            </w:pPr>
            <w:r>
              <w:t xml:space="preserve">extensionAttribute5</w:t>
            </w:r>
          </w:p>
        </w:tc>
        <w:tc>
          <w:tcPr/>
          <w:p>
            <w:pPr>
              <w:pStyle w:val="Compact"/>
              <w:jc w:val="left"/>
            </w:pPr>
            <w:r>
              <w:t xml:space="preserve">Environment</w:t>
            </w:r>
          </w:p>
        </w:tc>
        <w:tc>
          <w:tcPr/>
          <w:p>
            <w:pPr>
              <w:pStyle w:val="Compact"/>
              <w:jc w:val="left"/>
            </w:pPr>
            <w:r>
              <w:t xml:space="preserve">Production, Staging, Dev</w:t>
            </w:r>
          </w:p>
        </w:tc>
      </w:tr>
      <w:tr>
        <w:tc>
          <w:tcPr/>
          <w:p>
            <w:pPr>
              <w:pStyle w:val="Compact"/>
              <w:jc w:val="left"/>
            </w:pPr>
            <w:r>
              <w:t xml:space="preserve">extensionAttribute6</w:t>
            </w:r>
          </w:p>
        </w:tc>
        <w:tc>
          <w:tcPr/>
          <w:p>
            <w:pPr>
              <w:pStyle w:val="Compact"/>
              <w:jc w:val="left"/>
            </w:pPr>
            <w:r>
              <w:t xml:space="preserve">Device Role</w:t>
            </w:r>
          </w:p>
        </w:tc>
        <w:tc>
          <w:tcPr/>
          <w:p>
            <w:pPr>
              <w:pStyle w:val="Compact"/>
              <w:jc w:val="left"/>
            </w:pPr>
            <w:r>
              <w:t xml:space="preserve">Kiosk, SharedDevice, Dedicated</w:t>
            </w:r>
          </w:p>
        </w:tc>
      </w:tr>
    </w:tbl>
    <w:p>
      <w:pPr>
        <w:pStyle w:val="BodyText"/>
      </w:pPr>
      <w:r>
        <w:t xml:space="preserve">2. Policy Architecture</w:t>
      </w:r>
    </w:p>
    <w:p>
      <w:pPr>
        <w:pStyle w:val="BodyText"/>
      </w:pPr>
      <w:r>
        <w:t xml:space="preserve">2.1 Intune Policy Types</w:t>
      </w:r>
    </w:p>
    <w:tbl>
      <w:tblPr>
        <w:tblStyle w:val="Table"/>
        <w:tblW w:type="pct" w:w="4943"/>
        <w:tblLayout w:type="fixed"/>
        <w:tblLook w:firstRow="1" w:lastRow="0" w:firstColumn="0" w:lastColumn="0" w:noHBand="0" w:noVBand="0" w:val="0020"/>
      </w:tblPr>
      <w:tblGrid>
        <w:gridCol w:w="1935"/>
        <w:gridCol w:w="3510"/>
        <w:gridCol w:w="720"/>
        <w:gridCol w:w="1665"/>
      </w:tblGrid>
      <w:tr>
        <w:trPr>
          <w:tblHeader w:val="on"/>
        </w:trPr>
        <w:tc>
          <w:tcPr/>
          <w:p>
            <w:pPr>
              <w:pStyle w:val="Compact"/>
              <w:jc w:val="left"/>
            </w:pPr>
            <w:r>
              <w:rPr>
                <w:b/>
                <w:bCs/>
              </w:rPr>
              <w:t xml:space="preserve">Policy Type</w:t>
            </w:r>
          </w:p>
        </w:tc>
        <w:tc>
          <w:tcPr/>
          <w:p>
            <w:pPr>
              <w:pStyle w:val="Compact"/>
              <w:jc w:val="left"/>
            </w:pPr>
            <w:r>
              <w:rPr>
                <w:b/>
                <w:bCs/>
              </w:rPr>
              <w:t xml:space="preserve">Purpose</w:t>
            </w:r>
          </w:p>
        </w:tc>
        <w:tc>
          <w:tcPr/>
          <w:p>
            <w:pPr>
              <w:pStyle w:val="Compact"/>
              <w:jc w:val="left"/>
            </w:pPr>
            <w:r>
              <w:rPr>
                <w:b/>
                <w:bCs/>
              </w:rPr>
              <w:t xml:space="preserve">ID Prefix</w:t>
            </w:r>
          </w:p>
        </w:tc>
        <w:tc>
          <w:tcPr/>
          <w:p>
            <w:pPr>
              <w:pStyle w:val="Compact"/>
              <w:jc w:val="left"/>
            </w:pPr>
            <w:r>
              <w:rPr>
                <w:b/>
                <w:bCs/>
              </w:rPr>
              <w:t xml:space="preserve">Blade in Intune</w:t>
            </w:r>
          </w:p>
        </w:tc>
      </w:tr>
      <w:tr>
        <w:tc>
          <w:tcPr/>
          <w:p>
            <w:pPr>
              <w:pStyle w:val="Compact"/>
              <w:jc w:val="left"/>
            </w:pPr>
            <w:r>
              <w:t xml:space="preserve">Compliance Policy</w:t>
            </w:r>
          </w:p>
        </w:tc>
        <w:tc>
          <w:tcPr/>
          <w:p>
            <w:pPr>
              <w:pStyle w:val="Compact"/>
              <w:jc w:val="left"/>
            </w:pPr>
            <w:r>
              <w:t xml:space="preserve">Defines minimum security posture; feeds Conditional Access grant controls</w:t>
            </w:r>
          </w:p>
        </w:tc>
        <w:tc>
          <w:tcPr/>
          <w:p>
            <w:pPr>
              <w:pStyle w:val="Compact"/>
              <w:jc w:val="left"/>
            </w:pPr>
            <w:r>
              <w:t xml:space="preserve">CP-xxx</w:t>
            </w:r>
          </w:p>
        </w:tc>
        <w:tc>
          <w:tcPr/>
          <w:p>
            <w:pPr>
              <w:pStyle w:val="Compact"/>
              <w:jc w:val="left"/>
            </w:pPr>
            <w:r>
              <w:t xml:space="preserve">Devices &gt; Compliance policies</w:t>
            </w:r>
          </w:p>
        </w:tc>
      </w:tr>
      <w:tr>
        <w:tc>
          <w:tcPr/>
          <w:p>
            <w:pPr>
              <w:pStyle w:val="Compact"/>
              <w:jc w:val="left"/>
            </w:pPr>
            <w:r>
              <w:t xml:space="preserve">Configuration Profile (Settings Catalog)</w:t>
            </w:r>
          </w:p>
        </w:tc>
        <w:tc>
          <w:tcPr/>
          <w:p>
            <w:pPr>
              <w:pStyle w:val="Compact"/>
              <w:jc w:val="left"/>
            </w:pPr>
            <w:r>
              <w:t xml:space="preserve">Deploys device settings; replaces ADMX-backed GPOs and preferences</w:t>
            </w:r>
          </w:p>
        </w:tc>
        <w:tc>
          <w:tcPr/>
          <w:p>
            <w:pPr>
              <w:pStyle w:val="Compact"/>
              <w:jc w:val="left"/>
            </w:pPr>
            <w:r>
              <w:t xml:space="preserve">SC-xxx</w:t>
            </w:r>
          </w:p>
        </w:tc>
        <w:tc>
          <w:tcPr/>
          <w:p>
            <w:pPr>
              <w:pStyle w:val="Compact"/>
              <w:jc w:val="left"/>
            </w:pPr>
            <w:r>
              <w:t xml:space="preserve">Devices &gt; Configuration profiles</w:t>
            </w:r>
          </w:p>
        </w:tc>
      </w:tr>
      <w:tr>
        <w:tc>
          <w:tcPr/>
          <w:p>
            <w:pPr>
              <w:pStyle w:val="Compact"/>
              <w:jc w:val="left"/>
            </w:pPr>
            <w:r>
              <w:t xml:space="preserve">Endpoint Security Policy</w:t>
            </w:r>
          </w:p>
        </w:tc>
        <w:tc>
          <w:tcPr/>
          <w:p>
            <w:pPr>
              <w:pStyle w:val="Compact"/>
              <w:jc w:val="left"/>
            </w:pPr>
            <w:r>
              <w:t xml:space="preserve">Security-focused policies for AV, firewall, disk encryption, EDR, ASR</w:t>
            </w:r>
          </w:p>
        </w:tc>
        <w:tc>
          <w:tcPr/>
          <w:p>
            <w:pPr>
              <w:pStyle w:val="Compact"/>
              <w:jc w:val="left"/>
            </w:pPr>
            <w:r>
              <w:t xml:space="preserve">ES-xxx</w:t>
            </w:r>
          </w:p>
        </w:tc>
        <w:tc>
          <w:tcPr/>
          <w:p>
            <w:pPr>
              <w:pStyle w:val="Compact"/>
              <w:jc w:val="left"/>
            </w:pPr>
            <w:r>
              <w:t xml:space="preserve">Endpoint security &gt; [category]</w:t>
            </w:r>
          </w:p>
        </w:tc>
      </w:tr>
      <w:tr>
        <w:tc>
          <w:tcPr/>
          <w:p>
            <w:pPr>
              <w:pStyle w:val="Compact"/>
              <w:jc w:val="left"/>
            </w:pPr>
            <w:r>
              <w:t xml:space="preserve">App Protection Policy</w:t>
            </w:r>
          </w:p>
        </w:tc>
        <w:tc>
          <w:tcPr/>
          <w:p>
            <w:pPr>
              <w:pStyle w:val="Compact"/>
              <w:jc w:val="left"/>
            </w:pPr>
            <w:r>
              <w:t xml:space="preserve">Data protection within managed apps (MAM); supports BYOD without enrollment</w:t>
            </w:r>
          </w:p>
        </w:tc>
        <w:tc>
          <w:tcPr/>
          <w:p>
            <w:pPr>
              <w:pStyle w:val="Compact"/>
              <w:jc w:val="left"/>
            </w:pPr>
            <w:r>
              <w:t xml:space="preserve">AP-xxx</w:t>
            </w:r>
          </w:p>
        </w:tc>
        <w:tc>
          <w:tcPr/>
          <w:p>
            <w:pPr>
              <w:pStyle w:val="Compact"/>
              <w:jc w:val="left"/>
            </w:pPr>
            <w:r>
              <w:t xml:space="preserve">Apps &gt; App protection policies</w:t>
            </w:r>
          </w:p>
        </w:tc>
      </w:tr>
      <w:tr>
        <w:tc>
          <w:tcPr/>
          <w:p>
            <w:pPr>
              <w:pStyle w:val="Compact"/>
              <w:jc w:val="left"/>
            </w:pPr>
            <w:r>
              <w:t xml:space="preserve">App Configuration Policy</w:t>
            </w:r>
          </w:p>
        </w:tc>
        <w:tc>
          <w:tcPr/>
          <w:p>
            <w:pPr>
              <w:pStyle w:val="Compact"/>
              <w:jc w:val="left"/>
            </w:pPr>
            <w:r>
              <w:t xml:space="preserve">Application-specific key/value settings pushed to managed apps</w:t>
            </w:r>
          </w:p>
        </w:tc>
        <w:tc>
          <w:tcPr/>
          <w:p>
            <w:pPr>
              <w:pStyle w:val="Compact"/>
              <w:jc w:val="left"/>
            </w:pPr>
            <w:r>
              <w:t xml:space="preserve">AC-xxx</w:t>
            </w:r>
          </w:p>
        </w:tc>
        <w:tc>
          <w:tcPr/>
          <w:p>
            <w:pPr>
              <w:pStyle w:val="Compact"/>
              <w:jc w:val="left"/>
            </w:pPr>
            <w:r>
              <w:t xml:space="preserve">Apps &gt; App configuration policies</w:t>
            </w:r>
          </w:p>
        </w:tc>
      </w:tr>
    </w:tbl>
    <w:p>
      <w:pPr>
        <w:pStyle w:val="BodyText"/>
      </w:pPr>
      <w:r>
        <w:t xml:space="preserve">2.2 Policy Assignment Strategy</w:t>
      </w:r>
    </w:p>
    <w:p>
      <w:pPr>
        <w:pStyle w:val="BodyText"/>
      </w:pPr>
      <w:r>
        <w:t xml:space="preserve">All policies are assigned to dynamic Entra ID groups based on extension attributes. This replaces OU-linked GPO scoping with attribute-driven, cloud-native targeting:</w:t>
      </w:r>
    </w:p>
    <w:p>
      <w:pPr>
        <w:numPr>
          <w:ilvl w:val="0"/>
          <w:numId w:val="1314"/>
        </w:numPr>
      </w:pPr>
      <w:r>
        <w:rPr>
          <w:b/>
          <w:bCs/>
        </w:rPr>
        <w:t xml:space="preserve">Include groups:</w:t>
      </w:r>
      <w:r>
        <w:t xml:space="preserve"> </w:t>
      </w:r>
      <w:r>
        <w:t xml:space="preserve">Dynamic device groups matching the policy's intended tier, environment, and role.</w:t>
      </w:r>
    </w:p>
    <w:p>
      <w:pPr>
        <w:numPr>
          <w:ilvl w:val="0"/>
          <w:numId w:val="1314"/>
        </w:numPr>
      </w:pPr>
      <w:r>
        <w:rPr>
          <w:b/>
          <w:bCs/>
        </w:rPr>
        <w:t xml:space="preserve">Exclude groups:</w:t>
      </w:r>
      <w:r>
        <w:t xml:space="preserve"> </w:t>
      </w:r>
      <w:r>
        <w:t xml:space="preserve">Break-glass exclusion groups for emergency override; staging groups during phased rollout.</w:t>
      </w:r>
    </w:p>
    <w:p>
      <w:pPr>
        <w:numPr>
          <w:ilvl w:val="0"/>
          <w:numId w:val="1314"/>
        </w:numPr>
      </w:pPr>
      <w:r>
        <w:rPr>
          <w:b/>
          <w:bCs/>
        </w:rPr>
        <w:t xml:space="preserve">Filters:</w:t>
      </w:r>
      <w:r>
        <w:t xml:space="preserve"> </w:t>
      </w:r>
      <w:r>
        <w:t xml:space="preserve">Intune assignment filters provide an additional layer of targeting (e.g.,</w:t>
      </w:r>
      <w:r>
        <w:t xml:space="preserve"> </w:t>
      </w:r>
      <w:r>
        <w:rPr>
          <w:i/>
          <w:iCs/>
        </w:rPr>
        <w:t xml:space="preserve">device.extensionAttribute11 -eq "Tier0"</w:t>
      </w:r>
      <w:r>
        <w:t xml:space="preserve">) applied at the assignment level, not the group level.</w:t>
      </w:r>
    </w:p>
    <w:tbl>
      <w:tblPr>
        <w:tblStyle w:val="Table"/>
        <w:tblW w:type="pct" w:w="5024"/>
        <w:tblLayout w:type="fixed"/>
        <w:tblLook w:firstRow="0" w:lastRow="0" w:firstColumn="0" w:lastColumn="0" w:noHBand="0" w:noVBand="0" w:val="0000"/>
      </w:tblPr>
      <w:tblGrid>
        <w:gridCol w:w="7957"/>
      </w:tblGrid>
      <w:tr>
        <w:tc>
          <w:tcPr/>
          <w:p>
            <w:pPr>
              <w:pStyle w:val="FirstParagraph"/>
            </w:pPr>
            <w:r>
              <w:rPr>
                <w:b/>
                <w:bCs/>
              </w:rPr>
              <w:t xml:space="preserve">Assignment Precedence</w:t>
            </w:r>
          </w:p>
          <w:p>
            <w:pPr>
              <w:pStyle w:val="BodyText"/>
            </w:pPr>
            <w:r>
              <w:rPr>
                <w:b/>
                <w:bCs/>
              </w:rPr>
              <w:t xml:space="preserve">Compliance policies:</w:t>
            </w:r>
            <w:r>
              <w:t xml:space="preserve"> </w:t>
            </w:r>
            <w:r>
              <w:t xml:space="preserve">Most restrictive wins. If a device is in scope of multiple compliance policies, the most restrictive setting value is enforced.</w:t>
            </w:r>
            <w:r>
              <w:br/>
            </w:r>
            <w:r>
              <w:rPr>
                <w:b/>
                <w:bCs/>
              </w:rPr>
              <w:t xml:space="preserve">Configuration profiles:</w:t>
            </w:r>
            <w:r>
              <w:t xml:space="preserve"> </w:t>
            </w:r>
            <w:r>
              <w:t xml:space="preserve">Last write wins. If two profiles configure the same setting, the most recently processed profile's value takes effect. Intune reports a conflict in the device configuration status.</w:t>
            </w:r>
            <w:r>
              <w:br/>
            </w:r>
            <w:r>
              <w:rPr>
                <w:b/>
                <w:bCs/>
              </w:rPr>
              <w:t xml:space="preserve">Endpoint Security:</w:t>
            </w:r>
            <w:r>
              <w:t xml:space="preserve"> </w:t>
            </w:r>
            <w:r>
              <w:t xml:space="preserve">Endpoint Security policies take precedence over Configuration Profiles for the same setting.</w:t>
            </w:r>
          </w:p>
        </w:tc>
      </w:tr>
    </w:tbl>
    <w:p>
      <w:pPr>
        <w:pStyle w:val="BodyText"/>
      </w:pPr>
      <w:r>
        <w:t xml:space="preserve">2.3 Scope Tags</w:t>
      </w:r>
    </w:p>
    <w:p>
      <w:pPr>
        <w:pStyle w:val="BodyText"/>
      </w:pPr>
      <w:r>
        <w:t xml:space="preserve">Scope tags partition the Intune console for multi-region or multi-tenant delegated administration. Each policy in this library is tagged with:</w:t>
      </w:r>
    </w:p>
    <w:tbl>
      <w:tblPr>
        <w:tblStyle w:val="Table"/>
        <w:tblW w:type="pct" w:w="4916"/>
        <w:tblLayout w:type="fixed"/>
        <w:tblLook w:firstRow="1" w:lastRow="0" w:firstColumn="0" w:lastColumn="0" w:noHBand="0" w:noVBand="0" w:val="0020"/>
      </w:tblPr>
      <w:tblGrid>
        <w:gridCol w:w="1264"/>
        <w:gridCol w:w="3061"/>
        <w:gridCol w:w="3460"/>
      </w:tblGrid>
      <w:tr>
        <w:trPr>
          <w:tblHeader w:val="on"/>
        </w:trPr>
        <w:tc>
          <w:tcPr/>
          <w:p>
            <w:pPr>
              <w:pStyle w:val="Compact"/>
              <w:jc w:val="left"/>
            </w:pPr>
            <w:r>
              <w:rPr>
                <w:b/>
                <w:bCs/>
              </w:rPr>
              <w:t xml:space="preserve">Scope Tag</w:t>
            </w:r>
          </w:p>
        </w:tc>
        <w:tc>
          <w:tcPr/>
          <w:p>
            <w:pPr>
              <w:pStyle w:val="Compact"/>
              <w:jc w:val="left"/>
            </w:pPr>
            <w:r>
              <w:rPr>
                <w:b/>
                <w:bCs/>
              </w:rPr>
              <w:t xml:space="preserve">Description</w:t>
            </w:r>
          </w:p>
        </w:tc>
        <w:tc>
          <w:tcPr/>
          <w:p>
            <w:pPr>
              <w:pStyle w:val="Compact"/>
              <w:jc w:val="left"/>
            </w:pPr>
            <w:r>
              <w:rPr>
                <w:b/>
                <w:bCs/>
              </w:rPr>
              <w:t xml:space="preserve">Assigned To</w:t>
            </w:r>
          </w:p>
        </w:tc>
      </w:tr>
      <w:tr>
        <w:tc>
          <w:tcPr/>
          <w:p>
            <w:pPr>
              <w:pStyle w:val="Compact"/>
              <w:jc w:val="left"/>
            </w:pPr>
            <w:r>
              <w:t xml:space="preserve">FMP-Global B</w:t>
            </w:r>
          </w:p>
        </w:tc>
        <w:tc>
          <w:tcPr/>
          <w:p>
            <w:pPr>
              <w:pStyle w:val="Compact"/>
              <w:jc w:val="left"/>
            </w:pPr>
            <w:r>
              <w:t xml:space="preserve">aseline policies applicable to all devices A</w:t>
            </w:r>
          </w:p>
        </w:tc>
        <w:tc>
          <w:tcPr/>
          <w:p>
            <w:pPr>
              <w:pStyle w:val="Compact"/>
              <w:jc w:val="left"/>
            </w:pPr>
            <w:r>
              <w:t xml:space="preserve">ll CP-001, SC-001, SC-002, ES-001 through ES-004</w:t>
            </w:r>
          </w:p>
        </w:tc>
      </w:tr>
      <w:tr>
        <w:tc>
          <w:tcPr/>
          <w:p>
            <w:pPr>
              <w:pStyle w:val="Compact"/>
              <w:jc w:val="left"/>
            </w:pPr>
            <w:r>
              <w:t xml:space="preserve">FMP-Tier0 P</w:t>
            </w:r>
          </w:p>
        </w:tc>
        <w:tc>
          <w:tcPr/>
          <w:p>
            <w:pPr>
              <w:pStyle w:val="Compact"/>
              <w:jc w:val="left"/>
            </w:pPr>
            <w:r>
              <w:t xml:space="preserve">rivileged workstation policies C</w:t>
            </w:r>
          </w:p>
        </w:tc>
        <w:tc>
          <w:tcPr/>
          <w:p>
            <w:pPr>
              <w:pStyle w:val="Compact"/>
              <w:jc w:val="left"/>
            </w:pPr>
            <w:r>
              <w:t xml:space="preserve">P-002, SC-009 (restricted RDP), ES-005, ES-006</w:t>
            </w:r>
          </w:p>
        </w:tc>
      </w:tr>
      <w:tr>
        <w:tc>
          <w:tcPr/>
          <w:p>
            <w:pPr>
              <w:pStyle w:val="Compact"/>
              <w:jc w:val="left"/>
            </w:pPr>
            <w:r>
              <w:t xml:space="preserve">FMP-Region-East R</w:t>
            </w:r>
          </w:p>
        </w:tc>
        <w:tc>
          <w:tcPr/>
          <w:p>
            <w:pPr>
              <w:pStyle w:val="Compact"/>
              <w:jc w:val="left"/>
            </w:pPr>
            <w:r>
              <w:t xml:space="preserve">egion-specific policy variants R</w:t>
            </w:r>
          </w:p>
        </w:tc>
        <w:tc>
          <w:tcPr/>
          <w:p>
            <w:pPr>
              <w:pStyle w:val="Compact"/>
              <w:jc w:val="left"/>
            </w:pPr>
            <w:r>
              <w:t xml:space="preserve">egion-scoped configuration profiles</w:t>
            </w:r>
          </w:p>
        </w:tc>
      </w:tr>
      <w:tr>
        <w:tc>
          <w:tcPr/>
          <w:p>
            <w:pPr>
              <w:pStyle w:val="Compact"/>
              <w:jc w:val="left"/>
            </w:pPr>
            <w:r>
              <w:t xml:space="preserve">FMP-Kiosk K</w:t>
            </w:r>
          </w:p>
        </w:tc>
        <w:tc>
          <w:tcPr/>
          <w:p>
            <w:pPr>
              <w:pStyle w:val="Compact"/>
              <w:jc w:val="left"/>
            </w:pPr>
            <w:r>
              <w:t xml:space="preserve">iosk and shared device policies C</w:t>
            </w:r>
          </w:p>
        </w:tc>
        <w:tc>
          <w:tcPr/>
          <w:p>
            <w:pPr>
              <w:pStyle w:val="Compact"/>
              <w:jc w:val="left"/>
            </w:pPr>
            <w:r>
              <w:t xml:space="preserve">P-005, SC-010</w:t>
            </w:r>
          </w:p>
        </w:tc>
      </w:tr>
    </w:tbl>
    <w:p>
      <w:pPr>
        <w:pStyle w:val="BodyText"/>
      </w:pPr>
      <w:r>
        <w:t xml:space="preserve">2.4 Filters for Device Targeting</w:t>
      </w:r>
    </w:p>
    <w:p>
      <w:pPr>
        <w:pStyle w:val="BodyText"/>
      </w:pPr>
      <w:r>
        <w:t xml:space="preserve">Intune filters allow granular targeting at the assignment level. Filters are evaluated after group membership and can include or exclude devices from a policy assignment:</w:t>
      </w:r>
    </w:p>
    <w:tbl>
      <w:tblPr>
        <w:tblStyle w:val="Table"/>
        <w:tblW w:type="pct" w:w="4968"/>
        <w:tblLayout w:type="fixed"/>
        <w:tblLook w:firstRow="0" w:lastRow="0" w:firstColumn="0" w:lastColumn="0" w:noHBand="0" w:noVBand="0" w:val="0000"/>
      </w:tblPr>
      <w:tblGrid>
        <w:gridCol w:w="7868"/>
      </w:tblGrid>
      <w:tr>
        <w:tc>
          <w:tcPr/>
          <w:p>
            <w:pPr>
              <w:pStyle w:val="Compact"/>
            </w:pPr>
            <w:r>
              <w:t xml:space="preserve">// Example: Include only Tier 0 devices (device.extensionAttribute11 -eq "Tier0") // Example: Exclude Dev environment devices (device.extensionAttribute13 -ne "Dev") // Example: Target Kiosk devices in East region (device.extensionAttribute12 -eq "Kiosk") -and (device.extensionAttribute1 -eq "EASTUS")</w:t>
            </w:r>
          </w:p>
        </w:tc>
      </w:tr>
    </w:tbl>
    <w:p>
      <w:pPr>
        <w:pStyle w:val="BodyText"/>
      </w:pPr>
      <w:r>
        <w:t xml:space="preserve">2.5 Co-Management Considerations</w:t>
      </w:r>
    </w:p>
    <w:p>
      <w:pPr>
        <w:pStyle w:val="BodyText"/>
      </w:pPr>
      <w:r>
        <w:t xml:space="preserve">For organizations running Microsoft Endpoint Configuration Manager (SCCM/MECM) alongside Intune, co-management enables a phased workload transition. The co-management workload slider determines which authority (SCCM or Intune) controls each policy area:</w:t>
      </w:r>
    </w:p>
    <w:tbl>
      <w:tblPr>
        <w:tblStyle w:val="Table"/>
        <w:tblW w:type="pct" w:w="4906"/>
        <w:tblLayout w:type="fixed"/>
        <w:tblLook w:firstRow="1" w:lastRow="0" w:firstColumn="0" w:lastColumn="0" w:noHBand="0" w:noVBand="0" w:val="0020"/>
      </w:tblPr>
      <w:tblGrid>
        <w:gridCol w:w="1718"/>
        <w:gridCol w:w="1867"/>
        <w:gridCol w:w="2017"/>
        <w:gridCol w:w="2166"/>
      </w:tblGrid>
      <w:tr>
        <w:trPr>
          <w:tblHeader w:val="on"/>
        </w:trPr>
        <w:tc>
          <w:tcPr/>
          <w:p>
            <w:pPr>
              <w:pStyle w:val="Compact"/>
              <w:jc w:val="left"/>
            </w:pPr>
            <w:r>
              <w:rPr>
                <w:b/>
                <w:bCs/>
              </w:rPr>
              <w:t xml:space="preserve">Workload</w:t>
            </w:r>
          </w:p>
        </w:tc>
        <w:tc>
          <w:tcPr/>
          <w:p>
            <w:pPr>
              <w:pStyle w:val="Compact"/>
              <w:jc w:val="left"/>
            </w:pPr>
            <w:r>
              <w:rPr>
                <w:b/>
                <w:bCs/>
              </w:rPr>
              <w:t xml:space="preserve">Phase 1 (GPO+SCCM)</w:t>
            </w:r>
          </w:p>
        </w:tc>
        <w:tc>
          <w:tcPr/>
          <w:p>
            <w:pPr>
              <w:pStyle w:val="Compact"/>
              <w:jc w:val="left"/>
            </w:pPr>
            <w:r>
              <w:rPr>
                <w:b/>
                <w:bCs/>
              </w:rPr>
              <w:t xml:space="preserve">Phase 2 (Co-Managed)</w:t>
            </w:r>
          </w:p>
        </w:tc>
        <w:tc>
          <w:tcPr/>
          <w:p>
            <w:pPr>
              <w:pStyle w:val="Compact"/>
              <w:jc w:val="left"/>
            </w:pPr>
            <w:r>
              <w:rPr>
                <w:b/>
                <w:bCs/>
              </w:rPr>
              <w:t xml:space="preserve">Phase 3 (Intune-Only)</w:t>
            </w:r>
          </w:p>
        </w:tc>
      </w:tr>
      <w:tr>
        <w:tc>
          <w:tcPr/>
          <w:p>
            <w:pPr>
              <w:pStyle w:val="Compact"/>
              <w:jc w:val="left"/>
            </w:pPr>
            <w:r>
              <w:t xml:space="preserve">Compliance Policies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w:t>
            </w:r>
          </w:p>
        </w:tc>
      </w:tr>
      <w:tr>
        <w:tc>
          <w:tcPr/>
          <w:p>
            <w:pPr>
              <w:pStyle w:val="Compact"/>
              <w:jc w:val="left"/>
            </w:pPr>
            <w:r>
              <w:t xml:space="preserve">Device Configuration</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(Settings Catalog)</w:t>
            </w:r>
          </w:p>
        </w:tc>
      </w:tr>
      <w:tr>
        <w:tc>
          <w:tcPr/>
          <w:p>
            <w:pPr>
              <w:pStyle w:val="Compact"/>
              <w:jc w:val="left"/>
            </w:pPr>
            <w:r>
              <w:t xml:space="preserve">Endpoint Protection</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(Endpoint Security)</w:t>
            </w:r>
          </w:p>
        </w:tc>
      </w:tr>
      <w:tr>
        <w:tc>
          <w:tcPr/>
          <w:p>
            <w:pPr>
              <w:pStyle w:val="Compact"/>
              <w:jc w:val="left"/>
            </w:pPr>
            <w:r>
              <w:t xml:space="preserve">Windows Update</w:t>
            </w:r>
          </w:p>
        </w:tc>
        <w:tc>
          <w:tcPr/>
          <w:p>
            <w:pPr>
              <w:pStyle w:val="Compact"/>
              <w:jc w:val="left"/>
            </w:pPr>
            <w:r>
              <w:t xml:space="preserve">WSUS / SCCM</w:t>
            </w:r>
          </w:p>
        </w:tc>
        <w:tc>
          <w:tcPr/>
          <w:p>
            <w:pPr>
              <w:pStyle w:val="Compact"/>
              <w:jc w:val="left"/>
            </w:pPr>
            <w:r>
              <w:t xml:space="preserve">Pilot Intune</w:t>
            </w:r>
          </w:p>
        </w:tc>
        <w:tc>
          <w:tcPr/>
          <w:p>
            <w:pPr>
              <w:pStyle w:val="Compact"/>
              <w:jc w:val="left"/>
            </w:pPr>
            <w:r>
              <w:t xml:space="preserve">Intune (WUfB)</w:t>
            </w:r>
          </w:p>
        </w:tc>
      </w:tr>
      <w:tr>
        <w:tc>
          <w:tcPr/>
          <w:p>
            <w:pPr>
              <w:pStyle w:val="Compact"/>
              <w:jc w:val="left"/>
            </w:pPr>
            <w:r>
              <w:t xml:space="preserve">Resource Access</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 Entra ID</w:t>
            </w:r>
          </w:p>
        </w:tc>
      </w:tr>
      <w:tr>
        <w:tc>
          <w:tcPr/>
          <w:p>
            <w:pPr>
              <w:pStyle w:val="Compact"/>
              <w:jc w:val="left"/>
            </w:pPr>
            <w:r>
              <w:t xml:space="preserve">Client Apps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 Winget</w:t>
            </w:r>
          </w:p>
        </w:tc>
      </w:tr>
      <w:tr>
        <w:tc>
          <w:tcPr/>
          <w:p>
            <w:pPr>
              <w:pStyle w:val="Compact"/>
              <w:jc w:val="left"/>
            </w:pPr>
            <w:r>
              <w:t xml:space="preserve">Office Click-to-Run</w:t>
            </w:r>
          </w:p>
        </w:tc>
        <w:tc>
          <w:tcPr/>
          <w:p>
            <w:pPr>
              <w:pStyle w:val="Compact"/>
              <w:jc w:val="left"/>
            </w:pPr>
            <w:r>
              <w:t xml:space="preserve">SCCM</w:t>
            </w:r>
          </w:p>
        </w:tc>
        <w:tc>
          <w:tcPr/>
          <w:p>
            <w:pPr>
              <w:pStyle w:val="Compact"/>
              <w:jc w:val="left"/>
            </w:pPr>
            <w:r>
              <w:t xml:space="preserve">Intune</w:t>
            </w:r>
          </w:p>
        </w:tc>
        <w:tc>
          <w:tcPr/>
          <w:p>
            <w:pPr>
              <w:pStyle w:val="Compact"/>
              <w:jc w:val="left"/>
            </w:pPr>
            <w:r>
              <w:t xml:space="preserve">Intune</w:t>
            </w:r>
          </w:p>
        </w:tc>
      </w:tr>
    </w:tbl>
    <w:p/>
    <w:tbl>
      <w:tblPr>
        <w:tblStyle w:val="Table"/>
        <w:tblW w:type="pct" w:w="5015"/>
        <w:tblLayout w:type="fixed"/>
        <w:tblLook w:firstRow="0" w:lastRow="0" w:firstColumn="0" w:lastColumn="0" w:noHBand="0" w:noVBand="0" w:val="0000"/>
      </w:tblPr>
      <w:tblGrid>
        <w:gridCol w:w="7944"/>
      </w:tblGrid>
      <w:tr>
        <w:tc>
          <w:tcPr/>
          <w:p>
            <w:pPr>
              <w:pStyle w:val="FirstParagraph"/>
            </w:pPr>
            <w:r>
              <w:rPr>
                <w:b/>
                <w:bCs/>
              </w:rPr>
              <w:t xml:space="preserve">Important: Co-Management Conflict</w:t>
            </w:r>
          </w:p>
          <w:p>
            <w:pPr>
              <w:pStyle w:val="BodyText"/>
            </w:pPr>
            <w:r>
              <w:t xml:space="preserve">When co-management is enabled, a device cannot receive the same setting from both SCCM and Intune. The workload slider must be set to the correct authority</w:t>
            </w:r>
            <w:r>
              <w:t xml:space="preserve"> </w:t>
            </w:r>
            <w:r>
              <w:rPr>
                <w:i/>
                <w:iCs/>
              </w:rPr>
              <w:t xml:space="preserve">before</w:t>
            </w:r>
            <w:r>
              <w:t xml:space="preserve"> </w:t>
            </w:r>
            <w:r>
              <w:t xml:space="preserve">deploying Intune policies for that workload. Deploying Intune policies while the workload slider remains on SCCM will result in the Intune policy being ignored.</w:t>
            </w:r>
          </w:p>
        </w:tc>
      </w:tr>
    </w:tbl>
    <w:p>
      <w:pPr>
        <w:pStyle w:val="BodyText"/>
      </w:pPr>
      <w:r>
        <w:t xml:space="preserve">3. Compliance Policies</w:t>
      </w:r>
    </w:p>
    <w:p>
      <w:pPr>
        <w:pStyle w:val="BodyText"/>
      </w:pPr>
      <w:r>
        <w:t xml:space="preserve">Compliance policies define the minimum security posture a device must meet before being granted access to corporate resources via Conditional Access. Non-compliant devices are restricted based on the configured non-compliance actions.</w:t>
      </w:r>
    </w:p>
    <w:p>
      <w:pPr>
        <w:pStyle w:val="BodyText"/>
      </w:pPr>
      <w:r>
        <w:t xml:space="preserve">3.1 CP-001: Windows Workstation Baseline Compliance</w:t>
      </w:r>
    </w:p>
    <w:p>
      <w:pPr>
        <w:pStyle w:val="BodyText"/>
      </w:pPr>
      <w:r>
        <w:rPr>
          <w:b/>
          <w:bCs/>
        </w:rPr>
        <w:t xml:space="preserve">Policy ID: CP-001 | Platform: Windows 10/11 | Target: All corporate workstations</w:t>
      </w:r>
    </w:p>
    <w:p>
      <w:pPr>
        <w:pStyle w:val="BodyText"/>
      </w:pPr>
      <w:r>
        <w:rPr>
          <w:b/>
          <w:bCs/>
        </w:rPr>
        <w:t xml:space="preserve">Targeting:</w:t>
      </w:r>
      <w:r>
        <w:t xml:space="preserve"> </w:t>
      </w:r>
      <w:r>
        <w:t xml:space="preserve">Dynamic group — All devices where extensionAttribute4 -in ["Tier0", "Tier1", "Tier2"]</w:t>
      </w:r>
    </w:p>
    <w:p>
      <w:pPr>
        <w:pStyle w:val="BodyText"/>
      </w:pPr>
      <w:r>
        <w:rPr>
          <w:b/>
          <w:bCs/>
        </w:rPr>
        <w:t xml:space="preserve">GPO Equivalent:</w:t>
      </w:r>
      <w:r>
        <w:t xml:space="preserve"> </w:t>
      </w:r>
      <w:r>
        <w:t xml:space="preserve">Aggregate of multiple GPO settings across Security Settings, BitLocker, Defender, and system health policies.</w:t>
      </w:r>
    </w:p>
    <w:p>
      <w:pPr>
        <w:pStyle w:val="BodyText"/>
      </w:pPr>
      <w:r>
        <w:t xml:space="preserve">Settings</w:t>
      </w:r>
    </w:p>
    <w:tbl>
      <w:tblPr>
        <w:tblStyle w:val="Table"/>
        <w:tblW w:type="pct" w:w="4956"/>
        <w:tblLayout w:type="fixed"/>
        <w:tblLook w:firstRow="1" w:lastRow="0" w:firstColumn="0" w:lastColumn="0" w:noHBand="0" w:noVBand="0" w:val="0020"/>
      </w:tblPr>
      <w:tblGrid>
        <w:gridCol w:w="732"/>
        <w:gridCol w:w="1221"/>
        <w:gridCol w:w="1884"/>
        <w:gridCol w:w="4012"/>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Require BitLocker</w:t>
            </w:r>
          </w:p>
        </w:tc>
        <w:tc>
          <w:tcPr/>
          <w:p>
            <w:pPr>
              <w:pStyle w:val="Compact"/>
              <w:jc w:val="left"/>
            </w:pPr>
            <w:r>
              <w:t xml:space="preserve">Required</w:t>
            </w:r>
          </w:p>
        </w:tc>
        <w:tc>
          <w:tcPr/>
          <w:p>
            <w:pPr>
              <w:pStyle w:val="Compact"/>
              <w:jc w:val="left"/>
            </w:pPr>
            <w:r>
              <w:t xml:space="preserve">Computer Config &gt; Admin Templates &gt; Windows Components &gt; BitLocker</w:t>
            </w:r>
          </w:p>
        </w:tc>
      </w:tr>
      <w:tr>
        <w:tc>
          <w:tcPr/>
          <w:p>
            <w:pPr>
              <w:pStyle w:val="Compact"/>
              <w:jc w:val="left"/>
            </w:pPr>
            <w:r>
              <w:t xml:space="preserve">Device Health</w:t>
            </w:r>
          </w:p>
        </w:tc>
        <w:tc>
          <w:tcPr/>
          <w:p>
            <w:pPr>
              <w:pStyle w:val="Compact"/>
              <w:jc w:val="left"/>
            </w:pPr>
            <w:r>
              <w:t xml:space="preserve">Require Secure Boot</w:t>
            </w:r>
          </w:p>
        </w:tc>
        <w:tc>
          <w:tcPr/>
          <w:p>
            <w:pPr>
              <w:pStyle w:val="Compact"/>
              <w:jc w:val="left"/>
            </w:pPr>
            <w:r>
              <w:t xml:space="preserve">Required</w:t>
            </w:r>
          </w:p>
        </w:tc>
        <w:tc>
          <w:tcPr/>
          <w:p>
            <w:pPr>
              <w:pStyle w:val="Compact"/>
              <w:jc w:val="left"/>
            </w:pPr>
            <w:r>
              <w:t xml:space="preserve">N/A (UEFI firmware setting)</w:t>
            </w:r>
          </w:p>
        </w:tc>
      </w:tr>
      <w:tr>
        <w:tc>
          <w:tcPr/>
          <w:p>
            <w:pPr>
              <w:pStyle w:val="Compact"/>
              <w:jc w:val="left"/>
            </w:pPr>
            <w:r>
              <w:t xml:space="preserve">Device Health</w:t>
            </w:r>
          </w:p>
        </w:tc>
        <w:tc>
          <w:tcPr/>
          <w:p>
            <w:pPr>
              <w:pStyle w:val="Compact"/>
              <w:jc w:val="left"/>
            </w:pPr>
            <w:r>
              <w:t xml:space="preserve">Require Code Integrity</w:t>
            </w:r>
          </w:p>
        </w:tc>
        <w:tc>
          <w:tcPr/>
          <w:p>
            <w:pPr>
              <w:pStyle w:val="Compact"/>
              <w:jc w:val="left"/>
            </w:pPr>
            <w:r>
              <w:t xml:space="preserve">Required</w:t>
            </w:r>
          </w:p>
        </w:tc>
        <w:tc>
          <w:tcPr/>
          <w:p>
            <w:pPr>
              <w:pStyle w:val="Compact"/>
              <w:jc w:val="left"/>
            </w:pPr>
            <w:r>
              <w:t xml:space="preserve">Computer Config &gt; Admin Templates &gt; System &gt; Device Guard</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10.0.19045 (Win 10 22H2) / 10.0.22631 (Win 11 23H2)</w:t>
            </w:r>
          </w:p>
        </w:tc>
        <w:tc>
          <w:tcPr/>
          <w:p>
            <w:pPr>
              <w:pStyle w:val="Compact"/>
              <w:jc w:val="left"/>
            </w:pPr>
            <w:r>
              <w:t xml:space="preserve">N/A (managed via WSUS/WUfB)</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Computer Config &gt; Windows Settings &gt; Security Settings &gt; Windows Firewall</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N/A (hardware requirement)</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Antispyware</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Security intelligence up to date</w:t>
            </w:r>
          </w:p>
        </w:tc>
        <w:tc>
          <w:tcPr/>
          <w:p>
            <w:pPr>
              <w:pStyle w:val="Compact"/>
              <w:jc w:val="left"/>
            </w:pPr>
            <w:r>
              <w:t xml:space="preserve">Required</w:t>
            </w:r>
          </w:p>
        </w:tc>
        <w:tc>
          <w:tcPr/>
          <w:p>
            <w:pPr>
              <w:pStyle w:val="Compact"/>
              <w:jc w:val="left"/>
            </w:pPr>
            <w:r>
              <w:t xml:space="preserve">Signature updates via WSUS/SCCM</w:t>
            </w:r>
          </w:p>
        </w:tc>
      </w:tr>
      <w:tr>
        <w:tc>
          <w:tcPr/>
          <w:p>
            <w:pPr>
              <w:pStyle w:val="Compact"/>
              <w:jc w:val="left"/>
            </w:pPr>
            <w:r>
              <w:t xml:space="preserve">Password</w:t>
            </w:r>
          </w:p>
        </w:tc>
        <w:tc>
          <w:tcPr/>
          <w:p>
            <w:pPr>
              <w:pStyle w:val="Compact"/>
              <w:jc w:val="left"/>
            </w:pPr>
            <w:r>
              <w:t xml:space="preserve">Require password</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14 characters</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bl>
    <w:p>
      <w:pPr>
        <w:pStyle w:val="BodyText"/>
      </w:pPr>
      <w:r>
        <w:t xml:space="preserve">Non-Compliance Actions</w:t>
      </w:r>
    </w:p>
    <w:tbl>
      <w:tblPr>
        <w:tblStyle w:val="Table"/>
        <w:tblW w:type="pct" w:w="4928"/>
        <w:tblLayout w:type="fixed"/>
        <w:tblLook w:firstRow="1" w:lastRow="0" w:firstColumn="0" w:lastColumn="0" w:noHBand="0" w:noVBand="0" w:val="0020"/>
      </w:tblPr>
      <w:tblGrid>
        <w:gridCol w:w="1595"/>
        <w:gridCol w:w="1823"/>
        <w:gridCol w:w="4387"/>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Description</w:t>
            </w:r>
          </w:p>
        </w:tc>
      </w:tr>
      <w:tr>
        <w:tc>
          <w:tcPr/>
          <w:p>
            <w:pPr>
              <w:pStyle w:val="Compact"/>
              <w:jc w:val="left"/>
            </w:pPr>
            <w:r>
              <w:t xml:space="preserve">Mark device non-compliant</w:t>
            </w:r>
          </w:p>
        </w:tc>
        <w:tc>
          <w:tcPr/>
          <w:p>
            <w:pPr>
              <w:pStyle w:val="Compact"/>
              <w:jc w:val="left"/>
            </w:pPr>
            <w:r>
              <w:t xml:space="preserve">After 24 hours (grace period)</w:t>
            </w:r>
          </w:p>
        </w:tc>
        <w:tc>
          <w:tcPr/>
          <w:p>
            <w:pPr>
              <w:pStyle w:val="Compact"/>
              <w:jc w:val="left"/>
            </w:pPr>
            <w:r>
              <w:t xml:space="preserve">Device is flagged; Conditional Access blocks access to protected resources</w:t>
            </w:r>
          </w:p>
        </w:tc>
      </w:tr>
      <w:tr>
        <w:tc>
          <w:tcPr/>
          <w:p>
            <w:pPr>
              <w:pStyle w:val="Compact"/>
              <w:jc w:val="left"/>
            </w:pPr>
            <w:r>
              <w:t xml:space="preserve">Send email to end user</w:t>
            </w:r>
          </w:p>
        </w:tc>
        <w:tc>
          <w:tcPr/>
          <w:p>
            <w:pPr>
              <w:pStyle w:val="Compact"/>
              <w:jc w:val="left"/>
            </w:pPr>
            <w:r>
              <w:t xml:space="preserve">After 24 hours</w:t>
            </w:r>
          </w:p>
        </w:tc>
        <w:tc>
          <w:tcPr/>
          <w:p>
            <w:pPr>
              <w:pStyle w:val="Compact"/>
              <w:jc w:val="left"/>
            </w:pPr>
            <w:r>
              <w:t xml:space="preserve">Notification with remediation steps and help desk contact</w:t>
            </w:r>
          </w:p>
        </w:tc>
      </w:tr>
      <w:tr>
        <w:tc>
          <w:tcPr/>
          <w:p>
            <w:pPr>
              <w:pStyle w:val="Compact"/>
              <w:jc w:val="left"/>
            </w:pPr>
            <w:r>
              <w:t xml:space="preserve">Send push notification</w:t>
            </w:r>
          </w:p>
        </w:tc>
        <w:tc>
          <w:tcPr/>
          <w:p>
            <w:pPr>
              <w:pStyle w:val="Compact"/>
              <w:jc w:val="left"/>
            </w:pPr>
            <w:r>
              <w:t xml:space="preserve">After 48 hours</w:t>
            </w:r>
          </w:p>
        </w:tc>
        <w:tc>
          <w:tcPr/>
          <w:p>
            <w:pPr>
              <w:pStyle w:val="Compact"/>
              <w:jc w:val="left"/>
            </w:pPr>
            <w:r>
              <w:t xml:space="preserve">Company Portal push notification to remind user</w:t>
            </w:r>
          </w:p>
        </w:tc>
      </w:tr>
      <w:tr>
        <w:tc>
          <w:tcPr/>
          <w:p>
            <w:pPr>
              <w:pStyle w:val="Compact"/>
              <w:jc w:val="left"/>
            </w:pPr>
            <w:r>
              <w:t xml:space="preserve">Retire device</w:t>
            </w:r>
          </w:p>
        </w:tc>
        <w:tc>
          <w:tcPr/>
          <w:p>
            <w:pPr>
              <w:pStyle w:val="Compact"/>
              <w:jc w:val="left"/>
            </w:pPr>
            <w:r>
              <w:t xml:space="preserve">After 30 days</w:t>
            </w:r>
          </w:p>
        </w:tc>
        <w:tc>
          <w:tcPr/>
          <w:p>
            <w:pPr>
              <w:pStyle w:val="Compact"/>
              <w:jc w:val="left"/>
            </w:pPr>
            <w:r>
              <w:t xml:space="preserve">Remove corporate data; device is unenrolled from Intune</w:t>
            </w:r>
          </w:p>
        </w:tc>
      </w:tr>
    </w:tbl>
    <w:p>
      <w:pPr>
        <w:pStyle w:val="BodyText"/>
      </w:pPr>
      <w:r>
        <w:t xml:space="preserve">3.2 CP-002: Tier 0 — Privileged Workstation Compliance (Strict)</w:t>
      </w:r>
    </w:p>
    <w:p>
      <w:pPr>
        <w:pStyle w:val="BodyText"/>
      </w:pPr>
      <w:r>
        <w:rPr>
          <w:b/>
          <w:bCs/>
        </w:rPr>
        <w:t xml:space="preserve">Policy ID: CP-002 | Platform: Windows 10/11 | Target: Privileged Access Workstations</w:t>
      </w:r>
    </w:p>
    <w:p>
      <w:pPr>
        <w:pStyle w:val="BodyText"/>
      </w:pPr>
      <w:r>
        <w:rPr>
          <w:b/>
          <w:bCs/>
        </w:rPr>
        <w:t xml:space="preserve">Targeting:</w:t>
      </w:r>
      <w:r>
        <w:t xml:space="preserve"> </w:t>
      </w:r>
      <w:r>
        <w:t xml:space="preserve">Dynamic group — device.extensionAttribute11 -eq "Tier0"</w:t>
      </w:r>
    </w:p>
    <w:p>
      <w:pPr>
        <w:pStyle w:val="BodyText"/>
      </w:pPr>
      <w:r>
        <w:rPr>
          <w:b/>
          <w:bCs/>
        </w:rPr>
        <w:t xml:space="preserve">Description:</w:t>
      </w:r>
      <w:r>
        <w:t xml:space="preserve"> </w:t>
      </w:r>
      <w:r>
        <w:t xml:space="preserve">Enforces the strictest compliance posture for Tier 0 privileged workstations. All CP-001 requirements apply, plus additional hardening. Grace period is zero — immediate non-compliance.</w:t>
      </w:r>
    </w:p>
    <w:p>
      <w:pPr>
        <w:pStyle w:val="BodyText"/>
      </w:pPr>
      <w:r>
        <w:t xml:space="preserve">Additional Settings (beyond CP-001)</w:t>
      </w:r>
    </w:p>
    <w:tbl>
      <w:tblPr>
        <w:tblStyle w:val="Table"/>
        <w:tblW w:type="pct" w:w="4952"/>
        <w:tblLayout w:type="fixed"/>
        <w:tblLook w:firstRow="1" w:lastRow="0" w:firstColumn="0" w:lastColumn="0" w:noHBand="0" w:noVBand="0" w:val="0020"/>
      </w:tblPr>
      <w:tblGrid>
        <w:gridCol w:w="795"/>
        <w:gridCol w:w="1288"/>
        <w:gridCol w:w="1212"/>
        <w:gridCol w:w="4547"/>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Credential Guard</w:t>
            </w:r>
          </w:p>
        </w:tc>
        <w:tc>
          <w:tcPr/>
          <w:p>
            <w:pPr>
              <w:pStyle w:val="Compact"/>
              <w:jc w:val="left"/>
            </w:pPr>
            <w:r>
              <w:t xml:space="preserve">Required</w:t>
            </w:r>
          </w:p>
        </w:tc>
        <w:tc>
          <w:tcPr/>
          <w:p>
            <w:pPr>
              <w:pStyle w:val="Compact"/>
              <w:jc w:val="left"/>
            </w:pPr>
            <w:r>
              <w:t xml:space="preserve">Computer Config &gt; Admin Templates &gt; System &gt; Device Guard &gt; Turn On Virtualization Based Security</w:t>
            </w:r>
          </w:p>
        </w:tc>
      </w:tr>
      <w:tr>
        <w:tc>
          <w:tcPr/>
          <w:p>
            <w:pPr>
              <w:pStyle w:val="Compact"/>
              <w:jc w:val="left"/>
            </w:pPr>
            <w:r>
              <w:t xml:space="preserve">Device Health</w:t>
            </w:r>
          </w:p>
        </w:tc>
        <w:tc>
          <w:tcPr/>
          <w:p>
            <w:pPr>
              <w:pStyle w:val="Compact"/>
              <w:jc w:val="left"/>
            </w:pPr>
            <w:r>
              <w:t xml:space="preserve">Device health attestation</w:t>
            </w:r>
          </w:p>
        </w:tc>
        <w:tc>
          <w:tcPr/>
          <w:p>
            <w:pPr>
              <w:pStyle w:val="Compact"/>
              <w:jc w:val="left"/>
            </w:pPr>
            <w:r>
              <w:t xml:space="preserve">Required</w:t>
            </w:r>
          </w:p>
        </w:tc>
        <w:tc>
          <w:tcPr/>
          <w:p>
            <w:pPr>
              <w:pStyle w:val="Compact"/>
              <w:jc w:val="left"/>
            </w:pPr>
            <w:r>
              <w:t xml:space="preserve">N/A (cloud-based health attestation via DHA service)</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Network Inspection System (NIS)</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Network Inspection System</w:t>
            </w:r>
          </w:p>
        </w:tc>
      </w:tr>
      <w:tr>
        <w:tc>
          <w:tcPr/>
          <w:p>
            <w:pPr>
              <w:pStyle w:val="Compact"/>
              <w:jc w:val="left"/>
            </w:pPr>
            <w:r>
              <w:t xml:space="preserve">Microsoft Defender</w:t>
            </w:r>
          </w:p>
        </w:tc>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10.0.22631 (Win 11 23H2 only)</w:t>
            </w:r>
          </w:p>
        </w:tc>
        <w:tc>
          <w:tcPr/>
          <w:p>
            <w:pPr>
              <w:pStyle w:val="Compact"/>
              <w:jc w:val="left"/>
            </w:pPr>
            <w:r>
              <w:t xml:space="preserve">N/A</w:t>
            </w:r>
          </w:p>
        </w:tc>
      </w:tr>
    </w:tbl>
    <w:p>
      <w:pPr>
        <w:pStyle w:val="BodyText"/>
      </w:pPr>
      <w:r>
        <w:t xml:space="preserve">Non-Compliance Actions</w:t>
      </w:r>
    </w:p>
    <w:tbl>
      <w:tblPr>
        <w:tblStyle w:val="Table"/>
        <w:tblW w:type="pct" w:w="4375"/>
        <w:tblLayout w:type="fixed"/>
        <w:tblLook w:firstRow="1" w:lastRow="0" w:firstColumn="0" w:lastColumn="0" w:noHBand="0" w:noVBand="0" w:val="0020"/>
      </w:tblPr>
      <w:tblGrid>
        <w:gridCol w:w="4290"/>
        <w:gridCol w:w="264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Immediately (0 hours)</w:t>
            </w:r>
          </w:p>
        </w:tc>
      </w:tr>
      <w:tr>
        <w:tc>
          <w:tcPr/>
          <w:p>
            <w:pPr>
              <w:pStyle w:val="Compact"/>
              <w:jc w:val="left"/>
            </w:pPr>
            <w:r>
              <w:t xml:space="preserve">Send email to user and security team</w:t>
            </w:r>
          </w:p>
        </w:tc>
        <w:tc>
          <w:tcPr/>
          <w:p>
            <w:pPr>
              <w:pStyle w:val="Compact"/>
              <w:jc w:val="left"/>
            </w:pPr>
            <w:r>
              <w:t xml:space="preserve">Immediately</w:t>
            </w:r>
          </w:p>
        </w:tc>
      </w:tr>
      <w:tr>
        <w:tc>
          <w:tcPr/>
          <w:p>
            <w:pPr>
              <w:pStyle w:val="Compact"/>
              <w:jc w:val="left"/>
            </w:pPr>
            <w:r>
              <w:t xml:space="preserve">Send push notification</w:t>
            </w:r>
          </w:p>
        </w:tc>
        <w:tc>
          <w:tcPr/>
          <w:p>
            <w:pPr>
              <w:pStyle w:val="Compact"/>
              <w:jc w:val="left"/>
            </w:pPr>
            <w:r>
              <w:t xml:space="preserve">Immediately</w:t>
            </w:r>
          </w:p>
        </w:tc>
      </w:tr>
      <w:tr>
        <w:tc>
          <w:tcPr/>
          <w:p>
            <w:pPr>
              <w:pStyle w:val="Compact"/>
              <w:jc w:val="left"/>
            </w:pPr>
            <w:r>
              <w:t xml:space="preserve">Retire device</w:t>
            </w:r>
          </w:p>
        </w:tc>
        <w:tc>
          <w:tcPr/>
          <w:p>
            <w:pPr>
              <w:pStyle w:val="Compact"/>
              <w:jc w:val="left"/>
            </w:pPr>
            <w:r>
              <w:t xml:space="preserve">After 7 days</w:t>
            </w:r>
          </w:p>
        </w:tc>
      </w:tr>
    </w:tbl>
    <w:p>
      <w:pPr>
        <w:pStyle w:val="BodyText"/>
      </w:pPr>
      <w:r>
        <w:t xml:space="preserve">3.3 CP-003: Tier 2 — Standard Workstation Compliance</w:t>
      </w:r>
    </w:p>
    <w:p>
      <w:pPr>
        <w:pStyle w:val="BodyText"/>
      </w:pPr>
      <w:r>
        <w:rPr>
          <w:b/>
          <w:bCs/>
        </w:rPr>
        <w:t xml:space="preserve">Policy ID: CP-003 | Platform: Windows 10/11 | Target: Standard end-user workstations</w:t>
      </w:r>
    </w:p>
    <w:p>
      <w:pPr>
        <w:pStyle w:val="BodyText"/>
      </w:pPr>
      <w:r>
        <w:rPr>
          <w:b/>
          <w:bCs/>
        </w:rPr>
        <w:t xml:space="preserve">Targeting:</w:t>
      </w:r>
      <w:r>
        <w:t xml:space="preserve"> </w:t>
      </w:r>
      <w:r>
        <w:t xml:space="preserve">Dynamic group — device.extensionAttribute11 -eq "Tier2"</w:t>
      </w:r>
    </w:p>
    <w:p>
      <w:pPr>
        <w:pStyle w:val="BodyText"/>
      </w:pPr>
      <w:r>
        <w:t xml:space="preserve">Settings</w:t>
      </w:r>
    </w:p>
    <w:tbl>
      <w:tblPr>
        <w:tblStyle w:val="Table"/>
        <w:tblW w:type="pct" w:w="4912"/>
        <w:tblLayout w:type="fixed"/>
        <w:tblLook w:firstRow="1" w:lastRow="0" w:firstColumn="0" w:lastColumn="0" w:noHBand="0" w:noVBand="0" w:val="0020"/>
      </w:tblPr>
      <w:tblGrid>
        <w:gridCol w:w="1458"/>
        <w:gridCol w:w="1806"/>
        <w:gridCol w:w="1875"/>
        <w:gridCol w:w="264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10.0.19044 (Win 10 21H2)</w:t>
            </w:r>
          </w:p>
        </w:tc>
        <w:tc>
          <w:tcPr/>
          <w:p>
            <w:pPr>
              <w:pStyle w:val="Compact"/>
              <w:jc w:val="left"/>
            </w:pPr>
            <w:r>
              <w:t xml:space="preserve">Lower threshold for legacy hardware</w:t>
            </w:r>
          </w:p>
        </w:tc>
      </w:tr>
      <w:tr>
        <w:tc>
          <w:tcPr/>
          <w:p>
            <w:pPr>
              <w:pStyle w:val="Compact"/>
              <w:jc w:val="left"/>
            </w:pPr>
            <w:r>
              <w:t xml:space="preserve">Device Health</w:t>
            </w:r>
          </w:p>
        </w:tc>
        <w:tc>
          <w:tcPr/>
          <w:p>
            <w:pPr>
              <w:pStyle w:val="Compact"/>
              <w:jc w:val="left"/>
            </w:pPr>
            <w:r>
              <w:t xml:space="preserve">BitLocker</w:t>
            </w:r>
          </w:p>
        </w:tc>
        <w:tc>
          <w:tcPr/>
          <w:p>
            <w:pPr>
              <w:pStyle w:val="Compact"/>
              <w:jc w:val="left"/>
            </w:pPr>
            <w:r>
              <w:t xml:space="preserve">Preferred (Not Required)</w:t>
            </w:r>
          </w:p>
        </w:tc>
        <w:tc>
          <w:tcPr/>
          <w:p>
            <w:pPr>
              <w:pStyle w:val="Compact"/>
              <w:jc w:val="left"/>
            </w:pPr>
            <w:r>
              <w:t xml:space="preserve">Not enforced for BYOD scenarios</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12 characters</w:t>
            </w:r>
          </w:p>
        </w:tc>
        <w:tc>
          <w:tcPr/>
          <w:p>
            <w:pPr>
              <w:pStyle w:val="Compact"/>
              <w:jc w:val="left"/>
            </w:pPr>
            <w:r>
              <w:t xml:space="preserve">Reduced from 14 for usability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w:t>
            </w:r>
          </w:p>
        </w:tc>
      </w:tr>
    </w:tbl>
    <w:p>
      <w:pPr>
        <w:pStyle w:val="BodyText"/>
      </w:pPr>
      <w:r>
        <w:t xml:space="preserve">Non-Compliance Actions</w:t>
      </w:r>
    </w:p>
    <w:tbl>
      <w:tblPr>
        <w:tblStyle w:val="Table"/>
        <w:tblW w:type="pct" w:w="4167"/>
        <w:tblLayout w:type="fixed"/>
        <w:tblLook w:firstRow="1" w:lastRow="0" w:firstColumn="0" w:lastColumn="0" w:noHBand="0" w:noVBand="0" w:val="0020"/>
      </w:tblPr>
      <w:tblGrid>
        <w:gridCol w:w="3080"/>
        <w:gridCol w:w="352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72 hours (grace period)</w:t>
            </w:r>
          </w:p>
        </w:tc>
      </w:tr>
      <w:tr>
        <w:tc>
          <w:tcPr/>
          <w:p>
            <w:pPr>
              <w:pStyle w:val="Compact"/>
              <w:jc w:val="left"/>
            </w:pPr>
            <w:r>
              <w:t xml:space="preserve">Send email to end user</w:t>
            </w:r>
          </w:p>
        </w:tc>
        <w:tc>
          <w:tcPr/>
          <w:p>
            <w:pPr>
              <w:pStyle w:val="Compact"/>
              <w:jc w:val="left"/>
            </w:pPr>
            <w:r>
              <w:t xml:space="preserve">After 72 hours</w:t>
            </w:r>
          </w:p>
        </w:tc>
      </w:tr>
      <w:tr>
        <w:tc>
          <w:tcPr/>
          <w:p>
            <w:pPr>
              <w:pStyle w:val="Compact"/>
              <w:jc w:val="left"/>
            </w:pPr>
            <w:r>
              <w:t xml:space="preserve">Retire device</w:t>
            </w:r>
          </w:p>
        </w:tc>
        <w:tc>
          <w:tcPr/>
          <w:p>
            <w:pPr>
              <w:pStyle w:val="Compact"/>
              <w:jc w:val="left"/>
            </w:pPr>
            <w:r>
              <w:t xml:space="preserve">After 30 days</w:t>
            </w:r>
          </w:p>
        </w:tc>
      </w:tr>
    </w:tbl>
    <w:p>
      <w:pPr>
        <w:pStyle w:val="BodyText"/>
      </w:pPr>
      <w:r>
        <w:t xml:space="preserve">3.4 CP-004: Server Compliance (Windows Server 2025)</w:t>
      </w:r>
    </w:p>
    <w:p>
      <w:pPr>
        <w:pStyle w:val="BodyText"/>
      </w:pPr>
      <w:r>
        <w:rPr>
          <w:b/>
          <w:bCs/>
        </w:rPr>
        <w:t xml:space="preserve">Policy ID: CP-004 | Platform: Windows Server 2025 | Target: Azure Arc-managed servers</w:t>
      </w:r>
    </w:p>
    <w:p>
      <w:pPr>
        <w:pStyle w:val="BodyText"/>
      </w:pPr>
      <w:r>
        <w:rPr>
          <w:b/>
          <w:bCs/>
        </w:rPr>
        <w:t xml:space="preserve">Targeting:</w:t>
      </w:r>
      <w:r>
        <w:t xml:space="preserve"> </w:t>
      </w:r>
      <w:r>
        <w:t xml:space="preserve">Dynamic group — device.extensionAttribute11 -eq "Tier1"</w:t>
      </w:r>
    </w:p>
    <w:p>
      <w:pPr>
        <w:pStyle w:val="BodyText"/>
      </w:pPr>
      <w:r>
        <w:rPr>
          <w:b/>
          <w:bCs/>
        </w:rPr>
        <w:t xml:space="preserve">Prerequisite:</w:t>
      </w:r>
      <w:r>
        <w:t xml:space="preserve"> </w:t>
      </w:r>
      <w:r>
        <w:t xml:space="preserve">Servers must be enrolled in Intune via Azure Arc for server management.</w:t>
      </w:r>
    </w:p>
    <w:p>
      <w:pPr>
        <w:pStyle w:val="BodyText"/>
      </w:pPr>
      <w:r>
        <w:t xml:space="preserve">Settings</w:t>
      </w:r>
    </w:p>
    <w:tbl>
      <w:tblPr>
        <w:tblStyle w:val="Table"/>
        <w:tblW w:type="pct" w:w="4878"/>
        <w:tblLayout w:type="fixed"/>
        <w:tblLook w:firstRow="1" w:lastRow="0" w:firstColumn="0" w:lastColumn="0" w:noHBand="0" w:noVBand="0" w:val="0020"/>
      </w:tblPr>
      <w:tblGrid>
        <w:gridCol w:w="2028"/>
        <w:gridCol w:w="2318"/>
        <w:gridCol w:w="338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OS version validation</w:t>
            </w:r>
          </w:p>
        </w:tc>
        <w:tc>
          <w:tcPr/>
          <w:p>
            <w:pPr>
              <w:pStyle w:val="Compact"/>
              <w:jc w:val="left"/>
            </w:pPr>
            <w:r>
              <w:t xml:space="preserve">Windows Server 2025 (10.0.26100)</w:t>
            </w:r>
          </w:p>
        </w:tc>
      </w:tr>
      <w:tr>
        <w:tc>
          <w:tcPr/>
          <w:p>
            <w:pPr>
              <w:pStyle w:val="Compact"/>
              <w:jc w:val="left"/>
            </w:pPr>
            <w:r>
              <w:t xml:space="preserve">Microsoft Defender</w:t>
            </w:r>
          </w:p>
        </w:tc>
        <w:tc>
          <w:tcPr/>
          <w:p>
            <w:pPr>
              <w:pStyle w:val="Compact"/>
              <w:jc w:val="left"/>
            </w:pPr>
            <w:r>
              <w:t xml:space="preserve">Defender for Servers</w:t>
            </w:r>
          </w:p>
        </w:tc>
        <w:tc>
          <w:tcPr/>
          <w:p>
            <w:pPr>
              <w:pStyle w:val="Compact"/>
              <w:jc w:val="left"/>
            </w:pPr>
            <w:r>
              <w:t xml:space="preserve">Enabled (Plan 2)</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Secure Boot</w:t>
            </w:r>
          </w:p>
        </w:tc>
        <w:tc>
          <w:tcPr/>
          <w:p>
            <w:pPr>
              <w:pStyle w:val="Compact"/>
              <w:jc w:val="left"/>
            </w:pPr>
            <w:r>
              <w:t xml:space="preserve">Required</w:t>
            </w:r>
          </w:p>
        </w:tc>
      </w:tr>
    </w:tbl>
    <w:p>
      <w:pPr>
        <w:pStyle w:val="BodyText"/>
      </w:pPr>
      <w:r>
        <w:t xml:space="preserve">Non-Compliance Actions</w:t>
      </w:r>
    </w:p>
    <w:tbl>
      <w:tblPr>
        <w:tblStyle w:val="Table"/>
        <w:tblW w:type="pct" w:w="4880"/>
        <w:tblLayout w:type="fixed"/>
        <w:tblLook w:firstRow="1" w:lastRow="0" w:firstColumn="0" w:lastColumn="0" w:noHBand="0" w:noVBand="0" w:val="0020"/>
      </w:tblPr>
      <w:tblGrid>
        <w:gridCol w:w="3244"/>
        <w:gridCol w:w="4484"/>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24 hours</w:t>
            </w:r>
          </w:p>
        </w:tc>
      </w:tr>
      <w:tr>
        <w:tc>
          <w:tcPr/>
          <w:p>
            <w:pPr>
              <w:pStyle w:val="Compact"/>
              <w:jc w:val="left"/>
            </w:pPr>
            <w:r>
              <w:t xml:space="preserve">Send email to server admin team</w:t>
            </w:r>
          </w:p>
        </w:tc>
        <w:tc>
          <w:tcPr/>
          <w:p>
            <w:pPr>
              <w:pStyle w:val="Compact"/>
              <w:jc w:val="left"/>
            </w:pPr>
            <w:r>
              <w:t xml:space="preserve">After 24 hours</w:t>
            </w:r>
          </w:p>
        </w:tc>
      </w:tr>
      <w:tr>
        <w:tc>
          <w:tcPr/>
          <w:p>
            <w:pPr>
              <w:pStyle w:val="Compact"/>
              <w:jc w:val="left"/>
            </w:pPr>
            <w:r>
              <w:t xml:space="preserve">Retire device</w:t>
            </w:r>
          </w:p>
        </w:tc>
        <w:tc>
          <w:tcPr/>
          <w:p>
            <w:pPr>
              <w:pStyle w:val="Compact"/>
              <w:jc w:val="left"/>
            </w:pPr>
            <w:r>
              <w:t xml:space="preserve">Not configured (server retirement is manual)</w:t>
            </w:r>
          </w:p>
        </w:tc>
      </w:tr>
    </w:tbl>
    <w:p>
      <w:pPr>
        <w:pStyle w:val="BodyText"/>
      </w:pPr>
      <w:r>
        <w:t xml:space="preserve">3.5 CP-005: Kiosk Device Compliance</w:t>
      </w:r>
    </w:p>
    <w:p>
      <w:pPr>
        <w:pStyle w:val="BodyText"/>
      </w:pPr>
      <w:r>
        <w:rPr>
          <w:b/>
          <w:bCs/>
        </w:rPr>
        <w:t xml:space="preserve">Policy ID: CP-005 | Platform: Windows 10/11 | Target: Kiosk and shared devices</w:t>
      </w:r>
    </w:p>
    <w:p>
      <w:pPr>
        <w:pStyle w:val="BodyText"/>
      </w:pPr>
      <w:r>
        <w:rPr>
          <w:b/>
          <w:bCs/>
        </w:rPr>
        <w:t xml:space="preserve">Targeting:</w:t>
      </w:r>
      <w:r>
        <w:t xml:space="preserve"> </w:t>
      </w:r>
      <w:r>
        <w:t xml:space="preserve">Dynamic group — device.extensionAttribute12 -eq "Kiosk"</w:t>
      </w:r>
    </w:p>
    <w:p>
      <w:pPr>
        <w:pStyle w:val="BodyText"/>
      </w:pPr>
      <w:r>
        <w:t xml:space="preserve">Settings</w:t>
      </w:r>
    </w:p>
    <w:tbl>
      <w:tblPr>
        <w:tblStyle w:val="Table"/>
        <w:tblW w:type="pct" w:w="4888"/>
        <w:tblLayout w:type="fixed"/>
        <w:tblLook w:firstRow="1" w:lastRow="0" w:firstColumn="0" w:lastColumn="0" w:noHBand="0" w:noVBand="0" w:val="0020"/>
      </w:tblPr>
      <w:tblGrid>
        <w:gridCol w:w="1868"/>
        <w:gridCol w:w="2046"/>
        <w:gridCol w:w="382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Current supported version (auto-updated)</w:t>
            </w:r>
          </w:p>
        </w:tc>
      </w:tr>
      <w:tr>
        <w:tc>
          <w:tcPr/>
          <w:p>
            <w:pPr>
              <w:pStyle w:val="Compact"/>
              <w:jc w:val="left"/>
            </w:pPr>
            <w:r>
              <w:t xml:space="preserve">Device Mode</w:t>
            </w:r>
          </w:p>
        </w:tc>
        <w:tc>
          <w:tcPr/>
          <w:p>
            <w:pPr>
              <w:pStyle w:val="Compact"/>
              <w:jc w:val="left"/>
            </w:pPr>
            <w:r>
              <w:t xml:space="preserve">Shared device mode</w:t>
            </w:r>
          </w:p>
        </w:tc>
        <w:tc>
          <w:tcPr/>
          <w:p>
            <w:pPr>
              <w:pStyle w:val="Compact"/>
              <w:jc w:val="left"/>
            </w:pPr>
            <w:r>
              <w:t xml:space="preserve">Enabled</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bl>
    <w:p>
      <w:pPr>
        <w:pStyle w:val="BodyText"/>
      </w:pPr>
      <w:r>
        <w:t xml:space="preserve">Non-Compliance Actions</w:t>
      </w:r>
    </w:p>
    <w:tbl>
      <w:tblPr>
        <w:tblStyle w:val="Table"/>
        <w:tblW w:type="pct" w:w="4903"/>
        <w:tblLayout w:type="fixed"/>
        <w:tblLook w:firstRow="1" w:lastRow="0" w:firstColumn="0" w:lastColumn="0" w:noHBand="0" w:noVBand="0" w:val="0020"/>
      </w:tblPr>
      <w:tblGrid>
        <w:gridCol w:w="2153"/>
        <w:gridCol w:w="1307"/>
        <w:gridCol w:w="4306"/>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Notes</w:t>
            </w:r>
          </w:p>
        </w:tc>
      </w:tr>
      <w:tr>
        <w:tc>
          <w:tcPr/>
          <w:p>
            <w:pPr>
              <w:pStyle w:val="Compact"/>
              <w:jc w:val="left"/>
            </w:pPr>
            <w:r>
              <w:t xml:space="preserve">Mark device non-compliant</w:t>
            </w:r>
          </w:p>
        </w:tc>
        <w:tc>
          <w:tcPr/>
          <w:p>
            <w:pPr>
              <w:pStyle w:val="Compact"/>
              <w:jc w:val="left"/>
            </w:pPr>
            <w:r>
              <w:t xml:space="preserve">After 48 hours</w:t>
            </w:r>
          </w:p>
        </w:tc>
        <w:tc>
          <w:tcPr/>
          <w:p>
            <w:pPr>
              <w:pStyle w:val="Compact"/>
              <w:jc w:val="left"/>
            </w:pPr>
            <w:r>
              <w:t xml:space="preserve">Grace period for maintenance windows</w:t>
            </w:r>
          </w:p>
        </w:tc>
      </w:tr>
      <w:tr>
        <w:tc>
          <w:tcPr/>
          <w:p>
            <w:pPr>
              <w:pStyle w:val="Compact"/>
              <w:jc w:val="left"/>
            </w:pPr>
            <w:r>
              <w:t xml:space="preserve">Block access</w:t>
            </w:r>
          </w:p>
        </w:tc>
        <w:tc>
          <w:tcPr/>
          <w:p>
            <w:pPr>
              <w:pStyle w:val="Compact"/>
              <w:jc w:val="left"/>
            </w:pPr>
            <w:r>
              <w:t xml:space="preserve">After 48 hours</w:t>
            </w:r>
          </w:p>
        </w:tc>
        <w:tc>
          <w:tcPr/>
          <w:p>
            <w:pPr>
              <w:pStyle w:val="Compact"/>
              <w:jc w:val="left"/>
            </w:pPr>
            <w:r>
              <w:t xml:space="preserve">No retire action — kiosk devices are managed assets</w:t>
            </w:r>
          </w:p>
        </w:tc>
      </w:tr>
    </w:tbl>
    <w:p>
      <w:pPr>
        <w:pStyle w:val="BodyText"/>
      </w:pPr>
      <w:r>
        <w:t xml:space="preserve">3.6 Compliance Policy Summary Matrix</w:t>
      </w:r>
    </w:p>
    <w:tbl>
      <w:tblPr>
        <w:tblStyle w:val="Table"/>
        <w:tblW w:type="pct" w:w="4925"/>
        <w:tblLayout w:type="fixed"/>
        <w:tblLook w:firstRow="1" w:lastRow="0" w:firstColumn="0" w:lastColumn="0" w:noHBand="0" w:noVBand="0" w:val="0020"/>
      </w:tblPr>
      <w:tblGrid>
        <w:gridCol w:w="1131"/>
        <w:gridCol w:w="1429"/>
        <w:gridCol w:w="1310"/>
        <w:gridCol w:w="1310"/>
        <w:gridCol w:w="1310"/>
        <w:gridCol w:w="1310"/>
      </w:tblGrid>
      <w:tr>
        <w:trPr>
          <w:tblHeader w:val="on"/>
        </w:trPr>
        <w:tc>
          <w:tcPr/>
          <w:p>
            <w:pPr>
              <w:pStyle w:val="Compact"/>
              <w:jc w:val="left"/>
            </w:pPr>
            <w:r>
              <w:rPr>
                <w:b/>
                <w:bCs/>
              </w:rPr>
              <w:t xml:space="preserve">Setting</w:t>
            </w:r>
          </w:p>
        </w:tc>
        <w:tc>
          <w:tcPr/>
          <w:p>
            <w:pPr>
              <w:pStyle w:val="Compact"/>
              <w:jc w:val="left"/>
            </w:pPr>
            <w:r>
              <w:rPr>
                <w:b/>
                <w:bCs/>
              </w:rPr>
              <w:t xml:space="preserve">CP-001 (Baseline)</w:t>
            </w:r>
          </w:p>
        </w:tc>
        <w:tc>
          <w:tcPr/>
          <w:p>
            <w:pPr>
              <w:pStyle w:val="Compact"/>
              <w:jc w:val="left"/>
            </w:pPr>
            <w:r>
              <w:rPr>
                <w:b/>
                <w:bCs/>
              </w:rPr>
              <w:t xml:space="preserve">CP-002 (Tier 0)</w:t>
            </w:r>
          </w:p>
        </w:tc>
        <w:tc>
          <w:tcPr/>
          <w:p>
            <w:pPr>
              <w:pStyle w:val="Compact"/>
              <w:jc w:val="left"/>
            </w:pPr>
            <w:r>
              <w:rPr>
                <w:b/>
                <w:bCs/>
              </w:rPr>
              <w:t xml:space="preserve">CP-003 (Tier 2)</w:t>
            </w:r>
          </w:p>
        </w:tc>
        <w:tc>
          <w:tcPr/>
          <w:p>
            <w:pPr>
              <w:pStyle w:val="Compact"/>
              <w:jc w:val="left"/>
            </w:pPr>
            <w:r>
              <w:rPr>
                <w:b/>
                <w:bCs/>
              </w:rPr>
              <w:t xml:space="preserve">CP-004 (Server)</w:t>
            </w:r>
          </w:p>
        </w:tc>
        <w:tc>
          <w:tcPr/>
          <w:p>
            <w:pPr>
              <w:pStyle w:val="Compact"/>
              <w:jc w:val="left"/>
            </w:pPr>
            <w:r>
              <w:rPr>
                <w:b/>
                <w:bCs/>
              </w:rPr>
              <w:t xml:space="preserve">CP-005 (Kiosk)</w:t>
            </w:r>
          </w:p>
        </w:tc>
      </w:tr>
      <w:tr>
        <w:tc>
          <w:tcPr/>
          <w:p>
            <w:pPr>
              <w:pStyle w:val="Compact"/>
              <w:jc w:val="left"/>
            </w:pPr>
            <w:r>
              <w:t xml:space="preserve">Min OS</w:t>
            </w:r>
          </w:p>
        </w:tc>
        <w:tc>
          <w:tcPr/>
          <w:p>
            <w:pPr>
              <w:pStyle w:val="Compact"/>
              <w:jc w:val="left"/>
            </w:pPr>
            <w:r>
              <w:t xml:space="preserve">22H2</w:t>
            </w:r>
          </w:p>
        </w:tc>
        <w:tc>
          <w:tcPr/>
          <w:p>
            <w:pPr>
              <w:pStyle w:val="Compact"/>
              <w:jc w:val="left"/>
            </w:pPr>
            <w:r>
              <w:t xml:space="preserve">Win 11 23H2</w:t>
            </w:r>
          </w:p>
        </w:tc>
        <w:tc>
          <w:tcPr/>
          <w:p>
            <w:pPr>
              <w:pStyle w:val="Compact"/>
              <w:jc w:val="left"/>
            </w:pPr>
            <w:r>
              <w:t xml:space="preserve">21H2</w:t>
            </w:r>
          </w:p>
        </w:tc>
        <w:tc>
          <w:tcPr/>
          <w:p>
            <w:pPr>
              <w:pStyle w:val="Compact"/>
              <w:jc w:val="left"/>
            </w:pPr>
            <w:r>
              <w:t xml:space="preserve">Server 2025</w:t>
            </w:r>
          </w:p>
        </w:tc>
        <w:tc>
          <w:tcPr/>
          <w:p>
            <w:pPr>
              <w:pStyle w:val="Compact"/>
              <w:jc w:val="left"/>
            </w:pPr>
            <w:r>
              <w:t xml:space="preserve">Current</w:t>
            </w:r>
          </w:p>
        </w:tc>
      </w:tr>
      <w:tr>
        <w:tc>
          <w:tcPr/>
          <w:p>
            <w:pPr>
              <w:pStyle w:val="Compact"/>
              <w:jc w:val="left"/>
            </w:pPr>
            <w:r>
              <w:t xml:space="preserve">BitLocker</w:t>
            </w:r>
          </w:p>
        </w:tc>
        <w:tc>
          <w:tcPr/>
          <w:p>
            <w:pPr>
              <w:pStyle w:val="Compact"/>
              <w:jc w:val="left"/>
            </w:pPr>
            <w:r>
              <w:t xml:space="preserve">Required</w:t>
            </w:r>
          </w:p>
        </w:tc>
        <w:tc>
          <w:tcPr/>
          <w:p>
            <w:pPr>
              <w:pStyle w:val="Compact"/>
              <w:jc w:val="left"/>
            </w:pPr>
            <w:r>
              <w:t xml:space="preserve">Required</w:t>
            </w:r>
          </w:p>
        </w:tc>
        <w:tc>
          <w:tcPr/>
          <w:p>
            <w:pPr>
              <w:pStyle w:val="Compact"/>
              <w:jc w:val="left"/>
            </w:pPr>
            <w:r>
              <w:t xml:space="preserve">Preferred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Credential Guard</w:t>
            </w:r>
          </w:p>
        </w:tc>
        <w:tc>
          <w:tcPr/>
          <w:p>
            <w:pPr>
              <w:pStyle w:val="Compact"/>
              <w:jc w:val="left"/>
            </w:pPr>
            <w:r>
              <w:t xml:space="preserve">—</w:t>
            </w:r>
          </w:p>
        </w:tc>
        <w:tc>
          <w:tcPr/>
          <w:p>
            <w:pPr>
              <w:pStyle w:val="Compact"/>
              <w:jc w:val="left"/>
            </w:pPr>
            <w:r>
              <w:t xml:space="preserve">Required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Password Length</w:t>
            </w:r>
          </w:p>
        </w:tc>
        <w:tc>
          <w:tcPr/>
          <w:p>
            <w:pPr>
              <w:pStyle w:val="Compact"/>
              <w:jc w:val="left"/>
            </w:pPr>
            <w:r>
              <w:t xml:space="preserve">14</w:t>
            </w:r>
          </w:p>
        </w:tc>
        <w:tc>
          <w:tcPr/>
          <w:p>
            <w:pPr>
              <w:pStyle w:val="Compact"/>
              <w:jc w:val="left"/>
            </w:pPr>
            <w:r>
              <w:t xml:space="preserve">14</w:t>
            </w:r>
          </w:p>
        </w:tc>
        <w:tc>
          <w:tcPr/>
          <w:p>
            <w:pPr>
              <w:pStyle w:val="Compact"/>
              <w:jc w:val="left"/>
            </w:pPr>
            <w:r>
              <w:t xml:space="preserve">12</w:t>
            </w:r>
          </w:p>
        </w:tc>
        <w:tc>
          <w:tcPr/>
          <w:p>
            <w:pPr>
              <w:pStyle w:val="Compact"/>
              <w:jc w:val="left"/>
            </w:pPr>
            <w:r>
              <w:t xml:space="preserve">14</w:t>
            </w:r>
          </w:p>
        </w:tc>
        <w:tc>
          <w:tcPr/>
          <w:p>
            <w:pPr>
              <w:pStyle w:val="Compact"/>
              <w:jc w:val="left"/>
            </w:pPr>
            <w:r>
              <w:t xml:space="preserve">N/A</w:t>
            </w:r>
          </w:p>
        </w:tc>
      </w:tr>
      <w:tr>
        <w:tc>
          <w:tcPr/>
          <w:p>
            <w:pPr>
              <w:pStyle w:val="Compact"/>
              <w:jc w:val="left"/>
            </w:pPr>
            <w:r>
              <w:t xml:space="preserve">Grace Period</w:t>
            </w:r>
          </w:p>
        </w:tc>
        <w:tc>
          <w:tcPr/>
          <w:p>
            <w:pPr>
              <w:pStyle w:val="Compact"/>
              <w:jc w:val="left"/>
            </w:pPr>
            <w:r>
              <w:t xml:space="preserve">24 hrs</w:t>
            </w:r>
          </w:p>
        </w:tc>
        <w:tc>
          <w:tcPr/>
          <w:p>
            <w:pPr>
              <w:pStyle w:val="Compact"/>
              <w:jc w:val="left"/>
            </w:pPr>
            <w:r>
              <w:t xml:space="preserve">0 hrs</w:t>
            </w:r>
          </w:p>
        </w:tc>
        <w:tc>
          <w:tcPr/>
          <w:p>
            <w:pPr>
              <w:pStyle w:val="Compact"/>
              <w:jc w:val="left"/>
            </w:pPr>
            <w:r>
              <w:t xml:space="preserve">72 hrs</w:t>
            </w:r>
          </w:p>
        </w:tc>
        <w:tc>
          <w:tcPr/>
          <w:p>
            <w:pPr>
              <w:pStyle w:val="Compact"/>
              <w:jc w:val="left"/>
            </w:pPr>
            <w:r>
              <w:t xml:space="preserve">24 hrs</w:t>
            </w:r>
          </w:p>
        </w:tc>
        <w:tc>
          <w:tcPr/>
          <w:p>
            <w:pPr>
              <w:pStyle w:val="Compact"/>
              <w:jc w:val="left"/>
            </w:pPr>
            <w:r>
              <w:t xml:space="preserve">48 hrs</w:t>
            </w:r>
          </w:p>
        </w:tc>
      </w:tr>
      <w:tr>
        <w:tc>
          <w:tcPr/>
          <w:p>
            <w:pPr>
              <w:pStyle w:val="Compact"/>
              <w:jc w:val="left"/>
            </w:pPr>
            <w:r>
              <w:t xml:space="preserve">Retire Action</w:t>
            </w:r>
          </w:p>
        </w:tc>
        <w:tc>
          <w:tcPr/>
          <w:p>
            <w:pPr>
              <w:pStyle w:val="Compact"/>
              <w:jc w:val="left"/>
            </w:pPr>
            <w:r>
              <w:t xml:space="preserve">30 days</w:t>
            </w:r>
          </w:p>
        </w:tc>
        <w:tc>
          <w:tcPr/>
          <w:p>
            <w:pPr>
              <w:pStyle w:val="Compact"/>
              <w:jc w:val="left"/>
            </w:pPr>
            <w:r>
              <w:t xml:space="preserve">7 days</w:t>
            </w:r>
          </w:p>
        </w:tc>
        <w:tc>
          <w:tcPr/>
          <w:p>
            <w:pPr>
              <w:pStyle w:val="Compact"/>
              <w:jc w:val="left"/>
            </w:pPr>
            <w:r>
              <w:t xml:space="preserve">30 days</w:t>
            </w:r>
          </w:p>
        </w:tc>
        <w:tc>
          <w:tcPr/>
          <w:p>
            <w:pPr>
              <w:pStyle w:val="Compact"/>
              <w:jc w:val="left"/>
            </w:pPr>
            <w:r>
              <w:t xml:space="preserve">No</w:t>
            </w:r>
          </w:p>
        </w:tc>
        <w:tc>
          <w:tcPr/>
          <w:p>
            <w:pPr>
              <w:pStyle w:val="Compact"/>
              <w:jc w:val="left"/>
            </w:pPr>
            <w:r>
              <w:t xml:space="preserve">No</w:t>
            </w:r>
          </w:p>
        </w:tc>
      </w:tr>
    </w:tbl>
    <w:p>
      <w:pPr>
        <w:pStyle w:val="BodyText"/>
      </w:pPr>
      <w:r>
        <w:t xml:space="preserve">4. Configuration Profiles — Settings Catalog</w:t>
      </w:r>
    </w:p>
    <w:p>
      <w:pPr>
        <w:pStyle w:val="BodyText"/>
      </w:pPr>
      <w:r>
        <w:t xml:space="preserve">Settings Catalog profiles replace ADMX-backed Group Policy settings with cloud-native configuration. Each profile below maps specific GPO paths to their Settings Catalog equivalents.</w:t>
      </w:r>
    </w:p>
    <w:p>
      <w:pPr>
        <w:pStyle w:val="BodyText"/>
      </w:pPr>
      <w:r>
        <w:t xml:space="preserve">4.1 SC-001: Windows Security Baseline</w:t>
      </w:r>
    </w:p>
    <w:p>
      <w:pPr>
        <w:pStyle w:val="BodyText"/>
      </w:pPr>
      <w:r>
        <w:rPr>
          <w:b/>
          <w:bCs/>
        </w:rPr>
        <w:t xml:space="preserve">Policy ID: SC-001 | Platform: Windows 10/11 | Target: All corporate devices</w:t>
      </w:r>
    </w:p>
    <w:p>
      <w:pPr>
        <w:pStyle w:val="BodyText"/>
      </w:pPr>
      <w:r>
        <w:rPr>
          <w:b/>
          <w:bCs/>
        </w:rPr>
        <w:t xml:space="preserve">Targeting:</w:t>
      </w:r>
      <w:r>
        <w:t xml:space="preserve"> </w:t>
      </w:r>
      <w:r>
        <w:t xml:space="preserve">Dynamic group — All devices where extensionAttribute4 -in ["Tier0", "Tier1", "Tier2"]</w:t>
      </w:r>
    </w:p>
    <w:p>
      <w:pPr>
        <w:pStyle w:val="BodyText"/>
      </w:pPr>
      <w:r>
        <w:t xml:space="preserve">Account Lockout Settings</w:t>
      </w:r>
    </w:p>
    <w:tbl>
      <w:tblPr>
        <w:tblStyle w:val="Table"/>
        <w:tblW w:type="pct" w:w="4958"/>
        <w:tblLayout w:type="fixed"/>
        <w:tblLook w:firstRow="1" w:lastRow="0" w:firstColumn="0" w:lastColumn="0" w:noHBand="0" w:noVBand="0" w:val="0020"/>
      </w:tblPr>
      <w:tblGrid>
        <w:gridCol w:w="3508"/>
        <w:gridCol w:w="1269"/>
        <w:gridCol w:w="1069"/>
        <w:gridCol w:w="1269"/>
        <w:gridCol w:w="735"/>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Settings Catalog Setting</w:t>
            </w:r>
          </w:p>
        </w:tc>
        <w:tc>
          <w:tcPr/>
          <w:p>
            <w:pPr>
              <w:pStyle w:val="Compact"/>
              <w:jc w:val="left"/>
            </w:pPr>
            <w:r>
              <w:rPr>
                <w:b/>
                <w:bCs/>
              </w:rPr>
              <w:t xml:space="preserve">Value</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threshold</w:t>
            </w:r>
          </w:p>
        </w:tc>
        <w:tc>
          <w:tcPr/>
          <w:p>
            <w:pPr>
              <w:pStyle w:val="Compact"/>
              <w:jc w:val="left"/>
            </w:pPr>
            <w:r>
              <w:t xml:space="preserve">Account Lockout Policy</w:t>
            </w:r>
          </w:p>
        </w:tc>
        <w:tc>
          <w:tcPr/>
          <w:p>
            <w:pPr>
              <w:pStyle w:val="Compact"/>
              <w:jc w:val="left"/>
            </w:pPr>
            <w:r>
              <w:t xml:space="preserve">Account Lockout Threshold</w:t>
            </w:r>
          </w:p>
        </w:tc>
        <w:tc>
          <w:tcPr/>
          <w:p>
            <w:pPr>
              <w:pStyle w:val="Compact"/>
              <w:jc w:val="left"/>
            </w:pPr>
            <w:r>
              <w:t xml:space="preserve">10 invalid attempts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duration</w:t>
            </w:r>
          </w:p>
        </w:tc>
        <w:tc>
          <w:tcPr/>
          <w:p>
            <w:pPr>
              <w:pStyle w:val="Compact"/>
              <w:jc w:val="left"/>
            </w:pPr>
            <w:r>
              <w:t xml:space="preserve">Account Lockout Policy</w:t>
            </w:r>
          </w:p>
        </w:tc>
        <w:tc>
          <w:tcPr/>
          <w:p>
            <w:pPr>
              <w:pStyle w:val="Compact"/>
              <w:jc w:val="left"/>
            </w:pPr>
            <w:r>
              <w:t xml:space="preserve">Account Lockout Duration</w:t>
            </w:r>
          </w:p>
        </w:tc>
        <w:tc>
          <w:tcPr/>
          <w:p>
            <w:pPr>
              <w:pStyle w:val="Compact"/>
              <w:jc w:val="left"/>
            </w:pPr>
            <w:r>
              <w:t xml:space="preserve">15 minutes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Reset account lockout counter after</w:t>
            </w:r>
          </w:p>
        </w:tc>
        <w:tc>
          <w:tcPr/>
          <w:p>
            <w:pPr>
              <w:pStyle w:val="Compact"/>
              <w:jc w:val="left"/>
            </w:pPr>
            <w:r>
              <w:t xml:space="preserve">Account Lockout Policy</w:t>
            </w:r>
          </w:p>
        </w:tc>
        <w:tc>
          <w:tcPr/>
          <w:p>
            <w:pPr>
              <w:pStyle w:val="Compact"/>
              <w:jc w:val="left"/>
            </w:pPr>
            <w:r>
              <w:t xml:space="preserve">Reset Account Lockout Counter After</w:t>
            </w:r>
          </w:p>
        </w:tc>
        <w:tc>
          <w:tcPr/>
          <w:p>
            <w:pPr>
              <w:pStyle w:val="Compact"/>
              <w:jc w:val="left"/>
            </w:pPr>
            <w:r>
              <w:t xml:space="preserve">15 minutes</w:t>
            </w:r>
          </w:p>
        </w:tc>
      </w:tr>
    </w:tbl>
    <w:p>
      <w:pPr>
        <w:pStyle w:val="BodyText"/>
      </w:pPr>
      <w:r>
        <w:t xml:space="preserve">Audit Policy Settings</w:t>
      </w:r>
    </w:p>
    <w:tbl>
      <w:tblPr>
        <w:tblStyle w:val="Table"/>
        <w:tblW w:type="pct" w:w="4957"/>
        <w:tblLayout w:type="fixed"/>
        <w:tblLook w:firstRow="1" w:lastRow="0" w:firstColumn="0" w:lastColumn="0" w:noHBand="0" w:noVBand="0" w:val="0020"/>
      </w:tblPr>
      <w:tblGrid>
        <w:gridCol w:w="3418"/>
        <w:gridCol w:w="744"/>
        <w:gridCol w:w="1083"/>
        <w:gridCol w:w="1861"/>
        <w:gridCol w:w="74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Advanced Audit Policy &gt; Logon/Logoff</w:t>
            </w:r>
          </w:p>
        </w:tc>
        <w:tc>
          <w:tcPr/>
          <w:p>
            <w:pPr>
              <w:pStyle w:val="Compact"/>
              <w:jc w:val="left"/>
            </w:pPr>
            <w:r>
              <w:t xml:space="preserve">Audit Logon</w:t>
            </w:r>
          </w:p>
        </w:tc>
        <w:tc>
          <w:tcPr/>
          <w:p>
            <w:pPr>
              <w:pStyle w:val="Compact"/>
              <w:jc w:val="left"/>
            </w:pPr>
            <w:r>
              <w:t xml:space="preserve">Audit</w:t>
            </w:r>
          </w:p>
        </w:tc>
        <w:tc>
          <w:tcPr/>
          <w:p>
            <w:pPr>
              <w:pStyle w:val="Compact"/>
              <w:jc w:val="left"/>
            </w:pPr>
            <w:r>
              <w:t xml:space="preserve">Account Logon Logon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Object Access</w:t>
            </w:r>
          </w:p>
        </w:tc>
        <w:tc>
          <w:tcPr/>
          <w:p>
            <w:pPr>
              <w:pStyle w:val="Compact"/>
              <w:jc w:val="left"/>
            </w:pPr>
            <w:r>
              <w:t xml:space="preserve">Audit Object Access</w:t>
            </w:r>
          </w:p>
        </w:tc>
        <w:tc>
          <w:tcPr/>
          <w:p>
            <w:pPr>
              <w:pStyle w:val="Compact"/>
              <w:jc w:val="left"/>
            </w:pPr>
            <w:r>
              <w:t xml:space="preserve">Audit</w:t>
            </w:r>
          </w:p>
        </w:tc>
        <w:tc>
          <w:tcPr/>
          <w:p>
            <w:pPr>
              <w:pStyle w:val="Compact"/>
              <w:jc w:val="left"/>
            </w:pPr>
            <w:r>
              <w:t xml:space="preserve">Object Access Audit File System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Policy Change</w:t>
            </w:r>
          </w:p>
        </w:tc>
        <w:tc>
          <w:tcPr/>
          <w:p>
            <w:pPr>
              <w:pStyle w:val="Compact"/>
              <w:jc w:val="left"/>
            </w:pPr>
            <w:r>
              <w:t xml:space="preserve">Audit Policy Change</w:t>
            </w:r>
          </w:p>
        </w:tc>
        <w:tc>
          <w:tcPr/>
          <w:p>
            <w:pPr>
              <w:pStyle w:val="Compact"/>
              <w:jc w:val="left"/>
            </w:pPr>
            <w:r>
              <w:t xml:space="preserve">Audit</w:t>
            </w:r>
          </w:p>
        </w:tc>
        <w:tc>
          <w:tcPr/>
          <w:p>
            <w:pPr>
              <w:pStyle w:val="Compact"/>
              <w:jc w:val="left"/>
            </w:pPr>
            <w:r>
              <w:t xml:space="preserve">Policy Change Audit Policy Change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Privilege Use</w:t>
            </w:r>
          </w:p>
        </w:tc>
        <w:tc>
          <w:tcPr/>
          <w:p>
            <w:pPr>
              <w:pStyle w:val="Compact"/>
              <w:jc w:val="left"/>
            </w:pPr>
            <w:r>
              <w:t xml:space="preserve">Audit Privilege Use</w:t>
            </w:r>
          </w:p>
        </w:tc>
        <w:tc>
          <w:tcPr/>
          <w:p>
            <w:pPr>
              <w:pStyle w:val="Compact"/>
              <w:jc w:val="left"/>
            </w:pPr>
            <w:r>
              <w:t xml:space="preserve">Audit</w:t>
            </w:r>
          </w:p>
        </w:tc>
        <w:tc>
          <w:tcPr/>
          <w:p>
            <w:pPr>
              <w:pStyle w:val="Compact"/>
              <w:jc w:val="left"/>
            </w:pPr>
            <w:r>
              <w:t xml:space="preserve">Privilege Use Audit Sensitive Privilege Use (Device)</w:t>
            </w:r>
          </w:p>
        </w:tc>
        <w:tc>
          <w:tcPr/>
          <w:p>
            <w:pPr>
              <w:pStyle w:val="Compact"/>
              <w:jc w:val="left"/>
            </w:pPr>
            <w:r>
              <w:t xml:space="preserve">Success and Failure</w:t>
            </w:r>
          </w:p>
        </w:tc>
      </w:tr>
    </w:tbl>
    <w:p>
      <w:pPr>
        <w:pStyle w:val="BodyText"/>
      </w:pPr>
      <w:r>
        <w:t xml:space="preserve">User Rights Assignment</w:t>
      </w:r>
    </w:p>
    <w:tbl>
      <w:tblPr>
        <w:tblStyle w:val="Table"/>
        <w:tblW w:type="pct" w:w="4959"/>
        <w:tblLayout w:type="fixed"/>
        <w:tblLook w:firstRow="1" w:lastRow="0" w:firstColumn="0" w:lastColumn="0" w:noHBand="0" w:noVBand="0" w:val="0020"/>
      </w:tblPr>
      <w:tblGrid>
        <w:gridCol w:w="3316"/>
        <w:gridCol w:w="1480"/>
        <w:gridCol w:w="1030"/>
        <w:gridCol w:w="1223"/>
        <w:gridCol w:w="80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locally</w:t>
            </w:r>
          </w:p>
        </w:tc>
        <w:tc>
          <w:tcPr/>
          <w:p>
            <w:pPr>
              <w:pStyle w:val="Compact"/>
              <w:jc w:val="left"/>
            </w:pPr>
            <w:r>
              <w:t xml:space="preserve">User Rights</w:t>
            </w:r>
          </w:p>
        </w:tc>
        <w:tc>
          <w:tcPr/>
          <w:p>
            <w:pPr>
              <w:pStyle w:val="Compact"/>
              <w:jc w:val="left"/>
            </w:pPr>
            <w:r>
              <w:t xml:space="preserve">Deny Local Log On</w:t>
            </w:r>
          </w:p>
        </w:tc>
        <w:tc>
          <w:tcPr/>
          <w:p>
            <w:pPr>
              <w:pStyle w:val="Compact"/>
              <w:jc w:val="left"/>
            </w:pPr>
            <w:r>
              <w:t xml:space="preserve">Guests</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through Remote Desktop Services</w:t>
            </w:r>
          </w:p>
        </w:tc>
        <w:tc>
          <w:tcPr/>
          <w:p>
            <w:pPr>
              <w:pStyle w:val="Compact"/>
              <w:jc w:val="left"/>
            </w:pPr>
            <w:r>
              <w:t xml:space="preserve">User Rights</w:t>
            </w:r>
          </w:p>
        </w:tc>
        <w:tc>
          <w:tcPr/>
          <w:p>
            <w:pPr>
              <w:pStyle w:val="Compact"/>
              <w:jc w:val="left"/>
            </w:pPr>
            <w:r>
              <w:t xml:space="preserve">Deny Remote Desktop Services Log On</w:t>
            </w:r>
          </w:p>
        </w:tc>
        <w:tc>
          <w:tcPr/>
          <w:p>
            <w:pPr>
              <w:pStyle w:val="Compact"/>
              <w:jc w:val="left"/>
            </w:pPr>
            <w:r>
              <w:t xml:space="preserve">Guests, Local accounts</w:t>
            </w:r>
          </w:p>
        </w:tc>
      </w:tr>
    </w:tbl>
    <w:p>
      <w:pPr>
        <w:pStyle w:val="BodyText"/>
      </w:pPr>
      <w:r>
        <w:t xml:space="preserve">Security Options</w:t>
      </w:r>
    </w:p>
    <w:tbl>
      <w:tblPr>
        <w:tblStyle w:val="Table"/>
        <w:tblW w:type="pct" w:w="4971"/>
        <w:tblLayout w:type="fixed"/>
        <w:tblLook w:firstRow="1" w:lastRow="0" w:firstColumn="0" w:lastColumn="0" w:noHBand="0" w:noVBand="0" w:val="0020"/>
      </w:tblPr>
      <w:tblGrid>
        <w:gridCol w:w="2194"/>
        <w:gridCol w:w="1493"/>
        <w:gridCol w:w="769"/>
        <w:gridCol w:w="1470"/>
        <w:gridCol w:w="1946"/>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Do not display last user name</w:t>
            </w:r>
          </w:p>
        </w:tc>
        <w:tc>
          <w:tcPr/>
          <w:p>
            <w:pPr>
              <w:pStyle w:val="Compact"/>
              <w:jc w:val="left"/>
            </w:pPr>
            <w:r>
              <w:t xml:space="preserve">Local Policies Security Options</w:t>
            </w:r>
          </w:p>
        </w:tc>
        <w:tc>
          <w:tcPr/>
          <w:p>
            <w:pPr>
              <w:pStyle w:val="Compact"/>
              <w:jc w:val="left"/>
            </w:pPr>
            <w:r>
              <w:t xml:space="preserve">Interactive Logon Do Not Display Last Signed In</w:t>
            </w:r>
          </w:p>
        </w:tc>
        <w:tc>
          <w:tcPr/>
          <w:p>
            <w:pPr>
              <w:pStyle w:val="Compact"/>
              <w:jc w:val="left"/>
            </w:pPr>
            <w:r>
              <w:t xml:space="preserve">Enabled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text for users attempting to log on</w:t>
            </w:r>
          </w:p>
        </w:tc>
        <w:tc>
          <w:tcPr/>
          <w:p>
            <w:pPr>
              <w:pStyle w:val="Compact"/>
              <w:jc w:val="left"/>
            </w:pPr>
            <w:r>
              <w:t xml:space="preserve">Local Policies Security Options</w:t>
            </w:r>
          </w:p>
        </w:tc>
        <w:tc>
          <w:tcPr/>
          <w:p>
            <w:pPr>
              <w:pStyle w:val="Compact"/>
              <w:jc w:val="left"/>
            </w:pPr>
            <w:r>
              <w:t xml:space="preserve">Interactive Logon Message Text For Users Attempting To Log On</w:t>
            </w:r>
          </w:p>
        </w:tc>
        <w:tc>
          <w:tcPr/>
          <w:p>
            <w:pPr>
              <w:pStyle w:val="Compact"/>
              <w:jc w:val="left"/>
            </w:pPr>
            <w:r>
              <w:t xml:space="preserve">"This system is for authorized use only. All activity is monitored and recorded."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title for users attempting to log on</w:t>
            </w:r>
          </w:p>
        </w:tc>
        <w:tc>
          <w:tcPr/>
          <w:p>
            <w:pPr>
              <w:pStyle w:val="Compact"/>
              <w:jc w:val="left"/>
            </w:pPr>
            <w:r>
              <w:t xml:space="preserve">Local Policies Security Options</w:t>
            </w:r>
          </w:p>
        </w:tc>
        <w:tc>
          <w:tcPr/>
          <w:p>
            <w:pPr>
              <w:pStyle w:val="Compact"/>
              <w:jc w:val="left"/>
            </w:pPr>
            <w:r>
              <w:t xml:space="preserve">Interactive Logon Message Title For Users Attempting To Log On</w:t>
            </w:r>
          </w:p>
        </w:tc>
        <w:tc>
          <w:tcPr/>
          <w:p>
            <w:pPr>
              <w:pStyle w:val="Compact"/>
              <w:jc w:val="left"/>
            </w:pPr>
            <w:r>
              <w:t xml:space="preserve">"NOTICE"</w:t>
            </w:r>
          </w:p>
        </w:tc>
      </w:tr>
    </w:tbl>
    <w:p>
      <w:pPr>
        <w:pStyle w:val="BodyText"/>
      </w:pPr>
      <w:r>
        <w:t xml:space="preserve">Windows Firewall (Baseline)</w:t>
      </w:r>
    </w:p>
    <w:tbl>
      <w:tblPr>
        <w:tblStyle w:val="Table"/>
        <w:tblW w:type="pct" w:w="4873"/>
        <w:tblLayout w:type="fixed"/>
        <w:tblLook w:firstRow="1" w:lastRow="0" w:firstColumn="0" w:lastColumn="0" w:noHBand="0" w:noVBand="0" w:val="0020"/>
      </w:tblPr>
      <w:tblGrid>
        <w:gridCol w:w="1403"/>
        <w:gridCol w:w="1203"/>
        <w:gridCol w:w="1403"/>
        <w:gridCol w:w="1503"/>
        <w:gridCol w:w="2205"/>
      </w:tblGrid>
      <w:tr>
        <w:trPr>
          <w:tblHeader w:val="on"/>
        </w:trPr>
        <w:tc>
          <w:tcPr/>
          <w:p>
            <w:pPr>
              <w:pStyle w:val="Compact"/>
              <w:jc w:val="left"/>
            </w:pPr>
            <w:r>
              <w:rPr>
                <w:b/>
                <w:bCs/>
              </w:rPr>
              <w:t xml:space="preserve">Profile</w:t>
            </w:r>
          </w:p>
        </w:tc>
        <w:tc>
          <w:tcPr/>
          <w:p>
            <w:pPr>
              <w:pStyle w:val="Compact"/>
              <w:jc w:val="left"/>
            </w:pPr>
            <w:r>
              <w:rPr>
                <w:b/>
                <w:bCs/>
              </w:rPr>
              <w:t xml:space="preserve">State</w:t>
            </w:r>
          </w:p>
        </w:tc>
        <w:tc>
          <w:tcPr/>
          <w:p>
            <w:pPr>
              <w:pStyle w:val="Compact"/>
              <w:jc w:val="left"/>
            </w:pPr>
            <w:r>
              <w:rPr>
                <w:b/>
                <w:bCs/>
              </w:rPr>
              <w:t xml:space="preserve">Inbound</w:t>
            </w:r>
          </w:p>
        </w:tc>
        <w:tc>
          <w:tcPr/>
          <w:p>
            <w:pPr>
              <w:pStyle w:val="Compact"/>
              <w:jc w:val="left"/>
            </w:pPr>
            <w:r>
              <w:rPr>
                <w:b/>
                <w:bCs/>
              </w:rPr>
              <w:t xml:space="preserve">Outbound</w:t>
            </w:r>
          </w:p>
        </w:tc>
        <w:tc>
          <w:tcPr/>
          <w:p>
            <w:pPr>
              <w:pStyle w:val="Compact"/>
              <w:jc w:val="left"/>
            </w:pPr>
            <w:r>
              <w:rPr>
                <w:b/>
                <w:bCs/>
              </w:rPr>
              <w:t xml:space="preserve">Logging</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all</w:t>
            </w:r>
          </w:p>
        </w:tc>
      </w:tr>
    </w:tbl>
    <w:p>
      <w:pPr>
        <w:pStyle w:val="BodyText"/>
      </w:pPr>
      <w:r>
        <w:t xml:space="preserve">4.2 SC-002: Microsoft Defender Antivirus Configuration</w:t>
      </w:r>
    </w:p>
    <w:p>
      <w:pPr>
        <w:pStyle w:val="BodyText"/>
      </w:pPr>
      <w:r>
        <w:rPr>
          <w:b/>
          <w:bCs/>
        </w:rPr>
        <w:t xml:space="preserve">Policy ID: SC-002 | Platform: Windows 10/11 | Target: All corporate devices</w:t>
      </w:r>
    </w:p>
    <w:p>
      <w:pPr>
        <w:pStyle w:val="BodyText"/>
      </w:pPr>
      <w:r>
        <w:rPr>
          <w:b/>
          <w:bCs/>
        </w:rPr>
        <w:t xml:space="preserve">Targeting:</w:t>
      </w:r>
      <w:r>
        <w:t xml:space="preserve"> </w:t>
      </w:r>
      <w:r>
        <w:t xml:space="preserve">All managed devices</w:t>
      </w:r>
    </w:p>
    <w:p>
      <w:pPr>
        <w:pStyle w:val="BodyText"/>
      </w:pPr>
      <w:r>
        <w:t xml:space="preserve">Core Protection Settings</w:t>
      </w:r>
    </w:p>
    <w:tbl>
      <w:tblPr>
        <w:tblStyle w:val="Table"/>
        <w:tblW w:type="pct" w:w="4960"/>
        <w:tblLayout w:type="fixed"/>
        <w:tblLook w:firstRow="1" w:lastRow="0" w:firstColumn="0" w:lastColumn="0" w:noHBand="0" w:noVBand="0" w:val="0020"/>
      </w:tblPr>
      <w:tblGrid>
        <w:gridCol w:w="1756"/>
        <w:gridCol w:w="1117"/>
        <w:gridCol w:w="1053"/>
        <w:gridCol w:w="392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Path (ADMX)</w:t>
            </w:r>
          </w:p>
        </w:tc>
      </w:tr>
      <w:tr>
        <w:tc>
          <w:tcPr/>
          <w:p>
            <w:pPr>
              <w:pStyle w:val="Compact"/>
              <w:jc w:val="left"/>
            </w:pPr>
            <w:r>
              <w:t xml:space="preserve">Microsoft Defender Antivirus &gt; Real-time Protection</w:t>
            </w:r>
          </w:p>
        </w:tc>
        <w:tc>
          <w:tcPr/>
          <w:p>
            <w:pPr>
              <w:pStyle w:val="Compact"/>
              <w:jc w:val="left"/>
            </w:pPr>
            <w:r>
              <w:t xml:space="preserve">Turn on real-time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 Antivirus &gt; MAPS</w:t>
            </w:r>
          </w:p>
        </w:tc>
        <w:tc>
          <w:tcPr/>
          <w:p>
            <w:pPr>
              <w:pStyle w:val="Compact"/>
              <w:jc w:val="left"/>
            </w:pPr>
            <w:r>
              <w:t xml:space="preserve">Cloud-delivered protection level</w:t>
            </w:r>
          </w:p>
        </w:tc>
        <w:tc>
          <w:tcPr/>
          <w:p>
            <w:pPr>
              <w:pStyle w:val="Compact"/>
              <w:jc w:val="left"/>
            </w:pPr>
            <w:r>
              <w:t xml:space="preserve">High</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Extended cloud check timeout</w:t>
            </w:r>
          </w:p>
        </w:tc>
        <w:tc>
          <w:tcPr/>
          <w:p>
            <w:pPr>
              <w:pStyle w:val="Compact"/>
              <w:jc w:val="left"/>
            </w:pPr>
            <w:r>
              <w:t xml:space="preserve">50 seconds</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Submit samples consent</w:t>
            </w:r>
          </w:p>
        </w:tc>
        <w:tc>
          <w:tcPr/>
          <w:p>
            <w:pPr>
              <w:pStyle w:val="Compact"/>
              <w:jc w:val="left"/>
            </w:pPr>
            <w:r>
              <w:t xml:space="preserve">Send all samples automatically</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w:t>
            </w:r>
          </w:p>
        </w:tc>
        <w:tc>
          <w:tcPr/>
          <w:p>
            <w:pPr>
              <w:pStyle w:val="Compact"/>
              <w:jc w:val="left"/>
            </w:pPr>
            <w:r>
              <w:t xml:space="preserve">PUA protection</w:t>
            </w:r>
          </w:p>
        </w:tc>
        <w:tc>
          <w:tcPr/>
          <w:p>
            <w:pPr>
              <w:pStyle w:val="Compact"/>
              <w:jc w:val="left"/>
            </w:pPr>
            <w:r>
              <w:t xml:space="preserve">PUA Protection On (Enabled)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 Antivirus</w:t>
            </w:r>
          </w:p>
        </w:tc>
        <w:tc>
          <w:tcPr/>
          <w:p>
            <w:pPr>
              <w:pStyle w:val="Compact"/>
              <w:jc w:val="left"/>
            </w:pPr>
            <w:r>
              <w:t xml:space="preserve">Network protection</w:t>
            </w:r>
          </w:p>
        </w:tc>
        <w:tc>
          <w:tcPr/>
          <w:p>
            <w:pPr>
              <w:pStyle w:val="Compact"/>
              <w:jc w:val="left"/>
            </w:pPr>
            <w:r>
              <w:t xml:space="preserve">Enabled (block mode)</w:t>
            </w:r>
          </w:p>
        </w:tc>
        <w:tc>
          <w:tcPr/>
          <w:p>
            <w:pPr>
              <w:pStyle w:val="Compact"/>
              <w:jc w:val="left"/>
            </w:pPr>
            <w:r>
              <w:t xml:space="preserve">Computer Config &gt; Admin Templates &gt; Windows Components &gt; Microsoft Defender Exploit Guard &gt; Network Protection</w:t>
            </w:r>
          </w:p>
        </w:tc>
      </w:tr>
      <w:tr>
        <w:tc>
          <w:tcPr/>
          <w:p>
            <w:pPr>
              <w:pStyle w:val="Compact"/>
              <w:jc w:val="left"/>
            </w:pPr>
            <w:r>
              <w:t xml:space="preserve">Microsoft Defender Antivirus</w:t>
            </w:r>
          </w:p>
        </w:tc>
        <w:tc>
          <w:tcPr/>
          <w:p>
            <w:pPr>
              <w:pStyle w:val="Compact"/>
              <w:jc w:val="left"/>
            </w:pPr>
            <w:r>
              <w:t xml:space="preserve">Controlled folder access</w:t>
            </w:r>
          </w:p>
        </w:tc>
        <w:tc>
          <w:tcPr/>
          <w:p>
            <w:pPr>
              <w:pStyle w:val="Compact"/>
              <w:jc w:val="left"/>
            </w:pPr>
            <w:r>
              <w:t xml:space="preserve">Audit mode → Enabled (phased)</w:t>
            </w:r>
          </w:p>
        </w:tc>
        <w:tc>
          <w:tcPr/>
          <w:p>
            <w:pPr>
              <w:pStyle w:val="Compact"/>
              <w:jc w:val="left"/>
            </w:pPr>
            <w:r>
              <w:t xml:space="preserve">Computer Config &gt; Admin Templates &gt; Windows Components &gt; Microsoft Defender Exploit Guard &gt; Controlled Folder Access</w:t>
            </w:r>
          </w:p>
        </w:tc>
      </w:tr>
    </w:tbl>
    <w:p>
      <w:pPr>
        <w:pStyle w:val="BodyText"/>
      </w:pPr>
      <w:r>
        <w:t xml:space="preserve">Scan Schedule</w:t>
      </w:r>
    </w:p>
    <w:tbl>
      <w:tblPr>
        <w:tblStyle w:val="Table"/>
        <w:tblW w:type="pct" w:w="4097"/>
        <w:tblLayout w:type="fixed"/>
        <w:tblLook w:firstRow="1" w:lastRow="0" w:firstColumn="0" w:lastColumn="0" w:noHBand="0" w:noVBand="0" w:val="0020"/>
      </w:tblPr>
      <w:tblGrid>
        <w:gridCol w:w="1980"/>
        <w:gridCol w:w="4510"/>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Full scan day</w:t>
            </w:r>
          </w:p>
        </w:tc>
        <w:tc>
          <w:tcPr/>
          <w:p>
            <w:pPr>
              <w:pStyle w:val="Compact"/>
              <w:jc w:val="left"/>
            </w:pPr>
            <w:r>
              <w:t xml:space="preserve">Sunday</w:t>
            </w:r>
          </w:p>
        </w:tc>
      </w:tr>
      <w:tr>
        <w:tc>
          <w:tcPr/>
          <w:p>
            <w:pPr>
              <w:pStyle w:val="Compact"/>
              <w:jc w:val="left"/>
            </w:pPr>
            <w:r>
              <w:t xml:space="preserve">Full scan time</w:t>
            </w:r>
          </w:p>
        </w:tc>
        <w:tc>
          <w:tcPr/>
          <w:p>
            <w:pPr>
              <w:pStyle w:val="Compact"/>
              <w:jc w:val="left"/>
            </w:pPr>
            <w:r>
              <w:t xml:space="preserve">02:00 AM</w:t>
            </w:r>
          </w:p>
        </w:tc>
      </w:tr>
      <w:tr>
        <w:tc>
          <w:tcPr/>
          <w:p>
            <w:pPr>
              <w:pStyle w:val="Compact"/>
              <w:jc w:val="left"/>
            </w:pPr>
            <w:r>
              <w:t xml:space="preserve">Quick scan time</w:t>
            </w:r>
          </w:p>
        </w:tc>
        <w:tc>
          <w:tcPr/>
          <w:p>
            <w:pPr>
              <w:pStyle w:val="Compact"/>
              <w:jc w:val="left"/>
            </w:pPr>
            <w:r>
              <w:t xml:space="preserve">12:00 PM (daily)</w:t>
            </w:r>
          </w:p>
        </w:tc>
      </w:tr>
      <w:tr>
        <w:tc>
          <w:tcPr/>
          <w:p>
            <w:pPr>
              <w:pStyle w:val="Compact"/>
              <w:jc w:val="left"/>
            </w:pPr>
            <w:r>
              <w:t xml:space="preserve">Scan type</w:t>
            </w:r>
          </w:p>
        </w:tc>
        <w:tc>
          <w:tcPr/>
          <w:p>
            <w:pPr>
              <w:pStyle w:val="Compact"/>
              <w:jc w:val="left"/>
            </w:pPr>
            <w:r>
              <w:t xml:space="preserve">Quick scan (daily), Full scan (weekly)</w:t>
            </w:r>
          </w:p>
        </w:tc>
      </w:tr>
    </w:tbl>
    <w:p>
      <w:pPr>
        <w:pStyle w:val="BodyText"/>
      </w:pPr>
      <w:r>
        <w:t xml:space="preserve">Attack Surface Reduction Rules</w:t>
      </w:r>
    </w:p>
    <w:tbl>
      <w:tblPr>
        <w:tblStyle w:val="Table"/>
        <w:tblW w:type="pct" w:w="4929"/>
        <w:tblLayout w:type="fixed"/>
        <w:tblLook w:firstRow="1" w:lastRow="0" w:firstColumn="0" w:lastColumn="0" w:noHBand="0" w:noVBand="0" w:val="0020"/>
      </w:tblPr>
      <w:tblGrid>
        <w:gridCol w:w="2190"/>
        <w:gridCol w:w="4268"/>
        <w:gridCol w:w="1348"/>
      </w:tblGrid>
      <w:tr>
        <w:trPr>
          <w:tblHeader w:val="on"/>
        </w:trPr>
        <w:tc>
          <w:tcPr/>
          <w:p>
            <w:pPr>
              <w:pStyle w:val="Compact"/>
              <w:jc w:val="left"/>
            </w:pPr>
            <w:r>
              <w:rPr>
                <w:b/>
                <w:bCs/>
              </w:rPr>
              <w:t xml:space="preserve">Rule GUID</w:t>
            </w:r>
          </w:p>
        </w:tc>
        <w:tc>
          <w:tcPr/>
          <w:p>
            <w:pPr>
              <w:pStyle w:val="Compact"/>
              <w:jc w:val="left"/>
            </w:pPr>
            <w:r>
              <w:rPr>
                <w:b/>
                <w:bCs/>
              </w:rPr>
              <w:t xml:space="preserve">Rule Name</w:t>
            </w:r>
          </w:p>
        </w:tc>
        <w:tc>
          <w:tcPr/>
          <w:p>
            <w:pPr>
              <w:pStyle w:val="Compact"/>
              <w:jc w:val="left"/>
            </w:pPr>
            <w:r>
              <w:rPr>
                <w:b/>
                <w:bCs/>
              </w:rPr>
              <w:t xml:space="preserve">Recommended State</w:t>
            </w:r>
          </w:p>
        </w:tc>
      </w:tr>
      <w:tr>
        <w:tc>
          <w:tcPr/>
          <w:p>
            <w:pPr>
              <w:pStyle w:val="Compact"/>
              <w:jc w:val="left"/>
            </w:pPr>
            <w:r>
              <w:t xml:space="preserve">BE9BA2D9-53EA-4CDC-84E5-9B1EEEE46550</w:t>
            </w:r>
          </w:p>
        </w:tc>
        <w:tc>
          <w:tcPr/>
          <w:p>
            <w:pPr>
              <w:pStyle w:val="Compact"/>
              <w:jc w:val="left"/>
            </w:pPr>
            <w:r>
              <w:t xml:space="preserve">Block executable content from email client and webmail</w:t>
            </w:r>
          </w:p>
        </w:tc>
        <w:tc>
          <w:tcPr/>
          <w:p>
            <w:pPr>
              <w:pStyle w:val="Compact"/>
              <w:jc w:val="left"/>
            </w:pPr>
            <w:r>
              <w:t xml:space="preserve">Block</w:t>
            </w:r>
          </w:p>
        </w:tc>
      </w:tr>
      <w:tr>
        <w:tc>
          <w:tcPr/>
          <w:p>
            <w:pPr>
              <w:pStyle w:val="Compact"/>
              <w:jc w:val="left"/>
            </w:pPr>
            <w:r>
              <w:t xml:space="preserve">D4F940AB-401B-4EFC-AADC-AD5F3C50688A</w:t>
            </w:r>
          </w:p>
        </w:tc>
        <w:tc>
          <w:tcPr/>
          <w:p>
            <w:pPr>
              <w:pStyle w:val="Compact"/>
              <w:jc w:val="left"/>
            </w:pPr>
            <w:r>
              <w:t xml:space="preserve">Block all Office applications from creating child processes</w:t>
            </w:r>
          </w:p>
        </w:tc>
        <w:tc>
          <w:tcPr/>
          <w:p>
            <w:pPr>
              <w:pStyle w:val="Compact"/>
              <w:jc w:val="left"/>
            </w:pPr>
            <w:r>
              <w:t xml:space="preserve">Block</w:t>
            </w:r>
          </w:p>
        </w:tc>
      </w:tr>
      <w:tr>
        <w:tc>
          <w:tcPr/>
          <w:p>
            <w:pPr>
              <w:pStyle w:val="Compact"/>
              <w:jc w:val="left"/>
            </w:pPr>
            <w:r>
              <w:t xml:space="preserve">D3E037E1-3EB8-44C8-A917-57927947596D</w:t>
            </w:r>
          </w:p>
        </w:tc>
        <w:tc>
          <w:tcPr/>
          <w:p>
            <w:pPr>
              <w:pStyle w:val="Compact"/>
              <w:jc w:val="left"/>
            </w:pPr>
            <w:r>
              <w:t xml:space="preserve">Block JavaScript or VBScript from launching downloaded executable content</w:t>
            </w:r>
          </w:p>
        </w:tc>
        <w:tc>
          <w:tcPr/>
          <w:p>
            <w:pPr>
              <w:pStyle w:val="Compact"/>
              <w:jc w:val="left"/>
            </w:pPr>
            <w:r>
              <w:t xml:space="preserve">Block</w:t>
            </w:r>
          </w:p>
        </w:tc>
      </w:tr>
      <w:tr>
        <w:tc>
          <w:tcPr/>
          <w:p>
            <w:pPr>
              <w:pStyle w:val="Compact"/>
              <w:jc w:val="left"/>
            </w:pPr>
            <w:r>
              <w:t xml:space="preserve">5BEB7EFE-FD9A-4556-801D-275E5FFC04CC</w:t>
            </w:r>
          </w:p>
        </w:tc>
        <w:tc>
          <w:tcPr/>
          <w:p>
            <w:pPr>
              <w:pStyle w:val="Compact"/>
              <w:jc w:val="left"/>
            </w:pPr>
            <w:r>
              <w:t xml:space="preserve">Block execution of potentially obfuscated scripts</w:t>
            </w:r>
          </w:p>
        </w:tc>
        <w:tc>
          <w:tcPr/>
          <w:p>
            <w:pPr>
              <w:pStyle w:val="Compact"/>
              <w:jc w:val="left"/>
            </w:pPr>
            <w:r>
              <w:t xml:space="preserve">Block</w:t>
            </w:r>
          </w:p>
        </w:tc>
      </w:tr>
      <w:tr>
        <w:tc>
          <w:tcPr/>
          <w:p>
            <w:pPr>
              <w:pStyle w:val="Compact"/>
              <w:jc w:val="left"/>
            </w:pPr>
            <w:r>
              <w:t xml:space="preserve">92E97FA1-2EDF-4476-BDD6-9DD0B4DDDC7B</w:t>
            </w:r>
          </w:p>
        </w:tc>
        <w:tc>
          <w:tcPr/>
          <w:p>
            <w:pPr>
              <w:pStyle w:val="Compact"/>
              <w:jc w:val="left"/>
            </w:pPr>
            <w:r>
              <w:t xml:space="preserve">Block Win32 API calls from Office macros</w:t>
            </w:r>
          </w:p>
        </w:tc>
        <w:tc>
          <w:tcPr/>
          <w:p>
            <w:pPr>
              <w:pStyle w:val="Compact"/>
              <w:jc w:val="left"/>
            </w:pPr>
            <w:r>
              <w:t xml:space="preserve">Block</w:t>
            </w:r>
          </w:p>
        </w:tc>
      </w:tr>
      <w:tr>
        <w:tc>
          <w:tcPr/>
          <w:p>
            <w:pPr>
              <w:pStyle w:val="Compact"/>
              <w:jc w:val="left"/>
            </w:pPr>
            <w:r>
              <w:t xml:space="preserve">9E6C4E1F-7D60-472F-BA1A-A39EF669E4B2</w:t>
            </w:r>
          </w:p>
        </w:tc>
        <w:tc>
          <w:tcPr/>
          <w:p>
            <w:pPr>
              <w:pStyle w:val="Compact"/>
              <w:jc w:val="left"/>
            </w:pPr>
            <w:r>
              <w:t xml:space="preserve">Block credential stealing from Windows LSASS</w:t>
            </w:r>
          </w:p>
        </w:tc>
        <w:tc>
          <w:tcPr/>
          <w:p>
            <w:pPr>
              <w:pStyle w:val="Compact"/>
              <w:jc w:val="left"/>
            </w:pPr>
            <w:r>
              <w:t xml:space="preserve">Block</w:t>
            </w:r>
          </w:p>
        </w:tc>
      </w:tr>
      <w:tr>
        <w:tc>
          <w:tcPr/>
          <w:p>
            <w:pPr>
              <w:pStyle w:val="Compact"/>
              <w:jc w:val="left"/>
            </w:pPr>
            <w:r>
              <w:t xml:space="preserve">D1E49AAC-8F56-4280-B9BA-993A6D77406C</w:t>
            </w:r>
          </w:p>
        </w:tc>
        <w:tc>
          <w:tcPr/>
          <w:p>
            <w:pPr>
              <w:pStyle w:val="Compact"/>
              <w:jc w:val="left"/>
            </w:pPr>
            <w:r>
              <w:t xml:space="preserve">Block process creations originating from PSExec and WMI commands</w:t>
            </w:r>
          </w:p>
        </w:tc>
        <w:tc>
          <w:tcPr/>
          <w:p>
            <w:pPr>
              <w:pStyle w:val="Compact"/>
              <w:jc w:val="left"/>
            </w:pPr>
            <w:r>
              <w:t xml:space="preserve">Block</w:t>
            </w:r>
          </w:p>
        </w:tc>
      </w:tr>
      <w:tr>
        <w:tc>
          <w:tcPr/>
          <w:p>
            <w:pPr>
              <w:pStyle w:val="Compact"/>
              <w:jc w:val="left"/>
            </w:pPr>
            <w:r>
              <w:t xml:space="preserve">B2B3F03D-6A65-4F7B-A9C7-1C7EF74A9BA4</w:t>
            </w:r>
          </w:p>
        </w:tc>
        <w:tc>
          <w:tcPr/>
          <w:p>
            <w:pPr>
              <w:pStyle w:val="Compact"/>
              <w:jc w:val="left"/>
            </w:pPr>
            <w:r>
              <w:t xml:space="preserve">Block untrusted and unsigned processes that run from USB</w:t>
            </w:r>
          </w:p>
        </w:tc>
        <w:tc>
          <w:tcPr/>
          <w:p>
            <w:pPr>
              <w:pStyle w:val="Compact"/>
              <w:jc w:val="left"/>
            </w:pPr>
            <w:r>
              <w:t xml:space="preserve">Block</w:t>
            </w:r>
          </w:p>
        </w:tc>
      </w:tr>
      <w:tr>
        <w:tc>
          <w:tcPr/>
          <w:p>
            <w:pPr>
              <w:pStyle w:val="Compact"/>
              <w:jc w:val="left"/>
            </w:pPr>
            <w:r>
              <w:t xml:space="preserve">3B576869-A4EC-4529-8536-B80A7769E899</w:t>
            </w:r>
          </w:p>
        </w:tc>
        <w:tc>
          <w:tcPr/>
          <w:p>
            <w:pPr>
              <w:pStyle w:val="Compact"/>
              <w:jc w:val="left"/>
            </w:pPr>
            <w:r>
              <w:t xml:space="preserve">Block Office applications from creating executable content</w:t>
            </w:r>
          </w:p>
        </w:tc>
        <w:tc>
          <w:tcPr/>
          <w:p>
            <w:pPr>
              <w:pStyle w:val="Compact"/>
              <w:jc w:val="left"/>
            </w:pPr>
            <w:r>
              <w:t xml:space="preserve">Block</w:t>
            </w:r>
          </w:p>
        </w:tc>
      </w:tr>
      <w:tr>
        <w:tc>
          <w:tcPr/>
          <w:p>
            <w:pPr>
              <w:pStyle w:val="Compact"/>
              <w:jc w:val="left"/>
            </w:pPr>
            <w:r>
              <w:t xml:space="preserve">75668C1F-73B5-4CF0-BB93-3ECF5CB7CC84</w:t>
            </w:r>
          </w:p>
        </w:tc>
        <w:tc>
          <w:tcPr/>
          <w:p>
            <w:pPr>
              <w:pStyle w:val="Compact"/>
              <w:jc w:val="left"/>
            </w:pPr>
            <w:r>
              <w:t xml:space="preserve">Block Office applications from injecting code into other processes</w:t>
            </w:r>
          </w:p>
        </w:tc>
        <w:tc>
          <w:tcPr/>
          <w:p>
            <w:pPr>
              <w:pStyle w:val="Compact"/>
              <w:jc w:val="left"/>
            </w:pPr>
            <w:r>
              <w:t xml:space="preserve">Block</w:t>
            </w:r>
          </w:p>
        </w:tc>
      </w:tr>
      <w:tr>
        <w:tc>
          <w:tcPr/>
          <w:p>
            <w:pPr>
              <w:pStyle w:val="Compact"/>
              <w:jc w:val="left"/>
            </w:pPr>
            <w:r>
              <w:t xml:space="preserve">7674BA52-37EB-4A4F-A9A1-F0F9A1619A2C</w:t>
            </w:r>
          </w:p>
        </w:tc>
        <w:tc>
          <w:tcPr/>
          <w:p>
            <w:pPr>
              <w:pStyle w:val="Compact"/>
              <w:jc w:val="left"/>
            </w:pPr>
            <w:r>
              <w:t xml:space="preserve">Block Adobe Reader from creating child processes</w:t>
            </w:r>
          </w:p>
        </w:tc>
        <w:tc>
          <w:tcPr/>
          <w:p>
            <w:pPr>
              <w:pStyle w:val="Compact"/>
              <w:jc w:val="left"/>
            </w:pPr>
            <w:r>
              <w:t xml:space="preserve">Block</w:t>
            </w:r>
          </w:p>
        </w:tc>
      </w:tr>
      <w:tr>
        <w:tc>
          <w:tcPr/>
          <w:p>
            <w:pPr>
              <w:pStyle w:val="Compact"/>
              <w:jc w:val="left"/>
            </w:pPr>
            <w:r>
              <w:t xml:space="preserve">C1DB55AB-C21A-4637-BB3F-A12568109D35</w:t>
            </w:r>
          </w:p>
        </w:tc>
        <w:tc>
          <w:tcPr/>
          <w:p>
            <w:pPr>
              <w:pStyle w:val="Compact"/>
              <w:jc w:val="left"/>
            </w:pPr>
            <w:r>
              <w:t xml:space="preserve">Use advanced protection against ransomware</w:t>
            </w:r>
          </w:p>
        </w:tc>
        <w:tc>
          <w:tcPr/>
          <w:p>
            <w:pPr>
              <w:pStyle w:val="Compact"/>
              <w:jc w:val="left"/>
            </w:pPr>
            <w:r>
              <w:t xml:space="preserve">Block</w:t>
            </w:r>
          </w:p>
        </w:tc>
      </w:tr>
    </w:tbl>
    <w:p>
      <w:pPr>
        <w:pStyle w:val="BodyText"/>
      </w:pPr>
      <w:r>
        <w:t xml:space="preserve">4.3 SC-003: Microsoft Edge Browser Configuration</w:t>
      </w:r>
    </w:p>
    <w:p>
      <w:pPr>
        <w:pStyle w:val="BodyText"/>
      </w:pPr>
      <w:r>
        <w:rPr>
          <w:b/>
          <w:bCs/>
        </w:rPr>
        <w:t xml:space="preserve">Policy ID: SC-003 | Platform: Windows 10/11 | Target: All corporate devices</w:t>
      </w:r>
    </w:p>
    <w:p>
      <w:pPr>
        <w:pStyle w:val="BodyText"/>
      </w:pPr>
      <w:r>
        <w:rPr>
          <w:b/>
          <w:bCs/>
        </w:rPr>
        <w:t xml:space="preserve">Description:</w:t>
      </w:r>
      <w:r>
        <w:t xml:space="preserve"> </w:t>
      </w:r>
      <w:r>
        <w:t xml:space="preserve">Replaces GPO-deployed Internet Explorer and legacy Edge settings with modern Edge (Chromium) configuration.</w:t>
      </w:r>
    </w:p>
    <w:tbl>
      <w:tblPr>
        <w:tblStyle w:val="Table"/>
        <w:tblW w:type="pct" w:w="4956"/>
        <w:tblLayout w:type="fixed"/>
        <w:tblLook w:firstRow="1" w:lastRow="0" w:firstColumn="0" w:lastColumn="0" w:noHBand="0" w:noVBand="0" w:val="0020"/>
      </w:tblPr>
      <w:tblGrid>
        <w:gridCol w:w="1302"/>
        <w:gridCol w:w="1760"/>
        <w:gridCol w:w="1478"/>
        <w:gridCol w:w="330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 (ADMX)</w:t>
            </w:r>
          </w:p>
        </w:tc>
      </w:tr>
      <w:tr>
        <w:tc>
          <w:tcPr/>
          <w:p>
            <w:pPr>
              <w:pStyle w:val="Compact"/>
              <w:jc w:val="left"/>
            </w:pPr>
            <w:r>
              <w:t xml:space="preserve">Microsoft Edge</w:t>
            </w:r>
          </w:p>
        </w:tc>
        <w:tc>
          <w:tcPr/>
          <w:p>
            <w:pPr>
              <w:pStyle w:val="Compact"/>
              <w:jc w:val="left"/>
            </w:pPr>
            <w:r>
              <w:t xml:space="preserve">Homepage URL</w:t>
            </w:r>
          </w:p>
        </w:tc>
        <w:tc>
          <w:tcPr/>
          <w:p>
            <w:pPr>
              <w:pStyle w:val="Compact"/>
              <w:jc w:val="left"/>
            </w:pPr>
            <w:r>
              <w:t xml:space="preserve">https://portal.office.com</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w:t>
            </w:r>
          </w:p>
        </w:tc>
        <w:tc>
          <w:tcPr/>
          <w:p>
            <w:pPr>
              <w:pStyle w:val="Compact"/>
              <w:jc w:val="left"/>
            </w:pPr>
            <w:r>
              <w:t xml:space="preserve">Restore on startup action</w:t>
            </w:r>
          </w:p>
        </w:tc>
        <w:tc>
          <w:tcPr/>
          <w:p>
            <w:pPr>
              <w:pStyle w:val="Compact"/>
              <w:jc w:val="left"/>
            </w:pPr>
            <w:r>
              <w:t xml:space="preserve">Open a list of URLs</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 &gt; SmartScreen</w:t>
            </w:r>
          </w:p>
        </w:tc>
        <w:tc>
          <w:tcPr/>
          <w:p>
            <w:pPr>
              <w:pStyle w:val="Compact"/>
              <w:jc w:val="left"/>
            </w:pPr>
            <w:r>
              <w:t xml:space="preserve">SmartScreen enabled</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SmartScreen</w:t>
            </w:r>
          </w:p>
        </w:tc>
        <w:tc>
          <w:tcPr/>
          <w:p>
            <w:pPr>
              <w:pStyle w:val="Compact"/>
              <w:jc w:val="left"/>
            </w:pPr>
            <w:r>
              <w:t xml:space="preserve">Prevent bypassing SmartScreen prompts for sites</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Password Manager</w:t>
            </w:r>
          </w:p>
        </w:tc>
        <w:tc>
          <w:tcPr/>
          <w:p>
            <w:pPr>
              <w:pStyle w:val="Compact"/>
              <w:jc w:val="left"/>
            </w:pPr>
            <w:r>
              <w:t xml:space="preserve">Enable saving passwords</w:t>
            </w:r>
          </w:p>
        </w:tc>
        <w:tc>
          <w:tcPr/>
          <w:p>
            <w:pPr>
              <w:pStyle w:val="Compact"/>
              <w:jc w:val="left"/>
            </w:pPr>
            <w:r>
              <w:t xml:space="preserve">Disabled</w:t>
            </w:r>
          </w:p>
        </w:tc>
        <w:tc>
          <w:tcPr/>
          <w:p>
            <w:pPr>
              <w:pStyle w:val="Compact"/>
              <w:jc w:val="left"/>
            </w:pPr>
            <w:r>
              <w:t xml:space="preserve">Computer Config &gt; Admin Templates &gt; Microsoft Edge &gt; Password manager and protection</w:t>
            </w:r>
          </w:p>
        </w:tc>
      </w:tr>
      <w:tr>
        <w:tc>
          <w:tcPr/>
          <w:p>
            <w:pPr>
              <w:pStyle w:val="Compact"/>
              <w:jc w:val="left"/>
            </w:pPr>
            <w:r>
              <w:t xml:space="preserve">Microsoft Edge &gt; Extensions</w:t>
            </w:r>
          </w:p>
        </w:tc>
        <w:tc>
          <w:tcPr/>
          <w:p>
            <w:pPr>
              <w:pStyle w:val="Compact"/>
              <w:jc w:val="left"/>
            </w:pPr>
            <w:r>
              <w:t xml:space="preserve">Extension install blocklist</w:t>
            </w:r>
          </w:p>
        </w:tc>
        <w:tc>
          <w:tcPr/>
          <w:p>
            <w:pPr>
              <w:pStyle w:val="Compact"/>
              <w:jc w:val="left"/>
            </w:pPr>
            <w:r>
              <w:t xml:space="preserve">* (block all except allow-listed)</w:t>
            </w:r>
          </w:p>
        </w:tc>
        <w:tc>
          <w:tcPr/>
          <w:p>
            <w:pPr>
              <w:pStyle w:val="Compact"/>
              <w:jc w:val="left"/>
            </w:pPr>
            <w:r>
              <w:t xml:space="preserve">Computer Config &gt; Admin Templates &gt; Microsoft Edge &gt; Extensions</w:t>
            </w:r>
          </w:p>
        </w:tc>
      </w:tr>
      <w:tr>
        <w:tc>
          <w:tcPr/>
          <w:p>
            <w:pPr>
              <w:pStyle w:val="Compact"/>
              <w:jc w:val="left"/>
            </w:pPr>
            <w:r>
              <w:t xml:space="preserve">Microsoft Edge &gt; Extensions</w:t>
            </w:r>
          </w:p>
        </w:tc>
        <w:tc>
          <w:tcPr/>
          <w:p>
            <w:pPr>
              <w:pStyle w:val="Compact"/>
              <w:jc w:val="left"/>
            </w:pPr>
            <w:r>
              <w:t xml:space="preserve">Extension install allowlist</w:t>
            </w:r>
          </w:p>
        </w:tc>
        <w:tc>
          <w:tcPr/>
          <w:p>
            <w:pPr>
              <w:pStyle w:val="Compact"/>
              <w:jc w:val="left"/>
            </w:pPr>
            <w:r>
              <w:t xml:space="preserve">[Organization-approved extension IDs]</w:t>
            </w:r>
          </w:p>
        </w:tc>
        <w:tc>
          <w:tcPr/>
          <w:p>
            <w:pPr>
              <w:pStyle w:val="Compact"/>
              <w:jc w:val="left"/>
            </w:pPr>
            <w:r>
              <w:t xml:space="preserve">Computer Config &gt; Admin Templates &gt; Microsoft Edge &gt; Extensions</w:t>
            </w:r>
          </w:p>
        </w:tc>
      </w:tr>
      <w:tr>
        <w:tc>
          <w:tcPr/>
          <w:p>
            <w:pPr>
              <w:pStyle w:val="Compact"/>
              <w:jc w:val="left"/>
            </w:pPr>
            <w:r>
              <w:t xml:space="preserve">Microsoft Edge &gt; Proxy</w:t>
            </w:r>
          </w:p>
        </w:tc>
        <w:tc>
          <w:tcPr/>
          <w:p>
            <w:pPr>
              <w:pStyle w:val="Compact"/>
              <w:jc w:val="left"/>
            </w:pPr>
            <w:r>
              <w:t xml:space="preserve">Proxy settings</w:t>
            </w:r>
          </w:p>
        </w:tc>
        <w:tc>
          <w:tcPr/>
          <w:p>
            <w:pPr>
              <w:pStyle w:val="Compact"/>
              <w:jc w:val="left"/>
            </w:pPr>
            <w:r>
              <w:t xml:space="preserve">System proxy / PAC file URL</w:t>
            </w:r>
          </w:p>
        </w:tc>
        <w:tc>
          <w:tcPr/>
          <w:p>
            <w:pPr>
              <w:pStyle w:val="Compact"/>
              <w:jc w:val="left"/>
            </w:pPr>
            <w:r>
              <w:t xml:space="preserve">Computer Config &gt; Admin Templates &gt; Microsoft Edge &gt; Proxy server</w:t>
            </w:r>
          </w:p>
        </w:tc>
      </w:tr>
      <w:tr>
        <w:tc>
          <w:tcPr/>
          <w:p>
            <w:pPr>
              <w:pStyle w:val="Compact"/>
              <w:jc w:val="left"/>
            </w:pPr>
            <w:r>
              <w:t xml:space="preserve">Microsoft Edge</w:t>
            </w:r>
          </w:p>
        </w:tc>
        <w:tc>
          <w:tcPr/>
          <w:p>
            <w:pPr>
              <w:pStyle w:val="Compact"/>
              <w:jc w:val="left"/>
            </w:pPr>
            <w:r>
              <w:t xml:space="preserve">Download restrictions</w:t>
            </w:r>
          </w:p>
        </w:tc>
        <w:tc>
          <w:tcPr/>
          <w:p>
            <w:pPr>
              <w:pStyle w:val="Compact"/>
              <w:jc w:val="left"/>
            </w:pPr>
            <w:r>
              <w:t xml:space="preserve">Block dangerous downloads</w:t>
            </w:r>
          </w:p>
        </w:tc>
        <w:tc>
          <w:tcPr/>
          <w:p>
            <w:pPr>
              <w:pStyle w:val="Compact"/>
              <w:jc w:val="left"/>
            </w:pPr>
            <w:r>
              <w:t xml:space="preserve">Computer Config &gt; Admin Templates &gt; Microsoft Edge</w:t>
            </w:r>
          </w:p>
        </w:tc>
      </w:tr>
    </w:tbl>
    <w:p>
      <w:pPr>
        <w:pStyle w:val="BodyText"/>
      </w:pPr>
      <w:r>
        <w:t xml:space="preserve">4.4 SC-004: OneDrive for Business Configuration</w:t>
      </w:r>
    </w:p>
    <w:p>
      <w:pPr>
        <w:pStyle w:val="BodyText"/>
      </w:pPr>
      <w:r>
        <w:rPr>
          <w:b/>
          <w:bCs/>
        </w:rPr>
        <w:t xml:space="preserve">Policy ID: SC-004 | Platform: Windows 10/11 | Target: All corporate devices</w:t>
      </w:r>
    </w:p>
    <w:p>
      <w:pPr>
        <w:pStyle w:val="BodyText"/>
      </w:pPr>
      <w:r>
        <w:rPr>
          <w:b/>
          <w:bCs/>
        </w:rPr>
        <w:t xml:space="preserve">Description:</w:t>
      </w:r>
      <w:r>
        <w:t xml:space="preserve"> </w:t>
      </w:r>
      <w:r>
        <w:t xml:space="preserve">Replaces GPO-based Folder Redirection and logon script drive mappings with OneDrive Known Folder Move (KFM) and Files On-Demand.</w:t>
      </w:r>
    </w:p>
    <w:tbl>
      <w:tblPr>
        <w:tblStyle w:val="Table"/>
        <w:tblW w:type="pct" w:w="4955"/>
        <w:tblLayout w:type="fixed"/>
        <w:tblLook w:firstRow="1" w:lastRow="0" w:firstColumn="0" w:lastColumn="0" w:noHBand="0" w:noVBand="0" w:val="0020"/>
      </w:tblPr>
      <w:tblGrid>
        <w:gridCol w:w="1146"/>
        <w:gridCol w:w="1791"/>
        <w:gridCol w:w="1110"/>
        <w:gridCol w:w="379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OneDrive</w:t>
            </w:r>
          </w:p>
        </w:tc>
        <w:tc>
          <w:tcPr/>
          <w:p>
            <w:pPr>
              <w:pStyle w:val="Compact"/>
              <w:jc w:val="left"/>
            </w:pPr>
            <w:r>
              <w:t xml:space="preserve">Silently move Windows known folders to OneDrive</w:t>
            </w:r>
          </w:p>
        </w:tc>
        <w:tc>
          <w:tcPr/>
          <w:p>
            <w:pPr>
              <w:pStyle w:val="Compact"/>
              <w:jc w:val="left"/>
            </w:pPr>
            <w:r>
              <w:t xml:space="preserve">Enabled</w:t>
            </w:r>
          </w:p>
        </w:tc>
        <w:tc>
          <w:tcPr/>
          <w:p>
            <w:pPr>
              <w:pStyle w:val="Compact"/>
              <w:jc w:val="left"/>
            </w:pPr>
            <w:r>
              <w:t xml:space="preserve">Computer Config &gt; Admin Templates &gt; OneDrive &gt; Silently move Windows known folders to OneDrive</w:t>
            </w:r>
          </w:p>
        </w:tc>
      </w:tr>
      <w:tr>
        <w:tc>
          <w:tcPr/>
          <w:p>
            <w:pPr>
              <w:pStyle w:val="Compact"/>
              <w:jc w:val="left"/>
            </w:pPr>
            <w:r>
              <w:t xml:space="preserve">OneDrive</w:t>
            </w:r>
          </w:p>
        </w:tc>
        <w:tc>
          <w:tcPr/>
          <w:p>
            <w:pPr>
              <w:pStyle w:val="Compact"/>
              <w:jc w:val="left"/>
            </w:pPr>
            <w:r>
              <w:t xml:space="preserve">Known folders: Desktop</w:t>
            </w:r>
          </w:p>
        </w:tc>
        <w:tc>
          <w:tcPr/>
          <w:p>
            <w:pPr>
              <w:pStyle w:val="Compact"/>
              <w:jc w:val="left"/>
            </w:pPr>
            <w:r>
              <w:t xml:space="preserve">Redirect</w:t>
            </w:r>
          </w:p>
        </w:tc>
        <w:tc>
          <w:tcPr/>
          <w:p>
            <w:pPr>
              <w:pStyle w:val="Compact"/>
              <w:jc w:val="left"/>
            </w:pPr>
            <w:r>
              <w:t xml:space="preserve">User Config &gt; Windows Settings &gt; Folder Redirection &gt; Desktop</w:t>
            </w:r>
          </w:p>
        </w:tc>
      </w:tr>
      <w:tr>
        <w:tc>
          <w:tcPr/>
          <w:p>
            <w:pPr>
              <w:pStyle w:val="Compact"/>
              <w:jc w:val="left"/>
            </w:pPr>
            <w:r>
              <w:t xml:space="preserve">OneDrive</w:t>
            </w:r>
          </w:p>
        </w:tc>
        <w:tc>
          <w:tcPr/>
          <w:p>
            <w:pPr>
              <w:pStyle w:val="Compact"/>
              <w:jc w:val="left"/>
            </w:pPr>
            <w:r>
              <w:t xml:space="preserve">Known folders: Documents</w:t>
            </w:r>
          </w:p>
        </w:tc>
        <w:tc>
          <w:tcPr/>
          <w:p>
            <w:pPr>
              <w:pStyle w:val="Compact"/>
              <w:jc w:val="left"/>
            </w:pPr>
            <w:r>
              <w:t xml:space="preserve">Redirect</w:t>
            </w:r>
          </w:p>
        </w:tc>
        <w:tc>
          <w:tcPr/>
          <w:p>
            <w:pPr>
              <w:pStyle w:val="Compact"/>
              <w:jc w:val="left"/>
            </w:pPr>
            <w:r>
              <w:t xml:space="preserve">User Config &gt; Windows Settings &gt; Folder Redirection &gt; Documents</w:t>
            </w:r>
          </w:p>
        </w:tc>
      </w:tr>
      <w:tr>
        <w:tc>
          <w:tcPr/>
          <w:p>
            <w:pPr>
              <w:pStyle w:val="Compact"/>
              <w:jc w:val="left"/>
            </w:pPr>
            <w:r>
              <w:t xml:space="preserve">OneDrive</w:t>
            </w:r>
          </w:p>
        </w:tc>
        <w:tc>
          <w:tcPr/>
          <w:p>
            <w:pPr>
              <w:pStyle w:val="Compact"/>
              <w:jc w:val="left"/>
            </w:pPr>
            <w:r>
              <w:t xml:space="preserve">Known folders: Pictures</w:t>
            </w:r>
          </w:p>
        </w:tc>
        <w:tc>
          <w:tcPr/>
          <w:p>
            <w:pPr>
              <w:pStyle w:val="Compact"/>
              <w:jc w:val="left"/>
            </w:pPr>
            <w:r>
              <w:t xml:space="preserve">Redirect</w:t>
            </w:r>
          </w:p>
        </w:tc>
        <w:tc>
          <w:tcPr/>
          <w:p>
            <w:pPr>
              <w:pStyle w:val="Compact"/>
              <w:jc w:val="left"/>
            </w:pPr>
            <w:r>
              <w:t xml:space="preserve">User Config &gt; Windows Settings &gt; Folder Redirection &gt; Pictures</w:t>
            </w:r>
          </w:p>
        </w:tc>
      </w:tr>
      <w:tr>
        <w:tc>
          <w:tcPr/>
          <w:p>
            <w:pPr>
              <w:pStyle w:val="Compact"/>
              <w:jc w:val="left"/>
            </w:pPr>
            <w:r>
              <w:t xml:space="preserve">OneDrive</w:t>
            </w:r>
          </w:p>
        </w:tc>
        <w:tc>
          <w:tcPr/>
          <w:p>
            <w:pPr>
              <w:pStyle w:val="Compact"/>
              <w:jc w:val="left"/>
            </w:pPr>
            <w:r>
              <w:t xml:space="preserve">Use OneDrive Files On-Demand</w:t>
            </w:r>
          </w:p>
        </w:tc>
        <w:tc>
          <w:tcPr/>
          <w:p>
            <w:pPr>
              <w:pStyle w:val="Compact"/>
              <w:jc w:val="left"/>
            </w:pPr>
            <w:r>
              <w:t xml:space="preserve">Enabled</w:t>
            </w:r>
          </w:p>
        </w:tc>
        <w:tc>
          <w:tcPr/>
          <w:p>
            <w:pPr>
              <w:pStyle w:val="Compact"/>
              <w:jc w:val="left"/>
            </w:pPr>
            <w:r>
              <w:t xml:space="preserve">N/A (new capability)</w:t>
            </w:r>
          </w:p>
        </w:tc>
      </w:tr>
      <w:tr>
        <w:tc>
          <w:tcPr/>
          <w:p>
            <w:pPr>
              <w:pStyle w:val="Compact"/>
              <w:jc w:val="left"/>
            </w:pPr>
            <w:r>
              <w:t xml:space="preserve">OneDrive</w:t>
            </w:r>
          </w:p>
        </w:tc>
        <w:tc>
          <w:tcPr/>
          <w:p>
            <w:pPr>
              <w:pStyle w:val="Compact"/>
              <w:jc w:val="left"/>
            </w:pPr>
            <w:r>
              <w:t xml:space="preserve">Set maximum download bandwidth</w:t>
            </w:r>
          </w:p>
        </w:tc>
        <w:tc>
          <w:tcPr/>
          <w:p>
            <w:pPr>
              <w:pStyle w:val="Compact"/>
              <w:jc w:val="left"/>
            </w:pPr>
            <w:r>
              <w:t xml:space="preserve">80%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Set maximum upload bandwidth</w:t>
            </w:r>
          </w:p>
        </w:tc>
        <w:tc>
          <w:tcPr/>
          <w:p>
            <w:pPr>
              <w:pStyle w:val="Compact"/>
              <w:jc w:val="left"/>
            </w:pPr>
            <w:r>
              <w:t xml:space="preserve">70%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Tenant ID</w:t>
            </w:r>
          </w:p>
        </w:tc>
        <w:tc>
          <w:tcPr/>
          <w:p>
            <w:pPr>
              <w:pStyle w:val="Compact"/>
              <w:jc w:val="left"/>
            </w:pPr>
            <w:r>
              <w:t xml:space="preserve">[Organization Tenant GUID]</w:t>
            </w:r>
          </w:p>
        </w:tc>
        <w:tc>
          <w:tcPr/>
          <w:p>
            <w:pPr>
              <w:pStyle w:val="Compact"/>
              <w:jc w:val="left"/>
            </w:pPr>
            <w:r>
              <w:t xml:space="preserve">Computer Config &gt; Admin Templates &gt; OneDrive</w:t>
            </w:r>
          </w:p>
        </w:tc>
      </w:tr>
      <w:tr>
        <w:tc>
          <w:tcPr/>
          <w:p>
            <w:pPr>
              <w:pStyle w:val="Compact"/>
              <w:jc w:val="left"/>
            </w:pPr>
            <w:r>
              <w:t xml:space="preserve">OneDrive</w:t>
            </w:r>
          </w:p>
        </w:tc>
        <w:tc>
          <w:tcPr/>
          <w:p>
            <w:pPr>
              <w:pStyle w:val="Compact"/>
              <w:jc w:val="left"/>
            </w:pPr>
            <w:r>
              <w:t xml:space="preserve">Block syncing personal OneDrive accounts</w:t>
            </w:r>
          </w:p>
        </w:tc>
        <w:tc>
          <w:tcPr/>
          <w:p>
            <w:pPr>
              <w:pStyle w:val="Compact"/>
              <w:jc w:val="left"/>
            </w:pPr>
            <w:r>
              <w:t xml:space="preserve">Enabled</w:t>
            </w:r>
          </w:p>
        </w:tc>
        <w:tc>
          <w:tcPr/>
          <w:p>
            <w:pPr>
              <w:pStyle w:val="Compact"/>
              <w:jc w:val="left"/>
            </w:pPr>
            <w:r>
              <w:t xml:space="preserve">Computer Config &gt; Admin Templates &gt; OneDrive &gt; Prevent users from syncing personal OneDrive accounts</w:t>
            </w:r>
          </w:p>
        </w:tc>
      </w:tr>
    </w:tbl>
    <w:p/>
    <w:tbl>
      <w:tblPr>
        <w:tblStyle w:val="Table"/>
        <w:tblW w:type="pct" w:w="5013"/>
        <w:tblLayout w:type="fixed"/>
        <w:tblLook w:firstRow="0" w:lastRow="0" w:firstColumn="0" w:lastColumn="0" w:noHBand="0" w:noVBand="0" w:val="0000"/>
      </w:tblPr>
      <w:tblGrid>
        <w:gridCol w:w="7940"/>
      </w:tblGrid>
      <w:tr>
        <w:tc>
          <w:tcPr/>
          <w:p>
            <w:pPr>
              <w:pStyle w:val="FirstParagraph"/>
            </w:pPr>
            <w:r>
              <w:rPr>
                <w:b/>
                <w:bCs/>
              </w:rPr>
              <w:t xml:space="preserve">Migration Note</w:t>
            </w:r>
          </w:p>
          <w:p>
            <w:pPr>
              <w:pStyle w:val="BodyText"/>
            </w:pPr>
            <w:r>
              <w:t xml:space="preserve">When transitioning from GPO Folder Redirection, OneDrive KFM will move the contents of the redirected folders (Desktop, Documents, Pictures) from the network share to the user's OneDrive. Ensure adequate OneDrive storage is provisioned before enabling KFM silently. Legacy drive mapping logon scripts (net use) should be replaced with SharePoint site libraries and OneDrive shortcuts.</w:t>
            </w:r>
          </w:p>
        </w:tc>
      </w:tr>
    </w:tbl>
    <w:p>
      <w:pPr>
        <w:pStyle w:val="BodyText"/>
      </w:pPr>
      <w:r>
        <w:t xml:space="preserve">4.5 SC-005: Windows Update for Business</w:t>
      </w:r>
    </w:p>
    <w:p>
      <w:pPr>
        <w:pStyle w:val="BodyText"/>
      </w:pPr>
      <w:r>
        <w:rPr>
          <w:b/>
          <w:bCs/>
        </w:rPr>
        <w:t xml:space="preserve">Policy ID: SC-005 | Platform: Windows 10/11 | Target: All corporate devices</w:t>
      </w:r>
    </w:p>
    <w:p>
      <w:pPr>
        <w:pStyle w:val="BodyText"/>
      </w:pPr>
      <w:r>
        <w:rPr>
          <w:b/>
          <w:bCs/>
        </w:rPr>
        <w:t xml:space="preserve">Description:</w:t>
      </w:r>
      <w:r>
        <w:t xml:space="preserve"> </w:t>
      </w:r>
      <w:r>
        <w:t xml:space="preserve">Replaces WSUS GPO-based update management with Windows Update for Business (WUfB) policies via Settings Catalog.</w:t>
      </w:r>
    </w:p>
    <w:p>
      <w:pPr>
        <w:pStyle w:val="BodyText"/>
      </w:pPr>
      <w:r>
        <w:rPr>
          <w:b/>
          <w:bCs/>
        </w:rPr>
        <w:t xml:space="preserve">GPO Equivalent:</w:t>
      </w:r>
      <w:r>
        <w:t xml:space="preserve"> </w:t>
      </w:r>
      <w:r>
        <w:t xml:space="preserve">Computer Configuration &gt; Administrative Templates &gt; Windows Components &gt; Windows Update</w:t>
      </w:r>
    </w:p>
    <w:tbl>
      <w:tblPr>
        <w:tblStyle w:val="Table"/>
        <w:tblW w:type="pct" w:w="4910"/>
        <w:tblLayout w:type="fixed"/>
        <w:tblLook w:firstRow="1" w:lastRow="0" w:firstColumn="0" w:lastColumn="0" w:noHBand="0" w:noVBand="0" w:val="0020"/>
      </w:tblPr>
      <w:tblGrid>
        <w:gridCol w:w="2283"/>
        <w:gridCol w:w="2854"/>
        <w:gridCol w:w="2640"/>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Update for Business</w:t>
            </w:r>
          </w:p>
        </w:tc>
        <w:tc>
          <w:tcPr/>
          <w:p>
            <w:pPr>
              <w:pStyle w:val="Compact"/>
              <w:jc w:val="left"/>
            </w:pPr>
            <w:r>
              <w:t xml:space="preserve">Feature update deferral period (days)</w:t>
            </w:r>
          </w:p>
        </w:tc>
        <w:tc>
          <w:tcPr/>
          <w:p>
            <w:pPr>
              <w:pStyle w:val="Compact"/>
              <w:jc w:val="left"/>
            </w:pPr>
            <w:r>
              <w:t xml:space="preserve">30 days</w:t>
            </w:r>
          </w:p>
        </w:tc>
      </w:tr>
      <w:tr>
        <w:tc>
          <w:tcPr/>
          <w:p>
            <w:pPr>
              <w:pStyle w:val="Compact"/>
              <w:jc w:val="left"/>
            </w:pPr>
            <w:r>
              <w:t xml:space="preserve">Windows Update for Business</w:t>
            </w:r>
          </w:p>
        </w:tc>
        <w:tc>
          <w:tcPr/>
          <w:p>
            <w:pPr>
              <w:pStyle w:val="Compact"/>
              <w:jc w:val="left"/>
            </w:pPr>
            <w:r>
              <w:t xml:space="preserve">Quality update deferral period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Enable driver updates</w:t>
            </w:r>
          </w:p>
        </w:tc>
        <w:tc>
          <w:tcPr/>
          <w:p>
            <w:pPr>
              <w:pStyle w:val="Compact"/>
              <w:jc w:val="left"/>
            </w:pPr>
            <w:r>
              <w:t xml:space="preserve">Enabled</w:t>
            </w:r>
          </w:p>
        </w:tc>
      </w:tr>
      <w:tr>
        <w:tc>
          <w:tcPr/>
          <w:p>
            <w:pPr>
              <w:pStyle w:val="Compact"/>
              <w:jc w:val="left"/>
            </w:pPr>
            <w:r>
              <w:t xml:space="preserve">Delivery Optimization</w:t>
            </w:r>
          </w:p>
        </w:tc>
        <w:tc>
          <w:tcPr/>
          <w:p>
            <w:pPr>
              <w:pStyle w:val="Compact"/>
              <w:jc w:val="left"/>
            </w:pPr>
            <w:r>
              <w:t xml:space="preserve">Download mode</w:t>
            </w:r>
          </w:p>
        </w:tc>
        <w:tc>
          <w:tcPr/>
          <w:p>
            <w:pPr>
              <w:pStyle w:val="Compact"/>
              <w:jc w:val="left"/>
            </w:pPr>
            <w:r>
              <w:t xml:space="preserve">LAN (1) — peers on same NAT only</w:t>
            </w:r>
          </w:p>
        </w:tc>
      </w:tr>
      <w:tr>
        <w:tc>
          <w:tcPr/>
          <w:p>
            <w:pPr>
              <w:pStyle w:val="Compact"/>
              <w:jc w:val="left"/>
            </w:pPr>
            <w:r>
              <w:t xml:space="preserve">Windows Update for Business</w:t>
            </w:r>
          </w:p>
        </w:tc>
        <w:tc>
          <w:tcPr/>
          <w:p>
            <w:pPr>
              <w:pStyle w:val="Compact"/>
              <w:jc w:val="left"/>
            </w:pPr>
            <w:r>
              <w:t xml:space="preserve">Active hours start</w:t>
            </w:r>
          </w:p>
        </w:tc>
        <w:tc>
          <w:tcPr/>
          <w:p>
            <w:pPr>
              <w:pStyle w:val="Compact"/>
              <w:jc w:val="left"/>
            </w:pPr>
            <w:r>
              <w:t xml:space="preserve">7:00 AM</w:t>
            </w:r>
          </w:p>
        </w:tc>
      </w:tr>
      <w:tr>
        <w:tc>
          <w:tcPr/>
          <w:p>
            <w:pPr>
              <w:pStyle w:val="Compact"/>
              <w:jc w:val="left"/>
            </w:pPr>
            <w:r>
              <w:t xml:space="preserve">Windows Update for Business</w:t>
            </w:r>
          </w:p>
        </w:tc>
        <w:tc>
          <w:tcPr/>
          <w:p>
            <w:pPr>
              <w:pStyle w:val="Compact"/>
              <w:jc w:val="left"/>
            </w:pPr>
            <w:r>
              <w:t xml:space="preserve">Active hours end</w:t>
            </w:r>
          </w:p>
        </w:tc>
        <w:tc>
          <w:tcPr/>
          <w:p>
            <w:pPr>
              <w:pStyle w:val="Compact"/>
              <w:jc w:val="left"/>
            </w:pPr>
            <w:r>
              <w:t xml:space="preserve">7:00 PM</w:t>
            </w:r>
          </w:p>
        </w:tc>
      </w:tr>
      <w:tr>
        <w:tc>
          <w:tcPr/>
          <w:p>
            <w:pPr>
              <w:pStyle w:val="Compact"/>
              <w:jc w:val="left"/>
            </w:pPr>
            <w:r>
              <w:t xml:space="preserve">Windows Update for Business</w:t>
            </w:r>
          </w:p>
        </w:tc>
        <w:tc>
          <w:tcPr/>
          <w:p>
            <w:pPr>
              <w:pStyle w:val="Compact"/>
              <w:jc w:val="left"/>
            </w:pPr>
            <w:r>
              <w:t xml:space="preserve">Auto-restart grace period (hours)</w:t>
            </w:r>
          </w:p>
        </w:tc>
        <w:tc>
          <w:tcPr/>
          <w:p>
            <w:pPr>
              <w:pStyle w:val="Compact"/>
              <w:jc w:val="left"/>
            </w:pPr>
            <w:r>
              <w:t xml:space="preserve">48 hours (2 days)</w:t>
            </w:r>
          </w:p>
        </w:tc>
      </w:tr>
      <w:tr>
        <w:tc>
          <w:tcPr/>
          <w:p>
            <w:pPr>
              <w:pStyle w:val="Compact"/>
              <w:jc w:val="left"/>
            </w:pPr>
            <w:r>
              <w:t xml:space="preserve">Windows Update for Business</w:t>
            </w:r>
          </w:p>
        </w:tc>
        <w:tc>
          <w:tcPr/>
          <w:p>
            <w:pPr>
              <w:pStyle w:val="Compact"/>
              <w:jc w:val="left"/>
            </w:pPr>
            <w:r>
              <w:t xml:space="preserve">Quality update deadline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Feature update deadline (days)</w:t>
            </w:r>
          </w:p>
        </w:tc>
        <w:tc>
          <w:tcPr/>
          <w:p>
            <w:pPr>
              <w:pStyle w:val="Compact"/>
              <w:jc w:val="left"/>
            </w:pPr>
            <w:r>
              <w:t xml:space="preserve">14 days</w:t>
            </w:r>
          </w:p>
        </w:tc>
      </w:tr>
      <w:tr>
        <w:tc>
          <w:tcPr/>
          <w:p>
            <w:pPr>
              <w:pStyle w:val="Compact"/>
              <w:jc w:val="left"/>
            </w:pPr>
            <w:r>
              <w:t xml:space="preserve">Windows Update for Business</w:t>
            </w:r>
          </w:p>
        </w:tc>
        <w:tc>
          <w:tcPr/>
          <w:p>
            <w:pPr>
              <w:pStyle w:val="Compact"/>
              <w:jc w:val="left"/>
            </w:pPr>
            <w:r>
              <w:t xml:space="preserve">Deadline grace period (days)</w:t>
            </w:r>
          </w:p>
        </w:tc>
        <w:tc>
          <w:tcPr/>
          <w:p>
            <w:pPr>
              <w:pStyle w:val="Compact"/>
              <w:jc w:val="left"/>
            </w:pPr>
            <w:r>
              <w:t xml:space="preserve">2 days</w:t>
            </w:r>
          </w:p>
        </w:tc>
      </w:tr>
    </w:tbl>
    <w:p>
      <w:pPr>
        <w:pStyle w:val="BodyText"/>
      </w:pPr>
      <w:r>
        <w:t xml:space="preserve">4.6 SC-006: BitLocker Configuration</w:t>
      </w:r>
    </w:p>
    <w:p>
      <w:pPr>
        <w:pStyle w:val="BodyText"/>
      </w:pPr>
      <w:r>
        <w:rPr>
          <w:b/>
          <w:bCs/>
        </w:rPr>
        <w:t xml:space="preserve">Policy ID: SC-006 | Platform: Windows 10/11 | Target: All corporate devices</w:t>
      </w:r>
    </w:p>
    <w:p>
      <w:pPr>
        <w:pStyle w:val="BodyText"/>
      </w:pPr>
      <w:r>
        <w:rPr>
          <w:b/>
          <w:bCs/>
        </w:rPr>
        <w:t xml:space="preserve">GPO Equivalent:</w:t>
      </w:r>
      <w:r>
        <w:t xml:space="preserve"> </w:t>
      </w:r>
      <w:r>
        <w:t xml:space="preserve">Computer Configuration &gt; Administrative Templates &gt; Windows Components &gt; BitLocker Drive Encryption</w:t>
      </w:r>
    </w:p>
    <w:tbl>
      <w:tblPr>
        <w:tblStyle w:val="Table"/>
        <w:tblW w:type="pct" w:w="4907"/>
        <w:tblLayout w:type="fixed"/>
        <w:tblLook w:firstRow="1" w:lastRow="0" w:firstColumn="0" w:lastColumn="0" w:noHBand="0" w:noVBand="0" w:val="0020"/>
      </w:tblPr>
      <w:tblGrid>
        <w:gridCol w:w="2713"/>
        <w:gridCol w:w="2786"/>
        <w:gridCol w:w="2273"/>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BitLocker &gt; OS Drive</w:t>
            </w:r>
          </w:p>
        </w:tc>
        <w:tc>
          <w:tcPr/>
          <w:p>
            <w:pPr>
              <w:pStyle w:val="Compact"/>
              <w:jc w:val="left"/>
            </w:pPr>
            <w:r>
              <w:t xml:space="preserve">Require device encryption</w:t>
            </w:r>
          </w:p>
        </w:tc>
        <w:tc>
          <w:tcPr/>
          <w:p>
            <w:pPr>
              <w:pStyle w:val="Compact"/>
              <w:jc w:val="left"/>
            </w:pPr>
            <w:r>
              <w:t xml:space="preserve">Required</w:t>
            </w:r>
          </w:p>
        </w:tc>
      </w:tr>
      <w:tr>
        <w:tc>
          <w:tcPr/>
          <w:p>
            <w:pPr>
              <w:pStyle w:val="Compact"/>
              <w:jc w:val="left"/>
            </w:pPr>
            <w:r>
              <w:t xml:space="preserve">BitLocker &gt; OS Drive</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OS Drive</w:t>
            </w:r>
          </w:p>
        </w:tc>
        <w:tc>
          <w:tcPr/>
          <w:p>
            <w:pPr>
              <w:pStyle w:val="Compact"/>
              <w:jc w:val="left"/>
            </w:pPr>
            <w:r>
              <w:t xml:space="preserve">Authentication method</w:t>
            </w:r>
          </w:p>
        </w:tc>
        <w:tc>
          <w:tcPr/>
          <w:p>
            <w:pPr>
              <w:pStyle w:val="Compact"/>
              <w:jc w:val="left"/>
            </w:pPr>
            <w:r>
              <w:t xml:space="preserve">TPM + PIN</w:t>
            </w:r>
          </w:p>
        </w:tc>
      </w:tr>
      <w:tr>
        <w:tc>
          <w:tcPr/>
          <w:p>
            <w:pPr>
              <w:pStyle w:val="Compact"/>
              <w:jc w:val="left"/>
            </w:pPr>
            <w:r>
              <w:t xml:space="preserve">BitLocker &gt; OS Drive</w:t>
            </w:r>
          </w:p>
        </w:tc>
        <w:tc>
          <w:tcPr/>
          <w:p>
            <w:pPr>
              <w:pStyle w:val="Compact"/>
              <w:jc w:val="left"/>
            </w:pPr>
            <w:r>
              <w:t xml:space="preserve">Minimum PIN length</w:t>
            </w:r>
          </w:p>
        </w:tc>
        <w:tc>
          <w:tcPr/>
          <w:p>
            <w:pPr>
              <w:pStyle w:val="Compact"/>
              <w:jc w:val="left"/>
            </w:pPr>
            <w:r>
              <w:t xml:space="preserve">6 digits</w:t>
            </w:r>
          </w:p>
        </w:tc>
      </w:tr>
      <w:tr>
        <w:tc>
          <w:tcPr/>
          <w:p>
            <w:pPr>
              <w:pStyle w:val="Compact"/>
              <w:jc w:val="left"/>
            </w:pPr>
            <w:r>
              <w:t xml:space="preserve">BitLocker &gt; Fixed Data Drives</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Fixed Data Drives</w:t>
            </w:r>
          </w:p>
        </w:tc>
        <w:tc>
          <w:tcPr/>
          <w:p>
            <w:pPr>
              <w:pStyle w:val="Compact"/>
              <w:jc w:val="left"/>
            </w:pPr>
            <w:r>
              <w:t xml:space="preserve">Auto-encrypt fixed drives</w:t>
            </w:r>
          </w:p>
        </w:tc>
        <w:tc>
          <w:tcPr/>
          <w:p>
            <w:pPr>
              <w:pStyle w:val="Compact"/>
              <w:jc w:val="left"/>
            </w:pPr>
            <w:r>
              <w:t xml:space="preserve">Enabled</w:t>
            </w:r>
          </w:p>
        </w:tc>
      </w:tr>
      <w:tr>
        <w:tc>
          <w:tcPr/>
          <w:p>
            <w:pPr>
              <w:pStyle w:val="Compact"/>
              <w:jc w:val="left"/>
            </w:pPr>
            <w:r>
              <w:t xml:space="preserve">BitLocker &gt; Removable Data Drives</w:t>
            </w:r>
          </w:p>
        </w:tc>
        <w:tc>
          <w:tcPr/>
          <w:p>
            <w:pPr>
              <w:pStyle w:val="Compact"/>
              <w:jc w:val="left"/>
            </w:pPr>
            <w:r>
              <w:t xml:space="preserve">Require encryption for write access</w:t>
            </w:r>
          </w:p>
        </w:tc>
        <w:tc>
          <w:tcPr/>
          <w:p>
            <w:pPr>
              <w:pStyle w:val="Compact"/>
              <w:jc w:val="left"/>
            </w:pPr>
            <w:r>
              <w:t xml:space="preserve">Enabled</w:t>
            </w:r>
          </w:p>
        </w:tc>
      </w:tr>
      <w:tr>
        <w:tc>
          <w:tcPr/>
          <w:p>
            <w:pPr>
              <w:pStyle w:val="Compact"/>
              <w:jc w:val="left"/>
            </w:pPr>
            <w:r>
              <w:t xml:space="preserve">BitLocker &gt; Recovery</w:t>
            </w:r>
          </w:p>
        </w:tc>
        <w:tc>
          <w:tcPr/>
          <w:p>
            <w:pPr>
              <w:pStyle w:val="Compact"/>
              <w:jc w:val="left"/>
            </w:pPr>
            <w:r>
              <w:t xml:space="preserve">Recovery key escrow</w:t>
            </w:r>
          </w:p>
        </w:tc>
        <w:tc>
          <w:tcPr/>
          <w:p>
            <w:pPr>
              <w:pStyle w:val="Compact"/>
              <w:jc w:val="left"/>
            </w:pPr>
            <w:r>
              <w:t xml:space="preserve">Azure AD (Entra ID)</w:t>
            </w:r>
          </w:p>
        </w:tc>
      </w:tr>
      <w:tr>
        <w:tc>
          <w:tcPr/>
          <w:p>
            <w:pPr>
              <w:pStyle w:val="Compact"/>
              <w:jc w:val="left"/>
            </w:pPr>
            <w:r>
              <w:t xml:space="preserve">BitLocker &gt; Recovery</w:t>
            </w:r>
          </w:p>
        </w:tc>
        <w:tc>
          <w:tcPr/>
          <w:p>
            <w:pPr>
              <w:pStyle w:val="Compact"/>
              <w:jc w:val="left"/>
            </w:pPr>
            <w:r>
              <w:t xml:space="preserve">Recovery password rotation</w:t>
            </w:r>
          </w:p>
        </w:tc>
        <w:tc>
          <w:tcPr/>
          <w:p>
            <w:pPr>
              <w:pStyle w:val="Compact"/>
              <w:jc w:val="left"/>
            </w:pPr>
            <w:r>
              <w:t xml:space="preserve">Enabled — rotate after use</w:t>
            </w:r>
          </w:p>
        </w:tc>
      </w:tr>
    </w:tbl>
    <w:p>
      <w:pPr>
        <w:pStyle w:val="BodyText"/>
      </w:pPr>
      <w:r>
        <w:t xml:space="preserve">4.7 SC-007: Windows Firewall Configuration</w:t>
      </w:r>
    </w:p>
    <w:p>
      <w:pPr>
        <w:pStyle w:val="BodyText"/>
      </w:pPr>
      <w:r>
        <w:rPr>
          <w:b/>
          <w:bCs/>
        </w:rPr>
        <w:t xml:space="preserve">Policy ID: SC-007 | Platform: Windows 10/11 | Target: All corporate devices</w:t>
      </w:r>
    </w:p>
    <w:p>
      <w:pPr>
        <w:pStyle w:val="BodyText"/>
      </w:pPr>
      <w:r>
        <w:rPr>
          <w:b/>
          <w:bCs/>
        </w:rPr>
        <w:t xml:space="preserve">GPO Equivalent:</w:t>
      </w:r>
      <w:r>
        <w:t xml:space="preserve"> </w:t>
      </w:r>
      <w:r>
        <w:t xml:space="preserve">Computer Configuration &gt; Windows Settings &gt; Security Settings &gt; Windows Defender Firewall with Advanced Security</w:t>
      </w:r>
    </w:p>
    <w:p>
      <w:pPr>
        <w:pStyle w:val="BodyText"/>
      </w:pPr>
      <w:r>
        <w:t xml:space="preserve">Profile Settings</w:t>
      </w:r>
    </w:p>
    <w:tbl>
      <w:tblPr>
        <w:tblStyle w:val="Table"/>
        <w:tblW w:type="pct" w:w="4929"/>
        <w:tblLayout w:type="fixed"/>
        <w:tblLook w:firstRow="1" w:lastRow="0" w:firstColumn="0" w:lastColumn="0" w:noHBand="0" w:noVBand="0" w:val="0020"/>
      </w:tblPr>
      <w:tblGrid>
        <w:gridCol w:w="786"/>
        <w:gridCol w:w="1179"/>
        <w:gridCol w:w="1235"/>
        <w:gridCol w:w="1291"/>
        <w:gridCol w:w="1460"/>
        <w:gridCol w:w="1853"/>
      </w:tblGrid>
      <w:tr>
        <w:trPr>
          <w:tblHeader w:val="on"/>
        </w:trPr>
        <w:tc>
          <w:tcPr/>
          <w:p>
            <w:pPr>
              <w:pStyle w:val="Compact"/>
              <w:jc w:val="left"/>
            </w:pPr>
            <w:r>
              <w:rPr>
                <w:b/>
                <w:bCs/>
              </w:rPr>
              <w:t xml:space="preserve">Profile</w:t>
            </w:r>
          </w:p>
        </w:tc>
        <w:tc>
          <w:tcPr/>
          <w:p>
            <w:pPr>
              <w:pStyle w:val="Compact"/>
              <w:jc w:val="left"/>
            </w:pPr>
            <w:r>
              <w:rPr>
                <w:b/>
                <w:bCs/>
              </w:rPr>
              <w:t xml:space="preserve">Firewall State</w:t>
            </w:r>
          </w:p>
        </w:tc>
        <w:tc>
          <w:tcPr/>
          <w:p>
            <w:pPr>
              <w:pStyle w:val="Compact"/>
              <w:jc w:val="left"/>
            </w:pPr>
            <w:r>
              <w:rPr>
                <w:b/>
                <w:bCs/>
              </w:rPr>
              <w:t xml:space="preserve">Inbound Default</w:t>
            </w:r>
          </w:p>
        </w:tc>
        <w:tc>
          <w:tcPr/>
          <w:p>
            <w:pPr>
              <w:pStyle w:val="Compact"/>
              <w:jc w:val="left"/>
            </w:pPr>
            <w:r>
              <w:rPr>
                <w:b/>
                <w:bCs/>
              </w:rPr>
              <w:t xml:space="preserve">Outbound Default</w:t>
            </w:r>
          </w:p>
        </w:tc>
        <w:tc>
          <w:tcPr/>
          <w:p>
            <w:pPr>
              <w:pStyle w:val="Compact"/>
              <w:jc w:val="left"/>
            </w:pPr>
            <w:r>
              <w:rPr>
                <w:b/>
                <w:bCs/>
              </w:rPr>
              <w:t xml:space="preserve">Log Dropped Packets</w:t>
            </w:r>
          </w:p>
        </w:tc>
        <w:tc>
          <w:tcPr/>
          <w:p>
            <w:pPr>
              <w:pStyle w:val="Compact"/>
              <w:jc w:val="left"/>
            </w:pPr>
            <w:r>
              <w:rPr>
                <w:b/>
                <w:bCs/>
              </w:rPr>
              <w:t xml:space="preserve">Log Successful Connections</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Block</w:t>
            </w:r>
          </w:p>
        </w:tc>
        <w:tc>
          <w:tcPr/>
          <w:p>
            <w:pPr>
              <w:pStyle w:val="Compact"/>
              <w:jc w:val="left"/>
            </w:pPr>
            <w:r>
              <w:t xml:space="preserve">Yes</w:t>
            </w:r>
          </w:p>
        </w:tc>
        <w:tc>
          <w:tcPr/>
          <w:p>
            <w:pPr>
              <w:pStyle w:val="Compact"/>
              <w:jc w:val="left"/>
            </w:pPr>
            <w:r>
              <w:t xml:space="preserve">Yes</w:t>
            </w:r>
          </w:p>
        </w:tc>
      </w:tr>
    </w:tbl>
    <w:p>
      <w:pPr>
        <w:pStyle w:val="BodyText"/>
      </w:pPr>
      <w:r>
        <w:t xml:space="preserve">Inbound Rules for Management</w:t>
      </w:r>
    </w:p>
    <w:tbl>
      <w:tblPr>
        <w:tblStyle w:val="Table"/>
        <w:tblW w:type="pct" w:w="4902"/>
        <w:tblLayout w:type="fixed"/>
        <w:tblLook w:firstRow="1" w:lastRow="0" w:firstColumn="0" w:lastColumn="0" w:noHBand="0" w:noVBand="0" w:val="0020"/>
      </w:tblPr>
      <w:tblGrid>
        <w:gridCol w:w="1552"/>
        <w:gridCol w:w="1164"/>
        <w:gridCol w:w="854"/>
        <w:gridCol w:w="2096"/>
        <w:gridCol w:w="1009"/>
        <w:gridCol w:w="1087"/>
      </w:tblGrid>
      <w:tr>
        <w:trPr>
          <w:tblHeader w:val="on"/>
        </w:trPr>
        <w:tc>
          <w:tcPr/>
          <w:p>
            <w:pPr>
              <w:pStyle w:val="Compact"/>
              <w:jc w:val="left"/>
            </w:pPr>
            <w:r>
              <w:rPr>
                <w:b/>
                <w:bCs/>
              </w:rPr>
              <w:t xml:space="preserve">Rule Name</w:t>
            </w:r>
          </w:p>
        </w:tc>
        <w:tc>
          <w:tcPr/>
          <w:p>
            <w:pPr>
              <w:pStyle w:val="Compact"/>
              <w:jc w:val="left"/>
            </w:pPr>
            <w:r>
              <w:rPr>
                <w:b/>
                <w:bCs/>
              </w:rPr>
              <w:t xml:space="preserve">Protocol</w:t>
            </w:r>
          </w:p>
        </w:tc>
        <w:tc>
          <w:tcPr/>
          <w:p>
            <w:pPr>
              <w:pStyle w:val="Compact"/>
              <w:jc w:val="left"/>
            </w:pPr>
            <w:r>
              <w:rPr>
                <w:b/>
                <w:bCs/>
              </w:rPr>
              <w:t xml:space="preserve">Port</w:t>
            </w:r>
          </w:p>
        </w:tc>
        <w:tc>
          <w:tcPr/>
          <w:p>
            <w:pPr>
              <w:pStyle w:val="Compact"/>
              <w:jc w:val="left"/>
            </w:pPr>
            <w:r>
              <w:rPr>
                <w:b/>
                <w:bCs/>
              </w:rPr>
              <w:t xml:space="preserve">Source</w:t>
            </w:r>
          </w:p>
        </w:tc>
        <w:tc>
          <w:tcPr/>
          <w:p>
            <w:pPr>
              <w:pStyle w:val="Compact"/>
              <w:jc w:val="left"/>
            </w:pPr>
            <w:r>
              <w:rPr>
                <w:b/>
                <w:bCs/>
              </w:rPr>
              <w:t xml:space="preserve">Action</w:t>
            </w:r>
          </w:p>
        </w:tc>
        <w:tc>
          <w:tcPr/>
          <w:p>
            <w:pPr>
              <w:pStyle w:val="Compact"/>
              <w:jc w:val="left"/>
            </w:pPr>
            <w:r>
              <w:rPr>
                <w:b/>
                <w:bCs/>
              </w:rPr>
              <w:t xml:space="preserve">Profile</w:t>
            </w:r>
          </w:p>
        </w:tc>
      </w:tr>
      <w:tr>
        <w:tc>
          <w:tcPr/>
          <w:p>
            <w:pPr>
              <w:pStyle w:val="Compact"/>
              <w:jc w:val="left"/>
            </w:pPr>
            <w:r>
              <w:t xml:space="preserve">WinRM (HTTP)</w:t>
            </w:r>
          </w:p>
        </w:tc>
        <w:tc>
          <w:tcPr/>
          <w:p>
            <w:pPr>
              <w:pStyle w:val="Compact"/>
              <w:jc w:val="left"/>
            </w:pPr>
            <w:r>
              <w:t xml:space="preserve">TCP</w:t>
            </w:r>
          </w:p>
        </w:tc>
        <w:tc>
          <w:tcPr/>
          <w:p>
            <w:pPr>
              <w:pStyle w:val="Compact"/>
              <w:jc w:val="left"/>
            </w:pPr>
            <w:r>
              <w:t xml:space="preserve">5985</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WinRM (HTTPS)</w:t>
            </w:r>
          </w:p>
        </w:tc>
        <w:tc>
          <w:tcPr/>
          <w:p>
            <w:pPr>
              <w:pStyle w:val="Compact"/>
              <w:jc w:val="left"/>
            </w:pPr>
            <w:r>
              <w:t xml:space="preserve">TCP</w:t>
            </w:r>
          </w:p>
        </w:tc>
        <w:tc>
          <w:tcPr/>
          <w:p>
            <w:pPr>
              <w:pStyle w:val="Compact"/>
              <w:jc w:val="left"/>
            </w:pPr>
            <w:r>
              <w:t xml:space="preserve">5986</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RDP</w:t>
            </w:r>
          </w:p>
        </w:tc>
        <w:tc>
          <w:tcPr/>
          <w:p>
            <w:pPr>
              <w:pStyle w:val="Compact"/>
              <w:jc w:val="left"/>
            </w:pPr>
            <w:r>
              <w:t xml:space="preserve">TCP</w:t>
            </w:r>
          </w:p>
        </w:tc>
        <w:tc>
          <w:tcPr/>
          <w:p>
            <w:pPr>
              <w:pStyle w:val="Compact"/>
              <w:jc w:val="left"/>
            </w:pPr>
            <w:r>
              <w:t xml:space="preserve">3389</w:t>
            </w:r>
          </w:p>
        </w:tc>
        <w:tc>
          <w:tcPr/>
          <w:p>
            <w:pPr>
              <w:pStyle w:val="Compact"/>
              <w:jc w:val="left"/>
            </w:pPr>
            <w:r>
              <w:t xml:space="preserve">Tier 0 PAW subnet only</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ICMP Echo Request</w:t>
            </w:r>
          </w:p>
        </w:tc>
        <w:tc>
          <w:tcPr/>
          <w:p>
            <w:pPr>
              <w:pStyle w:val="Compact"/>
              <w:jc w:val="left"/>
            </w:pPr>
            <w:r>
              <w:t xml:space="preserve">ICMPv4</w:t>
            </w:r>
          </w:p>
        </w:tc>
        <w:tc>
          <w:tcPr/>
          <w:p>
            <w:pPr>
              <w:pStyle w:val="Compact"/>
              <w:jc w:val="left"/>
            </w:pPr>
            <w:r>
              <w:t xml:space="preserve">—</w:t>
            </w:r>
          </w:p>
        </w:tc>
        <w:tc>
          <w:tcPr/>
          <w:p>
            <w:pPr>
              <w:pStyle w:val="Compact"/>
              <w:jc w:val="left"/>
            </w:pPr>
            <w:r>
              <w:t xml:space="preserve">Management subnet</w:t>
            </w:r>
          </w:p>
        </w:tc>
        <w:tc>
          <w:tcPr/>
          <w:p>
            <w:pPr>
              <w:pStyle w:val="Compact"/>
              <w:jc w:val="left"/>
            </w:pPr>
            <w:r>
              <w:t xml:space="preserve">Allow</w:t>
            </w:r>
          </w:p>
        </w:tc>
        <w:tc>
          <w:tcPr/>
          <w:p>
            <w:pPr>
              <w:pStyle w:val="Compact"/>
              <w:jc w:val="left"/>
            </w:pPr>
            <w:r>
              <w:t xml:space="preserve">Domain</w:t>
            </w:r>
          </w:p>
        </w:tc>
      </w:tr>
    </w:tbl>
    <w:p>
      <w:pPr>
        <w:pStyle w:val="BodyText"/>
      </w:pPr>
      <w:r>
        <w:t xml:space="preserve">4.8 SC-008: Local Admin Password Solution (Windows LAPS)</w:t>
      </w:r>
    </w:p>
    <w:p>
      <w:pPr>
        <w:pStyle w:val="BodyText"/>
      </w:pPr>
      <w:r>
        <w:rPr>
          <w:b/>
          <w:bCs/>
        </w:rPr>
        <w:t xml:space="preserve">Policy ID: SC-008 | Platform: Windows 10/11, Windows Server 2025 | Target: All managed devices</w:t>
      </w:r>
    </w:p>
    <w:tbl>
      <w:tblPr>
        <w:tblStyle w:val="Table"/>
        <w:tblW w:type="pct" w:w="4928"/>
        <w:tblLayout w:type="fixed"/>
        <w:tblLook w:firstRow="1" w:lastRow="0" w:firstColumn="0" w:lastColumn="0" w:noHBand="0" w:noVBand="0" w:val="0020"/>
      </w:tblPr>
      <w:tblGrid>
        <w:gridCol w:w="1823"/>
        <w:gridCol w:w="2393"/>
        <w:gridCol w:w="3589"/>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LAPS</w:t>
            </w:r>
          </w:p>
        </w:tc>
        <w:tc>
          <w:tcPr/>
          <w:p>
            <w:pPr>
              <w:pStyle w:val="Compact"/>
              <w:jc w:val="left"/>
            </w:pPr>
            <w:r>
              <w:t xml:space="preserve">Backup directory</w:t>
            </w:r>
          </w:p>
        </w:tc>
        <w:tc>
          <w:tcPr/>
          <w:p>
            <w:pPr>
              <w:pStyle w:val="Compact"/>
              <w:jc w:val="left"/>
            </w:pPr>
            <w:r>
              <w:t xml:space="preserve">Azure AD (Entra ID)</w:t>
            </w:r>
          </w:p>
        </w:tc>
      </w:tr>
      <w:tr>
        <w:tc>
          <w:tcPr/>
          <w:p>
            <w:pPr>
              <w:pStyle w:val="Compact"/>
              <w:jc w:val="left"/>
            </w:pPr>
            <w:r>
              <w:t xml:space="preserve">Windows LAPS</w:t>
            </w:r>
          </w:p>
        </w:tc>
        <w:tc>
          <w:tcPr/>
          <w:p>
            <w:pPr>
              <w:pStyle w:val="Compact"/>
              <w:jc w:val="left"/>
            </w:pPr>
            <w:r>
              <w:t xml:space="preserve">Password complexity</w:t>
            </w:r>
          </w:p>
        </w:tc>
        <w:tc>
          <w:tcPr/>
          <w:p>
            <w:pPr>
              <w:pStyle w:val="Compact"/>
              <w:jc w:val="left"/>
            </w:pPr>
            <w:r>
              <w:t xml:space="preserve">Large letters + small letters + numbers + special characters</w:t>
            </w:r>
          </w:p>
        </w:tc>
      </w:tr>
      <w:tr>
        <w:tc>
          <w:tcPr/>
          <w:p>
            <w:pPr>
              <w:pStyle w:val="Compact"/>
              <w:jc w:val="left"/>
            </w:pPr>
            <w:r>
              <w:t xml:space="preserve">Windows LAPS</w:t>
            </w:r>
          </w:p>
        </w:tc>
        <w:tc>
          <w:tcPr/>
          <w:p>
            <w:pPr>
              <w:pStyle w:val="Compact"/>
              <w:jc w:val="left"/>
            </w:pPr>
            <w:r>
              <w:t xml:space="preserve">Password length</w:t>
            </w:r>
          </w:p>
        </w:tc>
        <w:tc>
          <w:tcPr/>
          <w:p>
            <w:pPr>
              <w:pStyle w:val="Compact"/>
              <w:jc w:val="left"/>
            </w:pPr>
            <w:r>
              <w:t xml:space="preserve">24 characters</w:t>
            </w:r>
          </w:p>
        </w:tc>
      </w:tr>
      <w:tr>
        <w:tc>
          <w:tcPr/>
          <w:p>
            <w:pPr>
              <w:pStyle w:val="Compact"/>
              <w:jc w:val="left"/>
            </w:pPr>
            <w:r>
              <w:t xml:space="preserve">Windows LAPS</w:t>
            </w:r>
          </w:p>
        </w:tc>
        <w:tc>
          <w:tcPr/>
          <w:p>
            <w:pPr>
              <w:pStyle w:val="Compact"/>
              <w:jc w:val="left"/>
            </w:pPr>
            <w:r>
              <w:t xml:space="preserve">Password age (days)</w:t>
            </w:r>
          </w:p>
        </w:tc>
        <w:tc>
          <w:tcPr/>
          <w:p>
            <w:pPr>
              <w:pStyle w:val="Compact"/>
              <w:jc w:val="left"/>
            </w:pPr>
            <w:r>
              <w:t xml:space="preserve">30 days</w:t>
            </w:r>
          </w:p>
        </w:tc>
      </w:tr>
      <w:tr>
        <w:tc>
          <w:tcPr/>
          <w:p>
            <w:pPr>
              <w:pStyle w:val="Compact"/>
              <w:jc w:val="left"/>
            </w:pPr>
            <w:r>
              <w:t xml:space="preserve">Windows LAPS</w:t>
            </w:r>
          </w:p>
        </w:tc>
        <w:tc>
          <w:tcPr/>
          <w:p>
            <w:pPr>
              <w:pStyle w:val="Compact"/>
              <w:jc w:val="left"/>
            </w:pPr>
            <w:r>
              <w:t xml:space="preserve">Post-authentication actions</w:t>
            </w:r>
          </w:p>
        </w:tc>
        <w:tc>
          <w:tcPr/>
          <w:p>
            <w:pPr>
              <w:pStyle w:val="Compact"/>
              <w:jc w:val="left"/>
            </w:pPr>
            <w:r>
              <w:t xml:space="preserve">Reset password and logoff the managed account</w:t>
            </w:r>
          </w:p>
        </w:tc>
      </w:tr>
      <w:tr>
        <w:tc>
          <w:tcPr/>
          <w:p>
            <w:pPr>
              <w:pStyle w:val="Compact"/>
              <w:jc w:val="left"/>
            </w:pPr>
            <w:r>
              <w:t xml:space="preserve">Windows LAPS</w:t>
            </w:r>
          </w:p>
        </w:tc>
        <w:tc>
          <w:tcPr/>
          <w:p>
            <w:pPr>
              <w:pStyle w:val="Compact"/>
              <w:jc w:val="left"/>
            </w:pPr>
            <w:r>
              <w:t xml:space="preserve">Post-authentication reset delay (hours)</w:t>
            </w:r>
          </w:p>
        </w:tc>
        <w:tc>
          <w:tcPr/>
          <w:p>
            <w:pPr>
              <w:pStyle w:val="Compact"/>
              <w:jc w:val="left"/>
            </w:pPr>
            <w:r>
              <w:t xml:space="preserve">24 hours</w:t>
            </w:r>
          </w:p>
        </w:tc>
      </w:tr>
      <w:tr>
        <w:tc>
          <w:tcPr/>
          <w:p>
            <w:pPr>
              <w:pStyle w:val="Compact"/>
              <w:jc w:val="left"/>
            </w:pPr>
            <w:r>
              <w:t xml:space="preserve">Windows LAPS</w:t>
            </w:r>
          </w:p>
        </w:tc>
        <w:tc>
          <w:tcPr/>
          <w:p>
            <w:pPr>
              <w:pStyle w:val="Compact"/>
              <w:jc w:val="left"/>
            </w:pPr>
            <w:r>
              <w:t xml:space="preserve">Administrator account name</w:t>
            </w:r>
          </w:p>
        </w:tc>
        <w:tc>
          <w:tcPr/>
          <w:p>
            <w:pPr>
              <w:pStyle w:val="Compact"/>
              <w:jc w:val="left"/>
            </w:pPr>
            <w:r>
              <w:t xml:space="preserve">(default — built-in Administrator)</w:t>
            </w:r>
          </w:p>
        </w:tc>
      </w:tr>
    </w:tbl>
    <w:p>
      <w:pPr>
        <w:pStyle w:val="BodyText"/>
      </w:pPr>
      <w:r>
        <w:t xml:space="preserve">4.9 SC-009: Remote Desktop Configuration</w:t>
      </w:r>
    </w:p>
    <w:p>
      <w:pPr>
        <w:pStyle w:val="BodyText"/>
      </w:pPr>
      <w:r>
        <w:rPr>
          <w:b/>
          <w:bCs/>
        </w:rPr>
        <w:t xml:space="preserve">Policy ID: SC-009 | Platform: Windows 10/11 | Target: Tier 0 and Tier 1 devices only</w:t>
      </w:r>
    </w:p>
    <w:p>
      <w:pPr>
        <w:pStyle w:val="BodyText"/>
      </w:pPr>
      <w:r>
        <w:rPr>
          <w:b/>
          <w:bCs/>
        </w:rPr>
        <w:t xml:space="preserve">Targeting:</w:t>
      </w:r>
      <w:r>
        <w:t xml:space="preserve"> </w:t>
      </w:r>
      <w:r>
        <w:t xml:space="preserve">Dynamic group — device.extensionAttribute4 -in ["Tier0", "Tier1"]</w:t>
      </w:r>
    </w:p>
    <w:p>
      <w:pPr>
        <w:pStyle w:val="BodyText"/>
      </w:pPr>
      <w:r>
        <w:rPr>
          <w:b/>
          <w:bCs/>
        </w:rPr>
        <w:t xml:space="preserve">GPO Equivalent:</w:t>
      </w:r>
      <w:r>
        <w:t xml:space="preserve"> </w:t>
      </w:r>
      <w:r>
        <w:t xml:space="preserve">Computer Configuration &gt; Administrative Templates &gt; Windows Components &gt; Remote Desktop Services</w:t>
      </w:r>
    </w:p>
    <w:tbl>
      <w:tblPr>
        <w:tblStyle w:val="Table"/>
        <w:tblW w:type="pct" w:w="4921"/>
        <w:tblLayout w:type="fixed"/>
        <w:tblLook w:firstRow="1" w:lastRow="0" w:firstColumn="0" w:lastColumn="0" w:noHBand="0" w:noVBand="0" w:val="0020"/>
      </w:tblPr>
      <w:tblGrid>
        <w:gridCol w:w="3055"/>
        <w:gridCol w:w="2556"/>
        <w:gridCol w:w="218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Remote Desktop Services &gt; Connections</w:t>
            </w:r>
          </w:p>
        </w:tc>
        <w:tc>
          <w:tcPr/>
          <w:p>
            <w:pPr>
              <w:pStyle w:val="Compact"/>
              <w:jc w:val="left"/>
            </w:pPr>
            <w:r>
              <w:t xml:space="preserve">Allow users to connect remotely</w:t>
            </w:r>
          </w:p>
        </w:tc>
        <w:tc>
          <w:tcPr/>
          <w:p>
            <w:pPr>
              <w:pStyle w:val="Compact"/>
              <w:jc w:val="left"/>
            </w:pPr>
            <w:r>
              <w:t xml:space="preserve">Enabled (Tier 0 and Tier 1 only)</w:t>
            </w:r>
          </w:p>
        </w:tc>
      </w:tr>
      <w:tr>
        <w:tc>
          <w:tcPr/>
          <w:p>
            <w:pPr>
              <w:pStyle w:val="Compact"/>
              <w:jc w:val="left"/>
            </w:pPr>
            <w:r>
              <w:t xml:space="preserve">Remote Desktop Services &gt; Security</w:t>
            </w:r>
          </w:p>
        </w:tc>
        <w:tc>
          <w:tcPr/>
          <w:p>
            <w:pPr>
              <w:pStyle w:val="Compact"/>
              <w:jc w:val="left"/>
            </w:pPr>
            <w:r>
              <w:t xml:space="preserve">Require Network Level Authentication</w:t>
            </w:r>
          </w:p>
        </w:tc>
        <w:tc>
          <w:tcPr/>
          <w:p>
            <w:pPr>
              <w:pStyle w:val="Compact"/>
              <w:jc w:val="left"/>
            </w:pPr>
            <w:r>
              <w:t xml:space="preserve">Enabled</w:t>
            </w:r>
          </w:p>
        </w:tc>
      </w:tr>
      <w:tr>
        <w:tc>
          <w:tcPr/>
          <w:p>
            <w:pPr>
              <w:pStyle w:val="Compact"/>
              <w:jc w:val="left"/>
            </w:pPr>
            <w:r>
              <w:t xml:space="preserve">Remote Desktop Services &gt; Session Time Limits</w:t>
            </w:r>
          </w:p>
        </w:tc>
        <w:tc>
          <w:tcPr/>
          <w:p>
            <w:pPr>
              <w:pStyle w:val="Compact"/>
              <w:jc w:val="left"/>
            </w:pPr>
            <w:r>
              <w:t xml:space="preserve">Set time limit for idle sessions</w:t>
            </w:r>
          </w:p>
        </w:tc>
        <w:tc>
          <w:tcPr/>
          <w:p>
            <w:pPr>
              <w:pStyle w:val="Compact"/>
              <w:jc w:val="left"/>
            </w:pPr>
            <w:r>
              <w:t xml:space="preserve">15 minutes</w:t>
            </w:r>
          </w:p>
        </w:tc>
      </w:tr>
      <w:tr>
        <w:tc>
          <w:tcPr/>
          <w:p>
            <w:pPr>
              <w:pStyle w:val="Compact"/>
              <w:jc w:val="left"/>
            </w:pPr>
            <w:r>
              <w:t xml:space="preserve">Remote Desktop Services &gt; Session Time Limits</w:t>
            </w:r>
          </w:p>
        </w:tc>
        <w:tc>
          <w:tcPr/>
          <w:p>
            <w:pPr>
              <w:pStyle w:val="Compact"/>
              <w:jc w:val="left"/>
            </w:pPr>
            <w:r>
              <w:t xml:space="preserve">Set time limit for active sessions</w:t>
            </w:r>
          </w:p>
        </w:tc>
        <w:tc>
          <w:tcPr/>
          <w:p>
            <w:pPr>
              <w:pStyle w:val="Compact"/>
              <w:jc w:val="left"/>
            </w:pPr>
            <w:r>
              <w:t xml:space="preserve">4 hours</w:t>
            </w:r>
          </w:p>
        </w:tc>
      </w:tr>
      <w:tr>
        <w:tc>
          <w:tcPr/>
          <w:p>
            <w:pPr>
              <w:pStyle w:val="Compact"/>
              <w:jc w:val="left"/>
            </w:pPr>
            <w:r>
              <w:t xml:space="preserve">Remote Desktop Services &gt; Session Time Limits</w:t>
            </w:r>
          </w:p>
        </w:tc>
        <w:tc>
          <w:tcPr/>
          <w:p>
            <w:pPr>
              <w:pStyle w:val="Compact"/>
              <w:jc w:val="left"/>
            </w:pPr>
            <w:r>
              <w:t xml:space="preserve">End session when time limit is reached</w:t>
            </w:r>
          </w:p>
        </w:tc>
        <w:tc>
          <w:tcPr/>
          <w:p>
            <w:pPr>
              <w:pStyle w:val="Compact"/>
              <w:jc w:val="left"/>
            </w:pPr>
            <w:r>
              <w:t xml:space="preserve">Disconnect</w:t>
            </w:r>
          </w:p>
        </w:tc>
      </w:tr>
      <w:tr>
        <w:tc>
          <w:tcPr/>
          <w:p>
            <w:pPr>
              <w:pStyle w:val="Compact"/>
              <w:jc w:val="left"/>
            </w:pPr>
            <w:r>
              <w:t xml:space="preserve">Remote Desktop Services &gt; Security</w:t>
            </w:r>
          </w:p>
        </w:tc>
        <w:tc>
          <w:tcPr/>
          <w:p>
            <w:pPr>
              <w:pStyle w:val="Compact"/>
              <w:jc w:val="left"/>
            </w:pPr>
            <w:r>
              <w:t xml:space="preserve">Set minimum encryption level</w:t>
            </w:r>
          </w:p>
        </w:tc>
        <w:tc>
          <w:tcPr/>
          <w:p>
            <w:pPr>
              <w:pStyle w:val="Compact"/>
              <w:jc w:val="left"/>
            </w:pPr>
            <w:r>
              <w:t xml:space="preserve">High</w:t>
            </w:r>
          </w:p>
        </w:tc>
      </w:tr>
      <w:tr>
        <w:tc>
          <w:tcPr/>
          <w:p>
            <w:pPr>
              <w:pStyle w:val="Compact"/>
              <w:jc w:val="left"/>
            </w:pPr>
            <w:r>
              <w:t xml:space="preserve">Remote Desktop Services</w:t>
            </w:r>
          </w:p>
        </w:tc>
        <w:tc>
          <w:tcPr/>
          <w:p>
            <w:pPr>
              <w:pStyle w:val="Compact"/>
              <w:jc w:val="left"/>
            </w:pPr>
            <w:r>
              <w:t xml:space="preserve">Restrict Remote Desktop Services users</w:t>
            </w:r>
          </w:p>
        </w:tc>
        <w:tc>
          <w:tcPr/>
          <w:p>
            <w:pPr>
              <w:pStyle w:val="Compact"/>
              <w:jc w:val="left"/>
            </w:pPr>
            <w:r>
              <w:t xml:space="preserve">FMP-RDP-Users security group</w:t>
            </w:r>
          </w:p>
        </w:tc>
      </w:tr>
    </w:tbl>
    <w:p>
      <w:pPr>
        <w:pStyle w:val="BodyText"/>
      </w:pPr>
      <w:r>
        <w:t xml:space="preserve">4.10 SC-010: User Experience Configuration</w:t>
      </w:r>
    </w:p>
    <w:p>
      <w:pPr>
        <w:pStyle w:val="BodyText"/>
      </w:pPr>
      <w:r>
        <w:rPr>
          <w:b/>
          <w:bCs/>
        </w:rPr>
        <w:t xml:space="preserve">Policy ID: SC-010 | Platform: Windows 10/11 | Target: All corporate devices</w:t>
      </w:r>
    </w:p>
    <w:p>
      <w:pPr>
        <w:pStyle w:val="BodyText"/>
      </w:pPr>
      <w:r>
        <w:rPr>
          <w:b/>
          <w:bCs/>
        </w:rPr>
        <w:t xml:space="preserve">Description:</w:t>
      </w:r>
      <w:r>
        <w:t xml:space="preserve"> </w:t>
      </w:r>
      <w:r>
        <w:t xml:space="preserve">Replaces GPO-based Start Menu layout, desktop wallpaper, and lock screen policies with Settings Catalog equivalents.</w:t>
      </w:r>
    </w:p>
    <w:tbl>
      <w:tblPr>
        <w:tblStyle w:val="Table"/>
        <w:tblW w:type="pct" w:w="4959"/>
        <w:tblLayout w:type="fixed"/>
        <w:tblLook w:firstRow="1" w:lastRow="0" w:firstColumn="0" w:lastColumn="0" w:noHBand="0" w:noVBand="0" w:val="0020"/>
      </w:tblPr>
      <w:tblGrid>
        <w:gridCol w:w="1038"/>
        <w:gridCol w:w="843"/>
        <w:gridCol w:w="2109"/>
        <w:gridCol w:w="386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Start</w:t>
            </w:r>
          </w:p>
        </w:tc>
        <w:tc>
          <w:tcPr/>
          <w:p>
            <w:pPr>
              <w:pStyle w:val="Compact"/>
              <w:jc w:val="left"/>
            </w:pPr>
            <w:r>
              <w:t xml:space="preserve">Start layout (JSON/XML)</w:t>
            </w:r>
          </w:p>
        </w:tc>
        <w:tc>
          <w:tcPr/>
          <w:p>
            <w:pPr>
              <w:pStyle w:val="Compact"/>
              <w:jc w:val="left"/>
            </w:pPr>
            <w:r>
              <w:t xml:space="preserve">Custom layout pinning LOB apps, Office, Edge</w:t>
            </w:r>
          </w:p>
        </w:tc>
        <w:tc>
          <w:tcPr/>
          <w:p>
            <w:pPr>
              <w:pStyle w:val="Compact"/>
              <w:jc w:val="left"/>
            </w:pPr>
            <w:r>
              <w:t xml:space="preserve">Computer Config &gt; Admin Templates &gt; Start Menu and Taskbar &gt; Start Layout</w:t>
            </w:r>
          </w:p>
        </w:tc>
      </w:tr>
      <w:tr>
        <w:tc>
          <w:tcPr/>
          <w:p>
            <w:pPr>
              <w:pStyle w:val="Compact"/>
              <w:jc w:val="left"/>
            </w:pPr>
            <w:r>
              <w:t xml:space="preserve">Personalization</w:t>
            </w:r>
          </w:p>
        </w:tc>
        <w:tc>
          <w:tcPr/>
          <w:p>
            <w:pPr>
              <w:pStyle w:val="Compact"/>
              <w:jc w:val="left"/>
            </w:pPr>
            <w:r>
              <w:t xml:space="preserve">Desktop wallpaper</w:t>
            </w:r>
          </w:p>
        </w:tc>
        <w:tc>
          <w:tcPr/>
          <w:p>
            <w:pPr>
              <w:pStyle w:val="Compact"/>
              <w:jc w:val="left"/>
            </w:pPr>
            <w:r>
              <w:t xml:space="preserve">Organization branded wallpaper (deployed via Intune Win32 app)</w:t>
            </w:r>
          </w:p>
        </w:tc>
        <w:tc>
          <w:tcPr/>
          <w:p>
            <w:pPr>
              <w:pStyle w:val="Compact"/>
              <w:jc w:val="left"/>
            </w:pPr>
            <w:r>
              <w:t xml:space="preserve">User Config &gt; Admin Templates &gt; Desktop &gt; Desktop Wallpaper</w:t>
            </w:r>
          </w:p>
        </w:tc>
      </w:tr>
      <w:tr>
        <w:tc>
          <w:tcPr/>
          <w:p>
            <w:pPr>
              <w:pStyle w:val="Compact"/>
              <w:jc w:val="left"/>
            </w:pPr>
            <w:r>
              <w:t xml:space="preserve">Personalization</w:t>
            </w:r>
          </w:p>
        </w:tc>
        <w:tc>
          <w:tcPr/>
          <w:p>
            <w:pPr>
              <w:pStyle w:val="Compact"/>
              <w:jc w:val="left"/>
            </w:pPr>
            <w:r>
              <w:t xml:space="preserve">Lock screen image</w:t>
            </w:r>
          </w:p>
        </w:tc>
        <w:tc>
          <w:tcPr/>
          <w:p>
            <w:pPr>
              <w:pStyle w:val="Compact"/>
              <w:jc w:val="left"/>
            </w:pPr>
            <w:r>
              <w:t xml:space="preserve">Organization branded lock screen</w:t>
            </w:r>
          </w:p>
        </w:tc>
        <w:tc>
          <w:tcPr/>
          <w:p>
            <w:pPr>
              <w:pStyle w:val="Compact"/>
              <w:jc w:val="left"/>
            </w:pPr>
            <w:r>
              <w:t xml:space="preserve">Computer Config &gt; Admin Templates &gt; Control Panel &gt; Personalization &gt; Force a specific default lock screen image</w:t>
            </w:r>
          </w:p>
        </w:tc>
      </w:tr>
      <w:tr>
        <w:tc>
          <w:tcPr/>
          <w:p>
            <w:pPr>
              <w:pStyle w:val="Compact"/>
              <w:jc w:val="left"/>
            </w:pPr>
            <w:r>
              <w:t xml:space="preserve">Start</w:t>
            </w:r>
          </w:p>
        </w:tc>
        <w:tc>
          <w:tcPr/>
          <w:p>
            <w:pPr>
              <w:pStyle w:val="Compact"/>
              <w:jc w:val="left"/>
            </w:pPr>
            <w:r>
              <w:t xml:space="preserve">Taskbar pinned apps</w:t>
            </w:r>
          </w:p>
        </w:tc>
        <w:tc>
          <w:tcPr/>
          <w:p>
            <w:pPr>
              <w:pStyle w:val="Compact"/>
              <w:jc w:val="left"/>
            </w:pPr>
            <w:r>
              <w:t xml:space="preserve">Edge, Outlook, Teams, File Explorer</w:t>
            </w:r>
          </w:p>
        </w:tc>
        <w:tc>
          <w:tcPr/>
          <w:p>
            <w:pPr>
              <w:pStyle w:val="Compact"/>
              <w:jc w:val="left"/>
            </w:pPr>
            <w:r>
              <w:t xml:space="preserve">Computer Config &gt; Admin Templates &gt; Start Menu and Taskbar</w:t>
            </w:r>
          </w:p>
        </w:tc>
      </w:tr>
      <w:tr>
        <w:tc>
          <w:tcPr/>
          <w:p>
            <w:pPr>
              <w:pStyle w:val="Compact"/>
              <w:jc w:val="left"/>
            </w:pPr>
            <w:r>
              <w:t xml:space="preserve">Experience</w:t>
            </w:r>
          </w:p>
        </w:tc>
        <w:tc>
          <w:tcPr/>
          <w:p>
            <w:pPr>
              <w:pStyle w:val="Compact"/>
              <w:jc w:val="left"/>
            </w:pPr>
            <w:r>
              <w:t xml:space="preserve">Windows Spotlight</w:t>
            </w:r>
          </w:p>
        </w:tc>
        <w:tc>
          <w:tcPr/>
          <w:p>
            <w:pPr>
              <w:pStyle w:val="Compact"/>
              <w:jc w:val="left"/>
            </w:pPr>
            <w:r>
              <w:t xml:space="preserve">Disabled (corporate lock screen only)</w:t>
            </w:r>
          </w:p>
        </w:tc>
        <w:tc>
          <w:tcPr/>
          <w:p>
            <w:pPr>
              <w:pStyle w:val="Compact"/>
              <w:jc w:val="left"/>
            </w:pPr>
            <w:r>
              <w:t xml:space="preserve">User Config &gt; Admin Templates &gt; Windows Components &gt; Cloud Content</w:t>
            </w:r>
          </w:p>
        </w:tc>
      </w:tr>
      <w:tr>
        <w:tc>
          <w:tcPr/>
          <w:p>
            <w:pPr>
              <w:pStyle w:val="Compact"/>
              <w:jc w:val="left"/>
            </w:pPr>
            <w:r>
              <w:t xml:space="preserve">Experience</w:t>
            </w:r>
          </w:p>
        </w:tc>
        <w:tc>
          <w:tcPr/>
          <w:p>
            <w:pPr>
              <w:pStyle w:val="Compact"/>
              <w:jc w:val="left"/>
            </w:pPr>
            <w:r>
              <w:t xml:space="preserve">Consumer features</w:t>
            </w:r>
          </w:p>
        </w:tc>
        <w:tc>
          <w:tcPr/>
          <w:p>
            <w:pPr>
              <w:pStyle w:val="Compact"/>
              <w:jc w:val="left"/>
            </w:pPr>
            <w:r>
              <w:t xml:space="preserve">Disabled</w:t>
            </w:r>
          </w:p>
        </w:tc>
        <w:tc>
          <w:tcPr/>
          <w:p>
            <w:pPr>
              <w:pStyle w:val="Compact"/>
              <w:jc w:val="left"/>
            </w:pPr>
            <w:r>
              <w:t xml:space="preserve">Computer Config &gt; Admin Templates &gt; Windows Components &gt; Cloud Content &gt; Turn off Microsoft consumer experiences</w:t>
            </w:r>
          </w:p>
        </w:tc>
      </w:tr>
    </w:tbl>
    <w:p>
      <w:pPr>
        <w:pStyle w:val="BodyText"/>
      </w:pPr>
      <w:r>
        <w:t xml:space="preserve">5. Endpoint Security Policies</w:t>
      </w:r>
    </w:p>
    <w:p>
      <w:pPr>
        <w:pStyle w:val="BodyText"/>
      </w:pPr>
      <w:r>
        <w:t xml:space="preserve">Endpoint Security policies are managed from the dedicated Endpoint Security blade in the Intune admin center. They provide security-focused management separated from general device configuration.</w:t>
      </w:r>
    </w:p>
    <w:p>
      <w:pPr>
        <w:pStyle w:val="BodyText"/>
      </w:pPr>
      <w:r>
        <w:t xml:space="preserve">5.1 ES-001: Antivirus Policy</w:t>
      </w:r>
    </w:p>
    <w:p>
      <w:pPr>
        <w:pStyle w:val="BodyText"/>
      </w:pPr>
      <w:r>
        <w:rPr>
          <w:b/>
          <w:bCs/>
        </w:rPr>
        <w:t xml:space="preserve">Policy ID: ES-001 | Blade: Endpoint Security &gt; Antivirus | Target: All devices</w:t>
      </w:r>
    </w:p>
    <w:tbl>
      <w:tblPr>
        <w:tblStyle w:val="Table"/>
        <w:tblW w:type="pct" w:w="4910"/>
        <w:tblLayout w:type="fixed"/>
        <w:tblLook w:firstRow="1" w:lastRow="0" w:firstColumn="0" w:lastColumn="0" w:noHBand="0" w:noVBand="0" w:val="0020"/>
      </w:tblPr>
      <w:tblGrid>
        <w:gridCol w:w="2069"/>
        <w:gridCol w:w="2211"/>
        <w:gridCol w:w="3496"/>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Real-time protection</w:t>
            </w:r>
          </w:p>
        </w:tc>
        <w:tc>
          <w:tcPr/>
          <w:p>
            <w:pPr>
              <w:pStyle w:val="Compact"/>
              <w:jc w:val="left"/>
            </w:pPr>
            <w:r>
              <w:t xml:space="preserve">Enabled</w:t>
            </w:r>
          </w:p>
        </w:tc>
        <w:tc>
          <w:tcPr/>
          <w:p>
            <w:pPr>
              <w:pStyle w:val="Compact"/>
              <w:jc w:val="left"/>
            </w:pPr>
            <w:r>
              <w:t xml:space="preserve">Supplements SC-002 via Endpoint Security blade</w:t>
            </w:r>
          </w:p>
        </w:tc>
      </w:tr>
      <w:tr>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w:t>
            </w:r>
          </w:p>
        </w:tc>
      </w:tr>
      <w:tr>
        <w:tc>
          <w:tcPr/>
          <w:p>
            <w:pPr>
              <w:pStyle w:val="Compact"/>
              <w:jc w:val="left"/>
            </w:pPr>
            <w:r>
              <w:t xml:space="preserve">Tamper protection</w:t>
            </w:r>
          </w:p>
        </w:tc>
        <w:tc>
          <w:tcPr/>
          <w:p>
            <w:pPr>
              <w:pStyle w:val="Compact"/>
              <w:jc w:val="left"/>
            </w:pPr>
            <w:r>
              <w:t xml:space="preserve">Enabled</w:t>
            </w:r>
          </w:p>
        </w:tc>
        <w:tc>
          <w:tcPr/>
          <w:p>
            <w:pPr>
              <w:pStyle w:val="Compact"/>
              <w:jc w:val="left"/>
            </w:pPr>
            <w:r>
              <w:t xml:space="preserve">Prevents users/malware from disabling Defender</w:t>
            </w:r>
          </w:p>
        </w:tc>
      </w:tr>
      <w:tr>
        <w:tc>
          <w:tcPr/>
          <w:p>
            <w:pPr>
              <w:pStyle w:val="Compact"/>
              <w:jc w:val="left"/>
            </w:pPr>
            <w:r>
              <w:t xml:space="preserve">Exclusions — Process</w:t>
            </w:r>
          </w:p>
        </w:tc>
        <w:tc>
          <w:tcPr/>
          <w:p>
            <w:pPr>
              <w:pStyle w:val="Compact"/>
              <w:jc w:val="left"/>
            </w:pPr>
            <w:r>
              <w:t xml:space="preserve">[LOB app executables]</w:t>
            </w:r>
          </w:p>
        </w:tc>
        <w:tc>
          <w:tcPr/>
          <w:p>
            <w:pPr>
              <w:pStyle w:val="Compact"/>
              <w:jc w:val="left"/>
            </w:pPr>
            <w:r>
              <w:t xml:space="preserve">Organization-specific; maintain exclusion list</w:t>
            </w:r>
          </w:p>
        </w:tc>
      </w:tr>
      <w:tr>
        <w:tc>
          <w:tcPr/>
          <w:p>
            <w:pPr>
              <w:pStyle w:val="Compact"/>
              <w:jc w:val="left"/>
            </w:pPr>
            <w:r>
              <w:t xml:space="preserve">Exclusions — Path</w:t>
            </w:r>
          </w:p>
        </w:tc>
        <w:tc>
          <w:tcPr/>
          <w:p>
            <w:pPr>
              <w:pStyle w:val="Compact"/>
              <w:jc w:val="left"/>
            </w:pPr>
            <w:r>
              <w:t xml:space="preserve">[LOB app data directories]</w:t>
            </w:r>
          </w:p>
        </w:tc>
        <w:tc>
          <w:tcPr/>
          <w:p>
            <w:pPr>
              <w:pStyle w:val="Compact"/>
              <w:jc w:val="left"/>
            </w:pPr>
            <w:r>
              <w:t xml:space="preserve">Minimize exclusions to reduce attack surface</w:t>
            </w:r>
          </w:p>
        </w:tc>
      </w:tr>
      <w:tr>
        <w:tc>
          <w:tcPr/>
          <w:p>
            <w:pPr>
              <w:pStyle w:val="Compact"/>
              <w:jc w:val="left"/>
            </w:pPr>
            <w:r>
              <w:t xml:space="preserve">Exclusions — Extension</w:t>
            </w:r>
          </w:p>
        </w:tc>
        <w:tc>
          <w:tcPr/>
          <w:p>
            <w:pPr>
              <w:pStyle w:val="Compact"/>
              <w:jc w:val="left"/>
            </w:pPr>
            <w:r>
              <w:t xml:space="preserve">[As required by LOB apps]</w:t>
            </w:r>
          </w:p>
        </w:tc>
        <w:tc>
          <w:tcPr/>
          <w:p>
            <w:pPr>
              <w:pStyle w:val="Compact"/>
              <w:jc w:val="left"/>
            </w:pPr>
            <w:r>
              <w:t xml:space="preserve">Document justification for each exclusion</w:t>
            </w:r>
          </w:p>
        </w:tc>
      </w:tr>
    </w:tbl>
    <w:p/>
    <w:tbl>
      <w:tblPr>
        <w:tblStyle w:val="Table"/>
        <w:tblW w:type="pct" w:w="5020"/>
        <w:tblLayout w:type="fixed"/>
        <w:tblLook w:firstRow="0" w:lastRow="0" w:firstColumn="0" w:lastColumn="0" w:noHBand="0" w:noVBand="0" w:val="0000"/>
      </w:tblPr>
      <w:tblGrid>
        <w:gridCol w:w="7952"/>
      </w:tblGrid>
      <w:tr>
        <w:tc>
          <w:tcPr/>
          <w:p>
            <w:pPr>
              <w:pStyle w:val="FirstParagraph"/>
            </w:pPr>
            <w:r>
              <w:rPr>
                <w:b/>
                <w:bCs/>
              </w:rPr>
              <w:t xml:space="preserve">Warning: Exclusion Hygiene</w:t>
            </w:r>
          </w:p>
          <w:p>
            <w:pPr>
              <w:pStyle w:val="BodyText"/>
            </w:pPr>
            <w:r>
              <w:t xml:space="preserve">Every antivirus exclusion increases attack surface. Document the business justification for each exclusion, review quarterly, and remove exclusions for decommissioned applications. Never exclude common file types (.exe, .dll, .ps1, .bat, .cmd).</w:t>
            </w:r>
          </w:p>
        </w:tc>
      </w:tr>
    </w:tbl>
    <w:p>
      <w:pPr>
        <w:pStyle w:val="BodyText"/>
      </w:pPr>
      <w:r>
        <w:t xml:space="preserve">5.2 ES-002: Disk Encryption Policy</w:t>
      </w:r>
    </w:p>
    <w:p>
      <w:pPr>
        <w:pStyle w:val="BodyText"/>
      </w:pPr>
      <w:r>
        <w:rPr>
          <w:b/>
          <w:bCs/>
        </w:rPr>
        <w:t xml:space="preserve">Policy ID: ES-002 | Blade: Endpoint Security &gt; Disk encryption | Target: All corporate devices</w:t>
      </w:r>
    </w:p>
    <w:tbl>
      <w:tblPr>
        <w:tblStyle w:val="Table"/>
        <w:tblW w:type="pct" w:w="4921"/>
        <w:tblLayout w:type="fixed"/>
        <w:tblLook w:firstRow="1" w:lastRow="0" w:firstColumn="0" w:lastColumn="0" w:noHBand="0" w:noVBand="0" w:val="0020"/>
      </w:tblPr>
      <w:tblGrid>
        <w:gridCol w:w="1933"/>
        <w:gridCol w:w="2120"/>
        <w:gridCol w:w="3741"/>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Require BitLocker encryption</w:t>
            </w:r>
          </w:p>
        </w:tc>
        <w:tc>
          <w:tcPr/>
          <w:p>
            <w:pPr>
              <w:pStyle w:val="Compact"/>
              <w:jc w:val="left"/>
            </w:pPr>
            <w:r>
              <w:t xml:space="preserve">Enabled</w:t>
            </w:r>
          </w:p>
        </w:tc>
        <w:tc>
          <w:tcPr/>
          <w:p>
            <w:pPr>
              <w:pStyle w:val="Compact"/>
              <w:jc w:val="left"/>
            </w:pPr>
            <w:r>
              <w:t xml:space="preserve">Enforced via Endpoint Security blade (supplements SC-006)</w:t>
            </w:r>
          </w:p>
        </w:tc>
      </w:tr>
      <w:tr>
        <w:tc>
          <w:tcPr/>
          <w:p>
            <w:pPr>
              <w:pStyle w:val="Compact"/>
              <w:jc w:val="left"/>
            </w:pPr>
            <w:r>
              <w:t xml:space="preserve">Recovery key escrow</w:t>
            </w:r>
          </w:p>
        </w:tc>
        <w:tc>
          <w:tcPr/>
          <w:p>
            <w:pPr>
              <w:pStyle w:val="Compact"/>
              <w:jc w:val="left"/>
            </w:pPr>
            <w:r>
              <w:t xml:space="preserve">Azure AD (Entra ID)</w:t>
            </w:r>
          </w:p>
        </w:tc>
        <w:tc>
          <w:tcPr/>
          <w:p>
            <w:pPr>
              <w:pStyle w:val="Compact"/>
              <w:jc w:val="left"/>
            </w:pPr>
            <w:r>
              <w:t xml:space="preserve">Keys stored in device properties in Entra ID portal</w:t>
            </w:r>
          </w:p>
        </w:tc>
      </w:tr>
      <w:tr>
        <w:tc>
          <w:tcPr/>
          <w:p>
            <w:pPr>
              <w:pStyle w:val="Compact"/>
              <w:jc w:val="left"/>
            </w:pPr>
            <w:r>
              <w:t xml:space="preserve">Recovery key rotation</w:t>
            </w:r>
          </w:p>
        </w:tc>
        <w:tc>
          <w:tcPr/>
          <w:p>
            <w:pPr>
              <w:pStyle w:val="Compact"/>
              <w:jc w:val="left"/>
            </w:pPr>
            <w:r>
              <w:t xml:space="preserve">Enabled — rotate on every use</w:t>
            </w:r>
          </w:p>
        </w:tc>
        <w:tc>
          <w:tcPr/>
          <w:p>
            <w:pPr>
              <w:pStyle w:val="Compact"/>
              <w:jc w:val="left"/>
            </w:pPr>
            <w:r>
              <w:t xml:space="preserve">New recovery key generated after each use</w:t>
            </w:r>
          </w:p>
        </w:tc>
      </w:tr>
      <w:tr>
        <w:tc>
          <w:tcPr/>
          <w:p>
            <w:pPr>
              <w:pStyle w:val="Compact"/>
              <w:jc w:val="left"/>
            </w:pPr>
            <w:r>
              <w:t xml:space="preserve">Encryption reporting</w:t>
            </w:r>
          </w:p>
        </w:tc>
        <w:tc>
          <w:tcPr/>
          <w:p>
            <w:pPr>
              <w:pStyle w:val="Compact"/>
              <w:jc w:val="left"/>
            </w:pPr>
            <w:r>
              <w:t xml:space="preserve">Intune encryption report</w:t>
            </w:r>
          </w:p>
        </w:tc>
        <w:tc>
          <w:tcPr/>
          <w:p>
            <w:pPr>
              <w:pStyle w:val="Compact"/>
              <w:jc w:val="left"/>
            </w:pPr>
            <w:r>
              <w:t xml:space="preserve">Monitor via Devices &gt; Monitor &gt; Encryption report</w:t>
            </w:r>
          </w:p>
        </w:tc>
      </w:tr>
      <w:tr>
        <w:tc>
          <w:tcPr/>
          <w:p>
            <w:pPr>
              <w:pStyle w:val="Compact"/>
              <w:jc w:val="left"/>
            </w:pPr>
            <w:r>
              <w:t xml:space="preserve">Silent encryption</w:t>
            </w:r>
          </w:p>
        </w:tc>
        <w:tc>
          <w:tcPr/>
          <w:p>
            <w:pPr>
              <w:pStyle w:val="Compact"/>
              <w:jc w:val="left"/>
            </w:pPr>
            <w:r>
              <w:t xml:space="preserve">Enabled</w:t>
            </w:r>
          </w:p>
        </w:tc>
        <w:tc>
          <w:tcPr/>
          <w:p>
            <w:pPr>
              <w:pStyle w:val="Compact"/>
              <w:jc w:val="left"/>
            </w:pPr>
            <w:r>
              <w:t xml:space="preserve">Encrypt without user interaction on Autopilot/OOBE</w:t>
            </w:r>
          </w:p>
        </w:tc>
      </w:tr>
    </w:tbl>
    <w:p>
      <w:pPr>
        <w:pStyle w:val="BodyText"/>
      </w:pPr>
      <w:r>
        <w:t xml:space="preserve">5.3 ES-003: Firewall Policy</w:t>
      </w:r>
    </w:p>
    <w:p>
      <w:pPr>
        <w:pStyle w:val="BodyText"/>
      </w:pPr>
      <w:r>
        <w:rPr>
          <w:b/>
          <w:bCs/>
        </w:rPr>
        <w:t xml:space="preserve">Policy ID: ES-003 | Blade: Endpoint Security &gt; Firewall | Target: All devices</w:t>
      </w:r>
    </w:p>
    <w:tbl>
      <w:tblPr>
        <w:tblStyle w:val="Table"/>
        <w:tblW w:type="pct" w:w="4934"/>
        <w:tblLayout w:type="fixed"/>
        <w:tblLook w:firstRow="1" w:lastRow="0" w:firstColumn="0" w:lastColumn="0" w:noHBand="0" w:noVBand="0" w:val="0020"/>
      </w:tblPr>
      <w:tblGrid>
        <w:gridCol w:w="2032"/>
        <w:gridCol w:w="2709"/>
        <w:gridCol w:w="3074"/>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Domain profile — Firewall enabled</w:t>
            </w:r>
          </w:p>
        </w:tc>
        <w:tc>
          <w:tcPr/>
          <w:p>
            <w:pPr>
              <w:pStyle w:val="Compact"/>
              <w:jc w:val="left"/>
            </w:pPr>
            <w:r>
              <w:t xml:space="preserve">Yes</w:t>
            </w:r>
          </w:p>
        </w:tc>
        <w:tc>
          <w:tcPr/>
          <w:p>
            <w:pPr>
              <w:pStyle w:val="Compact"/>
              <w:jc w:val="left"/>
            </w:pPr>
            <w:r>
              <w:t xml:space="preserve">Supplements SC-007</w:t>
            </w:r>
          </w:p>
        </w:tc>
      </w:tr>
      <w:tr>
        <w:tc>
          <w:tcPr/>
          <w:p>
            <w:pPr>
              <w:pStyle w:val="Compact"/>
              <w:jc w:val="left"/>
            </w:pPr>
            <w:r>
              <w:t xml:space="preserve">Private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Public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LOB Application Rules</w:t>
            </w:r>
          </w:p>
        </w:tc>
        <w:tc>
          <w:tcPr/>
          <w:p>
            <w:pPr>
              <w:pStyle w:val="Compact"/>
              <w:jc w:val="left"/>
            </w:pPr>
            <w:r>
              <w:t xml:space="preserve">Allow inbound/outbound for approved LOB apps</w:t>
            </w:r>
          </w:p>
        </w:tc>
        <w:tc>
          <w:tcPr/>
          <w:p>
            <w:pPr>
              <w:pStyle w:val="Compact"/>
              <w:jc w:val="left"/>
            </w:pPr>
            <w:r>
              <w:t xml:space="preserve">Define per-application rules for enterprise applications</w:t>
            </w:r>
          </w:p>
        </w:tc>
      </w:tr>
      <w:tr>
        <w:tc>
          <w:tcPr/>
          <w:p>
            <w:pPr>
              <w:pStyle w:val="Compact"/>
              <w:jc w:val="left"/>
            </w:pPr>
            <w:r>
              <w:t xml:space="preserve">Management port rules</w:t>
            </w:r>
          </w:p>
        </w:tc>
        <w:tc>
          <w:tcPr/>
          <w:p>
            <w:pPr>
              <w:pStyle w:val="Compact"/>
              <w:jc w:val="left"/>
            </w:pPr>
            <w:r>
              <w:t xml:space="preserve">WinRM 5985/5986, RDP 3389 from management subnets</w:t>
            </w:r>
          </w:p>
        </w:tc>
        <w:tc>
          <w:tcPr/>
          <w:p>
            <w:pPr>
              <w:pStyle w:val="Compact"/>
              <w:jc w:val="left"/>
            </w:pPr>
            <w:r>
              <w:t xml:space="preserve">Restricted to Tier 0 source IPs</w:t>
            </w:r>
          </w:p>
        </w:tc>
      </w:tr>
    </w:tbl>
    <w:p>
      <w:pPr>
        <w:pStyle w:val="BodyText"/>
      </w:pPr>
      <w:r>
        <w:t xml:space="preserve">5.4 ES-004: Endpoint Detection and Response</w:t>
      </w:r>
    </w:p>
    <w:p>
      <w:pPr>
        <w:pStyle w:val="BodyText"/>
      </w:pPr>
      <w:r>
        <w:rPr>
          <w:b/>
          <w:bCs/>
        </w:rPr>
        <w:t xml:space="preserve">Policy ID: ES-004 | Blade: Endpoint Security &gt; Endpoint detection and response | Target: All devices</w:t>
      </w:r>
    </w:p>
    <w:tbl>
      <w:tblPr>
        <w:tblStyle w:val="Table"/>
        <w:tblW w:type="pct" w:w="4896"/>
        <w:tblLayout w:type="fixed"/>
        <w:tblLook w:firstRow="1" w:lastRow="0" w:firstColumn="0" w:lastColumn="0" w:noHBand="0" w:noVBand="0" w:val="0020"/>
      </w:tblPr>
      <w:tblGrid>
        <w:gridCol w:w="3712"/>
        <w:gridCol w:w="4042"/>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Microsoft Defender for Endpoint onboarding</w:t>
            </w:r>
          </w:p>
        </w:tc>
        <w:tc>
          <w:tcPr/>
          <w:p>
            <w:pPr>
              <w:pStyle w:val="Compact"/>
              <w:jc w:val="left"/>
            </w:pPr>
            <w:r>
              <w:t xml:space="preserve">Onboarding package (auto via Intune connector)</w:t>
            </w:r>
          </w:p>
        </w:tc>
      </w:tr>
      <w:tr>
        <w:tc>
          <w:tcPr/>
          <w:p>
            <w:pPr>
              <w:pStyle w:val="Compact"/>
              <w:jc w:val="left"/>
            </w:pPr>
            <w:r>
              <w:t xml:space="preserve">Sample collection</w:t>
            </w:r>
          </w:p>
        </w:tc>
        <w:tc>
          <w:tcPr/>
          <w:p>
            <w:pPr>
              <w:pStyle w:val="Compact"/>
              <w:jc w:val="left"/>
            </w:pPr>
            <w:r>
              <w:t xml:space="preserve">All file types</w:t>
            </w:r>
          </w:p>
        </w:tc>
      </w:tr>
      <w:tr>
        <w:tc>
          <w:tcPr/>
          <w:p>
            <w:pPr>
              <w:pStyle w:val="Compact"/>
              <w:jc w:val="left"/>
            </w:pPr>
            <w:r>
              <w:t xml:space="preserve">Telemetry reporting frequency</w:t>
            </w:r>
          </w:p>
        </w:tc>
        <w:tc>
          <w:tcPr/>
          <w:p>
            <w:pPr>
              <w:pStyle w:val="Compact"/>
              <w:jc w:val="left"/>
            </w:pPr>
            <w:r>
              <w:t xml:space="preserve">Expedite (real-time)</w:t>
            </w:r>
          </w:p>
        </w:tc>
      </w:tr>
      <w:tr>
        <w:tc>
          <w:tcPr/>
          <w:p>
            <w:pPr>
              <w:pStyle w:val="Compact"/>
              <w:jc w:val="left"/>
            </w:pPr>
            <w:r>
              <w:t xml:space="preserve">Automated investigation</w:t>
            </w:r>
          </w:p>
        </w:tc>
        <w:tc>
          <w:tcPr/>
          <w:p>
            <w:pPr>
              <w:pStyle w:val="Compact"/>
              <w:jc w:val="left"/>
            </w:pPr>
            <w:r>
              <w:t xml:space="preserve">Full — automatically remediate</w:t>
            </w:r>
          </w:p>
        </w:tc>
      </w:tr>
      <w:tr>
        <w:tc>
          <w:tcPr/>
          <w:p>
            <w:pPr>
              <w:pStyle w:val="Compact"/>
              <w:jc w:val="left"/>
            </w:pPr>
            <w:r>
              <w:t xml:space="preserve">Live response</w:t>
            </w:r>
          </w:p>
        </w:tc>
        <w:tc>
          <w:tcPr/>
          <w:p>
            <w:pPr>
              <w:pStyle w:val="Compact"/>
              <w:jc w:val="left"/>
            </w:pPr>
            <w:r>
              <w:t xml:space="preserve">Enabled (Tier 0 analysts only)</w:t>
            </w:r>
          </w:p>
        </w:tc>
      </w:tr>
      <w:tr>
        <w:tc>
          <w:tcPr/>
          <w:p>
            <w:pPr>
              <w:pStyle w:val="Compact"/>
              <w:jc w:val="left"/>
            </w:pPr>
            <w:r>
              <w:t xml:space="preserve">Enable web content filtering</w:t>
            </w:r>
          </w:p>
        </w:tc>
        <w:tc>
          <w:tcPr/>
          <w:p>
            <w:pPr>
              <w:pStyle w:val="Compact"/>
              <w:jc w:val="left"/>
            </w:pPr>
            <w:r>
              <w:t xml:space="preserve">Enabled</w:t>
            </w:r>
          </w:p>
        </w:tc>
      </w:tr>
    </w:tbl>
    <w:p>
      <w:pPr>
        <w:pStyle w:val="BodyText"/>
      </w:pPr>
      <w:r>
        <w:t xml:space="preserve">5.5 ES-005: Attack Surface Reduction</w:t>
      </w:r>
    </w:p>
    <w:p>
      <w:pPr>
        <w:pStyle w:val="BodyText"/>
      </w:pPr>
      <w:r>
        <w:rPr>
          <w:b/>
          <w:bCs/>
        </w:rPr>
        <w:t xml:space="preserve">Policy ID: ES-005 | Blade: Endpoint Security &gt; Attack surface reduction | Target: All devices</w:t>
      </w:r>
    </w:p>
    <w:p>
      <w:pPr>
        <w:pStyle w:val="BodyText"/>
      </w:pPr>
      <w:r>
        <w:rPr>
          <w:b/>
          <w:bCs/>
        </w:rPr>
        <w:t xml:space="preserve">Deployment Strategy:</w:t>
      </w:r>
      <w:r>
        <w:t xml:space="preserve"> </w:t>
      </w:r>
      <w:r>
        <w:t xml:space="preserve">Deploy all rules in</w:t>
      </w:r>
      <w:r>
        <w:t xml:space="preserve"> </w:t>
      </w:r>
      <w:r>
        <w:rPr>
          <w:b/>
          <w:bCs/>
        </w:rPr>
        <w:t xml:space="preserve">Audit mode</w:t>
      </w:r>
      <w:r>
        <w:t xml:space="preserve"> </w:t>
      </w:r>
      <w:r>
        <w:t xml:space="preserve">first for 30 days, then transition to</w:t>
      </w:r>
      <w:r>
        <w:t xml:space="preserve"> </w:t>
      </w:r>
      <w:r>
        <w:rPr>
          <w:b/>
          <w:bCs/>
        </w:rPr>
        <w:t xml:space="preserve">Block mode</w:t>
      </w:r>
      <w:r>
        <w:t xml:space="preserve"> </w:t>
      </w:r>
      <w:r>
        <w:t xml:space="preserve">after validating no business-critical impact.</w:t>
      </w:r>
    </w:p>
    <w:tbl>
      <w:tblPr>
        <w:tblStyle w:val="Table"/>
        <w:tblW w:type="pct" w:w="4918"/>
        <w:tblLayout w:type="fixed"/>
        <w:tblLook w:firstRow="1" w:lastRow="0" w:firstColumn="0" w:lastColumn="0" w:noHBand="0" w:noVBand="0" w:val="0020"/>
      </w:tblPr>
      <w:tblGrid>
        <w:gridCol w:w="4933"/>
        <w:gridCol w:w="1428"/>
        <w:gridCol w:w="1428"/>
      </w:tblGrid>
      <w:tr>
        <w:trPr>
          <w:tblHeader w:val="on"/>
        </w:trPr>
        <w:tc>
          <w:tcPr/>
          <w:p>
            <w:pPr>
              <w:pStyle w:val="Compact"/>
              <w:jc w:val="left"/>
            </w:pPr>
            <w:r>
              <w:rPr>
                <w:b/>
                <w:bCs/>
              </w:rPr>
              <w:t xml:space="preserve">Rule Name</w:t>
            </w:r>
          </w:p>
        </w:tc>
        <w:tc>
          <w:tcPr/>
          <w:p>
            <w:pPr>
              <w:pStyle w:val="Compact"/>
              <w:jc w:val="left"/>
            </w:pPr>
            <w:r>
              <w:rPr>
                <w:b/>
                <w:bCs/>
              </w:rPr>
              <w:t xml:space="preserve">Phase 1 (Audit)</w:t>
            </w:r>
          </w:p>
        </w:tc>
        <w:tc>
          <w:tcPr/>
          <w:p>
            <w:pPr>
              <w:pStyle w:val="Compact"/>
              <w:jc w:val="left"/>
            </w:pPr>
            <w:r>
              <w:rPr>
                <w:b/>
                <w:bCs/>
              </w:rPr>
              <w:t xml:space="preserve">Phase 2 (Block)</w:t>
            </w:r>
          </w:p>
        </w:tc>
      </w:tr>
      <w:tr>
        <w:tc>
          <w:tcPr/>
          <w:p>
            <w:pPr>
              <w:pStyle w:val="Compact"/>
              <w:jc w:val="left"/>
            </w:pPr>
            <w:r>
              <w:t xml:space="preserve">Block executable content from email client and webmail</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all Office applications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JavaScript or VBScript from launching downloaded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execution of potentially obfuscated scripts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Win32 API calls from Office macros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credential stealing from Windows LSASS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process creations originating from PSExec and WMI commands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untrusted and unsigned processes that run from USB</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creating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injecting code into other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Adobe Reader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Use advanced protection against ransomware</w:t>
            </w:r>
          </w:p>
        </w:tc>
        <w:tc>
          <w:tcPr/>
          <w:p>
            <w:pPr>
              <w:pStyle w:val="Compact"/>
              <w:jc w:val="left"/>
            </w:pPr>
            <w:r>
              <w:t xml:space="preserve">Audit</w:t>
            </w:r>
          </w:p>
        </w:tc>
        <w:tc>
          <w:tcPr/>
          <w:p>
            <w:pPr>
              <w:pStyle w:val="Compact"/>
              <w:jc w:val="left"/>
            </w:pPr>
            <w:r>
              <w:t xml:space="preserve">Block</w:t>
            </w:r>
          </w:p>
        </w:tc>
      </w:tr>
    </w:tbl>
    <w:p>
      <w:pPr>
        <w:pStyle w:val="BodyText"/>
      </w:pPr>
      <w:r>
        <w:t xml:space="preserve">5.6 ES-006: Account Protection</w:t>
      </w:r>
    </w:p>
    <w:p>
      <w:pPr>
        <w:pStyle w:val="BodyText"/>
      </w:pPr>
      <w:r>
        <w:rPr>
          <w:b/>
          <w:bCs/>
        </w:rPr>
        <w:t xml:space="preserve">Policy ID: ES-006 | Blade: Endpoint Security &gt; Account protection | Target: Varies by tier</w:t>
      </w:r>
    </w:p>
    <w:tbl>
      <w:tblPr>
        <w:tblStyle w:val="Table"/>
        <w:tblW w:type="pct" w:w="4924"/>
        <w:tblLayout w:type="fixed"/>
        <w:tblLook w:firstRow="1" w:lastRow="0" w:firstColumn="0" w:lastColumn="0" w:noHBand="0" w:noVBand="0" w:val="0020"/>
      </w:tblPr>
      <w:tblGrid>
        <w:gridCol w:w="2357"/>
        <w:gridCol w:w="1511"/>
        <w:gridCol w:w="3929"/>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Target</w:t>
            </w:r>
          </w:p>
        </w:tc>
      </w:tr>
      <w:tr>
        <w:tc>
          <w:tcPr/>
          <w:p>
            <w:pPr>
              <w:pStyle w:val="Compact"/>
              <w:jc w:val="left"/>
            </w:pPr>
            <w:r>
              <w:t xml:space="preserve">Credential Guard</w:t>
            </w:r>
          </w:p>
        </w:tc>
        <w:tc>
          <w:tcPr/>
          <w:p>
            <w:pPr>
              <w:pStyle w:val="Compact"/>
              <w:jc w:val="left"/>
            </w:pPr>
            <w:r>
              <w:t xml:space="preserve">Enabled with UEFI lock</w:t>
            </w:r>
          </w:p>
        </w:tc>
        <w:tc>
          <w:tcPr/>
          <w:p>
            <w:pPr>
              <w:pStyle w:val="Compact"/>
              <w:jc w:val="left"/>
            </w:pPr>
            <w:r>
              <w:t xml:space="preserve">Tier 0 devices only (device.extensionAttribute11 -eq "Tier0")</w:t>
            </w:r>
          </w:p>
        </w:tc>
      </w:tr>
      <w:tr>
        <w:tc>
          <w:tcPr/>
          <w:p>
            <w:pPr>
              <w:pStyle w:val="Compact"/>
              <w:jc w:val="left"/>
            </w:pPr>
            <w:r>
              <w:t xml:space="preserve">Credential Guard</w:t>
            </w:r>
          </w:p>
        </w:tc>
        <w:tc>
          <w:tcPr/>
          <w:p>
            <w:pPr>
              <w:pStyle w:val="Compact"/>
              <w:jc w:val="left"/>
            </w:pPr>
            <w:r>
              <w:t xml:space="preserve">Enabled without lock</w:t>
            </w:r>
          </w:p>
        </w:tc>
        <w:tc>
          <w:tcPr/>
          <w:p>
            <w:pPr>
              <w:pStyle w:val="Compact"/>
              <w:jc w:val="left"/>
            </w:pPr>
            <w:r>
              <w:t xml:space="preserve">Tier 1 and Tier 2 devices</w:t>
            </w:r>
          </w:p>
        </w:tc>
      </w:tr>
      <w:tr>
        <w:tc>
          <w:tcPr/>
          <w:p>
            <w:pPr>
              <w:pStyle w:val="Compact"/>
              <w:jc w:val="left"/>
            </w:pPr>
            <w:r>
              <w:t xml:space="preserve">Windows Hello for Business</w:t>
            </w:r>
          </w:p>
        </w:tc>
        <w:tc>
          <w:tcPr/>
          <w:p>
            <w:pPr>
              <w:pStyle w:val="Compact"/>
              <w:jc w:val="left"/>
            </w:pPr>
            <w:r>
              <w:t xml:space="preserve">Required</w:t>
            </w:r>
          </w:p>
        </w:tc>
        <w:tc>
          <w:tcPr/>
          <w:p>
            <w:pPr>
              <w:pStyle w:val="Compact"/>
              <w:jc w:val="left"/>
            </w:pPr>
            <w:r>
              <w:t xml:space="preserve">All devices</w:t>
            </w:r>
          </w:p>
        </w:tc>
      </w:tr>
      <w:tr>
        <w:tc>
          <w:tcPr/>
          <w:p>
            <w:pPr>
              <w:pStyle w:val="Compact"/>
              <w:jc w:val="left"/>
            </w:pPr>
            <w:r>
              <w:t xml:space="preserve">Windows Hello — Minimum PIN length</w:t>
            </w:r>
          </w:p>
        </w:tc>
        <w:tc>
          <w:tcPr/>
          <w:p>
            <w:pPr>
              <w:pStyle w:val="Compact"/>
              <w:jc w:val="left"/>
            </w:pPr>
            <w:r>
              <w:t xml:space="preserve">6 digits</w:t>
            </w:r>
          </w:p>
        </w:tc>
        <w:tc>
          <w:tcPr/>
          <w:p>
            <w:pPr>
              <w:pStyle w:val="Compact"/>
              <w:jc w:val="left"/>
            </w:pPr>
            <w:r>
              <w:t xml:space="preserve">All devices</w:t>
            </w:r>
          </w:p>
        </w:tc>
      </w:tr>
      <w:tr>
        <w:tc>
          <w:tcPr/>
          <w:p>
            <w:pPr>
              <w:pStyle w:val="Compact"/>
              <w:jc w:val="left"/>
            </w:pPr>
            <w:r>
              <w:t xml:space="preserve">Windows Hello — Biometrics</w:t>
            </w:r>
          </w:p>
        </w:tc>
        <w:tc>
          <w:tcPr/>
          <w:p>
            <w:pPr>
              <w:pStyle w:val="Compact"/>
              <w:jc w:val="left"/>
            </w:pPr>
            <w:r>
              <w:t xml:space="preserve">Enabled</w:t>
            </w:r>
          </w:p>
        </w:tc>
        <w:tc>
          <w:tcPr/>
          <w:p>
            <w:pPr>
              <w:pStyle w:val="Compact"/>
              <w:jc w:val="left"/>
            </w:pPr>
            <w:r>
              <w:t xml:space="preserve">All devices</w:t>
            </w:r>
          </w:p>
        </w:tc>
      </w:tr>
      <w:tr>
        <w:tc>
          <w:tcPr/>
          <w:p>
            <w:pPr>
              <w:pStyle w:val="Compact"/>
              <w:jc w:val="left"/>
            </w:pPr>
            <w:r>
              <w:t xml:space="preserve">Windows LAPS</w:t>
            </w:r>
          </w:p>
        </w:tc>
        <w:tc>
          <w:tcPr/>
          <w:p>
            <w:pPr>
              <w:pStyle w:val="Compact"/>
              <w:jc w:val="left"/>
            </w:pPr>
            <w:r>
              <w:t xml:space="preserve">Configured per SC-008</w:t>
            </w:r>
          </w:p>
        </w:tc>
        <w:tc>
          <w:tcPr/>
          <w:p>
            <w:pPr>
              <w:pStyle w:val="Compact"/>
              <w:jc w:val="left"/>
            </w:pPr>
            <w:r>
              <w:t xml:space="preserve">All devices</w:t>
            </w:r>
          </w:p>
        </w:tc>
      </w:tr>
    </w:tbl>
    <w:p>
      <w:pPr>
        <w:pStyle w:val="BodyText"/>
      </w:pPr>
      <w:r>
        <w:t xml:space="preserve">6. App Protection Policies</w:t>
      </w:r>
    </w:p>
    <w:p>
      <w:pPr>
        <w:pStyle w:val="BodyText"/>
      </w:pPr>
      <w:r>
        <w:t xml:space="preserve">6.1 AP-001: Managed Apps — Corporate Data Protection</w:t>
      </w:r>
    </w:p>
    <w:p>
      <w:pPr>
        <w:pStyle w:val="BodyText"/>
      </w:pPr>
      <w:r>
        <w:rPr>
          <w:b/>
          <w:bCs/>
        </w:rPr>
        <w:t xml:space="preserve">Policy ID: AP-001 | Type: App Protection Policy (MAM with enrollment) | Target: Microsoft 365 apps</w:t>
      </w:r>
    </w:p>
    <w:p>
      <w:pPr>
        <w:pStyle w:val="BodyText"/>
      </w:pPr>
      <w:r>
        <w:t xml:space="preserve">Target Applications</w:t>
      </w:r>
    </w:p>
    <w:p>
      <w:pPr>
        <w:numPr>
          <w:ilvl w:val="0"/>
          <w:numId w:val="1315"/>
        </w:numPr>
      </w:pPr>
      <w:r>
        <w:t xml:space="preserve">Microsoft Outlook</w:t>
      </w:r>
    </w:p>
    <w:p>
      <w:pPr>
        <w:numPr>
          <w:ilvl w:val="0"/>
          <w:numId w:val="1315"/>
        </w:numPr>
      </w:pPr>
      <w:r>
        <w:t xml:space="preserve">Microsoft Teams</w:t>
      </w:r>
    </w:p>
    <w:p>
      <w:pPr>
        <w:numPr>
          <w:ilvl w:val="0"/>
          <w:numId w:val="1315"/>
        </w:numPr>
      </w:pPr>
      <w:r>
        <w:t xml:space="preserve">Microsoft OneDrive</w:t>
      </w:r>
    </w:p>
    <w:p>
      <w:pPr>
        <w:numPr>
          <w:ilvl w:val="0"/>
          <w:numId w:val="1315"/>
        </w:numPr>
      </w:pPr>
      <w:r>
        <w:t xml:space="preserve">Microsoft SharePoint</w:t>
      </w:r>
    </w:p>
    <w:p>
      <w:pPr>
        <w:numPr>
          <w:ilvl w:val="0"/>
          <w:numId w:val="1315"/>
        </w:numPr>
      </w:pPr>
      <w:r>
        <w:t xml:space="preserve">Microsoft Word, Excel, PowerPoint</w:t>
      </w:r>
    </w:p>
    <w:p>
      <w:pPr>
        <w:numPr>
          <w:ilvl w:val="0"/>
          <w:numId w:val="1315"/>
        </w:numPr>
      </w:pPr>
      <w:r>
        <w:t xml:space="preserve">Microsoft Edge (managed browser)</w:t>
      </w:r>
    </w:p>
    <w:p>
      <w:pPr>
        <w:pStyle w:val="FirstParagraph"/>
      </w:pPr>
      <w:r>
        <w:t xml:space="preserve">Data Protection Settings</w:t>
      </w:r>
    </w:p>
    <w:tbl>
      <w:tblPr>
        <w:tblStyle w:val="Table"/>
        <w:tblW w:type="pct" w:w="4915"/>
        <w:tblLayout w:type="fixed"/>
        <w:tblLook w:firstRow="1" w:lastRow="0" w:firstColumn="0" w:lastColumn="0" w:noHBand="0" w:noVBand="0" w:val="0020"/>
      </w:tblPr>
      <w:tblGrid>
        <w:gridCol w:w="1421"/>
        <w:gridCol w:w="3316"/>
        <w:gridCol w:w="304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Data Transfer</w:t>
            </w:r>
          </w:p>
        </w:tc>
        <w:tc>
          <w:tcPr/>
          <w:p>
            <w:pPr>
              <w:pStyle w:val="Compact"/>
              <w:jc w:val="left"/>
            </w:pPr>
            <w:r>
              <w:t xml:space="preserve">Send org data to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Receive data from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Save copies of org data</w:t>
            </w:r>
          </w:p>
        </w:tc>
        <w:tc>
          <w:tcPr/>
          <w:p>
            <w:pPr>
              <w:pStyle w:val="Compact"/>
              <w:jc w:val="left"/>
            </w:pPr>
            <w:r>
              <w:t xml:space="preserve">Block — no saving to personal storage</w:t>
            </w:r>
          </w:p>
        </w:tc>
      </w:tr>
      <w:tr>
        <w:tc>
          <w:tcPr/>
          <w:p>
            <w:pPr>
              <w:pStyle w:val="Compact"/>
              <w:jc w:val="left"/>
            </w:pPr>
            <w:r>
              <w:t xml:space="preserve">Data Transfer</w:t>
            </w:r>
          </w:p>
        </w:tc>
        <w:tc>
          <w:tcPr/>
          <w:p>
            <w:pPr>
              <w:pStyle w:val="Compact"/>
              <w:jc w:val="left"/>
            </w:pPr>
            <w:r>
              <w:t xml:space="preserve">Allow user to save copies to selected services</w:t>
            </w:r>
          </w:p>
        </w:tc>
        <w:tc>
          <w:tcPr/>
          <w:p>
            <w:pPr>
              <w:pStyle w:val="Compact"/>
              <w:jc w:val="left"/>
            </w:pPr>
            <w:r>
              <w:t xml:space="preserve">OneDrive for Business, SharePoint only</w:t>
            </w:r>
          </w:p>
        </w:tc>
      </w:tr>
      <w:tr>
        <w:tc>
          <w:tcPr/>
          <w:p>
            <w:pPr>
              <w:pStyle w:val="Compact"/>
              <w:jc w:val="left"/>
            </w:pPr>
            <w:r>
              <w:t xml:space="preserve">Cut / Copy / Paste</w:t>
            </w:r>
          </w:p>
        </w:tc>
        <w:tc>
          <w:tcPr/>
          <w:p>
            <w:pPr>
              <w:pStyle w:val="Compact"/>
              <w:jc w:val="left"/>
            </w:pPr>
            <w:r>
              <w:t xml:space="preserve">Restrict cut, copy, paste between apps</w:t>
            </w:r>
          </w:p>
        </w:tc>
        <w:tc>
          <w:tcPr/>
          <w:p>
            <w:pPr>
              <w:pStyle w:val="Compact"/>
              <w:jc w:val="left"/>
            </w:pPr>
            <w:r>
              <w:t xml:space="preserve">Policy-managed apps with paste in from any</w:t>
            </w:r>
          </w:p>
        </w:tc>
      </w:tr>
      <w:tr>
        <w:tc>
          <w:tcPr/>
          <w:p>
            <w:pPr>
              <w:pStyle w:val="Compact"/>
              <w:jc w:val="left"/>
            </w:pPr>
            <w:r>
              <w:t xml:space="preserve">Screen Capture</w:t>
            </w:r>
          </w:p>
        </w:tc>
        <w:tc>
          <w:tcPr/>
          <w:p>
            <w:pPr>
              <w:pStyle w:val="Compact"/>
              <w:jc w:val="left"/>
            </w:pPr>
            <w:r>
              <w:t xml:space="preserve">Screen capture</w:t>
            </w:r>
          </w:p>
        </w:tc>
        <w:tc>
          <w:tcPr/>
          <w:p>
            <w:pPr>
              <w:pStyle w:val="Compact"/>
              <w:jc w:val="left"/>
            </w:pPr>
            <w:r>
              <w:t xml:space="preserve">Block</w:t>
            </w:r>
          </w:p>
        </w:tc>
      </w:tr>
      <w:tr>
        <w:tc>
          <w:tcPr/>
          <w:p>
            <w:pPr>
              <w:pStyle w:val="Compact"/>
              <w:jc w:val="left"/>
            </w:pPr>
            <w:r>
              <w:t xml:space="preserve">Encryption</w:t>
            </w:r>
          </w:p>
        </w:tc>
        <w:tc>
          <w:tcPr/>
          <w:p>
            <w:pPr>
              <w:pStyle w:val="Compact"/>
              <w:jc w:val="left"/>
            </w:pPr>
            <w:r>
              <w:t xml:space="preserve">Encrypt org data</w:t>
            </w:r>
          </w:p>
        </w:tc>
        <w:tc>
          <w:tcPr/>
          <w:p>
            <w:pPr>
              <w:pStyle w:val="Compact"/>
              <w:jc w:val="left"/>
            </w:pPr>
            <w:r>
              <w:t xml:space="preserve">Required</w:t>
            </w:r>
          </w:p>
        </w:tc>
      </w:tr>
      <w:tr>
        <w:tc>
          <w:tcPr/>
          <w:p>
            <w:pPr>
              <w:pStyle w:val="Compact"/>
              <w:jc w:val="left"/>
            </w:pPr>
            <w:r>
              <w:t xml:space="preserve">Device</w:t>
            </w:r>
          </w:p>
        </w:tc>
        <w:tc>
          <w:tcPr/>
          <w:p>
            <w:pPr>
              <w:pStyle w:val="Compact"/>
              <w:jc w:val="left"/>
            </w:pPr>
            <w:r>
              <w:t xml:space="preserve">Minimum OS version</w:t>
            </w:r>
          </w:p>
        </w:tc>
        <w:tc>
          <w:tcPr/>
          <w:p>
            <w:pPr>
              <w:pStyle w:val="Compact"/>
              <w:jc w:val="left"/>
            </w:pPr>
            <w:r>
              <w:t xml:space="preserve">Windows 10 22H2</w:t>
            </w:r>
          </w:p>
        </w:tc>
      </w:tr>
    </w:tbl>
    <w:p>
      <w:pPr>
        <w:pStyle w:val="BodyText"/>
      </w:pPr>
      <w:r>
        <w:t xml:space="preserve">6.2 AP-002: MAM Without Enrollment (BYOD)</w:t>
      </w:r>
    </w:p>
    <w:p>
      <w:pPr>
        <w:pStyle w:val="BodyText"/>
      </w:pPr>
      <w:r>
        <w:rPr>
          <w:b/>
          <w:bCs/>
        </w:rPr>
        <w:t xml:space="preserve">Policy ID: AP-002 | Type: App Protection Policy (MAM without enrollment) | Target: BYOD devices</w:t>
      </w:r>
    </w:p>
    <w:p>
      <w:pPr>
        <w:pStyle w:val="BodyText"/>
      </w:pPr>
      <w:r>
        <w:rPr>
          <w:b/>
          <w:bCs/>
        </w:rPr>
        <w:t xml:space="preserve">Description:</w:t>
      </w:r>
      <w:r>
        <w:t xml:space="preserve"> </w:t>
      </w:r>
      <w:r>
        <w:t xml:space="preserve">Provides the same data protection as AP-001 for personal devices that are not enrolled in Intune device management. No device compliance is required; protection is enforced at the app level.</w:t>
      </w:r>
    </w:p>
    <w:p>
      <w:pPr>
        <w:pStyle w:val="BodyText"/>
      </w:pPr>
      <w:r>
        <w:t xml:space="preserve">Settings (additions/modifications from AP-001)</w:t>
      </w:r>
    </w:p>
    <w:tbl>
      <w:tblPr>
        <w:tblStyle w:val="Table"/>
        <w:tblW w:type="pct" w:w="4901"/>
        <w:tblLayout w:type="fixed"/>
        <w:tblLook w:firstRow="1" w:lastRow="0" w:firstColumn="0" w:lastColumn="0" w:noHBand="0" w:noVBand="0" w:val="0020"/>
      </w:tblPr>
      <w:tblGrid>
        <w:gridCol w:w="1646"/>
        <w:gridCol w:w="2979"/>
        <w:gridCol w:w="313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Access</w:t>
            </w:r>
          </w:p>
        </w:tc>
        <w:tc>
          <w:tcPr/>
          <w:p>
            <w:pPr>
              <w:pStyle w:val="Compact"/>
              <w:jc w:val="left"/>
            </w:pPr>
            <w:r>
              <w:t xml:space="preserve">PIN required for access</w:t>
            </w:r>
          </w:p>
        </w:tc>
        <w:tc>
          <w:tcPr/>
          <w:p>
            <w:pPr>
              <w:pStyle w:val="Compact"/>
              <w:jc w:val="left"/>
            </w:pPr>
            <w:r>
              <w:t xml:space="preserve">Required — 6 digits</w:t>
            </w:r>
          </w:p>
        </w:tc>
      </w:tr>
      <w:tr>
        <w:tc>
          <w:tcPr/>
          <w:p>
            <w:pPr>
              <w:pStyle w:val="Compact"/>
              <w:jc w:val="left"/>
            </w:pPr>
            <w:r>
              <w:t xml:space="preserve">Access</w:t>
            </w:r>
          </w:p>
        </w:tc>
        <w:tc>
          <w:tcPr/>
          <w:p>
            <w:pPr>
              <w:pStyle w:val="Compact"/>
              <w:jc w:val="left"/>
            </w:pPr>
            <w:r>
              <w:t xml:space="preserve">Fingerprint instead of PIN</w:t>
            </w:r>
          </w:p>
        </w:tc>
        <w:tc>
          <w:tcPr/>
          <w:p>
            <w:pPr>
              <w:pStyle w:val="Compact"/>
              <w:jc w:val="left"/>
            </w:pPr>
            <w:r>
              <w:t xml:space="preserve">Allowed</w:t>
            </w:r>
          </w:p>
        </w:tc>
      </w:tr>
      <w:tr>
        <w:tc>
          <w:tcPr/>
          <w:p>
            <w:pPr>
              <w:pStyle w:val="Compact"/>
              <w:jc w:val="left"/>
            </w:pPr>
            <w:r>
              <w:t xml:space="preserve">Access</w:t>
            </w:r>
          </w:p>
        </w:tc>
        <w:tc>
          <w:tcPr/>
          <w:p>
            <w:pPr>
              <w:pStyle w:val="Compact"/>
              <w:jc w:val="left"/>
            </w:pPr>
            <w:r>
              <w:t xml:space="preserve">Face recognition</w:t>
            </w:r>
          </w:p>
        </w:tc>
        <w:tc>
          <w:tcPr/>
          <w:p>
            <w:pPr>
              <w:pStyle w:val="Compact"/>
              <w:jc w:val="left"/>
            </w:pPr>
            <w:r>
              <w:t xml:space="preserve">Allowed</w:t>
            </w:r>
          </w:p>
        </w:tc>
      </w:tr>
      <w:tr>
        <w:tc>
          <w:tcPr/>
          <w:p>
            <w:pPr>
              <w:pStyle w:val="Compact"/>
              <w:jc w:val="left"/>
            </w:pPr>
            <w:r>
              <w:t xml:space="preserve">Conditional Launch</w:t>
            </w:r>
          </w:p>
        </w:tc>
        <w:tc>
          <w:tcPr/>
          <w:p>
            <w:pPr>
              <w:pStyle w:val="Compact"/>
              <w:jc w:val="left"/>
            </w:pPr>
            <w:r>
              <w:t xml:space="preserve">Offline grace period</w:t>
            </w:r>
          </w:p>
        </w:tc>
        <w:tc>
          <w:tcPr/>
          <w:p>
            <w:pPr>
              <w:pStyle w:val="Compact"/>
              <w:jc w:val="left"/>
            </w:pPr>
            <w:r>
              <w:t xml:space="preserve">90 days — wipe corporate data after</w:t>
            </w:r>
          </w:p>
        </w:tc>
      </w:tr>
      <w:tr>
        <w:tc>
          <w:tcPr/>
          <w:p>
            <w:pPr>
              <w:pStyle w:val="Compact"/>
              <w:jc w:val="left"/>
            </w:pPr>
            <w:r>
              <w:t xml:space="preserve">Conditional Launch</w:t>
            </w:r>
          </w:p>
        </w:tc>
        <w:tc>
          <w:tcPr/>
          <w:p>
            <w:pPr>
              <w:pStyle w:val="Compact"/>
              <w:jc w:val="left"/>
            </w:pPr>
            <w:r>
              <w:t xml:space="preserve">Jailbroken/rooted devices</w:t>
            </w:r>
          </w:p>
        </w:tc>
        <w:tc>
          <w:tcPr/>
          <w:p>
            <w:pPr>
              <w:pStyle w:val="Compact"/>
              <w:jc w:val="left"/>
            </w:pPr>
            <w:r>
              <w:t xml:space="preserve">Block access</w:t>
            </w:r>
          </w:p>
        </w:tc>
      </w:tr>
      <w:tr>
        <w:tc>
          <w:tcPr/>
          <w:p>
            <w:pPr>
              <w:pStyle w:val="Compact"/>
              <w:jc w:val="left"/>
            </w:pPr>
            <w:r>
              <w:t xml:space="preserve">Conditional Launch</w:t>
            </w:r>
          </w:p>
        </w:tc>
        <w:tc>
          <w:tcPr/>
          <w:p>
            <w:pPr>
              <w:pStyle w:val="Compact"/>
              <w:jc w:val="left"/>
            </w:pPr>
            <w:r>
              <w:t xml:space="preserve">Max PIN attempts</w:t>
            </w:r>
          </w:p>
        </w:tc>
        <w:tc>
          <w:tcPr/>
          <w:p>
            <w:pPr>
              <w:pStyle w:val="Compact"/>
              <w:jc w:val="left"/>
            </w:pPr>
            <w:r>
              <w:t xml:space="preserve">5 — wipe corporate data after</w:t>
            </w:r>
          </w:p>
        </w:tc>
      </w:tr>
      <w:tr>
        <w:tc>
          <w:tcPr/>
          <w:p>
            <w:pPr>
              <w:pStyle w:val="Compact"/>
              <w:jc w:val="left"/>
            </w:pPr>
            <w:r>
              <w:t xml:space="preserve">Conditional Launch</w:t>
            </w:r>
          </w:p>
        </w:tc>
        <w:tc>
          <w:tcPr/>
          <w:p>
            <w:pPr>
              <w:pStyle w:val="Compact"/>
              <w:jc w:val="left"/>
            </w:pPr>
            <w:r>
              <w:t xml:space="preserve">Minimum app version</w:t>
            </w:r>
          </w:p>
        </w:tc>
        <w:tc>
          <w:tcPr/>
          <w:p>
            <w:pPr>
              <w:pStyle w:val="Compact"/>
              <w:jc w:val="left"/>
            </w:pPr>
            <w:r>
              <w:t xml:space="preserve">Latest -1 version</w:t>
            </w:r>
          </w:p>
        </w:tc>
      </w:tr>
      <w:tr>
        <w:tc>
          <w:tcPr/>
          <w:p>
            <w:pPr>
              <w:pStyle w:val="Compact"/>
              <w:jc w:val="left"/>
            </w:pPr>
            <w:r>
              <w:t xml:space="preserve">Data Transfer</w:t>
            </w:r>
          </w:p>
        </w:tc>
        <w:tc>
          <w:tcPr/>
          <w:p>
            <w:pPr>
              <w:pStyle w:val="Compact"/>
              <w:jc w:val="left"/>
            </w:pPr>
            <w:r>
              <w:t xml:space="preserve">All AP-001 data protection settings</w:t>
            </w:r>
          </w:p>
        </w:tc>
        <w:tc>
          <w:tcPr/>
          <w:p>
            <w:pPr>
              <w:pStyle w:val="Compact"/>
              <w:jc w:val="left"/>
            </w:pPr>
            <w:r>
              <w:t xml:space="preserve">Same as AP-001</w:t>
            </w:r>
          </w:p>
        </w:tc>
      </w:tr>
    </w:tbl>
    <w:p>
      <w:pPr>
        <w:pStyle w:val="BodyText"/>
      </w:pPr>
      <w:r>
        <w:t xml:space="preserve">7. GPO→Intune Semantic Translation Reference</w:t>
      </w:r>
    </w:p>
    <w:bookmarkStart w:id="664" w:name="Xd687788fd4f3559dfbdbd9b65d7e6a2b330af5d"/>
    <w:p>
      <w:pPr>
        <w:pStyle w:val="Heading2"/>
      </w:pPr>
      <w:r>
        <w:t xml:space="preserve">Reference, not prescription (per the program decision)</w:t>
      </w:r>
    </w:p>
    <w:p>
      <w:pPr>
        <w:pStyle w:val="FirstParagraph"/>
      </w:pPr>
      <w:r>
        <w:t xml:space="preserve">The table below is a</w:t>
      </w:r>
      <w:r>
        <w:t xml:space="preserve"> </w:t>
      </w:r>
      <w:r>
        <w:rPr>
          <w:b/>
          <w:bCs/>
        </w:rPr>
        <w:t xml:space="preserve">Semantic Translation Reference</w:t>
      </w:r>
      <w:r>
        <w:t xml:space="preserve"> </w:t>
      </w:r>
      <w:r>
        <w:t xml:space="preserve">— engineers’ lookup card for</w:t>
      </w:r>
      <w:r>
        <w:t xml:space="preserve"> </w:t>
      </w:r>
      <w:r>
        <w:t xml:space="preserve">“what is the closest Intune surface for this GPO setting?”</w:t>
      </w:r>
      <w:r>
        <w:t xml:space="preserve"> </w:t>
      </w:r>
      <w:r>
        <w:t xml:space="preserve">Per the program decision, it is</w:t>
      </w:r>
      <w:r>
        <w:t xml:space="preserve"> </w:t>
      </w:r>
      <w:r>
        <w:rPr>
          <w:b/>
          <w:bCs/>
        </w:rPr>
        <w:t xml:space="preserve">not</w:t>
      </w:r>
      <w:r>
        <w:t xml:space="preserve"> </w:t>
      </w:r>
      <w:r>
        <w:t xml:space="preserve">a literal 1:1 copy prescription. Use it to find the right Intune target surface for a given GPO setting; do not use it as authority for what the policy</w:t>
      </w:r>
      <w:r>
        <w:t xml:space="preserve"> </w:t>
      </w:r>
      <w:r>
        <w:rPr>
          <w:i/>
          <w:iCs/>
        </w:rPr>
        <w:t xml:space="preserve">value</w:t>
      </w:r>
      <w:r>
        <w:t xml:space="preserve"> </w:t>
      </w:r>
      <w:r>
        <w:t xml:space="preserve">should be in the new system.</w:t>
      </w:r>
    </w:p>
    <w:p>
      <w:pPr>
        <w:pStyle w:val="BodyText"/>
      </w:pPr>
      <w:r>
        <w:t xml:space="preserve">The</w:t>
      </w:r>
      <w:r>
        <w:t xml:space="preserve"> </w:t>
      </w:r>
      <w:r>
        <w:t xml:space="preserve">“</w:t>
      </w:r>
      <w:r>
        <w:rPr>
          <w:b/>
          <w:bCs/>
        </w:rPr>
        <w:t xml:space="preserve">regenerate, not copy</w:t>
      </w:r>
      <w:r>
        <w:t xml:space="preserve">”</w:t>
      </w:r>
      <w:r>
        <w:t xml:space="preserve"> </w:t>
      </w:r>
      <w:r>
        <w:t xml:space="preserve">philosophy — defined in Client-Server-to-Hybrid-Cloud chapter 05 — governs the policy-authoring decision. Replacement policies are authored from current policy intent (compliance baseline, persona model, Conditional Access strategy, attribute-scoped dynamic group targeting), with this reference as one input among several. Faithfully porting old GPO conflict-resolution semantics or OU-filter targeting into Intune reproduces ancient drift in a new surface; the table tells you where to land, not what to land with.</w:t>
      </w:r>
    </w:p>
    <w:bookmarkEnd w:id="664"/>
    <w:p>
      <w:pPr>
        <w:pStyle w:val="BodyText"/>
      </w:pPr>
      <w:r>
        <w:t xml:space="preserve">The following table maps the top 50 most commonly deployed GPO settings in enterprise environments to their nearest Intune surface, including the Federal Modernization Program policy ID where the setting is configured.</w:t>
      </w:r>
    </w:p>
    <w:tbl>
      <w:tblPr>
        <w:tblStyle w:val="Table"/>
        <w:tblW w:type="pct" w:w="4969"/>
        <w:tblLayout w:type="fixed"/>
        <w:tblLook w:firstRow="1" w:lastRow="0" w:firstColumn="0" w:lastColumn="0" w:noHBand="0" w:noVBand="0" w:val="0020"/>
      </w:tblPr>
      <w:tblGrid>
        <w:gridCol w:w="218"/>
        <w:gridCol w:w="2623"/>
        <w:gridCol w:w="1433"/>
        <w:gridCol w:w="947"/>
        <w:gridCol w:w="1263"/>
        <w:gridCol w:w="437"/>
        <w:gridCol w:w="947"/>
      </w:tblGrid>
      <w:tr>
        <w:trPr>
          <w:tblHeader w:val="on"/>
        </w:trPr>
        <w:tc>
          <w:tcPr/>
          <w:p>
            <w:pPr>
              <w:pStyle w:val="Compact"/>
              <w:jc w:val="left"/>
            </w:pPr>
            <w:r>
              <w:rPr>
                <w:b/>
                <w:bCs/>
              </w:rPr>
              <w:t xml:space="preserve">#</w:t>
            </w:r>
          </w:p>
        </w:tc>
        <w:tc>
          <w:tcPr/>
          <w:p>
            <w:pPr>
              <w:pStyle w:val="Compact"/>
              <w:jc w:val="left"/>
            </w:pPr>
            <w:r>
              <w:rPr>
                <w:b/>
                <w:bCs/>
              </w:rPr>
              <w:t xml:space="preserve">GPO Path</w:t>
            </w:r>
          </w:p>
        </w:tc>
        <w:tc>
          <w:tcPr/>
          <w:p>
            <w:pPr>
              <w:pStyle w:val="Compact"/>
              <w:jc w:val="left"/>
            </w:pPr>
            <w:r>
              <w:rPr>
                <w:b/>
                <w:bCs/>
              </w:rPr>
              <w:t xml:space="preserve">GPO Setting Name</w:t>
            </w:r>
          </w:p>
        </w:tc>
        <w:tc>
          <w:tcPr/>
          <w:p>
            <w:pPr>
              <w:pStyle w:val="Compact"/>
              <w:jc w:val="left"/>
            </w:pPr>
            <w:r>
              <w:rPr>
                <w:b/>
                <w:bCs/>
              </w:rPr>
              <w:t xml:space="preserve">Intune Policy Type</w:t>
            </w:r>
          </w:p>
        </w:tc>
        <w:tc>
          <w:tcPr/>
          <w:p>
            <w:pPr>
              <w:pStyle w:val="Compact"/>
              <w:jc w:val="left"/>
            </w:pPr>
            <w:r>
              <w:rPr>
                <w:b/>
                <w:bCs/>
              </w:rPr>
              <w:t xml:space="preserve">Intune Setting Name</w:t>
            </w:r>
          </w:p>
        </w:tc>
        <w:tc>
          <w:tcPr/>
          <w:p>
            <w:pPr>
              <w:pStyle w:val="Compact"/>
            </w:pPr>
            <w:r>
              <w:t xml:space="preserve">**The Federal Mode</w:t>
            </w:r>
          </w:p>
        </w:tc>
        <w:tc>
          <w:tcPr/>
          <w:p>
            <w:pPr>
              <w:pStyle w:val="Compact"/>
            </w:pPr>
            <w:r>
              <w:t xml:space="preserve">rnization Program ID**</w:t>
            </w:r>
            <w:r>
              <w:t xml:space="preserve"> </w:t>
            </w:r>
            <w:r>
              <w:rPr>
                <w:b/>
                <w:bCs/>
              </w:rPr>
              <w:t xml:space="preserve">Notes</w:t>
            </w:r>
          </w:p>
        </w:tc>
      </w:tr>
      <w:tr>
        <w:tc>
          <w:tcPr/>
          <w:p>
            <w:pPr>
              <w:pStyle w:val="Compact"/>
              <w:jc w:val="left"/>
            </w:pPr>
            <w:r>
              <w:t xml:space="preserve">1</w:t>
            </w:r>
          </w:p>
        </w:tc>
        <w:tc>
          <w:tcPr/>
          <w:p>
            <w:pPr>
              <w:pStyle w:val="Compact"/>
              <w:jc w:val="left"/>
            </w:pPr>
            <w:r>
              <w:t xml:space="preserve">Computer &gt; Windows Settings &gt; Security Settings &gt; Account Policies</w:t>
            </w:r>
          </w:p>
        </w:tc>
        <w:tc>
          <w:tcPr/>
          <w:p>
            <w:pPr>
              <w:pStyle w:val="Compact"/>
              <w:jc w:val="left"/>
            </w:pPr>
            <w:r>
              <w:t xml:space="preserve">Minimum password length</w:t>
            </w:r>
          </w:p>
        </w:tc>
        <w:tc>
          <w:tcPr/>
          <w:p>
            <w:pPr>
              <w:pStyle w:val="Compact"/>
              <w:jc w:val="left"/>
            </w:pPr>
            <w:r>
              <w:t xml:space="preserve">Compliance</w:t>
            </w:r>
          </w:p>
        </w:tc>
        <w:tc>
          <w:tcPr/>
          <w:p>
            <w:pPr>
              <w:pStyle w:val="Compact"/>
              <w:jc w:val="left"/>
            </w:pPr>
            <w:r>
              <w:t xml:space="preserve">Minimum password length</w:t>
            </w:r>
          </w:p>
        </w:tc>
        <w:tc>
          <w:tcPr/>
          <w:p>
            <w:pPr>
              <w:pStyle w:val="Compact"/>
            </w:pPr>
            <w:r>
              <w:t xml:space="preserve">CP-001</w:t>
            </w:r>
          </w:p>
        </w:tc>
        <w:tc>
          <w:tcPr/>
          <w:p>
            <w:pPr>
              <w:pStyle w:val="Compact"/>
            </w:pPr>
            <w:r>
              <w:t xml:space="preserve">—</w:t>
            </w:r>
          </w:p>
        </w:tc>
      </w:tr>
      <w:tr>
        <w:tc>
          <w:tcPr/>
          <w:p>
            <w:pPr>
              <w:pStyle w:val="Compact"/>
              <w:jc w:val="left"/>
            </w:pPr>
            <w:r>
              <w:t xml:space="preserve">2</w:t>
            </w:r>
          </w:p>
        </w:tc>
        <w:tc>
          <w:tcPr/>
          <w:p>
            <w:pPr>
              <w:pStyle w:val="Compact"/>
              <w:jc w:val="left"/>
            </w:pPr>
            <w:r>
              <w:t xml:space="preserve">Computer &gt; Windows Settings &gt; Security Settings &gt; Account Policies</w:t>
            </w:r>
          </w:p>
        </w:tc>
        <w:tc>
          <w:tcPr/>
          <w:p>
            <w:pPr>
              <w:pStyle w:val="Compact"/>
              <w:jc w:val="left"/>
            </w:pPr>
            <w:r>
              <w:t xml:space="preserve">Password must meet complexity</w:t>
            </w:r>
          </w:p>
        </w:tc>
        <w:tc>
          <w:tcPr/>
          <w:p>
            <w:pPr>
              <w:pStyle w:val="Compact"/>
              <w:jc w:val="left"/>
            </w:pPr>
            <w:r>
              <w:t xml:space="preserve">Compliance</w:t>
            </w:r>
          </w:p>
        </w:tc>
        <w:tc>
          <w:tcPr/>
          <w:p>
            <w:pPr>
              <w:pStyle w:val="Compact"/>
              <w:jc w:val="left"/>
            </w:pPr>
            <w:r>
              <w:t xml:space="preserve">Require password complexity</w:t>
            </w:r>
          </w:p>
        </w:tc>
        <w:tc>
          <w:tcPr/>
          <w:p>
            <w:pPr>
              <w:pStyle w:val="Compact"/>
            </w:pPr>
            <w:r>
              <w:t xml:space="preserve">CP-001</w:t>
            </w:r>
          </w:p>
        </w:tc>
        <w:tc>
          <w:tcPr/>
          <w:p>
            <w:pPr>
              <w:pStyle w:val="Compact"/>
            </w:pPr>
            <w:r>
              <w:t xml:space="preserve">—</w:t>
            </w:r>
          </w:p>
        </w:tc>
      </w:tr>
      <w:tr>
        <w:tc>
          <w:tcPr/>
          <w:p>
            <w:pPr>
              <w:pStyle w:val="Compact"/>
              <w:jc w:val="left"/>
            </w:pPr>
            <w:r>
              <w:t xml:space="preserve">3</w:t>
            </w:r>
          </w:p>
        </w:tc>
        <w:tc>
          <w:tcPr/>
          <w:p>
            <w:pPr>
              <w:pStyle w:val="Compact"/>
              <w:jc w:val="left"/>
            </w:pPr>
            <w:r>
              <w:t xml:space="preserve">Computer &gt; Windows Settings &gt; Security Settings &gt; Account Policies</w:t>
            </w:r>
          </w:p>
        </w:tc>
        <w:tc>
          <w:tcPr/>
          <w:p>
            <w:pPr>
              <w:pStyle w:val="Compact"/>
              <w:jc w:val="left"/>
            </w:pPr>
            <w:r>
              <w:t xml:space="preserve">Account lockout threshold</w:t>
            </w:r>
          </w:p>
        </w:tc>
        <w:tc>
          <w:tcPr/>
          <w:p>
            <w:pPr>
              <w:pStyle w:val="Compact"/>
              <w:jc w:val="left"/>
            </w:pPr>
            <w:r>
              <w:t xml:space="preserve">Settings Catalog</w:t>
            </w:r>
          </w:p>
        </w:tc>
        <w:tc>
          <w:tcPr/>
          <w:p>
            <w:pPr>
              <w:pStyle w:val="Compact"/>
              <w:jc w:val="left"/>
            </w:pPr>
            <w:r>
              <w:t xml:space="preserve">Account Lockout Threshold</w:t>
            </w:r>
          </w:p>
        </w:tc>
        <w:tc>
          <w:tcPr/>
          <w:p>
            <w:pPr>
              <w:pStyle w:val="Compact"/>
            </w:pPr>
            <w:r>
              <w:t xml:space="preserve">SC-001</w:t>
            </w:r>
          </w:p>
        </w:tc>
        <w:tc>
          <w:tcPr/>
          <w:p>
            <w:pPr>
              <w:pStyle w:val="Compact"/>
            </w:pPr>
            <w:r>
              <w:t xml:space="preserve">—</w:t>
            </w:r>
          </w:p>
        </w:tc>
      </w:tr>
      <w:tr>
        <w:tc>
          <w:tcPr/>
          <w:p>
            <w:pPr>
              <w:pStyle w:val="Compact"/>
              <w:jc w:val="left"/>
            </w:pPr>
            <w:r>
              <w:t xml:space="preserve">4</w:t>
            </w:r>
          </w:p>
        </w:tc>
        <w:tc>
          <w:tcPr/>
          <w:p>
            <w:pPr>
              <w:pStyle w:val="Compact"/>
              <w:jc w:val="left"/>
            </w:pPr>
            <w:r>
              <w:t xml:space="preserve">Computer &gt; Windows Settings &gt; Security Settings &gt; Account Policies</w:t>
            </w:r>
          </w:p>
        </w:tc>
        <w:tc>
          <w:tcPr/>
          <w:p>
            <w:pPr>
              <w:pStyle w:val="Compact"/>
              <w:jc w:val="left"/>
            </w:pPr>
            <w:r>
              <w:t xml:space="preserve">Account lockout duration</w:t>
            </w:r>
          </w:p>
        </w:tc>
        <w:tc>
          <w:tcPr/>
          <w:p>
            <w:pPr>
              <w:pStyle w:val="Compact"/>
              <w:jc w:val="left"/>
            </w:pPr>
            <w:r>
              <w:t xml:space="preserve">Settings Catalog</w:t>
            </w:r>
          </w:p>
        </w:tc>
        <w:tc>
          <w:tcPr/>
          <w:p>
            <w:pPr>
              <w:pStyle w:val="Compact"/>
              <w:jc w:val="left"/>
            </w:pPr>
            <w:r>
              <w:t xml:space="preserve">Account Lockout Duration</w:t>
            </w:r>
          </w:p>
        </w:tc>
        <w:tc>
          <w:tcPr/>
          <w:p>
            <w:pPr>
              <w:pStyle w:val="Compact"/>
            </w:pPr>
            <w:r>
              <w:t xml:space="preserve">SC-001</w:t>
            </w:r>
          </w:p>
        </w:tc>
        <w:tc>
          <w:tcPr/>
          <w:p>
            <w:pPr>
              <w:pStyle w:val="Compact"/>
            </w:pPr>
            <w:r>
              <w:t xml:space="preserve">—</w:t>
            </w:r>
          </w:p>
        </w:tc>
      </w:tr>
      <w:tr>
        <w:tc>
          <w:tcPr/>
          <w:p>
            <w:pPr>
              <w:pStyle w:val="Compact"/>
              <w:jc w:val="left"/>
            </w:pPr>
            <w:r>
              <w:t xml:space="preserve">5</w:t>
            </w:r>
          </w:p>
        </w:tc>
        <w:tc>
          <w:tcPr/>
          <w:p>
            <w:pPr>
              <w:pStyle w:val="Compact"/>
              <w:jc w:val="left"/>
            </w:pPr>
            <w:r>
              <w:t xml:space="preserve">Computer &gt; Admin Templates &gt; Windows Components &gt; BitLocker</w:t>
            </w:r>
          </w:p>
        </w:tc>
        <w:tc>
          <w:tcPr/>
          <w:p>
            <w:pPr>
              <w:pStyle w:val="Compact"/>
              <w:jc w:val="left"/>
            </w:pPr>
            <w:r>
              <w:t xml:space="preserve">Choose drive encryption method</w:t>
            </w:r>
          </w:p>
        </w:tc>
        <w:tc>
          <w:tcPr/>
          <w:p>
            <w:pPr>
              <w:pStyle w:val="Compact"/>
              <w:jc w:val="left"/>
            </w:pPr>
            <w:r>
              <w:t xml:space="preserve">Settings Catalog / Endpoint Security</w:t>
            </w:r>
          </w:p>
        </w:tc>
        <w:tc>
          <w:tcPr/>
          <w:p>
            <w:pPr>
              <w:pStyle w:val="Compact"/>
              <w:jc w:val="left"/>
            </w:pPr>
            <w:r>
              <w:t xml:space="preserve">Encryption Method</w:t>
            </w:r>
          </w:p>
        </w:tc>
        <w:tc>
          <w:tcPr/>
          <w:p>
            <w:pPr>
              <w:pStyle w:val="Compact"/>
            </w:pPr>
            <w:r>
              <w:t xml:space="preserve">SC-006 / ES-002</w:t>
            </w:r>
          </w:p>
        </w:tc>
        <w:tc>
          <w:tcPr/>
          <w:p>
            <w:pPr>
              <w:pStyle w:val="Compact"/>
            </w:pPr>
            <w:r>
              <w:t xml:space="preserve">—</w:t>
            </w:r>
          </w:p>
        </w:tc>
      </w:tr>
      <w:tr>
        <w:tc>
          <w:tcPr/>
          <w:p>
            <w:pPr>
              <w:pStyle w:val="Compact"/>
              <w:jc w:val="left"/>
            </w:pPr>
            <w:r>
              <w:t xml:space="preserve">6</w:t>
            </w:r>
          </w:p>
        </w:tc>
        <w:tc>
          <w:tcPr/>
          <w:p>
            <w:pPr>
              <w:pStyle w:val="Compact"/>
              <w:jc w:val="left"/>
            </w:pPr>
            <w:r>
              <w:t xml:space="preserve">Computer &gt; Admin Templates &gt; Windows Components &gt; BitLocker &gt; OS Drives</w:t>
            </w:r>
          </w:p>
        </w:tc>
        <w:tc>
          <w:tcPr/>
          <w:p>
            <w:pPr>
              <w:pStyle w:val="Compact"/>
              <w:jc w:val="left"/>
            </w:pPr>
            <w:r>
              <w:t xml:space="preserve">Require additional authentication at startup</w:t>
            </w:r>
          </w:p>
        </w:tc>
        <w:tc>
          <w:tcPr/>
          <w:p>
            <w:pPr>
              <w:pStyle w:val="Compact"/>
              <w:jc w:val="left"/>
            </w:pPr>
            <w:r>
              <w:t xml:space="preserve">Settings Catalog</w:t>
            </w:r>
          </w:p>
        </w:tc>
        <w:tc>
          <w:tcPr/>
          <w:p>
            <w:pPr>
              <w:pStyle w:val="Compact"/>
              <w:jc w:val="left"/>
            </w:pPr>
            <w:r>
              <w:t xml:space="preserve">OS Drive Authentication (TPM+PIN)</w:t>
            </w:r>
          </w:p>
        </w:tc>
        <w:tc>
          <w:tcPr/>
          <w:p>
            <w:pPr>
              <w:pStyle w:val="Compact"/>
            </w:pPr>
            <w:r>
              <w:t xml:space="preserve">SC-006</w:t>
            </w:r>
          </w:p>
        </w:tc>
        <w:tc>
          <w:tcPr/>
          <w:p>
            <w:pPr>
              <w:pStyle w:val="Compact"/>
            </w:pPr>
            <w:r>
              <w:t xml:space="preserve">—</w:t>
            </w:r>
          </w:p>
        </w:tc>
      </w:tr>
      <w:tr>
        <w:tc>
          <w:tcPr/>
          <w:p>
            <w:pPr>
              <w:pStyle w:val="Compact"/>
              <w:jc w:val="left"/>
            </w:pPr>
            <w:r>
              <w:t xml:space="preserve">7</w:t>
            </w:r>
          </w:p>
        </w:tc>
        <w:tc>
          <w:tcPr/>
          <w:p>
            <w:pPr>
              <w:pStyle w:val="Compact"/>
              <w:jc w:val="left"/>
            </w:pPr>
            <w:r>
              <w:t xml:space="preserve">Computer &gt; Admin Templates &gt; Windows Components &gt; Defender</w:t>
            </w:r>
          </w:p>
        </w:tc>
        <w:tc>
          <w:tcPr/>
          <w:p>
            <w:pPr>
              <w:pStyle w:val="Compact"/>
              <w:jc w:val="left"/>
            </w:pPr>
            <w:r>
              <w:t xml:space="preserve">Turn on real-time protection</w:t>
            </w:r>
          </w:p>
        </w:tc>
        <w:tc>
          <w:tcPr/>
          <w:p>
            <w:pPr>
              <w:pStyle w:val="Compact"/>
              <w:jc w:val="left"/>
            </w:pPr>
            <w:r>
              <w:t xml:space="preserve">Compliance / Settings Catalog</w:t>
            </w:r>
          </w:p>
        </w:tc>
        <w:tc>
          <w:tcPr/>
          <w:p>
            <w:pPr>
              <w:pStyle w:val="Compact"/>
              <w:jc w:val="left"/>
            </w:pPr>
            <w:r>
              <w:t xml:space="preserve">Real-time protection</w:t>
            </w:r>
          </w:p>
        </w:tc>
        <w:tc>
          <w:tcPr/>
          <w:p>
            <w:pPr>
              <w:pStyle w:val="Compact"/>
            </w:pPr>
            <w:r>
              <w:t xml:space="preserve">CP-001 / SC-002</w:t>
            </w:r>
          </w:p>
        </w:tc>
        <w:tc>
          <w:tcPr/>
          <w:p>
            <w:pPr>
              <w:pStyle w:val="Compact"/>
            </w:pPr>
            <w:r>
              <w:t xml:space="preserve">—</w:t>
            </w:r>
          </w:p>
        </w:tc>
      </w:tr>
      <w:tr>
        <w:tc>
          <w:tcPr/>
          <w:p>
            <w:pPr>
              <w:pStyle w:val="Compact"/>
              <w:jc w:val="left"/>
            </w:pPr>
            <w:r>
              <w:t xml:space="preserve">8</w:t>
            </w:r>
          </w:p>
        </w:tc>
        <w:tc>
          <w:tcPr/>
          <w:p>
            <w:pPr>
              <w:pStyle w:val="Compact"/>
              <w:jc w:val="left"/>
            </w:pPr>
            <w:r>
              <w:t xml:space="preserve">Computer &gt; Admin Templates &gt; Windows Components &gt; Defender &gt; MAPS</w:t>
            </w:r>
          </w:p>
        </w:tc>
        <w:tc>
          <w:tcPr/>
          <w:p>
            <w:pPr>
              <w:pStyle w:val="Compact"/>
              <w:jc w:val="left"/>
            </w:pPr>
            <w:r>
              <w:t xml:space="preserve">Cloud-delivered protection level</w:t>
            </w:r>
          </w:p>
        </w:tc>
        <w:tc>
          <w:tcPr/>
          <w:p>
            <w:pPr>
              <w:pStyle w:val="Compact"/>
              <w:jc w:val="left"/>
            </w:pPr>
            <w:r>
              <w:t xml:space="preserve">Settings Catalog</w:t>
            </w:r>
          </w:p>
        </w:tc>
        <w:tc>
          <w:tcPr/>
          <w:p>
            <w:pPr>
              <w:pStyle w:val="Compact"/>
              <w:jc w:val="left"/>
            </w:pPr>
            <w:r>
              <w:t xml:space="preserve">Cloud protection level</w:t>
            </w:r>
          </w:p>
        </w:tc>
        <w:tc>
          <w:tcPr/>
          <w:p>
            <w:pPr>
              <w:pStyle w:val="Compact"/>
            </w:pPr>
            <w:r>
              <w:t xml:space="preserve">SC-002</w:t>
            </w:r>
          </w:p>
        </w:tc>
        <w:tc>
          <w:tcPr/>
          <w:p>
            <w:pPr>
              <w:pStyle w:val="Compact"/>
            </w:pPr>
            <w:r>
              <w:t xml:space="preserve">—</w:t>
            </w:r>
          </w:p>
        </w:tc>
      </w:tr>
      <w:tr>
        <w:tc>
          <w:tcPr/>
          <w:p>
            <w:pPr>
              <w:pStyle w:val="Compact"/>
              <w:jc w:val="left"/>
            </w:pPr>
            <w:r>
              <w:t xml:space="preserve">9</w:t>
            </w:r>
          </w:p>
        </w:tc>
        <w:tc>
          <w:tcPr/>
          <w:p>
            <w:pPr>
              <w:pStyle w:val="Compact"/>
              <w:jc w:val="left"/>
            </w:pPr>
            <w:r>
              <w:t xml:space="preserve">Computer &gt; Admin Templates &gt; Windows Components &gt; Defender &gt; Exploit Guard</w:t>
            </w:r>
          </w:p>
        </w:tc>
        <w:tc>
          <w:tcPr/>
          <w:p>
            <w:pPr>
              <w:pStyle w:val="Compact"/>
              <w:jc w:val="left"/>
            </w:pPr>
            <w:r>
              <w:t xml:space="preserve">ASR Rules</w:t>
            </w:r>
          </w:p>
        </w:tc>
        <w:tc>
          <w:tcPr/>
          <w:p>
            <w:pPr>
              <w:pStyle w:val="Compact"/>
              <w:jc w:val="left"/>
            </w:pPr>
            <w:r>
              <w:t xml:space="preserve">Endpoint Security</w:t>
            </w:r>
          </w:p>
        </w:tc>
        <w:tc>
          <w:tcPr/>
          <w:p>
            <w:pPr>
              <w:pStyle w:val="Compact"/>
              <w:jc w:val="left"/>
            </w:pPr>
            <w:r>
              <w:t xml:space="preserve">Attack Surface Reduction rules</w:t>
            </w:r>
          </w:p>
        </w:tc>
        <w:tc>
          <w:tcPr/>
          <w:p>
            <w:pPr>
              <w:pStyle w:val="Compact"/>
            </w:pPr>
            <w:r>
              <w:t xml:space="preserve">ES-005</w:t>
            </w:r>
          </w:p>
        </w:tc>
        <w:tc>
          <w:tcPr/>
          <w:p>
            <w:pPr>
              <w:pStyle w:val="Compact"/>
            </w:pPr>
            <w:r>
              <w:t xml:space="preserve">12 rules with GUIDs</w:t>
            </w:r>
          </w:p>
        </w:tc>
      </w:tr>
      <w:tr>
        <w:tc>
          <w:tcPr/>
          <w:p>
            <w:pPr>
              <w:pStyle w:val="Compact"/>
              <w:jc w:val="left"/>
            </w:pPr>
            <w:r>
              <w:t xml:space="preserve">10</w:t>
            </w:r>
          </w:p>
        </w:tc>
        <w:tc>
          <w:tcPr/>
          <w:p>
            <w:pPr>
              <w:pStyle w:val="Compact"/>
              <w:jc w:val="left"/>
            </w:pPr>
            <w:r>
              <w:t xml:space="preserve">Computer &gt; Windows Settings &gt; Security Settings &gt; Windows Firewall</w:t>
            </w:r>
          </w:p>
        </w:tc>
        <w:tc>
          <w:tcPr/>
          <w:p>
            <w:pPr>
              <w:pStyle w:val="Compact"/>
              <w:jc w:val="left"/>
            </w:pPr>
            <w:r>
              <w:t xml:space="preserve">Domain Profile — Firewall state</w:t>
            </w:r>
          </w:p>
        </w:tc>
        <w:tc>
          <w:tcPr/>
          <w:p>
            <w:pPr>
              <w:pStyle w:val="Compact"/>
              <w:jc w:val="left"/>
            </w:pPr>
            <w:r>
              <w:t xml:space="preserve">Settings Catalog / Endpoint Security</w:t>
            </w:r>
          </w:p>
        </w:tc>
        <w:tc>
          <w:tcPr/>
          <w:p>
            <w:pPr>
              <w:pStyle w:val="Compact"/>
              <w:jc w:val="left"/>
            </w:pPr>
            <w:r>
              <w:t xml:space="preserve">Enable Firewall (Domain)</w:t>
            </w:r>
          </w:p>
        </w:tc>
        <w:tc>
          <w:tcPr/>
          <w:p>
            <w:pPr>
              <w:pStyle w:val="Compact"/>
            </w:pPr>
            <w:r>
              <w:t xml:space="preserve">SC-007 / ES-003</w:t>
            </w:r>
          </w:p>
        </w:tc>
        <w:tc>
          <w:tcPr/>
          <w:p>
            <w:pPr>
              <w:pStyle w:val="Compact"/>
            </w:pPr>
            <w:r>
              <w:t xml:space="preserve">—</w:t>
            </w:r>
          </w:p>
        </w:tc>
      </w:tr>
      <w:tr>
        <w:tc>
          <w:tcPr/>
          <w:p>
            <w:pPr>
              <w:pStyle w:val="Compact"/>
              <w:jc w:val="left"/>
            </w:pPr>
            <w:r>
              <w:t xml:space="preserve">11</w:t>
            </w:r>
          </w:p>
        </w:tc>
        <w:tc>
          <w:tcPr/>
          <w:p>
            <w:pPr>
              <w:pStyle w:val="Compact"/>
              <w:jc w:val="left"/>
            </w:pPr>
            <w:r>
              <w:t xml:space="preserve">Computer &gt; Windows Settings &gt; Security Settings &gt; Windows Firewall</w:t>
            </w:r>
          </w:p>
        </w:tc>
        <w:tc>
          <w:tcPr/>
          <w:p>
            <w:pPr>
              <w:pStyle w:val="Compact"/>
              <w:jc w:val="left"/>
            </w:pPr>
            <w:r>
              <w:t xml:space="preserve">Public Profile — Firewall state</w:t>
            </w:r>
          </w:p>
        </w:tc>
        <w:tc>
          <w:tcPr/>
          <w:p>
            <w:pPr>
              <w:pStyle w:val="Compact"/>
              <w:jc w:val="left"/>
            </w:pPr>
            <w:r>
              <w:t xml:space="preserve">Settings Catalog / Endpoint Security</w:t>
            </w:r>
          </w:p>
        </w:tc>
        <w:tc>
          <w:tcPr/>
          <w:p>
            <w:pPr>
              <w:pStyle w:val="Compact"/>
              <w:jc w:val="left"/>
            </w:pPr>
            <w:r>
              <w:t xml:space="preserve">Enable Firewall (Public)</w:t>
            </w:r>
          </w:p>
        </w:tc>
        <w:tc>
          <w:tcPr/>
          <w:p>
            <w:pPr>
              <w:pStyle w:val="Compact"/>
            </w:pPr>
            <w:r>
              <w:t xml:space="preserve">SC-007 / ES-003</w:t>
            </w:r>
          </w:p>
        </w:tc>
        <w:tc>
          <w:tcPr/>
          <w:p>
            <w:pPr>
              <w:pStyle w:val="Compact"/>
            </w:pPr>
            <w:r>
              <w:t xml:space="preserve">—</w:t>
            </w:r>
          </w:p>
        </w:tc>
      </w:tr>
      <w:tr>
        <w:tc>
          <w:tcPr/>
          <w:p>
            <w:pPr>
              <w:pStyle w:val="Compact"/>
              <w:jc w:val="left"/>
            </w:pPr>
            <w:r>
              <w:t xml:space="preserve">12</w:t>
            </w:r>
          </w:p>
        </w:tc>
        <w:tc>
          <w:tcPr/>
          <w:p>
            <w:pPr>
              <w:pStyle w:val="Compact"/>
              <w:jc w:val="left"/>
            </w:pPr>
            <w:r>
              <w:t xml:space="preserve">Computer &gt; Admin Templates &gt; Windows Components &gt; Windows Update</w:t>
            </w:r>
          </w:p>
        </w:tc>
        <w:tc>
          <w:tcPr/>
          <w:p>
            <w:pPr>
              <w:pStyle w:val="Compact"/>
              <w:jc w:val="left"/>
            </w:pPr>
            <w:r>
              <w:t xml:space="preserve">Configure Automatic Updates</w:t>
            </w:r>
          </w:p>
        </w:tc>
        <w:tc>
          <w:tcPr/>
          <w:p>
            <w:pPr>
              <w:pStyle w:val="Compact"/>
              <w:jc w:val="left"/>
            </w:pPr>
            <w:r>
              <w:t xml:space="preserve">Settings Catalog (WUfB)</w:t>
            </w:r>
          </w:p>
        </w:tc>
        <w:tc>
          <w:tcPr/>
          <w:p>
            <w:pPr>
              <w:pStyle w:val="Compact"/>
              <w:jc w:val="left"/>
            </w:pPr>
            <w:r>
              <w:t xml:space="preserve">Automatic Update Behavior</w:t>
            </w:r>
          </w:p>
        </w:tc>
        <w:tc>
          <w:tcPr/>
          <w:p>
            <w:pPr>
              <w:pStyle w:val="Compact"/>
            </w:pPr>
            <w:r>
              <w:t xml:space="preserve">SC-005</w:t>
            </w:r>
          </w:p>
        </w:tc>
        <w:tc>
          <w:tcPr/>
          <w:p>
            <w:pPr>
              <w:pStyle w:val="Compact"/>
            </w:pPr>
            <w:r>
              <w:t xml:space="preserve">Replaces WSUS targeting</w:t>
            </w:r>
          </w:p>
        </w:tc>
      </w:tr>
      <w:tr>
        <w:tc>
          <w:tcPr/>
          <w:p>
            <w:pPr>
              <w:pStyle w:val="Compact"/>
              <w:jc w:val="left"/>
            </w:pPr>
            <w:r>
              <w:t xml:space="preserve">13</w:t>
            </w:r>
          </w:p>
        </w:tc>
        <w:tc>
          <w:tcPr/>
          <w:p>
            <w:pPr>
              <w:pStyle w:val="Compact"/>
              <w:jc w:val="left"/>
            </w:pPr>
            <w:r>
              <w:t xml:space="preserve">Computer &gt; Admin Templates &gt; Windows Components &gt; Windows Update</w:t>
            </w:r>
          </w:p>
        </w:tc>
        <w:tc>
          <w:tcPr/>
          <w:p>
            <w:pPr>
              <w:pStyle w:val="Compact"/>
              <w:jc w:val="left"/>
            </w:pPr>
            <w:r>
              <w:t xml:space="preserve">Defer feature updates</w:t>
            </w:r>
          </w:p>
        </w:tc>
        <w:tc>
          <w:tcPr/>
          <w:p>
            <w:pPr>
              <w:pStyle w:val="Compact"/>
              <w:jc w:val="left"/>
            </w:pPr>
            <w:r>
              <w:t xml:space="preserve">Settings Catalog (WUfB)</w:t>
            </w:r>
          </w:p>
        </w:tc>
        <w:tc>
          <w:tcPr/>
          <w:p>
            <w:pPr>
              <w:pStyle w:val="Compact"/>
              <w:jc w:val="left"/>
            </w:pPr>
            <w:r>
              <w:t xml:space="preserve">Feature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14</w:t>
            </w:r>
          </w:p>
        </w:tc>
        <w:tc>
          <w:tcPr/>
          <w:p>
            <w:pPr>
              <w:pStyle w:val="Compact"/>
              <w:jc w:val="left"/>
            </w:pPr>
            <w:r>
              <w:t xml:space="preserve">Computer &gt; Admin Templates &gt; Windows Components &gt; Windows Update</w:t>
            </w:r>
          </w:p>
        </w:tc>
        <w:tc>
          <w:tcPr/>
          <w:p>
            <w:pPr>
              <w:pStyle w:val="Compact"/>
              <w:jc w:val="left"/>
            </w:pPr>
            <w:r>
              <w:t xml:space="preserve">Defer quality updates</w:t>
            </w:r>
          </w:p>
        </w:tc>
        <w:tc>
          <w:tcPr/>
          <w:p>
            <w:pPr>
              <w:pStyle w:val="Compact"/>
              <w:jc w:val="left"/>
            </w:pPr>
            <w:r>
              <w:t xml:space="preserve">Settings Catalog (WUfB)</w:t>
            </w:r>
          </w:p>
        </w:tc>
        <w:tc>
          <w:tcPr/>
          <w:p>
            <w:pPr>
              <w:pStyle w:val="Compact"/>
              <w:jc w:val="left"/>
            </w:pPr>
            <w:r>
              <w:t xml:space="preserve">Quality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15</w:t>
            </w:r>
          </w:p>
        </w:tc>
        <w:tc>
          <w:tcPr/>
          <w:p>
            <w:pPr>
              <w:pStyle w:val="Compact"/>
              <w:jc w:val="left"/>
            </w:pPr>
            <w:r>
              <w:t xml:space="preserve">Computer &gt; Admin Templates &gt; Windows Components &gt; Windows Update</w:t>
            </w:r>
          </w:p>
        </w:tc>
        <w:tc>
          <w:tcPr/>
          <w:p>
            <w:pPr>
              <w:pStyle w:val="Compact"/>
              <w:jc w:val="left"/>
            </w:pPr>
            <w:r>
              <w:t xml:space="preserve">Specify intranet WSUS server</w:t>
            </w:r>
          </w:p>
        </w:tc>
        <w:tc>
          <w:tcPr/>
          <w:p>
            <w:pPr>
              <w:pStyle w:val="Compact"/>
              <w:jc w:val="left"/>
            </w:pPr>
            <w:r>
              <w:t xml:space="preserve">N/A</w:t>
            </w:r>
          </w:p>
        </w:tc>
        <w:tc>
          <w:tcPr/>
          <w:p>
            <w:pPr>
              <w:pStyle w:val="Compact"/>
              <w:jc w:val="left"/>
            </w:pPr>
            <w:r>
              <w:t xml:space="preserve">N/A — WUfB uses Windows Update directly</w:t>
            </w:r>
          </w:p>
        </w:tc>
        <w:tc>
          <w:tcPr/>
          <w:p>
            <w:pPr>
              <w:pStyle w:val="Compact"/>
            </w:pPr>
            <w:r>
              <w:t xml:space="preserve">SC-005</w:t>
            </w:r>
          </w:p>
        </w:tc>
        <w:tc>
          <w:tcPr/>
          <w:p>
            <w:pPr>
              <w:pStyle w:val="Compact"/>
            </w:pPr>
            <w:r>
              <w:t xml:space="preserve">WSUS no longer needed</w:t>
            </w:r>
          </w:p>
        </w:tc>
      </w:tr>
      <w:tr>
        <w:tc>
          <w:tcPr/>
          <w:p>
            <w:pPr>
              <w:pStyle w:val="Compact"/>
              <w:jc w:val="left"/>
            </w:pPr>
            <w:r>
              <w:t xml:space="preserve">16</w:t>
            </w:r>
          </w:p>
        </w:tc>
        <w:tc>
          <w:tcPr/>
          <w:p>
            <w:pPr>
              <w:pStyle w:val="Compact"/>
              <w:jc w:val="left"/>
            </w:pPr>
            <w:r>
              <w:t xml:space="preserve">User &gt; Windows Settings &gt; Folder Redirection &gt; Desktop</w:t>
            </w:r>
          </w:p>
        </w:tc>
        <w:tc>
          <w:tcPr/>
          <w:p>
            <w:pPr>
              <w:pStyle w:val="Compact"/>
              <w:jc w:val="left"/>
            </w:pPr>
            <w:r>
              <w:t xml:space="preserve">Redirect Desktop</w:t>
            </w:r>
          </w:p>
        </w:tc>
        <w:tc>
          <w:tcPr/>
          <w:p>
            <w:pPr>
              <w:pStyle w:val="Compact"/>
              <w:jc w:val="left"/>
            </w:pPr>
            <w:r>
              <w:t xml:space="preserve">Settings Catalog</w:t>
            </w:r>
          </w:p>
        </w:tc>
        <w:tc>
          <w:tcPr/>
          <w:p>
            <w:pPr>
              <w:pStyle w:val="Compact"/>
              <w:jc w:val="left"/>
            </w:pPr>
            <w:r>
              <w:t xml:space="preserve">OneDrive KFM — Desktop</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17</w:t>
            </w:r>
          </w:p>
        </w:tc>
        <w:tc>
          <w:tcPr/>
          <w:p>
            <w:pPr>
              <w:pStyle w:val="Compact"/>
              <w:jc w:val="left"/>
            </w:pPr>
            <w:r>
              <w:t xml:space="preserve">User &gt; Windows Settings &gt; Folder Redirection &gt; Documents</w:t>
            </w:r>
          </w:p>
        </w:tc>
        <w:tc>
          <w:tcPr/>
          <w:p>
            <w:pPr>
              <w:pStyle w:val="Compact"/>
              <w:jc w:val="left"/>
            </w:pPr>
            <w:r>
              <w:t xml:space="preserve">Redirect Documents</w:t>
            </w:r>
          </w:p>
        </w:tc>
        <w:tc>
          <w:tcPr/>
          <w:p>
            <w:pPr>
              <w:pStyle w:val="Compact"/>
              <w:jc w:val="left"/>
            </w:pPr>
            <w:r>
              <w:t xml:space="preserve">Settings Catalog</w:t>
            </w:r>
          </w:p>
        </w:tc>
        <w:tc>
          <w:tcPr/>
          <w:p>
            <w:pPr>
              <w:pStyle w:val="Compact"/>
              <w:jc w:val="left"/>
            </w:pPr>
            <w:r>
              <w:t xml:space="preserve">OneDrive KFM — Documents</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18</w:t>
            </w:r>
          </w:p>
        </w:tc>
        <w:tc>
          <w:tcPr/>
          <w:p>
            <w:pPr>
              <w:pStyle w:val="Compact"/>
              <w:jc w:val="left"/>
            </w:pPr>
            <w:r>
              <w:t xml:space="preserve">Computer &gt; Admin Templates &gt; Microsoft Edge</w:t>
            </w:r>
          </w:p>
        </w:tc>
        <w:tc>
          <w:tcPr/>
          <w:p>
            <w:pPr>
              <w:pStyle w:val="Compact"/>
              <w:jc w:val="left"/>
            </w:pPr>
            <w:r>
              <w:t xml:space="preserve">Configure homepage</w:t>
            </w:r>
          </w:p>
        </w:tc>
        <w:tc>
          <w:tcPr/>
          <w:p>
            <w:pPr>
              <w:pStyle w:val="Compact"/>
              <w:jc w:val="left"/>
            </w:pPr>
            <w:r>
              <w:t xml:space="preserve">Settings Catalog</w:t>
            </w:r>
          </w:p>
        </w:tc>
        <w:tc>
          <w:tcPr/>
          <w:p>
            <w:pPr>
              <w:pStyle w:val="Compact"/>
              <w:jc w:val="left"/>
            </w:pPr>
            <w:r>
              <w:t xml:space="preserve">Homepage URL</w:t>
            </w:r>
          </w:p>
        </w:tc>
        <w:tc>
          <w:tcPr/>
          <w:p>
            <w:pPr>
              <w:pStyle w:val="Compact"/>
            </w:pPr>
            <w:r>
              <w:t xml:space="preserve">SC-003</w:t>
            </w:r>
          </w:p>
        </w:tc>
        <w:tc>
          <w:tcPr/>
          <w:p>
            <w:pPr>
              <w:pStyle w:val="Compact"/>
            </w:pPr>
            <w:r>
              <w:t xml:space="preserve">—</w:t>
            </w:r>
          </w:p>
        </w:tc>
      </w:tr>
      <w:tr>
        <w:tc>
          <w:tcPr/>
          <w:p>
            <w:pPr>
              <w:pStyle w:val="Compact"/>
              <w:jc w:val="left"/>
            </w:pPr>
            <w:r>
              <w:t xml:space="preserve">19</w:t>
            </w:r>
          </w:p>
        </w:tc>
        <w:tc>
          <w:tcPr/>
          <w:p>
            <w:pPr>
              <w:pStyle w:val="Compact"/>
              <w:jc w:val="left"/>
            </w:pPr>
            <w:r>
              <w:t xml:space="preserve">Computer &gt; Admin Templates &gt; Microsoft Edge &gt; SmartScreen</w:t>
            </w:r>
          </w:p>
        </w:tc>
        <w:tc>
          <w:tcPr/>
          <w:p>
            <w:pPr>
              <w:pStyle w:val="Compact"/>
              <w:jc w:val="left"/>
            </w:pPr>
            <w:r>
              <w:t xml:space="preserve">Configure Microsoft Defender SmartScreen</w:t>
            </w:r>
          </w:p>
        </w:tc>
        <w:tc>
          <w:tcPr/>
          <w:p>
            <w:pPr>
              <w:pStyle w:val="Compact"/>
              <w:jc w:val="left"/>
            </w:pPr>
            <w:r>
              <w:t xml:space="preserve">Settings Catalog</w:t>
            </w:r>
          </w:p>
        </w:tc>
        <w:tc>
          <w:tcPr/>
          <w:p>
            <w:pPr>
              <w:pStyle w:val="Compact"/>
              <w:jc w:val="left"/>
            </w:pPr>
            <w:r>
              <w:t xml:space="preserve">SmartScreen Enabled</w:t>
            </w:r>
          </w:p>
        </w:tc>
        <w:tc>
          <w:tcPr/>
          <w:p>
            <w:pPr>
              <w:pStyle w:val="Compact"/>
            </w:pPr>
            <w:r>
              <w:t xml:space="preserve">SC-003</w:t>
            </w:r>
          </w:p>
        </w:tc>
        <w:tc>
          <w:tcPr/>
          <w:p>
            <w:pPr>
              <w:pStyle w:val="Compact"/>
            </w:pPr>
            <w:r>
              <w:t xml:space="preserve">—</w:t>
            </w:r>
          </w:p>
        </w:tc>
      </w:tr>
      <w:tr>
        <w:tc>
          <w:tcPr/>
          <w:p>
            <w:pPr>
              <w:pStyle w:val="Compact"/>
              <w:jc w:val="left"/>
            </w:pPr>
            <w:r>
              <w:t xml:space="preserve">20</w:t>
            </w:r>
          </w:p>
        </w:tc>
        <w:tc>
          <w:tcPr/>
          <w:p>
            <w:pPr>
              <w:pStyle w:val="Compact"/>
              <w:jc w:val="left"/>
            </w:pPr>
            <w:r>
              <w:t xml:space="preserve">Computer &gt; Admin Templates &gt; Microsoft Edge &gt; Extensions</w:t>
            </w:r>
          </w:p>
        </w:tc>
        <w:tc>
          <w:tcPr/>
          <w:p>
            <w:pPr>
              <w:pStyle w:val="Compact"/>
              <w:jc w:val="left"/>
            </w:pPr>
            <w:r>
              <w:t xml:space="preserve">Control which extensions cannot be installed</w:t>
            </w:r>
          </w:p>
        </w:tc>
        <w:tc>
          <w:tcPr/>
          <w:p>
            <w:pPr>
              <w:pStyle w:val="Compact"/>
              <w:jc w:val="left"/>
            </w:pPr>
            <w:r>
              <w:t xml:space="preserve">Settings Catalog</w:t>
            </w:r>
          </w:p>
        </w:tc>
        <w:tc>
          <w:tcPr/>
          <w:p>
            <w:pPr>
              <w:pStyle w:val="Compact"/>
              <w:jc w:val="left"/>
            </w:pPr>
            <w:r>
              <w:t xml:space="preserve">Extension install blocklist</w:t>
            </w:r>
          </w:p>
        </w:tc>
        <w:tc>
          <w:tcPr/>
          <w:p>
            <w:pPr>
              <w:pStyle w:val="Compact"/>
            </w:pPr>
            <w:r>
              <w:t xml:space="preserve">SC-003</w:t>
            </w:r>
          </w:p>
        </w:tc>
        <w:tc>
          <w:tcPr/>
          <w:p>
            <w:pPr>
              <w:pStyle w:val="Compact"/>
            </w:pPr>
            <w:r>
              <w:t xml:space="preserve">—</w:t>
            </w:r>
          </w:p>
        </w:tc>
      </w:tr>
      <w:tr>
        <w:tc>
          <w:tcPr/>
          <w:p>
            <w:pPr>
              <w:pStyle w:val="Compact"/>
              <w:jc w:val="left"/>
            </w:pPr>
            <w:r>
              <w:t xml:space="preserve">21</w:t>
            </w:r>
          </w:p>
        </w:tc>
        <w:tc>
          <w:tcPr/>
          <w:p>
            <w:pPr>
              <w:pStyle w:val="Compact"/>
              <w:jc w:val="left"/>
            </w:pPr>
            <w:r>
              <w:t xml:space="preserve">Computer &gt; Admin Templates &gt; OneDrive</w:t>
            </w:r>
          </w:p>
        </w:tc>
        <w:tc>
          <w:tcPr/>
          <w:p>
            <w:pPr>
              <w:pStyle w:val="Compact"/>
              <w:jc w:val="left"/>
            </w:pPr>
            <w:r>
              <w:t xml:space="preserve">Silently move known folders</w:t>
            </w:r>
          </w:p>
        </w:tc>
        <w:tc>
          <w:tcPr/>
          <w:p>
            <w:pPr>
              <w:pStyle w:val="Compact"/>
              <w:jc w:val="left"/>
            </w:pPr>
            <w:r>
              <w:t xml:space="preserve">Settings Catalog</w:t>
            </w:r>
          </w:p>
        </w:tc>
        <w:tc>
          <w:tcPr/>
          <w:p>
            <w:pPr>
              <w:pStyle w:val="Compact"/>
              <w:jc w:val="left"/>
            </w:pPr>
            <w:r>
              <w:t xml:space="preserve">Silently redirect known folders to OneDrive</w:t>
            </w:r>
          </w:p>
        </w:tc>
        <w:tc>
          <w:tcPr/>
          <w:p>
            <w:pPr>
              <w:pStyle w:val="Compact"/>
            </w:pPr>
            <w:r>
              <w:t xml:space="preserve">SC-004</w:t>
            </w:r>
          </w:p>
        </w:tc>
        <w:tc>
          <w:tcPr/>
          <w:p>
            <w:pPr>
              <w:pStyle w:val="Compact"/>
            </w:pPr>
            <w:r>
              <w:t xml:space="preserve">—</w:t>
            </w:r>
          </w:p>
        </w:tc>
      </w:tr>
      <w:tr>
        <w:tc>
          <w:tcPr/>
          <w:p>
            <w:pPr>
              <w:pStyle w:val="Compact"/>
              <w:jc w:val="left"/>
            </w:pPr>
            <w:r>
              <w:t xml:space="preserve">22</w:t>
            </w:r>
          </w:p>
        </w:tc>
        <w:tc>
          <w:tcPr/>
          <w:p>
            <w:pPr>
              <w:pStyle w:val="Compact"/>
              <w:jc w:val="left"/>
            </w:pPr>
            <w:r>
              <w:t xml:space="preserve">Computer &gt; Admin Templates &gt; OneDrive</w:t>
            </w:r>
          </w:p>
        </w:tc>
        <w:tc>
          <w:tcPr/>
          <w:p>
            <w:pPr>
              <w:pStyle w:val="Compact"/>
              <w:jc w:val="left"/>
            </w:pPr>
            <w:r>
              <w:t xml:space="preserve">Prevent personal OneDrive sync</w:t>
            </w:r>
          </w:p>
        </w:tc>
        <w:tc>
          <w:tcPr/>
          <w:p>
            <w:pPr>
              <w:pStyle w:val="Compact"/>
              <w:jc w:val="left"/>
            </w:pPr>
            <w:r>
              <w:t xml:space="preserve">Settings Catalog</w:t>
            </w:r>
          </w:p>
        </w:tc>
        <w:tc>
          <w:tcPr/>
          <w:p>
            <w:pPr>
              <w:pStyle w:val="Compact"/>
              <w:jc w:val="left"/>
            </w:pPr>
            <w:r>
              <w:t xml:space="preserve">Block personal OneDrive accounts</w:t>
            </w:r>
          </w:p>
        </w:tc>
        <w:tc>
          <w:tcPr/>
          <w:p>
            <w:pPr>
              <w:pStyle w:val="Compact"/>
            </w:pPr>
            <w:r>
              <w:t xml:space="preserve">SC-004</w:t>
            </w:r>
          </w:p>
        </w:tc>
        <w:tc>
          <w:tcPr/>
          <w:p>
            <w:pPr>
              <w:pStyle w:val="Compact"/>
            </w:pPr>
            <w:r>
              <w:t xml:space="preserve">—</w:t>
            </w:r>
          </w:p>
        </w:tc>
      </w:tr>
      <w:tr>
        <w:tc>
          <w:tcPr/>
          <w:p>
            <w:pPr>
              <w:pStyle w:val="Compact"/>
              <w:jc w:val="left"/>
            </w:pPr>
            <w:r>
              <w:t xml:space="preserve">23</w:t>
            </w:r>
          </w:p>
        </w:tc>
        <w:tc>
          <w:tcPr/>
          <w:p>
            <w:pPr>
              <w:pStyle w:val="Compact"/>
              <w:jc w:val="left"/>
            </w:pPr>
            <w:r>
              <w:t xml:space="preserve">Computer &gt; Admin Templates &gt; System &gt; Device Guard</w:t>
            </w:r>
          </w:p>
        </w:tc>
        <w:tc>
          <w:tcPr/>
          <w:p>
            <w:pPr>
              <w:pStyle w:val="Compact"/>
              <w:jc w:val="left"/>
            </w:pPr>
            <w:r>
              <w:t xml:space="preserve">Turn on Virtualization Based Security</w:t>
            </w:r>
          </w:p>
        </w:tc>
        <w:tc>
          <w:tcPr/>
          <w:p>
            <w:pPr>
              <w:pStyle w:val="Compact"/>
              <w:jc w:val="left"/>
            </w:pPr>
            <w:r>
              <w:t xml:space="preserve">Compliance / Endpoint Security</w:t>
            </w:r>
          </w:p>
        </w:tc>
        <w:tc>
          <w:tcPr/>
          <w:p>
            <w:pPr>
              <w:pStyle w:val="Compact"/>
              <w:jc w:val="left"/>
            </w:pPr>
            <w:r>
              <w:t xml:space="preserve">Credential Guard</w:t>
            </w:r>
          </w:p>
        </w:tc>
        <w:tc>
          <w:tcPr/>
          <w:p>
            <w:pPr>
              <w:pStyle w:val="Compact"/>
            </w:pPr>
            <w:r>
              <w:t xml:space="preserve">CP-002 / ES-006</w:t>
            </w:r>
          </w:p>
        </w:tc>
        <w:tc>
          <w:tcPr/>
          <w:p>
            <w:pPr>
              <w:pStyle w:val="Compact"/>
            </w:pPr>
            <w:r>
              <w:t xml:space="preserve">Tier 0 only</w:t>
            </w:r>
          </w:p>
        </w:tc>
      </w:tr>
      <w:tr>
        <w:tc>
          <w:tcPr/>
          <w:p>
            <w:pPr>
              <w:pStyle w:val="Compact"/>
              <w:jc w:val="left"/>
            </w:pPr>
            <w:r>
              <w:t xml:space="preserve">24</w:t>
            </w:r>
          </w:p>
        </w:tc>
        <w:tc>
          <w:tcPr/>
          <w:p>
            <w:pPr>
              <w:pStyle w:val="Compact"/>
              <w:jc w:val="left"/>
            </w:pPr>
            <w:r>
              <w:t xml:space="preserve">Computer &gt; Admin Templates &gt; Remote Desktop Services</w:t>
            </w:r>
          </w:p>
        </w:tc>
        <w:tc>
          <w:tcPr/>
          <w:p>
            <w:pPr>
              <w:pStyle w:val="Compact"/>
              <w:jc w:val="left"/>
            </w:pPr>
            <w:r>
              <w:t xml:space="preserve">Allow users to connect remotely</w:t>
            </w:r>
          </w:p>
        </w:tc>
        <w:tc>
          <w:tcPr/>
          <w:p>
            <w:pPr>
              <w:pStyle w:val="Compact"/>
              <w:jc w:val="left"/>
            </w:pPr>
            <w:r>
              <w:t xml:space="preserve">Settings Catalog</w:t>
            </w:r>
          </w:p>
        </w:tc>
        <w:tc>
          <w:tcPr/>
          <w:p>
            <w:pPr>
              <w:pStyle w:val="Compact"/>
              <w:jc w:val="left"/>
            </w:pPr>
            <w:r>
              <w:t xml:space="preserve">Allow remote connections</w:t>
            </w:r>
          </w:p>
        </w:tc>
        <w:tc>
          <w:tcPr/>
          <w:p>
            <w:pPr>
              <w:pStyle w:val="Compact"/>
            </w:pPr>
            <w:r>
              <w:t xml:space="preserve">SC-009</w:t>
            </w:r>
          </w:p>
        </w:tc>
        <w:tc>
          <w:tcPr/>
          <w:p>
            <w:pPr>
              <w:pStyle w:val="Compact"/>
            </w:pPr>
            <w:r>
              <w:t xml:space="preserve">—</w:t>
            </w:r>
          </w:p>
        </w:tc>
      </w:tr>
      <w:tr>
        <w:tc>
          <w:tcPr/>
          <w:p>
            <w:pPr>
              <w:pStyle w:val="Compact"/>
              <w:jc w:val="left"/>
            </w:pPr>
            <w:r>
              <w:t xml:space="preserve">25</w:t>
            </w:r>
          </w:p>
        </w:tc>
        <w:tc>
          <w:tcPr/>
          <w:p>
            <w:pPr>
              <w:pStyle w:val="Compact"/>
              <w:jc w:val="left"/>
            </w:pPr>
            <w:r>
              <w:t xml:space="preserve">Computer &gt; Admin Templates &gt; Remote Desktop Services</w:t>
            </w:r>
          </w:p>
        </w:tc>
        <w:tc>
          <w:tcPr/>
          <w:p>
            <w:pPr>
              <w:pStyle w:val="Compact"/>
              <w:jc w:val="left"/>
            </w:pPr>
            <w:r>
              <w:t xml:space="preserve">Require Network Level Authentication</w:t>
            </w:r>
          </w:p>
        </w:tc>
        <w:tc>
          <w:tcPr/>
          <w:p>
            <w:pPr>
              <w:pStyle w:val="Compact"/>
              <w:jc w:val="left"/>
            </w:pPr>
            <w:r>
              <w:t xml:space="preserve">Settings Catalog</w:t>
            </w:r>
          </w:p>
        </w:tc>
        <w:tc>
          <w:tcPr/>
          <w:p>
            <w:pPr>
              <w:pStyle w:val="Compact"/>
              <w:jc w:val="left"/>
            </w:pPr>
            <w:r>
              <w:t xml:space="preserve">Require NLA</w:t>
            </w:r>
          </w:p>
        </w:tc>
        <w:tc>
          <w:tcPr/>
          <w:p>
            <w:pPr>
              <w:pStyle w:val="Compact"/>
            </w:pPr>
            <w:r>
              <w:t xml:space="preserve">SC-009</w:t>
            </w:r>
          </w:p>
        </w:tc>
        <w:tc>
          <w:tcPr/>
          <w:p>
            <w:pPr>
              <w:pStyle w:val="Compact"/>
            </w:pPr>
            <w:r>
              <w:t xml:space="preserve">—</w:t>
            </w:r>
          </w:p>
        </w:tc>
      </w:tr>
      <w:tr>
        <w:tc>
          <w:tcPr/>
          <w:p>
            <w:pPr>
              <w:pStyle w:val="Compact"/>
              <w:jc w:val="left"/>
            </w:pPr>
            <w:r>
              <w:t xml:space="preserve">26</w:t>
            </w:r>
          </w:p>
        </w:tc>
        <w:tc>
          <w:tcPr/>
          <w:p>
            <w:pPr>
              <w:pStyle w:val="Compact"/>
              <w:jc w:val="left"/>
            </w:pPr>
            <w:r>
              <w:t xml:space="preserve">Computer &gt; Admin Templates &gt; Remote Desktop Services</w:t>
            </w:r>
          </w:p>
        </w:tc>
        <w:tc>
          <w:tcPr/>
          <w:p>
            <w:pPr>
              <w:pStyle w:val="Compact"/>
              <w:jc w:val="left"/>
            </w:pPr>
            <w:r>
              <w:t xml:space="preserve">Set time limit for idle sessions</w:t>
            </w:r>
          </w:p>
        </w:tc>
        <w:tc>
          <w:tcPr/>
          <w:p>
            <w:pPr>
              <w:pStyle w:val="Compact"/>
              <w:jc w:val="left"/>
            </w:pPr>
            <w:r>
              <w:t xml:space="preserve">Settings Catalog</w:t>
            </w:r>
          </w:p>
        </w:tc>
        <w:tc>
          <w:tcPr/>
          <w:p>
            <w:pPr>
              <w:pStyle w:val="Compact"/>
              <w:jc w:val="left"/>
            </w:pPr>
            <w:r>
              <w:t xml:space="preserve">Idle session time limit</w:t>
            </w:r>
          </w:p>
        </w:tc>
        <w:tc>
          <w:tcPr/>
          <w:p>
            <w:pPr>
              <w:pStyle w:val="Compact"/>
            </w:pPr>
            <w:r>
              <w:t xml:space="preserve">SC-009</w:t>
            </w:r>
          </w:p>
        </w:tc>
        <w:tc>
          <w:tcPr/>
          <w:p>
            <w:pPr>
              <w:pStyle w:val="Compact"/>
            </w:pPr>
            <w:r>
              <w:t xml:space="preserve">—</w:t>
            </w:r>
          </w:p>
        </w:tc>
      </w:tr>
      <w:tr>
        <w:tc>
          <w:tcPr/>
          <w:p>
            <w:pPr>
              <w:pStyle w:val="Compact"/>
              <w:jc w:val="left"/>
            </w:pPr>
            <w:r>
              <w:t xml:space="preserve">27</w:t>
            </w:r>
          </w:p>
        </w:tc>
        <w:tc>
          <w:tcPr/>
          <w:p>
            <w:pPr>
              <w:pStyle w:val="Compact"/>
              <w:jc w:val="left"/>
            </w:pPr>
            <w:r>
              <w:t xml:space="preserve">Computer &gt; Windows Settings &gt; Security Settings &gt; Local Policies</w:t>
            </w:r>
          </w:p>
        </w:tc>
        <w:tc>
          <w:tcPr/>
          <w:p>
            <w:pPr>
              <w:pStyle w:val="Compact"/>
              <w:jc w:val="left"/>
            </w:pPr>
            <w:r>
              <w:t xml:space="preserve">Do not display last user name</w:t>
            </w:r>
          </w:p>
        </w:tc>
        <w:tc>
          <w:tcPr/>
          <w:p>
            <w:pPr>
              <w:pStyle w:val="Compact"/>
              <w:jc w:val="left"/>
            </w:pPr>
            <w:r>
              <w:t xml:space="preserve">Settings Catalog</w:t>
            </w:r>
          </w:p>
        </w:tc>
        <w:tc>
          <w:tcPr/>
          <w:p>
            <w:pPr>
              <w:pStyle w:val="Compact"/>
              <w:jc w:val="left"/>
            </w:pPr>
            <w:r>
              <w:t xml:space="preserve">Interactive Logon Do Not Display Last Signed In</w:t>
            </w:r>
          </w:p>
        </w:tc>
        <w:tc>
          <w:tcPr/>
          <w:p>
            <w:pPr>
              <w:pStyle w:val="Compact"/>
            </w:pPr>
            <w:r>
              <w:t xml:space="preserve">SC-001</w:t>
            </w:r>
          </w:p>
        </w:tc>
        <w:tc>
          <w:tcPr/>
          <w:p>
            <w:pPr>
              <w:pStyle w:val="Compact"/>
            </w:pPr>
            <w:r>
              <w:t xml:space="preserve">—</w:t>
            </w:r>
          </w:p>
        </w:tc>
      </w:tr>
      <w:tr>
        <w:tc>
          <w:tcPr/>
          <w:p>
            <w:pPr>
              <w:pStyle w:val="Compact"/>
              <w:jc w:val="left"/>
            </w:pPr>
            <w:r>
              <w:t xml:space="preserve">28</w:t>
            </w:r>
          </w:p>
        </w:tc>
        <w:tc>
          <w:tcPr/>
          <w:p>
            <w:pPr>
              <w:pStyle w:val="Compact"/>
              <w:jc w:val="left"/>
            </w:pPr>
            <w:r>
              <w:t xml:space="preserve">Computer &gt; Windows Settings &gt; Security Settings &gt; Local Policies</w:t>
            </w:r>
          </w:p>
        </w:tc>
        <w:tc>
          <w:tcPr/>
          <w:p>
            <w:pPr>
              <w:pStyle w:val="Compact"/>
              <w:jc w:val="left"/>
            </w:pPr>
            <w:r>
              <w:t xml:space="preserve">Interactive logon: Message text</w:t>
            </w:r>
          </w:p>
        </w:tc>
        <w:tc>
          <w:tcPr/>
          <w:p>
            <w:pPr>
              <w:pStyle w:val="Compact"/>
              <w:jc w:val="left"/>
            </w:pPr>
            <w:r>
              <w:t xml:space="preserve">Settings Catalog</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Legal banner</w:t>
            </w:r>
          </w:p>
        </w:tc>
      </w:tr>
      <w:tr>
        <w:tc>
          <w:tcPr/>
          <w:p>
            <w:pPr>
              <w:pStyle w:val="Compact"/>
              <w:jc w:val="left"/>
            </w:pPr>
            <w:r>
              <w:t xml:space="preserve">29</w:t>
            </w:r>
          </w:p>
        </w:tc>
        <w:tc>
          <w:tcPr/>
          <w:p>
            <w:pPr>
              <w:pStyle w:val="Compact"/>
              <w:jc w:val="left"/>
            </w:pPr>
            <w:r>
              <w:t xml:space="preserve">Computer &gt; Windows Settings &gt; Security Settings &gt; Advanced Audit</w:t>
            </w:r>
          </w:p>
        </w:tc>
        <w:tc>
          <w:tcPr/>
          <w:p>
            <w:pPr>
              <w:pStyle w:val="Compact"/>
              <w:jc w:val="left"/>
            </w:pPr>
            <w:r>
              <w:t xml:space="preserve">Audit Logon events</w:t>
            </w:r>
          </w:p>
        </w:tc>
        <w:tc>
          <w:tcPr/>
          <w:p>
            <w:pPr>
              <w:pStyle w:val="Compact"/>
              <w:jc w:val="left"/>
            </w:pPr>
            <w:r>
              <w:t xml:space="preserve">Settings Catalog</w:t>
            </w:r>
          </w:p>
        </w:tc>
        <w:tc>
          <w:tcPr/>
          <w:p>
            <w:pPr>
              <w:pStyle w:val="Compact"/>
              <w:jc w:val="left"/>
            </w:pPr>
            <w:r>
              <w:t xml:space="preserve">Account Logon Logon (Device)</w:t>
            </w:r>
          </w:p>
        </w:tc>
        <w:tc>
          <w:tcPr/>
          <w:p>
            <w:pPr>
              <w:pStyle w:val="Compact"/>
            </w:pPr>
            <w:r>
              <w:t xml:space="preserve">SC-001</w:t>
            </w:r>
          </w:p>
        </w:tc>
        <w:tc>
          <w:tcPr/>
          <w:p>
            <w:pPr>
              <w:pStyle w:val="Compact"/>
            </w:pPr>
            <w:r>
              <w:t xml:space="preserve">—</w:t>
            </w:r>
          </w:p>
        </w:tc>
      </w:tr>
      <w:tr>
        <w:tc>
          <w:tcPr/>
          <w:p>
            <w:pPr>
              <w:pStyle w:val="Compact"/>
              <w:jc w:val="left"/>
            </w:pPr>
            <w:r>
              <w:t xml:space="preserve">30</w:t>
            </w:r>
          </w:p>
        </w:tc>
        <w:tc>
          <w:tcPr/>
          <w:p>
            <w:pPr>
              <w:pStyle w:val="Compact"/>
              <w:jc w:val="left"/>
            </w:pPr>
            <w:r>
              <w:t xml:space="preserve">Computer &gt; Windows Settings &gt; Security Settings &gt; Advanced Audit</w:t>
            </w:r>
          </w:p>
        </w:tc>
        <w:tc>
          <w:tcPr/>
          <w:p>
            <w:pPr>
              <w:pStyle w:val="Compact"/>
              <w:jc w:val="left"/>
            </w:pPr>
            <w:r>
              <w:t xml:space="preserve">Audit Policy Change</w:t>
            </w:r>
          </w:p>
        </w:tc>
        <w:tc>
          <w:tcPr/>
          <w:p>
            <w:pPr>
              <w:pStyle w:val="Compact"/>
              <w:jc w:val="left"/>
            </w:pPr>
            <w:r>
              <w:t xml:space="preserve">Settings Catalog</w:t>
            </w:r>
          </w:p>
        </w:tc>
        <w:tc>
          <w:tcPr/>
          <w:p>
            <w:pPr>
              <w:pStyle w:val="Compact"/>
              <w:jc w:val="left"/>
            </w:pPr>
            <w:r>
              <w:t xml:space="preserve">Policy Change Audit Policy Change</w:t>
            </w:r>
          </w:p>
        </w:tc>
        <w:tc>
          <w:tcPr/>
          <w:p>
            <w:pPr>
              <w:pStyle w:val="Compact"/>
            </w:pPr>
            <w:r>
              <w:t xml:space="preserve">SC-001</w:t>
            </w:r>
          </w:p>
        </w:tc>
        <w:tc>
          <w:tcPr/>
          <w:p>
            <w:pPr>
              <w:pStyle w:val="Compact"/>
            </w:pPr>
            <w:r>
              <w:t xml:space="preserve">—</w:t>
            </w:r>
          </w:p>
        </w:tc>
      </w:tr>
      <w:tr>
        <w:tc>
          <w:tcPr/>
          <w:p>
            <w:pPr>
              <w:pStyle w:val="Compact"/>
              <w:jc w:val="left"/>
            </w:pPr>
            <w:r>
              <w:t xml:space="preserve">31</w:t>
            </w:r>
          </w:p>
        </w:tc>
        <w:tc>
          <w:tcPr/>
          <w:p>
            <w:pPr>
              <w:pStyle w:val="Compact"/>
              <w:jc w:val="left"/>
            </w:pPr>
            <w:r>
              <w:t xml:space="preserve">Computer &gt; Windows Settings &gt; Security Settings &gt; User Rights</w:t>
            </w:r>
          </w:p>
        </w:tc>
        <w:tc>
          <w:tcPr/>
          <w:p>
            <w:pPr>
              <w:pStyle w:val="Compact"/>
              <w:jc w:val="left"/>
            </w:pPr>
            <w:r>
              <w:t xml:space="preserve">Deny log on locally</w:t>
            </w:r>
          </w:p>
        </w:tc>
        <w:tc>
          <w:tcPr/>
          <w:p>
            <w:pPr>
              <w:pStyle w:val="Compact"/>
              <w:jc w:val="left"/>
            </w:pPr>
            <w:r>
              <w:t xml:space="preserve">Settings Catalog</w:t>
            </w:r>
          </w:p>
        </w:tc>
        <w:tc>
          <w:tcPr/>
          <w:p>
            <w:pPr>
              <w:pStyle w:val="Compact"/>
              <w:jc w:val="left"/>
            </w:pPr>
            <w:r>
              <w:t xml:space="preserve">Deny Local Log On</w:t>
            </w:r>
          </w:p>
        </w:tc>
        <w:tc>
          <w:tcPr/>
          <w:p>
            <w:pPr>
              <w:pStyle w:val="Compact"/>
            </w:pPr>
            <w:r>
              <w:t xml:space="preserve">SC-001</w:t>
            </w:r>
          </w:p>
        </w:tc>
        <w:tc>
          <w:tcPr/>
          <w:p>
            <w:pPr>
              <w:pStyle w:val="Compact"/>
            </w:pPr>
            <w:r>
              <w:t xml:space="preserve">—</w:t>
            </w:r>
          </w:p>
        </w:tc>
      </w:tr>
      <w:tr>
        <w:tc>
          <w:tcPr/>
          <w:p>
            <w:pPr>
              <w:pStyle w:val="Compact"/>
              <w:jc w:val="left"/>
            </w:pPr>
            <w:r>
              <w:t xml:space="preserve">32</w:t>
            </w:r>
          </w:p>
        </w:tc>
        <w:tc>
          <w:tcPr/>
          <w:p>
            <w:pPr>
              <w:pStyle w:val="Compact"/>
              <w:jc w:val="left"/>
            </w:pPr>
            <w:r>
              <w:t xml:space="preserve">Computer &gt; Windows Settings &gt; Security Settings &gt; User Rights</w:t>
            </w:r>
          </w:p>
        </w:tc>
        <w:tc>
          <w:tcPr/>
          <w:p>
            <w:pPr>
              <w:pStyle w:val="Compact"/>
              <w:jc w:val="left"/>
            </w:pPr>
            <w:r>
              <w:t xml:space="preserve">Deny log on through RDS</w:t>
            </w:r>
          </w:p>
        </w:tc>
        <w:tc>
          <w:tcPr/>
          <w:p>
            <w:pPr>
              <w:pStyle w:val="Compact"/>
              <w:jc w:val="left"/>
            </w:pPr>
            <w:r>
              <w:t xml:space="preserve">Settings Catalog</w:t>
            </w:r>
          </w:p>
        </w:tc>
        <w:tc>
          <w:tcPr/>
          <w:p>
            <w:pPr>
              <w:pStyle w:val="Compact"/>
              <w:jc w:val="left"/>
            </w:pPr>
            <w:r>
              <w:t xml:space="preserve">Deny Remote Desktop Services Log On</w:t>
            </w:r>
          </w:p>
        </w:tc>
        <w:tc>
          <w:tcPr/>
          <w:p>
            <w:pPr>
              <w:pStyle w:val="Compact"/>
            </w:pPr>
            <w:r>
              <w:t xml:space="preserve">SC-001</w:t>
            </w:r>
          </w:p>
        </w:tc>
        <w:tc>
          <w:tcPr/>
          <w:p>
            <w:pPr>
              <w:pStyle w:val="Compact"/>
            </w:pPr>
            <w:r>
              <w:t xml:space="preserve">—</w:t>
            </w:r>
          </w:p>
        </w:tc>
      </w:tr>
      <w:tr>
        <w:tc>
          <w:tcPr/>
          <w:p>
            <w:pPr>
              <w:pStyle w:val="Compact"/>
              <w:jc w:val="left"/>
            </w:pPr>
            <w:r>
              <w:t xml:space="preserve">33</w:t>
            </w:r>
          </w:p>
        </w:tc>
        <w:tc>
          <w:tcPr/>
          <w:p>
            <w:pPr>
              <w:pStyle w:val="Compact"/>
              <w:jc w:val="left"/>
            </w:pPr>
            <w:r>
              <w:t xml:space="preserve">User &gt; Admin Templates &gt; Desktop</w:t>
            </w:r>
          </w:p>
        </w:tc>
        <w:tc>
          <w:tcPr/>
          <w:p>
            <w:pPr>
              <w:pStyle w:val="Compact"/>
              <w:jc w:val="left"/>
            </w:pPr>
            <w:r>
              <w:t xml:space="preserve">Desktop Wallpaper</w:t>
            </w:r>
          </w:p>
        </w:tc>
        <w:tc>
          <w:tcPr/>
          <w:p>
            <w:pPr>
              <w:pStyle w:val="Compact"/>
              <w:jc w:val="left"/>
            </w:pPr>
            <w:r>
              <w:t xml:space="preserve">Settings Catalog</w:t>
            </w:r>
          </w:p>
        </w:tc>
        <w:tc>
          <w:tcPr/>
          <w:p>
            <w:pPr>
              <w:pStyle w:val="Compact"/>
              <w:jc w:val="left"/>
            </w:pPr>
            <w:r>
              <w:t xml:space="preserve">Desktop wallpaper</w:t>
            </w:r>
          </w:p>
        </w:tc>
        <w:tc>
          <w:tcPr/>
          <w:p>
            <w:pPr>
              <w:pStyle w:val="Compact"/>
            </w:pPr>
            <w:r>
              <w:t xml:space="preserve">SC-010</w:t>
            </w:r>
          </w:p>
        </w:tc>
        <w:tc>
          <w:tcPr/>
          <w:p>
            <w:pPr>
              <w:pStyle w:val="Compact"/>
            </w:pPr>
            <w:r>
              <w:t xml:space="preserve">—</w:t>
            </w:r>
          </w:p>
        </w:tc>
      </w:tr>
      <w:tr>
        <w:tc>
          <w:tcPr/>
          <w:p>
            <w:pPr>
              <w:pStyle w:val="Compact"/>
              <w:jc w:val="left"/>
            </w:pPr>
            <w:r>
              <w:t xml:space="preserve">34</w:t>
            </w:r>
          </w:p>
        </w:tc>
        <w:tc>
          <w:tcPr/>
          <w:p>
            <w:pPr>
              <w:pStyle w:val="Compact"/>
              <w:jc w:val="left"/>
            </w:pPr>
            <w:r>
              <w:t xml:space="preserve">Computer &gt; Admin Templates &gt; Control Panel &gt; Personalization</w:t>
            </w:r>
          </w:p>
        </w:tc>
        <w:tc>
          <w:tcPr/>
          <w:p>
            <w:pPr>
              <w:pStyle w:val="Compact"/>
              <w:jc w:val="left"/>
            </w:pPr>
            <w:r>
              <w:t xml:space="preserve">Force specific lock screen image</w:t>
            </w:r>
          </w:p>
        </w:tc>
        <w:tc>
          <w:tcPr/>
          <w:p>
            <w:pPr>
              <w:pStyle w:val="Compact"/>
              <w:jc w:val="left"/>
            </w:pPr>
            <w:r>
              <w:t xml:space="preserve">Settings Catalog</w:t>
            </w:r>
          </w:p>
        </w:tc>
        <w:tc>
          <w:tcPr/>
          <w:p>
            <w:pPr>
              <w:pStyle w:val="Compact"/>
              <w:jc w:val="left"/>
            </w:pPr>
            <w:r>
              <w:t xml:space="preserve">Lock screen image</w:t>
            </w:r>
          </w:p>
        </w:tc>
        <w:tc>
          <w:tcPr/>
          <w:p>
            <w:pPr>
              <w:pStyle w:val="Compact"/>
            </w:pPr>
            <w:r>
              <w:t xml:space="preserve">SC-010</w:t>
            </w:r>
          </w:p>
        </w:tc>
        <w:tc>
          <w:tcPr/>
          <w:p>
            <w:pPr>
              <w:pStyle w:val="Compact"/>
            </w:pPr>
            <w:r>
              <w:t xml:space="preserve">—</w:t>
            </w:r>
          </w:p>
        </w:tc>
      </w:tr>
      <w:tr>
        <w:tc>
          <w:tcPr/>
          <w:p>
            <w:pPr>
              <w:pStyle w:val="Compact"/>
              <w:jc w:val="left"/>
            </w:pPr>
            <w:r>
              <w:t xml:space="preserve">35</w:t>
            </w:r>
          </w:p>
        </w:tc>
        <w:tc>
          <w:tcPr/>
          <w:p>
            <w:pPr>
              <w:pStyle w:val="Compact"/>
              <w:jc w:val="left"/>
            </w:pPr>
            <w:r>
              <w:t xml:space="preserve">Computer &gt; Admin Templates &gt; Start Menu and Taskbar</w:t>
            </w:r>
          </w:p>
        </w:tc>
        <w:tc>
          <w:tcPr/>
          <w:p>
            <w:pPr>
              <w:pStyle w:val="Compact"/>
              <w:jc w:val="left"/>
            </w:pPr>
            <w:r>
              <w:t xml:space="preserve">Start Layout</w:t>
            </w:r>
          </w:p>
        </w:tc>
        <w:tc>
          <w:tcPr/>
          <w:p>
            <w:pPr>
              <w:pStyle w:val="Compact"/>
              <w:jc w:val="left"/>
            </w:pPr>
            <w:r>
              <w:t xml:space="preserve">Settings Catalog</w:t>
            </w:r>
          </w:p>
        </w:tc>
        <w:tc>
          <w:tcPr/>
          <w:p>
            <w:pPr>
              <w:pStyle w:val="Compact"/>
              <w:jc w:val="left"/>
            </w:pPr>
            <w:r>
              <w:t xml:space="preserve">Start layout (JSON)</w:t>
            </w:r>
          </w:p>
        </w:tc>
        <w:tc>
          <w:tcPr/>
          <w:p>
            <w:pPr>
              <w:pStyle w:val="Compact"/>
            </w:pPr>
            <w:r>
              <w:t xml:space="preserve">SC-010</w:t>
            </w:r>
          </w:p>
        </w:tc>
        <w:tc>
          <w:tcPr/>
          <w:p>
            <w:pPr>
              <w:pStyle w:val="Compact"/>
            </w:pPr>
            <w:r>
              <w:t xml:space="preserve">—</w:t>
            </w:r>
          </w:p>
        </w:tc>
      </w:tr>
      <w:tr>
        <w:tc>
          <w:tcPr/>
          <w:p>
            <w:pPr>
              <w:pStyle w:val="Compact"/>
              <w:jc w:val="left"/>
            </w:pPr>
            <w:r>
              <w:t xml:space="preserve">36</w:t>
            </w:r>
          </w:p>
        </w:tc>
        <w:tc>
          <w:tcPr/>
          <w:p>
            <w:pPr>
              <w:pStyle w:val="Compact"/>
              <w:jc w:val="left"/>
            </w:pPr>
            <w:r>
              <w:t xml:space="preserve">Computer &gt; Admin Templates &gt; Windows Components &gt; Cloud Content</w:t>
            </w:r>
          </w:p>
        </w:tc>
        <w:tc>
          <w:tcPr/>
          <w:p>
            <w:pPr>
              <w:pStyle w:val="Compact"/>
              <w:jc w:val="left"/>
            </w:pPr>
            <w:r>
              <w:t xml:space="preserve">Turn off Microsoft consumer experiences</w:t>
            </w:r>
          </w:p>
        </w:tc>
        <w:tc>
          <w:tcPr/>
          <w:p>
            <w:pPr>
              <w:pStyle w:val="Compact"/>
              <w:jc w:val="left"/>
            </w:pPr>
            <w:r>
              <w:t xml:space="preserve">Settings Catalog</w:t>
            </w:r>
          </w:p>
        </w:tc>
        <w:tc>
          <w:tcPr/>
          <w:p>
            <w:pPr>
              <w:pStyle w:val="Compact"/>
              <w:jc w:val="left"/>
            </w:pPr>
            <w:r>
              <w:t xml:space="preserve">Disable consumer features</w:t>
            </w:r>
          </w:p>
        </w:tc>
        <w:tc>
          <w:tcPr/>
          <w:p>
            <w:pPr>
              <w:pStyle w:val="Compact"/>
            </w:pPr>
            <w:r>
              <w:t xml:space="preserve">SC-010</w:t>
            </w:r>
          </w:p>
        </w:tc>
        <w:tc>
          <w:tcPr/>
          <w:p>
            <w:pPr>
              <w:pStyle w:val="Compact"/>
            </w:pPr>
            <w:r>
              <w:t xml:space="preserve">—</w:t>
            </w:r>
          </w:p>
        </w:tc>
      </w:tr>
      <w:tr>
        <w:tc>
          <w:tcPr/>
          <w:p>
            <w:pPr>
              <w:pStyle w:val="Compact"/>
              <w:jc w:val="left"/>
            </w:pPr>
            <w:r>
              <w:t xml:space="preserve">37</w:t>
            </w:r>
          </w:p>
        </w:tc>
        <w:tc>
          <w:tcPr/>
          <w:p>
            <w:pPr>
              <w:pStyle w:val="Compact"/>
              <w:jc w:val="left"/>
            </w:pPr>
            <w:r>
              <w:t xml:space="preserve">Computer &gt; Admin Templates &gt; Windows Components &gt; Defender &gt; NIS</w:t>
            </w:r>
          </w:p>
        </w:tc>
        <w:tc>
          <w:tcPr/>
          <w:p>
            <w:pPr>
              <w:pStyle w:val="Compact"/>
              <w:jc w:val="left"/>
            </w:pPr>
            <w:r>
              <w:t xml:space="preserve">Turn on Network Inspection System</w:t>
            </w:r>
          </w:p>
        </w:tc>
        <w:tc>
          <w:tcPr/>
          <w:p>
            <w:pPr>
              <w:pStyle w:val="Compact"/>
              <w:jc w:val="left"/>
            </w:pPr>
            <w:r>
              <w:t xml:space="preserve">Compliance / Settings Catalog</w:t>
            </w:r>
          </w:p>
        </w:tc>
        <w:tc>
          <w:tcPr/>
          <w:p>
            <w:pPr>
              <w:pStyle w:val="Compact"/>
              <w:jc w:val="left"/>
            </w:pPr>
            <w:r>
              <w:t xml:space="preserve">Network Inspection System</w:t>
            </w:r>
          </w:p>
        </w:tc>
        <w:tc>
          <w:tcPr/>
          <w:p>
            <w:pPr>
              <w:pStyle w:val="Compact"/>
            </w:pPr>
            <w:r>
              <w:t xml:space="preserve">CP-002 / SC-002</w:t>
            </w:r>
          </w:p>
        </w:tc>
        <w:tc>
          <w:tcPr/>
          <w:p>
            <w:pPr>
              <w:pStyle w:val="Compact"/>
            </w:pPr>
            <w:r>
              <w:t xml:space="preserve">—</w:t>
            </w:r>
          </w:p>
        </w:tc>
      </w:tr>
      <w:tr>
        <w:tc>
          <w:tcPr/>
          <w:p>
            <w:pPr>
              <w:pStyle w:val="Compact"/>
              <w:jc w:val="left"/>
            </w:pPr>
            <w:r>
              <w:t xml:space="preserve">38</w:t>
            </w:r>
          </w:p>
        </w:tc>
        <w:tc>
          <w:tcPr/>
          <w:p>
            <w:pPr>
              <w:pStyle w:val="Compact"/>
              <w:jc w:val="left"/>
            </w:pPr>
            <w:r>
              <w:t xml:space="preserve">Computer &gt; Admin Templates &gt; Network &gt; DNS Client</w:t>
            </w:r>
          </w:p>
        </w:tc>
        <w:tc>
          <w:tcPr/>
          <w:p>
            <w:pPr>
              <w:pStyle w:val="Compact"/>
              <w:jc w:val="left"/>
            </w:pPr>
            <w:r>
              <w:t xml:space="preserve">DNS suffix search list</w:t>
            </w:r>
          </w:p>
        </w:tc>
        <w:tc>
          <w:tcPr/>
          <w:p>
            <w:pPr>
              <w:pStyle w:val="Compact"/>
              <w:jc w:val="left"/>
            </w:pPr>
            <w:r>
              <w:t xml:space="preserve">Settings Catalog</w:t>
            </w:r>
          </w:p>
        </w:tc>
        <w:tc>
          <w:tcPr/>
          <w:p>
            <w:pPr>
              <w:pStyle w:val="Compact"/>
              <w:jc w:val="left"/>
            </w:pPr>
            <w:r>
              <w:t xml:space="preserve">DNS Suffix Search List</w:t>
            </w:r>
          </w:p>
        </w:tc>
        <w:tc>
          <w:tcPr/>
          <w:p>
            <w:pPr>
              <w:pStyle w:val="Compact"/>
            </w:pPr>
            <w:r>
              <w:t xml:space="preserve">—</w:t>
            </w:r>
          </w:p>
        </w:tc>
        <w:tc>
          <w:tcPr/>
          <w:p>
            <w:pPr>
              <w:pStyle w:val="Compact"/>
            </w:pPr>
            <w:r>
              <w:t xml:space="preserve">Custom OMA-URI if needed</w:t>
            </w:r>
          </w:p>
        </w:tc>
      </w:tr>
      <w:tr>
        <w:tc>
          <w:tcPr/>
          <w:p>
            <w:pPr>
              <w:pStyle w:val="Compact"/>
              <w:jc w:val="left"/>
            </w:pPr>
            <w:r>
              <w:t xml:space="preserve">39</w:t>
            </w:r>
          </w:p>
        </w:tc>
        <w:tc>
          <w:tcPr/>
          <w:p>
            <w:pPr>
              <w:pStyle w:val="Compact"/>
              <w:jc w:val="left"/>
            </w:pPr>
            <w:r>
              <w:t xml:space="preserve">Computer &gt; Admin Templates &gt; System &gt; Logon</w:t>
            </w:r>
          </w:p>
        </w:tc>
        <w:tc>
          <w:tcPr/>
          <w:p>
            <w:pPr>
              <w:pStyle w:val="Compact"/>
              <w:jc w:val="left"/>
            </w:pPr>
            <w:r>
              <w:t xml:space="preserve">Always wait for network at startup</w:t>
            </w:r>
          </w:p>
        </w:tc>
        <w:tc>
          <w:tcPr/>
          <w:p>
            <w:pPr>
              <w:pStyle w:val="Compact"/>
              <w:jc w:val="left"/>
            </w:pPr>
            <w:r>
              <w:t xml:space="preserve">Settings Catalog</w:t>
            </w:r>
          </w:p>
        </w:tc>
        <w:tc>
          <w:tcPr/>
          <w:p>
            <w:pPr>
              <w:pStyle w:val="Compact"/>
              <w:jc w:val="left"/>
            </w:pPr>
            <w:r>
              <w:t xml:space="preserve">Always Wait For Network At Computer Startup</w:t>
            </w:r>
          </w:p>
        </w:tc>
        <w:tc>
          <w:tcPr/>
          <w:p>
            <w:pPr>
              <w:pStyle w:val="Compact"/>
            </w:pPr>
            <w:r>
              <w:t xml:space="preserve">—</w:t>
            </w:r>
          </w:p>
        </w:tc>
        <w:tc>
          <w:tcPr/>
          <w:p>
            <w:pPr>
              <w:pStyle w:val="Compact"/>
            </w:pPr>
            <w:r>
              <w:t xml:space="preserve">May not be needed in cloud-native</w:t>
            </w:r>
          </w:p>
        </w:tc>
      </w:tr>
      <w:tr>
        <w:tc>
          <w:tcPr/>
          <w:p>
            <w:pPr>
              <w:pStyle w:val="Compact"/>
              <w:jc w:val="left"/>
            </w:pPr>
            <w:r>
              <w:t xml:space="preserve">40</w:t>
            </w:r>
          </w:p>
        </w:tc>
        <w:tc>
          <w:tcPr/>
          <w:p>
            <w:pPr>
              <w:pStyle w:val="Compact"/>
              <w:jc w:val="left"/>
            </w:pPr>
            <w:r>
              <w:t xml:space="preserve">Computer &gt; Admin Templates &gt; System &gt; Group Policy</w:t>
            </w:r>
          </w:p>
        </w:tc>
        <w:tc>
          <w:tcPr/>
          <w:p>
            <w:pPr>
              <w:pStyle w:val="Compact"/>
              <w:jc w:val="left"/>
            </w:pPr>
            <w:r>
              <w:t xml:space="preserve">Configure Group Policy slow link detection</w:t>
            </w:r>
          </w:p>
        </w:tc>
        <w:tc>
          <w:tcPr/>
          <w:p>
            <w:pPr>
              <w:pStyle w:val="Compact"/>
              <w:jc w:val="left"/>
            </w:pPr>
            <w:r>
              <w:t xml:space="preserve">N/A</w:t>
            </w:r>
          </w:p>
        </w:tc>
        <w:tc>
          <w:tcPr/>
          <w:p>
            <w:pPr>
              <w:pStyle w:val="Compact"/>
              <w:jc w:val="left"/>
            </w:pPr>
            <w:r>
              <w:t xml:space="preserve">Not applicable — Intune is always "connected"</w:t>
            </w:r>
          </w:p>
        </w:tc>
        <w:tc>
          <w:tcPr/>
          <w:p>
            <w:pPr>
              <w:pStyle w:val="Compact"/>
            </w:pPr>
            <w:r>
              <w:t xml:space="preserve">—</w:t>
            </w:r>
          </w:p>
        </w:tc>
        <w:tc>
          <w:tcPr/>
          <w:p>
            <w:pPr>
              <w:pStyle w:val="Compact"/>
            </w:pPr>
            <w:r>
              <w:t xml:space="preserve">Deprecated in Intune model</w:t>
            </w:r>
          </w:p>
        </w:tc>
      </w:tr>
      <w:tr>
        <w:tc>
          <w:tcPr/>
          <w:p>
            <w:pPr>
              <w:pStyle w:val="Compact"/>
              <w:jc w:val="left"/>
            </w:pPr>
            <w:r>
              <w:t xml:space="preserve">41</w:t>
            </w:r>
          </w:p>
        </w:tc>
        <w:tc>
          <w:tcPr/>
          <w:p>
            <w:pPr>
              <w:pStyle w:val="Compact"/>
              <w:jc w:val="left"/>
            </w:pPr>
            <w:r>
              <w:t xml:space="preserve">Computer &gt; Admin Templates &gt; Windows Components &gt; Internet Explorer</w:t>
            </w:r>
          </w:p>
        </w:tc>
        <w:tc>
          <w:tcPr/>
          <w:p>
            <w:pPr>
              <w:pStyle w:val="Compact"/>
              <w:jc w:val="left"/>
            </w:pPr>
            <w:r>
              <w:t xml:space="preserve">All IE settings</w:t>
            </w:r>
          </w:p>
        </w:tc>
        <w:tc>
          <w:tcPr/>
          <w:p>
            <w:pPr>
              <w:pStyle w:val="Compact"/>
              <w:jc w:val="left"/>
            </w:pPr>
            <w:r>
              <w:t xml:space="preserve">N/A</w:t>
            </w:r>
          </w:p>
        </w:tc>
        <w:tc>
          <w:tcPr/>
          <w:p>
            <w:pPr>
              <w:pStyle w:val="Compact"/>
              <w:jc w:val="left"/>
            </w:pPr>
            <w:r>
              <w:t xml:space="preserve">Replaced by SC-003 (Edge) — IE is deprecated</w:t>
            </w:r>
          </w:p>
        </w:tc>
        <w:tc>
          <w:tcPr/>
          <w:p>
            <w:pPr>
              <w:pStyle w:val="Compact"/>
            </w:pPr>
            <w:r>
              <w:t xml:space="preserve">SC-003</w:t>
            </w:r>
          </w:p>
        </w:tc>
        <w:tc>
          <w:tcPr/>
          <w:p>
            <w:pPr>
              <w:pStyle w:val="Compact"/>
            </w:pPr>
            <w:r>
              <w:t xml:space="preserve">IE mode in Edge if needed</w:t>
            </w:r>
          </w:p>
        </w:tc>
      </w:tr>
      <w:tr>
        <w:tc>
          <w:tcPr/>
          <w:p>
            <w:pPr>
              <w:pStyle w:val="Compact"/>
              <w:jc w:val="left"/>
            </w:pPr>
            <w:r>
              <w:t xml:space="preserve">42</w:t>
            </w:r>
          </w:p>
        </w:tc>
        <w:tc>
          <w:tcPr/>
          <w:p>
            <w:pPr>
              <w:pStyle w:val="Compact"/>
              <w:jc w:val="left"/>
            </w:pPr>
            <w:r>
              <w:t xml:space="preserve">Computer &gt; Admin Templates &gt; Printers</w:t>
            </w:r>
          </w:p>
        </w:tc>
        <w:tc>
          <w:tcPr/>
          <w:p>
            <w:pPr>
              <w:pStyle w:val="Compact"/>
              <w:jc w:val="left"/>
            </w:pPr>
            <w:r>
              <w:t xml:space="preserve">Point and Print restrictions</w:t>
            </w:r>
          </w:p>
        </w:tc>
        <w:tc>
          <w:tcPr/>
          <w:p>
            <w:pPr>
              <w:pStyle w:val="Compact"/>
              <w:jc w:val="left"/>
            </w:pPr>
            <w:r>
              <w:t xml:space="preserve">Settings Catalog</w:t>
            </w:r>
          </w:p>
        </w:tc>
        <w:tc>
          <w:tcPr/>
          <w:p>
            <w:pPr>
              <w:pStyle w:val="Compact"/>
              <w:jc w:val="left"/>
            </w:pPr>
            <w:r>
              <w:t xml:space="preserve">Point and Print Restrictions</w:t>
            </w:r>
          </w:p>
        </w:tc>
        <w:tc>
          <w:tcPr/>
          <w:p>
            <w:pPr>
              <w:pStyle w:val="Compact"/>
            </w:pPr>
            <w:r>
              <w:t xml:space="preserve">—</w:t>
            </w:r>
          </w:p>
        </w:tc>
        <w:tc>
          <w:tcPr/>
          <w:p>
            <w:pPr>
              <w:pStyle w:val="Compact"/>
            </w:pPr>
            <w:r>
              <w:t xml:space="preserve">PrintNightmare mitigation</w:t>
            </w:r>
          </w:p>
        </w:tc>
      </w:tr>
      <w:tr>
        <w:tc>
          <w:tcPr/>
          <w:p>
            <w:pPr>
              <w:pStyle w:val="Compact"/>
              <w:jc w:val="left"/>
            </w:pPr>
            <w:r>
              <w:t xml:space="preserve">43</w:t>
            </w:r>
          </w:p>
        </w:tc>
        <w:tc>
          <w:tcPr/>
          <w:p>
            <w:pPr>
              <w:pStyle w:val="Compact"/>
              <w:jc w:val="left"/>
            </w:pPr>
            <w:r>
              <w:t xml:space="preserve">Computer &gt; Admin Templates &gt; System &gt; Power Management</w:t>
            </w:r>
          </w:p>
        </w:tc>
        <w:tc>
          <w:tcPr/>
          <w:p>
            <w:pPr>
              <w:pStyle w:val="Compact"/>
              <w:jc w:val="left"/>
            </w:pPr>
            <w:r>
              <w:t xml:space="preserve">Sleep/hibernate settings</w:t>
            </w:r>
          </w:p>
        </w:tc>
        <w:tc>
          <w:tcPr/>
          <w:p>
            <w:pPr>
              <w:pStyle w:val="Compact"/>
              <w:jc w:val="left"/>
            </w:pPr>
            <w:r>
              <w:t xml:space="preserve">Settings Catalog</w:t>
            </w:r>
          </w:p>
        </w:tc>
        <w:tc>
          <w:tcPr/>
          <w:p>
            <w:pPr>
              <w:pStyle w:val="Compact"/>
              <w:jc w:val="left"/>
            </w:pPr>
            <w:r>
              <w:t xml:space="preserve">Power settings (various)</w:t>
            </w:r>
          </w:p>
        </w:tc>
        <w:tc>
          <w:tcPr/>
          <w:p>
            <w:pPr>
              <w:pStyle w:val="Compact"/>
            </w:pPr>
            <w:r>
              <w:t xml:space="preserve">—</w:t>
            </w:r>
          </w:p>
        </w:tc>
        <w:tc>
          <w:tcPr/>
          <w:p>
            <w:pPr>
              <w:pStyle w:val="Compact"/>
            </w:pPr>
            <w:r>
              <w:t xml:space="preserve">Device-type dependent</w:t>
            </w:r>
          </w:p>
        </w:tc>
      </w:tr>
      <w:tr>
        <w:tc>
          <w:tcPr/>
          <w:p>
            <w:pPr>
              <w:pStyle w:val="Compact"/>
              <w:jc w:val="left"/>
            </w:pPr>
            <w:r>
              <w:t xml:space="preserve">44</w:t>
            </w:r>
          </w:p>
        </w:tc>
        <w:tc>
          <w:tcPr/>
          <w:p>
            <w:pPr>
              <w:pStyle w:val="Compact"/>
              <w:jc w:val="left"/>
            </w:pPr>
            <w:r>
              <w:t xml:space="preserve">Computer &gt; Windows Settings &gt; Scripts</w:t>
            </w:r>
          </w:p>
        </w:tc>
        <w:tc>
          <w:tcPr/>
          <w:p>
            <w:pPr>
              <w:pStyle w:val="Compact"/>
              <w:jc w:val="left"/>
            </w:pPr>
            <w:r>
              <w:t xml:space="preserve">Startup/shutdown scripts</w:t>
            </w:r>
          </w:p>
        </w:tc>
        <w:tc>
          <w:tcPr/>
          <w:p>
            <w:pPr>
              <w:pStyle w:val="Compact"/>
              <w:jc w:val="left"/>
            </w:pPr>
            <w:r>
              <w:t xml:space="preserve">Intune Remediations / Win32 App</w:t>
            </w:r>
          </w:p>
        </w:tc>
        <w:tc>
          <w:tcPr/>
          <w:p>
            <w:pPr>
              <w:pStyle w:val="Compact"/>
              <w:jc w:val="left"/>
            </w:pPr>
            <w:r>
              <w:t xml:space="preserve">Proactive remediations or PowerShell scripts</w:t>
            </w:r>
          </w:p>
        </w:tc>
        <w:tc>
          <w:tcPr/>
          <w:p>
            <w:pPr>
              <w:pStyle w:val="Compact"/>
            </w:pPr>
            <w:r>
              <w:t xml:space="preserve">—</w:t>
            </w:r>
          </w:p>
        </w:tc>
        <w:tc>
          <w:tcPr/>
          <w:p>
            <w:pPr>
              <w:pStyle w:val="Compact"/>
            </w:pPr>
            <w:r>
              <w:t xml:space="preserve">Scripts run via Intune Scripts blade</w:t>
            </w:r>
          </w:p>
        </w:tc>
      </w:tr>
      <w:tr>
        <w:tc>
          <w:tcPr/>
          <w:p>
            <w:pPr>
              <w:pStyle w:val="Compact"/>
              <w:jc w:val="left"/>
            </w:pPr>
            <w:r>
              <w:t xml:space="preserve">45</w:t>
            </w:r>
          </w:p>
        </w:tc>
        <w:tc>
          <w:tcPr/>
          <w:p>
            <w:pPr>
              <w:pStyle w:val="Compact"/>
              <w:jc w:val="left"/>
            </w:pPr>
            <w:r>
              <w:t xml:space="preserve">User &gt; Windows Settings &gt; Scripts</w:t>
            </w:r>
          </w:p>
        </w:tc>
        <w:tc>
          <w:tcPr/>
          <w:p>
            <w:pPr>
              <w:pStyle w:val="Compact"/>
              <w:jc w:val="left"/>
            </w:pPr>
            <w:r>
              <w:t xml:space="preserve">Logon/logoff scripts (drive mappings)</w:t>
            </w:r>
          </w:p>
        </w:tc>
        <w:tc>
          <w:tcPr/>
          <w:p>
            <w:pPr>
              <w:pStyle w:val="Compact"/>
              <w:jc w:val="left"/>
            </w:pPr>
            <w:r>
              <w:t xml:space="preserve">Settings Catalog / Intune Scripts</w:t>
            </w:r>
          </w:p>
        </w:tc>
        <w:tc>
          <w:tcPr/>
          <w:p>
            <w:pPr>
              <w:pStyle w:val="Compact"/>
              <w:jc w:val="left"/>
            </w:pPr>
            <w:r>
              <w:t xml:space="preserve">OneDrive KFM + SharePoint shortcuts</w:t>
            </w:r>
          </w:p>
        </w:tc>
        <w:tc>
          <w:tcPr/>
          <w:p>
            <w:pPr>
              <w:pStyle w:val="Compact"/>
            </w:pPr>
            <w:r>
              <w:t xml:space="preserve">SC-004</w:t>
            </w:r>
          </w:p>
        </w:tc>
        <w:tc>
          <w:tcPr/>
          <w:p>
            <w:pPr>
              <w:pStyle w:val="Compact"/>
            </w:pPr>
            <w:r>
              <w:t xml:space="preserve">Drive maps replaced by KFM</w:t>
            </w:r>
          </w:p>
        </w:tc>
      </w:tr>
      <w:tr>
        <w:tc>
          <w:tcPr/>
          <w:p>
            <w:pPr>
              <w:pStyle w:val="Compact"/>
              <w:jc w:val="left"/>
            </w:pPr>
            <w:r>
              <w:t xml:space="preserve">46</w:t>
            </w:r>
          </w:p>
        </w:tc>
        <w:tc>
          <w:tcPr/>
          <w:p>
            <w:pPr>
              <w:pStyle w:val="Compact"/>
              <w:jc w:val="left"/>
            </w:pPr>
            <w:r>
              <w:t xml:space="preserve">Computer &gt; Admin Templates &gt; Windows Components &gt; Delivery Optimization</w:t>
            </w:r>
          </w:p>
        </w:tc>
        <w:tc>
          <w:tcPr/>
          <w:p>
            <w:pPr>
              <w:pStyle w:val="Compact"/>
              <w:jc w:val="left"/>
            </w:pPr>
            <w:r>
              <w:t xml:space="preserve">Download mode</w:t>
            </w:r>
          </w:p>
        </w:tc>
        <w:tc>
          <w:tcPr/>
          <w:p>
            <w:pPr>
              <w:pStyle w:val="Compact"/>
              <w:jc w:val="left"/>
            </w:pPr>
            <w:r>
              <w:t xml:space="preserve">Settings Catalog</w:t>
            </w:r>
          </w:p>
        </w:tc>
        <w:tc>
          <w:tcPr/>
          <w:p>
            <w:pPr>
              <w:pStyle w:val="Compact"/>
              <w:jc w:val="left"/>
            </w:pPr>
            <w:r>
              <w:t xml:space="preserve">DO Download Mode</w:t>
            </w:r>
          </w:p>
        </w:tc>
        <w:tc>
          <w:tcPr/>
          <w:p>
            <w:pPr>
              <w:pStyle w:val="Compact"/>
            </w:pPr>
            <w:r>
              <w:t xml:space="preserve">SC-005</w:t>
            </w:r>
          </w:p>
        </w:tc>
        <w:tc>
          <w:tcPr/>
          <w:p>
            <w:pPr>
              <w:pStyle w:val="Compact"/>
            </w:pPr>
            <w:r>
              <w:t xml:space="preserve">—</w:t>
            </w:r>
          </w:p>
        </w:tc>
      </w:tr>
      <w:tr>
        <w:tc>
          <w:tcPr/>
          <w:p>
            <w:pPr>
              <w:pStyle w:val="Compact"/>
              <w:jc w:val="left"/>
            </w:pPr>
            <w:r>
              <w:t xml:space="preserve">47</w:t>
            </w:r>
          </w:p>
        </w:tc>
        <w:tc>
          <w:tcPr/>
          <w:p>
            <w:pPr>
              <w:pStyle w:val="Compact"/>
              <w:jc w:val="left"/>
            </w:pPr>
            <w:r>
              <w:t xml:space="preserve">Computer &gt; Admin Templates &gt; Windows Components &gt; Data Collection</w:t>
            </w:r>
          </w:p>
        </w:tc>
        <w:tc>
          <w:tcPr/>
          <w:p>
            <w:pPr>
              <w:pStyle w:val="Compact"/>
              <w:jc w:val="left"/>
            </w:pPr>
            <w:r>
              <w:t xml:space="preserve">Allow Telemetry</w:t>
            </w:r>
          </w:p>
        </w:tc>
        <w:tc>
          <w:tcPr/>
          <w:p>
            <w:pPr>
              <w:pStyle w:val="Compact"/>
              <w:jc w:val="left"/>
            </w:pPr>
            <w:r>
              <w:t xml:space="preserve">Settings Catalog</w:t>
            </w:r>
          </w:p>
        </w:tc>
        <w:tc>
          <w:tcPr/>
          <w:p>
            <w:pPr>
              <w:pStyle w:val="Compact"/>
              <w:jc w:val="left"/>
            </w:pPr>
            <w:r>
              <w:t xml:space="preserve">Allow Telemetry</w:t>
            </w:r>
          </w:p>
        </w:tc>
        <w:tc>
          <w:tcPr/>
          <w:p>
            <w:pPr>
              <w:pStyle w:val="Compact"/>
            </w:pPr>
            <w:r>
              <w:t xml:space="preserve">—</w:t>
            </w:r>
          </w:p>
        </w:tc>
        <w:tc>
          <w:tcPr/>
          <w:p>
            <w:pPr>
              <w:pStyle w:val="Compact"/>
            </w:pPr>
            <w:r>
              <w:t xml:space="preserve">Required for WUfB reporting</w:t>
            </w:r>
          </w:p>
        </w:tc>
      </w:tr>
      <w:tr>
        <w:tc>
          <w:tcPr/>
          <w:p>
            <w:pPr>
              <w:pStyle w:val="Compact"/>
              <w:jc w:val="left"/>
            </w:pPr>
            <w:r>
              <w:t xml:space="preserve">48</w:t>
            </w:r>
          </w:p>
        </w:tc>
        <w:tc>
          <w:tcPr/>
          <w:p>
            <w:pPr>
              <w:pStyle w:val="Compact"/>
              <w:jc w:val="left"/>
            </w:pPr>
            <w:r>
              <w:t xml:space="preserve">Computer &gt; Admin Templates &gt; Windows Components &gt; Windows Defender Exploit Guard &gt; Network Protection</w:t>
            </w:r>
          </w:p>
        </w:tc>
        <w:tc>
          <w:tcPr/>
          <w:p>
            <w:pPr>
              <w:pStyle w:val="Compact"/>
              <w:jc w:val="left"/>
            </w:pPr>
            <w:r>
              <w:t xml:space="preserve">Prevent users and apps from accessing dangerous websites</w:t>
            </w:r>
          </w:p>
        </w:tc>
        <w:tc>
          <w:tcPr/>
          <w:p>
            <w:pPr>
              <w:pStyle w:val="Compact"/>
              <w:jc w:val="left"/>
            </w:pPr>
            <w:r>
              <w:t xml:space="preserve">Settings Catalog</w:t>
            </w:r>
          </w:p>
        </w:tc>
        <w:tc>
          <w:tcPr/>
          <w:p>
            <w:pPr>
              <w:pStyle w:val="Compact"/>
              <w:jc w:val="left"/>
            </w:pPr>
            <w:r>
              <w:t xml:space="preserve">Network Protection — Enable</w:t>
            </w:r>
          </w:p>
        </w:tc>
        <w:tc>
          <w:tcPr/>
          <w:p>
            <w:pPr>
              <w:pStyle w:val="Compact"/>
            </w:pPr>
            <w:r>
              <w:t xml:space="preserve">SC-002</w:t>
            </w:r>
          </w:p>
        </w:tc>
        <w:tc>
          <w:tcPr/>
          <w:p>
            <w:pPr>
              <w:pStyle w:val="Compact"/>
            </w:pPr>
            <w:r>
              <w:t xml:space="preserve">—</w:t>
            </w:r>
          </w:p>
        </w:tc>
      </w:tr>
      <w:tr>
        <w:tc>
          <w:tcPr/>
          <w:p>
            <w:pPr>
              <w:pStyle w:val="Compact"/>
              <w:jc w:val="left"/>
            </w:pPr>
            <w:r>
              <w:t xml:space="preserve">49</w:t>
            </w:r>
          </w:p>
        </w:tc>
        <w:tc>
          <w:tcPr/>
          <w:p>
            <w:pPr>
              <w:pStyle w:val="Compact"/>
              <w:jc w:val="left"/>
            </w:pPr>
            <w:r>
              <w:t xml:space="preserve">Computer &gt; Admin Templates &gt; Windows Components &gt; Microsoft Defender Antivirus</w:t>
            </w:r>
          </w:p>
        </w:tc>
        <w:tc>
          <w:tcPr/>
          <w:p>
            <w:pPr>
              <w:pStyle w:val="Compact"/>
              <w:jc w:val="left"/>
            </w:pPr>
            <w:r>
              <w:t xml:space="preserve">Configure PUA protection</w:t>
            </w:r>
          </w:p>
        </w:tc>
        <w:tc>
          <w:tcPr/>
          <w:p>
            <w:pPr>
              <w:pStyle w:val="Compact"/>
              <w:jc w:val="left"/>
            </w:pPr>
            <w:r>
              <w:t xml:space="preserve">Settings Catalog</w:t>
            </w:r>
          </w:p>
        </w:tc>
        <w:tc>
          <w:tcPr/>
          <w:p>
            <w:pPr>
              <w:pStyle w:val="Compact"/>
              <w:jc w:val="left"/>
            </w:pPr>
            <w:r>
              <w:t xml:space="preserve">PUA Protection</w:t>
            </w:r>
          </w:p>
        </w:tc>
        <w:tc>
          <w:tcPr/>
          <w:p>
            <w:pPr>
              <w:pStyle w:val="Compact"/>
            </w:pPr>
            <w:r>
              <w:t xml:space="preserve">SC-002</w:t>
            </w:r>
          </w:p>
        </w:tc>
        <w:tc>
          <w:tcPr/>
          <w:p>
            <w:pPr>
              <w:pStyle w:val="Compact"/>
            </w:pPr>
            <w:r>
              <w:t xml:space="preserve">—</w:t>
            </w:r>
          </w:p>
        </w:tc>
      </w:tr>
      <w:tr>
        <w:tc>
          <w:tcPr/>
          <w:p>
            <w:pPr>
              <w:pStyle w:val="Compact"/>
              <w:jc w:val="left"/>
            </w:pPr>
            <w:r>
              <w:t xml:space="preserve">50</w:t>
            </w:r>
          </w:p>
        </w:tc>
        <w:tc>
          <w:tcPr/>
          <w:p>
            <w:pPr>
              <w:pStyle w:val="Compact"/>
              <w:jc w:val="left"/>
            </w:pPr>
            <w:r>
              <w:t xml:space="preserve">Computer &gt; Admin Templates &gt; LAPS</w:t>
            </w:r>
          </w:p>
        </w:tc>
        <w:tc>
          <w:tcPr/>
          <w:p>
            <w:pPr>
              <w:pStyle w:val="Compact"/>
              <w:jc w:val="left"/>
            </w:pPr>
            <w:r>
              <w:t xml:space="preserve">LAPS password settings</w:t>
            </w:r>
          </w:p>
        </w:tc>
        <w:tc>
          <w:tcPr/>
          <w:p>
            <w:pPr>
              <w:pStyle w:val="Compact"/>
              <w:jc w:val="left"/>
            </w:pPr>
            <w:r>
              <w:t xml:space="preserve">Settings Catalog</w:t>
            </w:r>
          </w:p>
        </w:tc>
        <w:tc>
          <w:tcPr/>
          <w:p>
            <w:pPr>
              <w:pStyle w:val="Compact"/>
              <w:jc w:val="left"/>
            </w:pPr>
            <w:r>
              <w:t xml:space="preserve">Windows LAPS settings</w:t>
            </w:r>
          </w:p>
        </w:tc>
        <w:tc>
          <w:tcPr/>
          <w:p>
            <w:pPr>
              <w:pStyle w:val="Compact"/>
            </w:pPr>
            <w:r>
              <w:t xml:space="preserve">SC-008</w:t>
            </w:r>
          </w:p>
        </w:tc>
        <w:tc>
          <w:tcPr/>
          <w:p>
            <w:pPr>
              <w:pStyle w:val="Compact"/>
            </w:pPr>
            <w:r>
              <w:t xml:space="preserve">Azure AD backup replaces AD DS</w:t>
            </w:r>
          </w:p>
        </w:tc>
      </w:tr>
    </w:tbl>
    <w:p>
      <w:pPr>
        <w:pStyle w:val="BodyText"/>
      </w:pPr>
      <w:r>
        <w:t xml:space="preserve">8. Dynamic Group Templates</w:t>
      </w:r>
    </w:p>
    <w:p>
      <w:pPr>
        <w:pStyle w:val="BodyText"/>
      </w:pPr>
      <w:r>
        <w:t xml:space="preserve">The following PowerShell and Microsoft Graph examples create the dynamic device groups used for policy targeting throughout this document. All groups use the extension attribute schema (Section 1.4).</w:t>
      </w:r>
    </w:p>
    <w:p>
      <w:pPr>
        <w:pStyle w:val="BodyText"/>
      </w:pPr>
      <w:r>
        <w:t xml:space="preserve">8.1 Tier-Based Groups</w:t>
      </w:r>
    </w:p>
    <w:p>
      <w:pPr>
        <w:pStyle w:val="BodyText"/>
      </w:pPr>
      <w:r>
        <w:t xml:space="preserve">Tier 0 Devices — Privileged Access Workstations</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 PowerShell (Microsoft Graph SDK) New-MgGroup -DisplayName "FMP-Devices-Tier0" ` -Description "Tier 0 Privileged Access Workstations" ` -MailEnabled:$false ` -MailNickname "fmp-devices-tier0" ` -SecurityEnabled:$true ` -GroupTypes @("DynamicMembership") ` -MembershipRule '(device.extensionAttribute11 -eq "Tier0")' ` -MembershipRuleProcessingState "On"</w:t>
            </w:r>
          </w:p>
        </w:tc>
      </w:tr>
    </w:tbl>
    <w:p>
      <w:pPr>
        <w:pStyle w:val="BodyText"/>
      </w:pPr>
      <w:r>
        <w:t xml:space="preserve">Tier 1 Servers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"FMP-Devices-Tier1" ` -Description "Tier 1 Servers (Azure Arc enrolled)" ` -MailEnabled:$false ` -MailNickname "fmp-devices-tier1" ` -SecurityEnabled:$true ` -GroupTypes @("DynamicMembership") ` -MembershipRule '(device.extensionAttribute11 -eq "Tier1")' ` -MembershipRuleProcessingState "On"</w:t>
            </w:r>
          </w:p>
        </w:tc>
      </w:tr>
    </w:tbl>
    <w:p>
      <w:pPr>
        <w:pStyle w:val="BodyText"/>
      </w:pPr>
      <w:r>
        <w:t xml:space="preserve">Tier 2 Standard Workstations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"FMP-Devices-Tier2" ` -Description "Tier 2 Standard End-User Workstations" ` -MailEnabled:$false ` -MailNickname "fmp-devices-tier2" ` -SecurityEnabled:$true ` -GroupTypes @("DynamicMembership") ` -MembershipRule '(device.extensionAttribute11 -eq "Tier2")' ` -MembershipRuleProcessingState "On"</w:t>
            </w:r>
          </w:p>
        </w:tc>
      </w:tr>
    </w:tbl>
    <w:p>
      <w:pPr>
        <w:pStyle w:val="BodyText"/>
      </w:pPr>
      <w:r>
        <w:t xml:space="preserve">8.2 Environment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Production Devices New-MgGroup -DisplayName "FMP-Devices-Production" ` -Description "Production environment devices" ` -MailEnabled:$false -MailNickname "fmp-devices-prod" ` -SecurityEnabled:$true -GroupTypes @("DynamicMembership") ` -MembershipRule '(device.extensionAttribute13 -eq "Production")' ` -MembershipRuleProcessingState "On" # Staging Devices New-MgGroup -DisplayName "FMP-Devices-Staging" ` -Description "Staging environment devices" ` -MailEnabled:$false -MailNickname "fmp-devices-staging" ` -SecurityEnabled:$true -GroupTypes @("DynamicMembership") ` -MembershipRule '(device.extensionAttribute13 -eq "Staging")' ` -MembershipRuleProcessingState "On" # Dev Devices New-MgGroup -DisplayName "FMP-Devices-Dev" ` -Description "Development environment devices" ` -MailEnabled:$false -MailNickname "fmp-devices-dev" ` -SecurityEnabled:$true -GroupTypes @("DynamicMembership") ` -MembershipRule '(device.extensionAttribute13 -eq "Dev")' ` -MembershipRuleProcessingState "On"</w:t>
            </w:r>
          </w:p>
        </w:tc>
      </w:tr>
    </w:tbl>
    <w:p>
      <w:pPr>
        <w:pStyle w:val="BodyText"/>
      </w:pPr>
      <w:r>
        <w:t xml:space="preserve">8.3 Role-Based Groups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Kiosk Devices New-MgGroup -DisplayName "FMP-Devices-Kiosk" ` -Description "Kiosk and shared devices" ` -MailEnabled:$false -MailNickname "fmp-devices-kiosk" ` -SecurityEnabled:$true -GroupTypes @("DynamicMembership") ` -MembershipRule '(device.extensionAttribute12 -eq "Kiosk")' ` -MembershipRuleProcessingState "On"</w:t>
            </w:r>
          </w:p>
        </w:tc>
      </w:tr>
    </w:tbl>
    <w:p>
      <w:pPr>
        <w:pStyle w:val="BodyText"/>
      </w:pPr>
      <w:r>
        <w:t xml:space="preserve">8.4 Region, Site, and Department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Region — East New-MgGroup -DisplayName "FMP-Devices-Region-East" ` -Description "Devices in East region" ` -MailEnabled:$false -MailNickname "fmp-devices-east" ` -SecurityEnabled:$true -GroupTypes @("DynamicMembership") ` -MembershipRule '(device.extensionAttribute1 -eq "EASTUS")' ` -MembershipRuleProcessingState "On" # Department — Governance New-MgGroup -DisplayName "FMP-Devices-Dept-Governance" ` -Description "Devices assigned to Governance department" ` -MailEnabled:$false -MailNickname "fmp-devices-governance" ` -SecurityEnabled:$true -GroupTypes @("DynamicMembership") ` -MembershipRule '(device.extensionAttribute3 -eq "Governance")' ` -MembershipRuleProcessingState "On"</w:t>
            </w:r>
          </w:p>
        </w:tc>
      </w:tr>
    </w:tbl>
    <w:p>
      <w:pPr>
        <w:pStyle w:val="BodyText"/>
      </w:pPr>
      <w:r>
        <w:t xml:space="preserve">8.5 Graph API — REST Example</w:t>
      </w:r>
    </w:p>
    <w:tbl>
      <w:tblPr>
        <w:tblStyle w:val="Table"/>
        <w:tblW w:type="pct" w:w="4977"/>
        <w:tblLayout w:type="fixed"/>
        <w:tblLook w:firstRow="0" w:lastRow="0" w:firstColumn="0" w:lastColumn="0" w:noHBand="0" w:noVBand="0" w:val="0000"/>
      </w:tblPr>
      <w:tblGrid>
        <w:gridCol w:w="7883"/>
      </w:tblGrid>
      <w:tr>
        <w:tc>
          <w:tcPr/>
          <w:p>
            <w:pPr>
              <w:pStyle w:val="Compact"/>
              <w:jc w:val="left"/>
            </w:pPr>
            <w:r>
              <w:t xml:space="preserve">POST https://graph.microsoft.com/v1.0/groups Content-Type: application/json { "displayName": "FMP-Devices-Tier0", "description": "Tier 0 Privileged Access Workstations", "mailEnabled": false, "mailNickname": "fmp-devices-tier0", "securityEnabled": true, "groupTypes": ["DynamicMembership"], "membershipRule": "(device.extensionAttribute11 -eq \"Tier0\")", "membershipRuleProcessingState": "On" }</w:t>
            </w:r>
          </w:p>
        </w:tc>
      </w:tr>
    </w:tbl>
    <w:p/>
    <w:tbl>
      <w:tblPr>
        <w:tblStyle w:val="Table"/>
        <w:tblW w:type="pct" w:w="5023"/>
        <w:tblLayout w:type="fixed"/>
        <w:tblLook w:firstRow="0" w:lastRow="0" w:firstColumn="0" w:lastColumn="0" w:noHBand="0" w:noVBand="0" w:val="0000"/>
      </w:tblPr>
      <w:tblGrid>
        <w:gridCol w:w="7957"/>
      </w:tblGrid>
      <w:tr>
        <w:tc>
          <w:tcPr/>
          <w:p>
            <w:pPr>
              <w:pStyle w:val="FirstParagraph"/>
            </w:pPr>
            <w:r>
              <w:rPr>
                <w:b/>
                <w:bCs/>
              </w:rPr>
              <w:t xml:space="preserve">GCC-Moderate Note</w:t>
            </w:r>
          </w:p>
          <w:p>
            <w:pPr>
              <w:pStyle w:val="BodyText"/>
            </w:pPr>
            <w:r>
              <w:t xml:space="preserve">GCC-Moderate runs on the commercial Microsoft Graph, Entra, and Intune services: use</w:t>
            </w:r>
            <w:r>
              <w:t xml:space="preserve"> </w:t>
            </w:r>
            <w:r>
              <w:rPr>
                <w:b/>
                <w:bCs/>
              </w:rPr>
              <w:t xml:space="preserve">graph.microsoft.com</w:t>
            </w:r>
            <w:r>
              <w:t xml:space="preserve">,</w:t>
            </w:r>
            <w:r>
              <w:t xml:space="preserve"> </w:t>
            </w:r>
            <w:r>
              <w:rPr>
                <w:b/>
                <w:bCs/>
              </w:rPr>
              <w:t xml:space="preserve">entra.microsoft.com</w:t>
            </w:r>
            <w:r>
              <w:t xml:space="preserve">, and</w:t>
            </w:r>
            <w:r>
              <w:t xml:space="preserve"> </w:t>
            </w:r>
            <w:r>
              <w:rPr>
                <w:b/>
                <w:bCs/>
              </w:rPr>
              <w:t xml:space="preserve">intune.microsoft.com</w:t>
            </w:r>
            <w:r>
              <w:t xml:space="preserve">. The</w:t>
            </w:r>
            <w:r>
              <w:t xml:space="preserve"> </w:t>
            </w:r>
            <w:r>
              <w:rPr>
                <w:b/>
                <w:bCs/>
              </w:rPr>
              <w:t xml:space="preserve">.us</w:t>
            </w:r>
            <w:r>
              <w:t xml:space="preserve"> </w:t>
            </w:r>
            <w:r>
              <w:t xml:space="preserve">endpoints are for GCC High and</w:t>
            </w:r>
            <w:r>
              <w:t xml:space="preserve"> </w:t>
            </w:r>
            <w:r>
              <w:t xml:space="preserve">DoD.</w:t>
            </w:r>
          </w:p>
        </w:tc>
      </w:tr>
    </w:tbl>
    <w:p>
      <w:pPr>
        <w:pStyle w:val="BodyText"/>
      </w:pPr>
      <w:r>
        <w:t xml:space="preserve">9. Deployment Methodology</w:t>
      </w:r>
    </w:p>
    <w:p>
      <w:pPr>
        <w:pStyle w:val="BodyText"/>
      </w:pPr>
      <w:r>
        <w:t xml:space="preserve">The GPO-to-Intune migration follows a seven-phase methodology designed to minimize disruption, maintain security posture throughout the transition, and provide rollback capability at every stage.</w:t>
      </w:r>
    </w:p>
    <w:p>
      <w:pPr>
        <w:pStyle w:val="BodyText"/>
      </w:pPr>
      <w:r>
        <w:t xml:space="preserve">Phase 1: GPO Analysis</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Low (read-only)</w:t>
      </w:r>
    </w:p>
    <w:p>
      <w:pPr>
        <w:numPr>
          <w:ilvl w:val="0"/>
          <w:numId w:val="1316"/>
        </w:numPr>
      </w:pPr>
      <w:r>
        <w:t xml:space="preserve">Execute</w:t>
      </w:r>
      <w:r>
        <w:t xml:space="preserve"> </w:t>
      </w:r>
      <w:r>
        <w:rPr>
          <w:b/>
          <w:bCs/>
        </w:rPr>
        <w:t xml:space="preserve">Export-FMPGPOInventory</w:t>
      </w:r>
      <w:r>
        <w:t xml:space="preserve"> </w:t>
      </w:r>
      <w:r>
        <w:t xml:space="preserve">to catalog all existing GPOs, their link locations, security filtering, WMI filters, and individual settings.</w:t>
      </w:r>
    </w:p>
    <w:p>
      <w:pPr>
        <w:numPr>
          <w:ilvl w:val="0"/>
          <w:numId w:val="1316"/>
        </w:numPr>
      </w:pPr>
      <w:r>
        <w:t xml:space="preserve">Identify GPO conflicts (multiple GPOs setting the same value at different OU levels).</w:t>
      </w:r>
    </w:p>
    <w:p>
      <w:pPr>
        <w:numPr>
          <w:ilvl w:val="0"/>
          <w:numId w:val="1316"/>
        </w:numPr>
      </w:pPr>
      <w:r>
        <w:t xml:space="preserve">Categorize each GPO setting as: Direct Intune equivalent, Partial equivalent (requires adaptation), No equivalent (requires custom OMA-URI or alternative approach), or Deprecated (no longer needed in cloud-native model).</w:t>
      </w:r>
    </w:p>
    <w:p>
      <w:pPr>
        <w:numPr>
          <w:ilvl w:val="0"/>
          <w:numId w:val="1316"/>
        </w:numPr>
      </w:pPr>
      <w:r>
        <w:t xml:space="preserve">Document baseline: current effective policy per device tier for comparison testing.</w:t>
      </w:r>
    </w:p>
    <w:p>
      <w:pPr>
        <w:pStyle w:val="FirstParagraph"/>
      </w:pPr>
      <w:r>
        <w:rPr>
          <w:b/>
          <w:bCs/>
        </w:rPr>
        <w:t xml:space="preserve">Rollback:</w:t>
      </w:r>
      <w:r>
        <w:t xml:space="preserve"> </w:t>
      </w:r>
      <w:r>
        <w:t xml:space="preserve">N/A — this phase is read-only analysis.</w:t>
      </w:r>
    </w:p>
    <w:p>
      <w:pPr>
        <w:pStyle w:val="BodyText"/>
      </w:pPr>
      <w:r>
        <w:t xml:space="preserve">Phase 2: Intune Group Policy Analytics</w:t>
      </w:r>
    </w:p>
    <w:p>
      <w:pPr>
        <w:pStyle w:val="BodyText"/>
      </w:pPr>
      <w:r>
        <w:rPr>
          <w:b/>
          <w:bCs/>
        </w:rPr>
        <w:t xml:space="preserve">Duration:</w:t>
      </w:r>
      <w:r>
        <w:t xml:space="preserve"> </w:t>
      </w:r>
      <w:r>
        <w:t xml:space="preserve">1–2 weeks |</w:t>
      </w:r>
      <w:r>
        <w:t xml:space="preserve"> </w:t>
      </w:r>
      <w:r>
        <w:rPr>
          <w:b/>
          <w:bCs/>
        </w:rPr>
        <w:t xml:space="preserve">Risk:</w:t>
      </w:r>
      <w:r>
        <w:t xml:space="preserve"> </w:t>
      </w:r>
      <w:r>
        <w:t xml:space="preserve">Low</w:t>
      </w:r>
    </w:p>
    <w:p>
      <w:pPr>
        <w:numPr>
          <w:ilvl w:val="0"/>
          <w:numId w:val="1317"/>
        </w:numPr>
      </w:pPr>
      <w:r>
        <w:t xml:space="preserve">Export GPO XML from GPMC (Get-GPOReport -ReportType Xml).</w:t>
      </w:r>
    </w:p>
    <w:p>
      <w:pPr>
        <w:numPr>
          <w:ilvl w:val="0"/>
          <w:numId w:val="1317"/>
        </w:numPr>
      </w:pPr>
      <w:r>
        <w:t xml:space="preserve">Import GPO XML into Intune &gt; Devices &gt; Group Policy analytics.</w:t>
      </w:r>
    </w:p>
    <w:p>
      <w:pPr>
        <w:numPr>
          <w:ilvl w:val="0"/>
          <w:numId w:val="1317"/>
        </w:numPr>
      </w:pPr>
      <w:r>
        <w:t xml:space="preserve">Review the readiness report: percentage of settings with MDM equivalents.</w:t>
      </w:r>
    </w:p>
    <w:p>
      <w:pPr>
        <w:numPr>
          <w:ilvl w:val="0"/>
          <w:numId w:val="1317"/>
        </w:numPr>
      </w:pPr>
      <w:r>
        <w:t xml:space="preserve">Identify gaps requiring custom OMA-URI policies or Intune Remediations (PowerShell scripts).</w:t>
      </w:r>
    </w:p>
    <w:p>
      <w:pPr>
        <w:numPr>
          <w:ilvl w:val="0"/>
          <w:numId w:val="1317"/>
        </w:numPr>
      </w:pPr>
      <w:r>
        <w:t xml:space="preserve">Prioritize migration order based on readiness score and security impact.</w:t>
      </w:r>
    </w:p>
    <w:p>
      <w:pPr>
        <w:pStyle w:val="FirstParagraph"/>
      </w:pPr>
      <w:r>
        <w:rPr>
          <w:b/>
          <w:bCs/>
        </w:rPr>
        <w:t xml:space="preserve">Rollback:</w:t>
      </w:r>
      <w:r>
        <w:t xml:space="preserve"> </w:t>
      </w:r>
      <w:r>
        <w:t xml:space="preserve">Delete imported GPO reports from Intune analytics.</w:t>
      </w:r>
    </w:p>
    <w:p>
      <w:pPr>
        <w:pStyle w:val="BodyText"/>
      </w:pPr>
      <w:r>
        <w:t xml:space="preserve">Phase 3: Policy Creation</w:t>
      </w:r>
    </w:p>
    <w:p>
      <w:pPr>
        <w:pStyle w:val="BodyText"/>
      </w:pPr>
      <w:r>
        <w:rPr>
          <w:b/>
          <w:bCs/>
        </w:rPr>
        <w:t xml:space="preserve">Duration:</w:t>
      </w:r>
      <w:r>
        <w:t xml:space="preserve"> </w:t>
      </w:r>
      <w:r>
        <w:t xml:space="preserve">3–4 weeks |</w:t>
      </w:r>
      <w:r>
        <w:t xml:space="preserve"> </w:t>
      </w:r>
      <w:r>
        <w:rPr>
          <w:b/>
          <w:bCs/>
        </w:rPr>
        <w:t xml:space="preserve">Risk:</w:t>
      </w:r>
      <w:r>
        <w:t xml:space="preserve"> </w:t>
      </w:r>
      <w:r>
        <w:t xml:space="preserve">Low (policies created but not assigned)</w:t>
      </w:r>
    </w:p>
    <w:p>
      <w:pPr>
        <w:numPr>
          <w:ilvl w:val="0"/>
          <w:numId w:val="1318"/>
        </w:numPr>
      </w:pPr>
      <w:r>
        <w:t xml:space="preserve">Build all Intune policies from this template library (CP-001 through AP-002).</w:t>
      </w:r>
    </w:p>
    <w:p>
      <w:pPr>
        <w:numPr>
          <w:ilvl w:val="0"/>
          <w:numId w:val="1318"/>
        </w:numPr>
      </w:pPr>
      <w:r>
        <w:t xml:space="preserve">Create policies in</w:t>
      </w:r>
      <w:r>
        <w:t xml:space="preserve"> </w:t>
      </w:r>
      <w:r>
        <w:rPr>
          <w:b/>
          <w:bCs/>
        </w:rPr>
        <w:t xml:space="preserve">report-only</w:t>
      </w:r>
      <w:r>
        <w:t xml:space="preserve"> </w:t>
      </w:r>
      <w:r>
        <w:t xml:space="preserve">or</w:t>
      </w:r>
      <w:r>
        <w:t xml:space="preserve"> </w:t>
      </w:r>
      <w:r>
        <w:rPr>
          <w:b/>
          <w:bCs/>
        </w:rPr>
        <w:t xml:space="preserve">audit mode</w:t>
      </w:r>
      <w:r>
        <w:t xml:space="preserve"> </w:t>
      </w:r>
      <w:r>
        <w:t xml:space="preserve">where applicable (ASR rules, Controlled Folder Access).</w:t>
      </w:r>
    </w:p>
    <w:p>
      <w:pPr>
        <w:numPr>
          <w:ilvl w:val="0"/>
          <w:numId w:val="1318"/>
        </w:numPr>
      </w:pPr>
      <w:r>
        <w:t xml:space="preserve">Apply scope tags for administrative delegation.</w:t>
      </w:r>
    </w:p>
    <w:p>
      <w:pPr>
        <w:numPr>
          <w:ilvl w:val="0"/>
          <w:numId w:val="1318"/>
        </w:numPr>
      </w:pPr>
      <w:r>
        <w:t xml:space="preserve">Create dynamic groups per Section 8 but do not assign policies yet.</w:t>
      </w:r>
    </w:p>
    <w:p>
      <w:pPr>
        <w:numPr>
          <w:ilvl w:val="0"/>
          <w:numId w:val="1318"/>
        </w:numPr>
      </w:pPr>
      <w:r>
        <w:t xml:space="preserve">Peer review all policy settings against this document.</w:t>
      </w:r>
    </w:p>
    <w:p>
      <w:pPr>
        <w:pStyle w:val="FirstParagraph"/>
      </w:pPr>
      <w:r>
        <w:rPr>
          <w:b/>
          <w:bCs/>
        </w:rPr>
        <w:t xml:space="preserve">Rollback:</w:t>
      </w:r>
      <w:r>
        <w:t xml:space="preserve"> </w:t>
      </w:r>
      <w:r>
        <w:t xml:space="preserve">Delete unassigned policies from Intune.</w:t>
      </w:r>
    </w:p>
    <w:p>
      <w:pPr>
        <w:pStyle w:val="BodyText"/>
      </w:pPr>
      <w:r>
        <w:t xml:space="preserve">Phase 4: Co-Management Enablement</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Medium</w:t>
      </w:r>
    </w:p>
    <w:p>
      <w:pPr>
        <w:numPr>
          <w:ilvl w:val="0"/>
          <w:numId w:val="1319"/>
        </w:numPr>
      </w:pPr>
      <w:r>
        <w:t xml:space="preserve">Enable co-management in SCCM/MECM for pilot collection.</w:t>
      </w:r>
    </w:p>
    <w:p>
      <w:pPr>
        <w:numPr>
          <w:ilvl w:val="0"/>
          <w:numId w:val="1319"/>
        </w:numPr>
      </w:pPr>
      <w:r>
        <w:t xml:space="preserve">Set all workload sliders to</w:t>
      </w:r>
      <w:r>
        <w:t xml:space="preserve"> </w:t>
      </w:r>
      <w:r>
        <w:rPr>
          <w:b/>
          <w:bCs/>
        </w:rPr>
        <w:t xml:space="preserve">Pilot Intune</w:t>
      </w:r>
      <w:r>
        <w:t xml:space="preserve"> </w:t>
      </w:r>
      <w:r>
        <w:t xml:space="preserve">initially.</w:t>
      </w:r>
    </w:p>
    <w:p>
      <w:pPr>
        <w:numPr>
          <w:ilvl w:val="0"/>
          <w:numId w:val="1319"/>
        </w:numPr>
      </w:pPr>
      <w:r>
        <w:t xml:space="preserve">Enroll pilot devices in co-management; verify hybrid Azure AD join or Entra join status.</w:t>
      </w:r>
    </w:p>
    <w:p>
      <w:pPr>
        <w:numPr>
          <w:ilvl w:val="0"/>
          <w:numId w:val="1319"/>
        </w:numPr>
      </w:pPr>
      <w:r>
        <w:t xml:space="preserve">Confirm Intune enrollment and communication (check last sync time).</w:t>
      </w:r>
    </w:p>
    <w:p>
      <w:pPr>
        <w:numPr>
          <w:ilvl w:val="0"/>
          <w:numId w:val="1319"/>
        </w:numPr>
      </w:pPr>
      <w:r>
        <w:t xml:space="preserve">Validate that existing SCCM policies continue to apply for workloads still on SCCM slider.</w:t>
      </w:r>
    </w:p>
    <w:p>
      <w:pPr>
        <w:pStyle w:val="FirstParagraph"/>
      </w:pPr>
      <w:r>
        <w:rPr>
          <w:b/>
          <w:bCs/>
        </w:rPr>
        <w:t xml:space="preserve">Rollback:</w:t>
      </w:r>
      <w:r>
        <w:t xml:space="preserve"> </w:t>
      </w:r>
      <w:r>
        <w:t xml:space="preserve">Move workload sliders back to Configuration Manager. Remove devices from co-management pilot collection.</w:t>
      </w:r>
    </w:p>
    <w:p>
      <w:pPr>
        <w:pStyle w:val="BodyText"/>
      </w:pPr>
      <w:r>
        <w:t xml:space="preserve">Phase 5: Pilot Deployment</w:t>
      </w:r>
    </w:p>
    <w:p>
      <w:pPr>
        <w:pStyle w:val="BodyText"/>
      </w:pPr>
      <w:r>
        <w:rPr>
          <w:b/>
          <w:bCs/>
        </w:rPr>
        <w:t xml:space="preserve">Duration:</w:t>
      </w:r>
      <w:r>
        <w:t xml:space="preserve"> </w:t>
      </w:r>
      <w:r>
        <w:t xml:space="preserve">4–6 weeks |</w:t>
      </w:r>
      <w:r>
        <w:t xml:space="preserve"> </w:t>
      </w:r>
      <w:r>
        <w:rPr>
          <w:b/>
          <w:bCs/>
        </w:rPr>
        <w:t xml:space="preserve">Risk:</w:t>
      </w:r>
      <w:r>
        <w:t xml:space="preserve"> </w:t>
      </w:r>
      <w:r>
        <w:t xml:space="preserve">Medium</w:t>
      </w:r>
    </w:p>
    <w:p>
      <w:pPr>
        <w:numPr>
          <w:ilvl w:val="0"/>
          <w:numId w:val="1320"/>
        </w:numPr>
      </w:pPr>
      <w:r>
        <w:t xml:space="preserve">Target 5% of devices (representative sample across tiers, regions, departments).</w:t>
      </w:r>
    </w:p>
    <w:p>
      <w:pPr>
        <w:numPr>
          <w:ilvl w:val="0"/>
          <w:numId w:val="1320"/>
        </w:numPr>
      </w:pPr>
      <w:r>
        <w:t xml:space="preserve">Assign compliance policies (CP-001/CP-003) to pilot groups with extended grace periods (e.g., 7 days instead of 24 hours).</w:t>
      </w:r>
    </w:p>
    <w:p>
      <w:pPr>
        <w:numPr>
          <w:ilvl w:val="0"/>
          <w:numId w:val="1320"/>
        </w:numPr>
      </w:pPr>
      <w:r>
        <w:t xml:space="preserve">Assign configuration profiles (SC-001 through SC-010) to pilot groups.</w:t>
      </w:r>
    </w:p>
    <w:p>
      <w:pPr>
        <w:numPr>
          <w:ilvl w:val="0"/>
          <w:numId w:val="1320"/>
        </w:numPr>
      </w:pPr>
      <w:r>
        <w:t xml:space="preserve">Run GPO and Intune in parallel — GPO via OU link, Intune via dynamic group.</w:t>
      </w:r>
    </w:p>
    <w:p>
      <w:pPr>
        <w:numPr>
          <w:ilvl w:val="0"/>
          <w:numId w:val="1320"/>
        </w:numPr>
      </w:pPr>
      <w:r>
        <w:t xml:space="preserve">Monitor for conflicts: compare GPO RSOP (gpresult /h) against Intune device configuration status.</w:t>
      </w:r>
    </w:p>
    <w:p>
      <w:pPr>
        <w:numPr>
          <w:ilvl w:val="0"/>
          <w:numId w:val="1320"/>
        </w:numPr>
      </w:pPr>
      <w:r>
        <w:t xml:space="preserve">Validate application behavior, user experience, and security posture against Phase 1 baseline.</w:t>
      </w:r>
    </w:p>
    <w:p>
      <w:pPr>
        <w:numPr>
          <w:ilvl w:val="0"/>
          <w:numId w:val="1320"/>
        </w:numPr>
      </w:pPr>
      <w:r>
        <w:t xml:space="preserve">Collect user feedback; document issues and exceptions.</w:t>
      </w:r>
    </w:p>
    <w:p>
      <w:pPr>
        <w:pStyle w:val="FirstParagraph"/>
      </w:pPr>
      <w:r>
        <w:rPr>
          <w:b/>
          <w:bCs/>
        </w:rPr>
        <w:t xml:space="preserve">Rollback:</w:t>
      </w:r>
      <w:r>
        <w:t xml:space="preserve"> </w:t>
      </w:r>
      <w:r>
        <w:t xml:space="preserve">Remove policy assignments from pilot groups. GPO continues to apply unchanged.</w:t>
      </w:r>
    </w:p>
    <w:p>
      <w:pPr>
        <w:pStyle w:val="BodyText"/>
      </w:pPr>
      <w:r>
        <w:t xml:space="preserve">Phase 6: Expand and Transition</w:t>
      </w:r>
    </w:p>
    <w:p>
      <w:pPr>
        <w:pStyle w:val="BodyText"/>
      </w:pPr>
      <w:r>
        <w:rPr>
          <w:b/>
          <w:bCs/>
        </w:rPr>
        <w:t xml:space="preserve">Duration:</w:t>
      </w:r>
      <w:r>
        <w:t xml:space="preserve"> </w:t>
      </w:r>
      <w:r>
        <w:t xml:space="preserve">8–12 weeks (phased by workload) |</w:t>
      </w:r>
      <w:r>
        <w:t xml:space="preserve"> </w:t>
      </w:r>
      <w:r>
        <w:rPr>
          <w:b/>
          <w:bCs/>
        </w:rPr>
        <w:t xml:space="preserve">Risk:</w:t>
      </w:r>
      <w:r>
        <w:t xml:space="preserve"> </w:t>
      </w:r>
      <w:r>
        <w:t xml:space="preserve">Medium-High</w:t>
      </w:r>
    </w:p>
    <w:p>
      <w:pPr>
        <w:numPr>
          <w:ilvl w:val="0"/>
          <w:numId w:val="1321"/>
        </w:numPr>
      </w:pPr>
      <w:r>
        <w:rPr>
          <w:b/>
          <w:bCs/>
        </w:rPr>
        <w:t xml:space="preserve">Wave 1 (Weeks 1–3):</w:t>
      </w:r>
      <w:r>
        <w:t xml:space="preserve"> </w:t>
      </w:r>
      <w:r>
        <w:t xml:space="preserve">Move compliance workload slider to Intune for all devices. Assign CP-001 through CP-005 to production groups.</w:t>
      </w:r>
    </w:p>
    <w:p>
      <w:pPr>
        <w:numPr>
          <w:ilvl w:val="0"/>
          <w:numId w:val="1321"/>
        </w:numPr>
      </w:pPr>
      <w:r>
        <w:rPr>
          <w:b/>
          <w:bCs/>
        </w:rPr>
        <w:t xml:space="preserve">Wave 2 (Weeks 4–6):</w:t>
      </w:r>
      <w:r>
        <w:t xml:space="preserve"> </w:t>
      </w:r>
      <w:r>
        <w:t xml:space="preserve">Move device configuration workload. Assign SC-001 through SC-010. Unlink corresponding GPOs.</w:t>
      </w:r>
    </w:p>
    <w:p>
      <w:pPr>
        <w:numPr>
          <w:ilvl w:val="0"/>
          <w:numId w:val="1321"/>
        </w:numPr>
      </w:pPr>
      <w:r>
        <w:rPr>
          <w:b/>
          <w:bCs/>
        </w:rPr>
        <w:t xml:space="preserve">Wave 3 (Weeks 7–9):</w:t>
      </w:r>
      <w:r>
        <w:t xml:space="preserve"> </w:t>
      </w:r>
      <w:r>
        <w:t xml:space="preserve">Move endpoint protection workload. Assign ES-001 through ES-006.</w:t>
      </w:r>
    </w:p>
    <w:p>
      <w:pPr>
        <w:numPr>
          <w:ilvl w:val="0"/>
          <w:numId w:val="1321"/>
        </w:numPr>
      </w:pPr>
      <w:r>
        <w:rPr>
          <w:b/>
          <w:bCs/>
        </w:rPr>
        <w:t xml:space="preserve">Wave 4 (Weeks 10–12):</w:t>
      </w:r>
      <w:r>
        <w:t xml:space="preserve"> </w:t>
      </w:r>
      <w:r>
        <w:t xml:space="preserve">Move Windows Update workload. Decommission WSUS for migrated devices. Assign WUfB rings.</w:t>
      </w:r>
    </w:p>
    <w:p>
      <w:pPr>
        <w:numPr>
          <w:ilvl w:val="0"/>
          <w:numId w:val="1321"/>
        </w:numPr>
      </w:pPr>
      <w:r>
        <w:t xml:space="preserve">For each wave: validate, monitor 72 hours, then proceed to next wave.</w:t>
      </w:r>
    </w:p>
    <w:p>
      <w:pPr>
        <w:pStyle w:val="FirstParagraph"/>
      </w:pPr>
      <w:r>
        <w:rPr>
          <w:b/>
          <w:bCs/>
        </w:rPr>
        <w:t xml:space="preserve">Rollback:</w:t>
      </w:r>
      <w:r>
        <w:t xml:space="preserve"> </w:t>
      </w:r>
      <w:r>
        <w:t xml:space="preserve">Move workload slider back to Configuration Manager for the affected workload. Re-link GPOs.</w:t>
      </w:r>
    </w:p>
    <w:p>
      <w:pPr>
        <w:pStyle w:val="BodyText"/>
      </w:pPr>
      <w:r>
        <w:t xml:space="preserve">Phase 7: GPO Sunset</w:t>
      </w:r>
    </w:p>
    <w:p>
      <w:pPr>
        <w:pStyle w:val="BodyText"/>
      </w:pPr>
      <w:r>
        <w:rPr>
          <w:b/>
          <w:bCs/>
        </w:rPr>
        <w:t xml:space="preserve">Duration:</w:t>
      </w:r>
      <w:r>
        <w:t xml:space="preserve"> </w:t>
      </w:r>
      <w:r>
        <w:t xml:space="preserve">2–4 weeks |</w:t>
      </w:r>
      <w:r>
        <w:t xml:space="preserve"> </w:t>
      </w:r>
      <w:r>
        <w:rPr>
          <w:b/>
          <w:bCs/>
        </w:rPr>
        <w:t xml:space="preserve">Risk:</w:t>
      </w:r>
      <w:r>
        <w:t xml:space="preserve"> </w:t>
      </w:r>
      <w:r>
        <w:t xml:space="preserve">Low (if Phases 5–6 validated)</w:t>
      </w:r>
    </w:p>
    <w:p>
      <w:pPr>
        <w:numPr>
          <w:ilvl w:val="0"/>
          <w:numId w:val="1322"/>
        </w:numPr>
      </w:pPr>
      <w:r>
        <w:t xml:space="preserve">Unlink GPOs from OUs for settings now managed by Intune.</w:t>
      </w:r>
    </w:p>
    <w:p>
      <w:pPr>
        <w:numPr>
          <w:ilvl w:val="0"/>
          <w:numId w:val="1322"/>
        </w:numPr>
      </w:pPr>
      <w:r>
        <w:t xml:space="preserve">Block inheritance on migrated OUs to prevent stale GPO application.</w:t>
      </w:r>
    </w:p>
    <w:p>
      <w:pPr>
        <w:numPr>
          <w:ilvl w:val="0"/>
          <w:numId w:val="1322"/>
        </w:numPr>
      </w:pPr>
      <w:r>
        <w:t xml:space="preserve">Disable (do not delete) GPO objects — retain for 90 days as rollback safety net.</w:t>
      </w:r>
    </w:p>
    <w:p>
      <w:pPr>
        <w:numPr>
          <w:ilvl w:val="0"/>
          <w:numId w:val="1322"/>
        </w:numPr>
      </w:pPr>
      <w:r>
        <w:t xml:space="preserve">After 90 days with no issues: archive GPO objects and delete from Active Directory.</w:t>
      </w:r>
    </w:p>
    <w:p>
      <w:pPr>
        <w:numPr>
          <w:ilvl w:val="0"/>
          <w:numId w:val="1322"/>
        </w:numPr>
      </w:pPr>
      <w:r>
        <w:t xml:space="preserve">Update the Federal Modernization Program documentation to reflect Intune as authoritative source.</w:t>
      </w:r>
    </w:p>
    <w:p>
      <w:pPr>
        <w:pStyle w:val="FirstParagraph"/>
      </w:pPr>
      <w:r>
        <w:rPr>
          <w:b/>
          <w:bCs/>
        </w:rPr>
        <w:t xml:space="preserve">Rollback:</w:t>
      </w:r>
      <w:r>
        <w:t xml:space="preserve"> </w:t>
      </w:r>
      <w:r>
        <w:t xml:space="preserve">Re-enable and re-link GPOs. Move co-management workload sliders back.</w:t>
      </w:r>
    </w:p>
    <w:p>
      <w:pPr>
        <w:pStyle w:val="BodyText"/>
      </w:pPr>
      <w:r>
        <w:t xml:space="preserve">Deployment Timeline Summary</w:t>
      </w:r>
    </w:p>
    <w:tbl>
      <w:tblPr>
        <w:tblStyle w:val="Table"/>
        <w:tblW w:type="pct" w:w="4872"/>
        <w:tblLayout w:type="fixed"/>
        <w:tblLook w:firstRow="1" w:lastRow="0" w:firstColumn="0" w:lastColumn="0" w:noHBand="0" w:noVBand="0" w:val="0020"/>
      </w:tblPr>
      <w:tblGrid>
        <w:gridCol w:w="2741"/>
        <w:gridCol w:w="1523"/>
        <w:gridCol w:w="1726"/>
        <w:gridCol w:w="1726"/>
      </w:tblGrid>
      <w:tr>
        <w:trPr>
          <w:tblHeader w:val="on"/>
        </w:trPr>
        <w:tc>
          <w:tcPr/>
          <w:p>
            <w:pPr>
              <w:pStyle w:val="Compact"/>
              <w:jc w:val="left"/>
            </w:pPr>
            <w:r>
              <w:rPr>
                <w:b/>
                <w:bCs/>
              </w:rPr>
              <w:t xml:space="preserve">Phase</w:t>
            </w:r>
          </w:p>
        </w:tc>
        <w:tc>
          <w:tcPr/>
          <w:p>
            <w:pPr>
              <w:pStyle w:val="Compact"/>
              <w:jc w:val="left"/>
            </w:pPr>
            <w:r>
              <w:rPr>
                <w:b/>
                <w:bCs/>
              </w:rPr>
              <w:t xml:space="preserve">Duration</w:t>
            </w:r>
          </w:p>
        </w:tc>
        <w:tc>
          <w:tcPr/>
          <w:p>
            <w:pPr>
              <w:pStyle w:val="Compact"/>
              <w:jc w:val="left"/>
            </w:pPr>
            <w:r>
              <w:rPr>
                <w:b/>
                <w:bCs/>
              </w:rPr>
              <w:t xml:space="preserve">Cumulative</w:t>
            </w:r>
          </w:p>
        </w:tc>
        <w:tc>
          <w:tcPr/>
          <w:p>
            <w:pPr>
              <w:pStyle w:val="Compact"/>
              <w:jc w:val="left"/>
            </w:pPr>
            <w:r>
              <w:rPr>
                <w:b/>
                <w:bCs/>
              </w:rPr>
              <w:t xml:space="preserve">Risk Level</w:t>
            </w:r>
          </w:p>
        </w:tc>
      </w:tr>
      <w:tr>
        <w:tc>
          <w:tcPr/>
          <w:p>
            <w:pPr>
              <w:pStyle w:val="Compact"/>
              <w:jc w:val="left"/>
            </w:pPr>
            <w:r>
              <w:t xml:space="preserve">Phase 1: GPO Analysis</w:t>
            </w:r>
          </w:p>
        </w:tc>
        <w:tc>
          <w:tcPr/>
          <w:p>
            <w:pPr>
              <w:pStyle w:val="Compact"/>
              <w:jc w:val="left"/>
            </w:pPr>
            <w:r>
              <w:t xml:space="preserve">2–3 weeks</w:t>
            </w:r>
          </w:p>
        </w:tc>
        <w:tc>
          <w:tcPr/>
          <w:p>
            <w:pPr>
              <w:pStyle w:val="Compact"/>
              <w:jc w:val="left"/>
            </w:pPr>
            <w:r>
              <w:t xml:space="preserve">Week 3</w:t>
            </w:r>
          </w:p>
        </w:tc>
        <w:tc>
          <w:tcPr/>
          <w:p>
            <w:pPr>
              <w:pStyle w:val="Compact"/>
              <w:jc w:val="left"/>
            </w:pPr>
            <w:r>
              <w:t xml:space="preserve">Low</w:t>
            </w:r>
          </w:p>
        </w:tc>
      </w:tr>
      <w:tr>
        <w:tc>
          <w:tcPr/>
          <w:p>
            <w:pPr>
              <w:pStyle w:val="Compact"/>
              <w:jc w:val="left"/>
            </w:pPr>
            <w:r>
              <w:t xml:space="preserve">Phase 2: GP Analytics</w:t>
            </w:r>
          </w:p>
        </w:tc>
        <w:tc>
          <w:tcPr/>
          <w:p>
            <w:pPr>
              <w:pStyle w:val="Compact"/>
              <w:jc w:val="left"/>
            </w:pPr>
            <w:r>
              <w:t xml:space="preserve">1–2 weeks</w:t>
            </w:r>
          </w:p>
        </w:tc>
        <w:tc>
          <w:tcPr/>
          <w:p>
            <w:pPr>
              <w:pStyle w:val="Compact"/>
              <w:jc w:val="left"/>
            </w:pPr>
            <w:r>
              <w:t xml:space="preserve">Week 5</w:t>
            </w:r>
          </w:p>
        </w:tc>
        <w:tc>
          <w:tcPr/>
          <w:p>
            <w:pPr>
              <w:pStyle w:val="Compact"/>
              <w:jc w:val="left"/>
            </w:pPr>
            <w:r>
              <w:t xml:space="preserve">Low</w:t>
            </w:r>
          </w:p>
        </w:tc>
      </w:tr>
      <w:tr>
        <w:tc>
          <w:tcPr/>
          <w:p>
            <w:pPr>
              <w:pStyle w:val="Compact"/>
              <w:jc w:val="left"/>
            </w:pPr>
            <w:r>
              <w:t xml:space="preserve">Phase 3: Policy Creation</w:t>
            </w:r>
          </w:p>
        </w:tc>
        <w:tc>
          <w:tcPr/>
          <w:p>
            <w:pPr>
              <w:pStyle w:val="Compact"/>
              <w:jc w:val="left"/>
            </w:pPr>
            <w:r>
              <w:t xml:space="preserve">3–4 weeks</w:t>
            </w:r>
          </w:p>
        </w:tc>
        <w:tc>
          <w:tcPr/>
          <w:p>
            <w:pPr>
              <w:pStyle w:val="Compact"/>
              <w:jc w:val="left"/>
            </w:pPr>
            <w:r>
              <w:t xml:space="preserve">Week 9</w:t>
            </w:r>
          </w:p>
        </w:tc>
        <w:tc>
          <w:tcPr/>
          <w:p>
            <w:pPr>
              <w:pStyle w:val="Compact"/>
              <w:jc w:val="left"/>
            </w:pPr>
            <w:r>
              <w:t xml:space="preserve">Low</w:t>
            </w:r>
          </w:p>
        </w:tc>
      </w:tr>
      <w:tr>
        <w:tc>
          <w:tcPr/>
          <w:p>
            <w:pPr>
              <w:pStyle w:val="Compact"/>
              <w:jc w:val="left"/>
            </w:pPr>
            <w:r>
              <w:t xml:space="preserve">Phase 4: Co-Management</w:t>
            </w:r>
          </w:p>
        </w:tc>
        <w:tc>
          <w:tcPr/>
          <w:p>
            <w:pPr>
              <w:pStyle w:val="Compact"/>
              <w:jc w:val="left"/>
            </w:pPr>
            <w:r>
              <w:t xml:space="preserve">2–3 weeks</w:t>
            </w:r>
          </w:p>
        </w:tc>
        <w:tc>
          <w:tcPr/>
          <w:p>
            <w:pPr>
              <w:pStyle w:val="Compact"/>
              <w:jc w:val="left"/>
            </w:pPr>
            <w:r>
              <w:t xml:space="preserve">Week 12</w:t>
            </w:r>
          </w:p>
        </w:tc>
        <w:tc>
          <w:tcPr/>
          <w:p>
            <w:pPr>
              <w:pStyle w:val="Compact"/>
              <w:jc w:val="left"/>
            </w:pPr>
            <w:r>
              <w:t xml:space="preserve">Medium</w:t>
            </w:r>
          </w:p>
        </w:tc>
      </w:tr>
      <w:tr>
        <w:tc>
          <w:tcPr/>
          <w:p>
            <w:pPr>
              <w:pStyle w:val="Compact"/>
              <w:jc w:val="left"/>
            </w:pPr>
            <w:r>
              <w:t xml:space="preserve">Phase 5: Pilot (5%)</w:t>
            </w:r>
          </w:p>
        </w:tc>
        <w:tc>
          <w:tcPr/>
          <w:p>
            <w:pPr>
              <w:pStyle w:val="Compact"/>
              <w:jc w:val="left"/>
            </w:pPr>
            <w:r>
              <w:t xml:space="preserve">4–6 weeks</w:t>
            </w:r>
          </w:p>
        </w:tc>
        <w:tc>
          <w:tcPr/>
          <w:p>
            <w:pPr>
              <w:pStyle w:val="Compact"/>
              <w:jc w:val="left"/>
            </w:pPr>
            <w:r>
              <w:t xml:space="preserve">Week 18</w:t>
            </w:r>
          </w:p>
        </w:tc>
        <w:tc>
          <w:tcPr/>
          <w:p>
            <w:pPr>
              <w:pStyle w:val="Compact"/>
              <w:jc w:val="left"/>
            </w:pPr>
            <w:r>
              <w:t xml:space="preserve">Medium</w:t>
            </w:r>
          </w:p>
        </w:tc>
      </w:tr>
      <w:tr>
        <w:tc>
          <w:tcPr/>
          <w:p>
            <w:pPr>
              <w:pStyle w:val="Compact"/>
              <w:jc w:val="left"/>
            </w:pPr>
            <w:r>
              <w:t xml:space="preserve">Phase 6: Expand</w:t>
            </w:r>
          </w:p>
        </w:tc>
        <w:tc>
          <w:tcPr/>
          <w:p>
            <w:pPr>
              <w:pStyle w:val="Compact"/>
              <w:jc w:val="left"/>
            </w:pPr>
            <w:r>
              <w:t xml:space="preserve">8–12 weeks</w:t>
            </w:r>
          </w:p>
        </w:tc>
        <w:tc>
          <w:tcPr/>
          <w:p>
            <w:pPr>
              <w:pStyle w:val="Compact"/>
              <w:jc w:val="left"/>
            </w:pPr>
            <w:r>
              <w:t xml:space="preserve">Week 30</w:t>
            </w:r>
          </w:p>
        </w:tc>
        <w:tc>
          <w:tcPr/>
          <w:p>
            <w:pPr>
              <w:pStyle w:val="Compact"/>
              <w:jc w:val="left"/>
            </w:pPr>
            <w:r>
              <w:t xml:space="preserve">Medium-High</w:t>
            </w:r>
          </w:p>
        </w:tc>
      </w:tr>
      <w:tr>
        <w:tc>
          <w:tcPr/>
          <w:p>
            <w:pPr>
              <w:pStyle w:val="Compact"/>
              <w:jc w:val="left"/>
            </w:pPr>
            <w:r>
              <w:t xml:space="preserve">Phase 7: GPO Sunset</w:t>
            </w:r>
          </w:p>
        </w:tc>
        <w:tc>
          <w:tcPr/>
          <w:p>
            <w:pPr>
              <w:pStyle w:val="Compact"/>
              <w:jc w:val="left"/>
            </w:pPr>
            <w:r>
              <w:t xml:space="preserve">2–4 weeks</w:t>
            </w:r>
          </w:p>
        </w:tc>
        <w:tc>
          <w:tcPr/>
          <w:p>
            <w:pPr>
              <w:pStyle w:val="Compact"/>
              <w:jc w:val="left"/>
            </w:pPr>
            <w:r>
              <w:t xml:space="preserve">Week 34</w:t>
            </w:r>
          </w:p>
        </w:tc>
        <w:tc>
          <w:tcPr/>
          <w:p>
            <w:pPr>
              <w:pStyle w:val="Compact"/>
              <w:jc w:val="left"/>
            </w:pPr>
            <w:r>
              <w:t xml:space="preserve">Low</w:t>
            </w:r>
          </w:p>
        </w:tc>
      </w:tr>
    </w:tbl>
    <w:p>
      <w:pPr>
        <w:pStyle w:val="BodyText"/>
      </w:pPr>
      <w:r>
        <w:t xml:space="preserve">10. Monitoring and Drift Detection</w:t>
      </w:r>
    </w:p>
    <w:p>
      <w:pPr>
        <w:pStyle w:val="BodyText"/>
      </w:pPr>
      <w:r>
        <w:t xml:space="preserve">10.1 Intune Compliance Dashboard</w:t>
      </w:r>
    </w:p>
    <w:p>
      <w:pPr>
        <w:pStyle w:val="BodyText"/>
      </w:pPr>
      <w:r>
        <w:t xml:space="preserve">The Intune compliance dashboard (Devices &gt; Monitor &gt; Device compliance) provides real-time visibility into device compliance status across all policies. Key metrics to monitor:</w:t>
      </w:r>
    </w:p>
    <w:p>
      <w:pPr>
        <w:numPr>
          <w:ilvl w:val="0"/>
          <w:numId w:val="1323"/>
        </w:numPr>
      </w:pPr>
      <w:r>
        <w:rPr>
          <w:b/>
          <w:bCs/>
        </w:rPr>
        <w:t xml:space="preserve">Compliant:</w:t>
      </w:r>
      <w:r>
        <w:t xml:space="preserve"> </w:t>
      </w:r>
      <w:r>
        <w:t xml:space="preserve">Device meets all assigned compliance policy requirements.</w:t>
      </w:r>
    </w:p>
    <w:p>
      <w:pPr>
        <w:numPr>
          <w:ilvl w:val="0"/>
          <w:numId w:val="1323"/>
        </w:numPr>
      </w:pPr>
      <w:r>
        <w:rPr>
          <w:b/>
          <w:bCs/>
        </w:rPr>
        <w:t xml:space="preserve">Not compliant:</w:t>
      </w:r>
      <w:r>
        <w:t xml:space="preserve"> </w:t>
      </w:r>
      <w:r>
        <w:t xml:space="preserve">Device fails one or more compliance checks. Drill down to identify which settings fail.</w:t>
      </w:r>
    </w:p>
    <w:p>
      <w:pPr>
        <w:numPr>
          <w:ilvl w:val="0"/>
          <w:numId w:val="1323"/>
        </w:numPr>
      </w:pPr>
      <w:r>
        <w:rPr>
          <w:b/>
          <w:bCs/>
        </w:rPr>
        <w:t xml:space="preserve">In grace period:</w:t>
      </w:r>
      <w:r>
        <w:t xml:space="preserve"> </w:t>
      </w:r>
      <w:r>
        <w:t xml:space="preserve">Device is non-compliant but within the configured grace period.</w:t>
      </w:r>
    </w:p>
    <w:p>
      <w:pPr>
        <w:numPr>
          <w:ilvl w:val="0"/>
          <w:numId w:val="1323"/>
        </w:numPr>
      </w:pPr>
      <w:r>
        <w:rPr>
          <w:b/>
          <w:bCs/>
        </w:rPr>
        <w:t xml:space="preserve">Not evaluated:</w:t>
      </w:r>
      <w:r>
        <w:t xml:space="preserve"> </w:t>
      </w:r>
      <w:r>
        <w:t xml:space="preserve">Device has not yet been evaluated (newly enrolled or not synced).</w:t>
      </w:r>
    </w:p>
    <w:p>
      <w:pPr>
        <w:pStyle w:val="FirstParagraph"/>
      </w:pPr>
      <w:r>
        <w:t xml:space="preserve">10.2 Device Configuration Status Monitoring</w:t>
      </w:r>
    </w:p>
    <w:p>
      <w:pPr>
        <w:numPr>
          <w:ilvl w:val="0"/>
          <w:numId w:val="1324"/>
        </w:numPr>
      </w:pPr>
      <w:r>
        <w:t xml:space="preserve">Navigate to each configuration profile &gt; Device status to view per-device deployment results.</w:t>
      </w:r>
    </w:p>
    <w:p>
      <w:pPr>
        <w:numPr>
          <w:ilvl w:val="0"/>
          <w:numId w:val="1324"/>
        </w:numPr>
      </w:pPr>
      <w:r>
        <w:rPr>
          <w:b/>
          <w:bCs/>
        </w:rPr>
        <w:t xml:space="preserve">Succeeded:</w:t>
      </w:r>
      <w:r>
        <w:t xml:space="preserve"> </w:t>
      </w:r>
      <w:r>
        <w:t xml:space="preserve">Profile applied successfully.</w:t>
      </w:r>
    </w:p>
    <w:p>
      <w:pPr>
        <w:numPr>
          <w:ilvl w:val="0"/>
          <w:numId w:val="1324"/>
        </w:numPr>
      </w:pPr>
      <w:r>
        <w:rPr>
          <w:b/>
          <w:bCs/>
        </w:rPr>
        <w:t xml:space="preserve">Error:</w:t>
      </w:r>
      <w:r>
        <w:t xml:space="preserve"> </w:t>
      </w:r>
      <w:r>
        <w:t xml:space="preserve">Profile failed to apply — investigate event logs and CSP errors.</w:t>
      </w:r>
    </w:p>
    <w:p>
      <w:pPr>
        <w:numPr>
          <w:ilvl w:val="0"/>
          <w:numId w:val="1324"/>
        </w:numPr>
      </w:pPr>
      <w:r>
        <w:rPr>
          <w:b/>
          <w:bCs/>
        </w:rPr>
        <w:t xml:space="preserve">Conflict:</w:t>
      </w:r>
      <w:r>
        <w:t xml:space="preserve"> </w:t>
      </w:r>
      <w:r>
        <w:t xml:space="preserve">Two or more profiles configure the same setting with different values. Resolve by consolidating profiles or adjusting assignments.</w:t>
      </w:r>
    </w:p>
    <w:p>
      <w:pPr>
        <w:numPr>
          <w:ilvl w:val="0"/>
          <w:numId w:val="1324"/>
        </w:numPr>
      </w:pPr>
      <w:r>
        <w:rPr>
          <w:b/>
          <w:bCs/>
        </w:rPr>
        <w:t xml:space="preserve">Pending:</w:t>
      </w:r>
      <w:r>
        <w:t xml:space="preserve"> </w:t>
      </w:r>
      <w:r>
        <w:t xml:space="preserve">Profile assignment received but not yet applied (device has not synced).</w:t>
      </w:r>
    </w:p>
    <w:p>
      <w:pPr>
        <w:pStyle w:val="FirstParagraph"/>
      </w:pPr>
      <w:r>
        <w:t xml:space="preserve">10.3 Policy Conflict Identification</w:t>
      </w:r>
    </w:p>
    <w:tbl>
      <w:tblPr>
        <w:tblStyle w:val="Table"/>
        <w:tblW w:type="pct" w:w="4952"/>
        <w:tblLayout w:type="fixed"/>
        <w:tblLook w:firstRow="1" w:lastRow="0" w:firstColumn="0" w:lastColumn="0" w:noHBand="0" w:noVBand="0" w:val="0020"/>
      </w:tblPr>
      <w:tblGrid>
        <w:gridCol w:w="1485"/>
        <w:gridCol w:w="3274"/>
        <w:gridCol w:w="3084"/>
      </w:tblGrid>
      <w:tr>
        <w:trPr>
          <w:tblHeader w:val="on"/>
        </w:trPr>
        <w:tc>
          <w:tcPr/>
          <w:p>
            <w:pPr>
              <w:pStyle w:val="Compact"/>
              <w:jc w:val="left"/>
            </w:pPr>
            <w:r>
              <w:rPr>
                <w:b/>
                <w:bCs/>
              </w:rPr>
              <w:t xml:space="preserve">Conflict Type</w:t>
            </w:r>
          </w:p>
        </w:tc>
        <w:tc>
          <w:tcPr/>
          <w:p>
            <w:pPr>
              <w:pStyle w:val="Compact"/>
              <w:jc w:val="left"/>
            </w:pPr>
            <w:r>
              <w:rPr>
                <w:b/>
                <w:bCs/>
              </w:rPr>
              <w:t xml:space="preserve">Detection Method</w:t>
            </w:r>
          </w:p>
        </w:tc>
        <w:tc>
          <w:tcPr/>
          <w:p>
            <w:pPr>
              <w:pStyle w:val="Compact"/>
              <w:jc w:val="left"/>
            </w:pPr>
            <w:r>
              <w:rPr>
                <w:b/>
                <w:bCs/>
              </w:rPr>
              <w:t xml:space="preserve">Resolution</w:t>
            </w:r>
          </w:p>
        </w:tc>
      </w:tr>
      <w:tr>
        <w:tc>
          <w:tcPr/>
          <w:p>
            <w:pPr>
              <w:pStyle w:val="Compact"/>
              <w:jc w:val="left"/>
            </w:pPr>
            <w:r>
              <w:t xml:space="preserve">Compliance vs. Compliance</w:t>
            </w:r>
          </w:p>
        </w:tc>
        <w:tc>
          <w:tcPr/>
          <w:p>
            <w:pPr>
              <w:pStyle w:val="Compact"/>
              <w:jc w:val="left"/>
            </w:pPr>
            <w:r>
              <w:t xml:space="preserve">Review device compliance details — identifies which policy flagged non-compliance</w:t>
            </w:r>
          </w:p>
        </w:tc>
        <w:tc>
          <w:tcPr/>
          <w:p>
            <w:pPr>
              <w:pStyle w:val="Compact"/>
              <w:jc w:val="left"/>
            </w:pPr>
            <w:r>
              <w:t xml:space="preserve">Most restrictive wins; verify intended behavior</w:t>
            </w:r>
          </w:p>
        </w:tc>
      </w:tr>
      <w:tr>
        <w:tc>
          <w:tcPr/>
          <w:p>
            <w:pPr>
              <w:pStyle w:val="Compact"/>
              <w:jc w:val="left"/>
            </w:pPr>
            <w:r>
              <w:t xml:space="preserve">Config Profile vs. Config Profile</w:t>
            </w:r>
          </w:p>
        </w:tc>
        <w:tc>
          <w:tcPr/>
          <w:p>
            <w:pPr>
              <w:pStyle w:val="Compact"/>
              <w:jc w:val="left"/>
            </w:pPr>
            <w:r>
              <w:t xml:space="preserve">Device configuration status shows "Conflict" state</w:t>
            </w:r>
          </w:p>
        </w:tc>
        <w:tc>
          <w:tcPr/>
          <w:p>
            <w:pPr>
              <w:pStyle w:val="Compact"/>
              <w:jc w:val="left"/>
            </w:pPr>
            <w:r>
              <w:t xml:space="preserve">Consolidate duplicate settings into single profile; adjust group assignments</w:t>
            </w:r>
          </w:p>
        </w:tc>
      </w:tr>
      <w:tr>
        <w:tc>
          <w:tcPr/>
          <w:p>
            <w:pPr>
              <w:pStyle w:val="Compact"/>
              <w:jc w:val="left"/>
            </w:pPr>
            <w:r>
              <w:t xml:space="preserve">Endpoint Security vs. Config Profile</w:t>
            </w:r>
          </w:p>
        </w:tc>
        <w:tc>
          <w:tcPr/>
          <w:p>
            <w:pPr>
              <w:pStyle w:val="Compact"/>
              <w:jc w:val="left"/>
            </w:pPr>
            <w:r>
              <w:t xml:space="preserve">Endpoint Security policy takes precedence; Config Profile may show error</w:t>
            </w:r>
          </w:p>
        </w:tc>
        <w:tc>
          <w:tcPr/>
          <w:p>
            <w:pPr>
              <w:pStyle w:val="Compact"/>
              <w:jc w:val="left"/>
            </w:pPr>
            <w:r>
              <w:t xml:space="preserve">Remove duplicate setting from Config Profile; manage in Endpoint Security only</w:t>
            </w:r>
          </w:p>
        </w:tc>
      </w:tr>
      <w:tr>
        <w:tc>
          <w:tcPr/>
          <w:p>
            <w:pPr>
              <w:pStyle w:val="Compact"/>
              <w:jc w:val="left"/>
            </w:pPr>
            <w:r>
              <w:t xml:space="preserve">GPO vs. Intune (co-management)</w:t>
            </w:r>
          </w:p>
        </w:tc>
        <w:tc>
          <w:tcPr/>
          <w:p>
            <w:pPr>
              <w:pStyle w:val="Compact"/>
              <w:jc w:val="left"/>
            </w:pPr>
            <w:r>
              <w:t xml:space="preserve">gpresult /h on device vs. Intune device config status</w:t>
            </w:r>
          </w:p>
        </w:tc>
        <w:tc>
          <w:tcPr/>
          <w:p>
            <w:pPr>
              <w:pStyle w:val="Compact"/>
              <w:jc w:val="left"/>
            </w:pPr>
            <w:r>
              <w:t xml:space="preserve">Verify co-management workload slider; ensure only one authority per workload</w:t>
            </w:r>
          </w:p>
        </w:tc>
      </w:tr>
    </w:tbl>
    <w:p>
      <w:pPr>
        <w:pStyle w:val="BodyText"/>
      </w:pPr>
      <w:r>
        <w:t xml:space="preserve">10.4 the Federal Modernization Program Drift Detection Integration</w:t>
      </w:r>
    </w:p>
    <w:p>
      <w:pPr>
        <w:pStyle w:val="BodyText"/>
      </w:pPr>
      <w:r>
        <w:t xml:space="preserve">The Federal Modernization Program Drift Detection module monitors for configuration regression by comparing current device state against the policy baseline defined in this document. Integration points:</w:t>
      </w:r>
    </w:p>
    <w:p>
      <w:pPr>
        <w:numPr>
          <w:ilvl w:val="0"/>
          <w:numId w:val="1325"/>
        </w:numPr>
      </w:pPr>
      <w:r>
        <w:rPr>
          <w:b/>
          <w:bCs/>
        </w:rPr>
        <w:t xml:space="preserve">Scheduled export:</w:t>
      </w:r>
      <w:r>
        <w:t xml:space="preserve"> </w:t>
      </w:r>
      <w:r>
        <w:t xml:space="preserve">Daily export of Intune compliance and configuration status via Graph API.</w:t>
      </w:r>
    </w:p>
    <w:p>
      <w:pPr>
        <w:numPr>
          <w:ilvl w:val="0"/>
          <w:numId w:val="1325"/>
        </w:numPr>
      </w:pPr>
      <w:r>
        <w:rPr>
          <w:b/>
          <w:bCs/>
        </w:rPr>
        <w:t xml:space="preserve">Baseline comparison:</w:t>
      </w:r>
      <w:r>
        <w:t xml:space="preserve"> </w:t>
      </w:r>
      <w:r>
        <w:t xml:space="preserve">Compare current settings against approved the Federal Modernization Program template values.</w:t>
      </w:r>
    </w:p>
    <w:p>
      <w:pPr>
        <w:numPr>
          <w:ilvl w:val="0"/>
          <w:numId w:val="1325"/>
        </w:numPr>
      </w:pPr>
      <w:r>
        <w:rPr>
          <w:b/>
          <w:bCs/>
        </w:rPr>
        <w:t xml:space="preserve">Drift alerting:</w:t>
      </w:r>
      <w:r>
        <w:t xml:space="preserve"> </w:t>
      </w:r>
      <w:r>
        <w:t xml:space="preserve">Flag devices where settings deviate from the expected policy (e.g., BitLocker disabled, Defender tamper protection turned off).</w:t>
      </w:r>
    </w:p>
    <w:p>
      <w:pPr>
        <w:numPr>
          <w:ilvl w:val="0"/>
          <w:numId w:val="1325"/>
        </w:numPr>
      </w:pPr>
      <w:r>
        <w:rPr>
          <w:b/>
          <w:bCs/>
        </w:rPr>
        <w:t xml:space="preserve">Remediation workflow:</w:t>
      </w:r>
      <w:r>
        <w:t xml:space="preserve"> </w:t>
      </w:r>
      <w:r>
        <w:t xml:space="preserve">Trigger Intune device sync or remediation script on drift-detected devices.</w:t>
      </w:r>
    </w:p>
    <w:p>
      <w:pPr>
        <w:pStyle w:val="FirstParagraph"/>
      </w:pPr>
      <w:r>
        <w:t xml:space="preserve">10.5 KQL Queries for Log Analytics</w:t>
      </w:r>
    </w:p>
    <w:p>
      <w:pPr>
        <w:pStyle w:val="BodyText"/>
      </w:pPr>
      <w:r>
        <w:t xml:space="preserve">The following KQL queries can be used in Log Analytics workspaces connected to Intune diagnostic logs:</w:t>
      </w:r>
    </w:p>
    <w:p>
      <w:pPr>
        <w:pStyle w:val="BodyText"/>
      </w:pPr>
      <w:r>
        <w:t xml:space="preserve">Compliance Trend — Last 30 Days</w:t>
      </w:r>
    </w:p>
    <w:tbl>
      <w:tblPr>
        <w:tblStyle w:val="Table"/>
        <w:tblW w:type="pct" w:w="4968"/>
        <w:tblLayout w:type="fixed"/>
        <w:tblLook w:firstRow="0" w:lastRow="0" w:firstColumn="0" w:lastColumn="0" w:noHBand="0" w:noVBand="0" w:val="0000"/>
      </w:tblPr>
      <w:tblGrid>
        <w:gridCol w:w="7869"/>
      </w:tblGrid>
      <w:tr>
        <w:tc>
          <w:tcPr/>
          <w:p>
            <w:pPr>
              <w:pStyle w:val="Compact"/>
              <w:jc w:val="left"/>
            </w:pPr>
            <w:r>
              <w:t xml:space="preserve">IntuneDeviceComplianceOrg | where TimeGenerated &gt; ago(30d) | summarize Compliant = countif(ComplianceState == "Compliant"), NonCompliant = countif(ComplianceState == "NonCompliant"), InGracePeriod = countif(ComplianceState == "InGracePeriod") by bin(TimeGenerated, 1d) | order by TimeGenerated asc</w:t>
            </w:r>
          </w:p>
        </w:tc>
      </w:tr>
    </w:tbl>
    <w:p>
      <w:pPr>
        <w:pStyle w:val="BodyText"/>
      </w:pPr>
      <w:r>
        <w:t xml:space="preserve">Failed Configuration Profile Deployments</w:t>
      </w:r>
    </w:p>
    <w:tbl>
      <w:tblPr>
        <w:tblStyle w:val="Table"/>
        <w:tblW w:type="pct" w:w="4966"/>
        <w:tblLayout w:type="fixed"/>
        <w:tblLook w:firstRow="0" w:lastRow="0" w:firstColumn="0" w:lastColumn="0" w:noHBand="0" w:noVBand="0" w:val="0000"/>
      </w:tblPr>
      <w:tblGrid>
        <w:gridCol w:w="7866"/>
      </w:tblGrid>
      <w:tr>
        <w:tc>
          <w:tcPr/>
          <w:p>
            <w:pPr>
              <w:pStyle w:val="Compact"/>
              <w:jc w:val="left"/>
            </w:pPr>
            <w:r>
              <w:t xml:space="preserve">IntuneDevices | join kind=inner ( IntuneOperationalLogs | where OperationName == "DeviceConfiguration" | where Result == "Fail" ) on DeviceId | project TimeGenerated, DeviceName, UserPrincipalName, ProfileName=OperationName, ErrorCode, Result | order by TimeGenerated desc | take 100</w:t>
            </w:r>
          </w:p>
        </w:tc>
      </w:tr>
    </w:tbl>
    <w:p>
      <w:pPr>
        <w:pStyle w:val="BodyText"/>
      </w:pPr>
      <w:r>
        <w:t xml:space="preserve">Policy Conflict Detection</w:t>
      </w:r>
    </w:p>
    <w:tbl>
      <w:tblPr>
        <w:tblStyle w:val="Table"/>
        <w:tblW w:type="pct" w:w="4951"/>
        <w:tblLayout w:type="fixed"/>
        <w:tblLook w:firstRow="0" w:lastRow="0" w:firstColumn="0" w:lastColumn="0" w:noHBand="0" w:noVBand="0" w:val="0000"/>
      </w:tblPr>
      <w:tblGrid>
        <w:gridCol w:w="7843"/>
      </w:tblGrid>
      <w:tr>
        <w:tc>
          <w:tcPr/>
          <w:p>
            <w:pPr>
              <w:pStyle w:val="Compact"/>
              <w:jc w:val="left"/>
            </w:pPr>
            <w:r>
              <w:t xml:space="preserve">IntuneOperationalLogs | where OperationName has "Conflict" | summarize ConflictCount=count by DeviceId, ProfileName=tostring(Properties) | where ConflictCount &gt; 0 | order by ConflictCount desc</w:t>
            </w:r>
          </w:p>
        </w:tc>
      </w:tr>
    </w:tbl>
    <w:p>
      <w:pPr>
        <w:pStyle w:val="BodyText"/>
      </w:pPr>
      <w:r>
        <w:t xml:space="preserve">10.6 Alerting Configuration</w:t>
      </w:r>
    </w:p>
    <w:tbl>
      <w:tblPr>
        <w:tblStyle w:val="Table"/>
        <w:tblW w:type="pct" w:w="4925"/>
        <w:tblLayout w:type="fixed"/>
        <w:tblLook w:firstRow="1" w:lastRow="0" w:firstColumn="0" w:lastColumn="0" w:noHBand="0" w:noVBand="0" w:val="0020"/>
      </w:tblPr>
      <w:tblGrid>
        <w:gridCol w:w="2245"/>
        <w:gridCol w:w="2127"/>
        <w:gridCol w:w="3428"/>
      </w:tblGrid>
      <w:tr>
        <w:trPr>
          <w:tblHeader w:val="on"/>
        </w:trPr>
        <w:tc>
          <w:tcPr/>
          <w:p>
            <w:pPr>
              <w:pStyle w:val="Compact"/>
              <w:jc w:val="left"/>
            </w:pPr>
            <w:r>
              <w:rPr>
                <w:b/>
                <w:bCs/>
              </w:rPr>
              <w:t xml:space="preserve">Alert</w:t>
            </w:r>
          </w:p>
        </w:tc>
        <w:tc>
          <w:tcPr/>
          <w:p>
            <w:pPr>
              <w:pStyle w:val="Compact"/>
              <w:jc w:val="left"/>
            </w:pPr>
            <w:r>
              <w:rPr>
                <w:b/>
                <w:bCs/>
              </w:rPr>
              <w:t xml:space="preserve">Threshold</w:t>
            </w:r>
          </w:p>
        </w:tc>
        <w:tc>
          <w:tcPr/>
          <w:p>
            <w:pPr>
              <w:pStyle w:val="Compact"/>
              <w:jc w:val="left"/>
            </w:pPr>
            <w:r>
              <w:rPr>
                <w:b/>
                <w:bCs/>
              </w:rPr>
              <w:t xml:space="preserve">Action</w:t>
            </w:r>
          </w:p>
        </w:tc>
      </w:tr>
      <w:tr>
        <w:tc>
          <w:tcPr/>
          <w:p>
            <w:pPr>
              <w:pStyle w:val="Compact"/>
              <w:jc w:val="left"/>
            </w:pPr>
            <w:r>
              <w:t xml:space="preserve">Non-compliant device count</w:t>
            </w:r>
          </w:p>
        </w:tc>
        <w:tc>
          <w:tcPr/>
          <w:p>
            <w:pPr>
              <w:pStyle w:val="Compact"/>
              <w:jc w:val="left"/>
            </w:pPr>
            <w:r>
              <w:t xml:space="preserve">&gt; 10% of total managed devices</w:t>
            </w:r>
          </w:p>
        </w:tc>
        <w:tc>
          <w:tcPr/>
          <w:p>
            <w:pPr>
              <w:pStyle w:val="Compact"/>
              <w:jc w:val="left"/>
            </w:pPr>
            <w:r>
              <w:t xml:space="preserve">Email to endpoint management team + ServiceNow incident</w:t>
            </w:r>
          </w:p>
        </w:tc>
      </w:tr>
      <w:tr>
        <w:tc>
          <w:tcPr/>
          <w:p>
            <w:pPr>
              <w:pStyle w:val="Compact"/>
              <w:jc w:val="left"/>
            </w:pPr>
            <w:r>
              <w:t xml:space="preserve">Tier 0 non-compliance</w:t>
            </w:r>
          </w:p>
        </w:tc>
        <w:tc>
          <w:tcPr/>
          <w:p>
            <w:pPr>
              <w:pStyle w:val="Compact"/>
              <w:jc w:val="left"/>
            </w:pPr>
            <w:r>
              <w:t xml:space="preserve">Any device (count &gt; 0)</w:t>
            </w:r>
          </w:p>
        </w:tc>
        <w:tc>
          <w:tcPr/>
          <w:p>
            <w:pPr>
              <w:pStyle w:val="Compact"/>
              <w:jc w:val="left"/>
            </w:pPr>
            <w:r>
              <w:t xml:space="preserve">Immediate email to security team + PagerDuty alert</w:t>
            </w:r>
          </w:p>
        </w:tc>
      </w:tr>
      <w:tr>
        <w:tc>
          <w:tcPr/>
          <w:p>
            <w:pPr>
              <w:pStyle w:val="Compact"/>
              <w:jc w:val="left"/>
            </w:pPr>
            <w:r>
              <w:t xml:space="preserve">Policy deployment failure</w:t>
            </w:r>
          </w:p>
        </w:tc>
        <w:tc>
          <w:tcPr/>
          <w:p>
            <w:pPr>
              <w:pStyle w:val="Compact"/>
              <w:jc w:val="left"/>
            </w:pPr>
            <w:r>
              <w:t xml:space="preserve">&gt; 5 devices failing same profile</w:t>
            </w:r>
          </w:p>
        </w:tc>
        <w:tc>
          <w:tcPr/>
          <w:p>
            <w:pPr>
              <w:pStyle w:val="Compact"/>
              <w:jc w:val="left"/>
            </w:pPr>
            <w:r>
              <w:t xml:space="preserve">Email to endpoint management team</w:t>
            </w:r>
          </w:p>
        </w:tc>
      </w:tr>
      <w:tr>
        <w:tc>
          <w:tcPr/>
          <w:p>
            <w:pPr>
              <w:pStyle w:val="Compact"/>
              <w:jc w:val="left"/>
            </w:pPr>
            <w:r>
              <w:t xml:space="preserve">Defender tamper protection disabled</w:t>
            </w:r>
          </w:p>
        </w:tc>
        <w:tc>
          <w:tcPr/>
          <w:p>
            <w:pPr>
              <w:pStyle w:val="Compact"/>
              <w:jc w:val="left"/>
            </w:pPr>
            <w:r>
              <w:t xml:space="preserve">Any device</w:t>
            </w:r>
          </w:p>
        </w:tc>
        <w:tc>
          <w:tcPr/>
          <w:p>
            <w:pPr>
              <w:pStyle w:val="Compact"/>
              <w:jc w:val="left"/>
            </w:pPr>
            <w:r>
              <w:t xml:space="preserve">Security incident — immediate investigation</w:t>
            </w:r>
          </w:p>
        </w:tc>
      </w:tr>
      <w:tr>
        <w:tc>
          <w:tcPr/>
          <w:p>
            <w:pPr>
              <w:pStyle w:val="Compact"/>
              <w:jc w:val="left"/>
            </w:pPr>
            <w:r>
              <w:t xml:space="preserve">BitLocker not encrypted</w:t>
            </w:r>
          </w:p>
        </w:tc>
        <w:tc>
          <w:tcPr/>
          <w:p>
            <w:pPr>
              <w:pStyle w:val="Compact"/>
              <w:jc w:val="left"/>
            </w:pPr>
            <w:r>
              <w:t xml:space="preserve">Device non-compliant &gt; 48 hours</w:t>
            </w:r>
          </w:p>
        </w:tc>
        <w:tc>
          <w:tcPr/>
          <w:p>
            <w:pPr>
              <w:pStyle w:val="Compact"/>
              <w:jc w:val="left"/>
            </w:pPr>
            <w:r>
              <w:t xml:space="preserve">Help desk ticket auto-created for end user</w:t>
            </w:r>
          </w:p>
        </w:tc>
      </w:tr>
    </w:tbl>
    <w:p>
      <w:pPr>
        <w:pStyle w:val="BodyText"/>
      </w:pPr>
      <w:r>
        <w:t xml:space="preserve">Appendix A: Settings Catalog Reference</w:t>
      </w:r>
    </w:p>
    <w:p>
      <w:pPr>
        <w:pStyle w:val="BodyText"/>
      </w:pPr>
      <w:r>
        <w:t xml:space="preserve">This appendix lists the complete ADMX-backed setting names and CSP (Configuration Service Provider) URIs for all Settings Catalog policies defined in this document.</w:t>
      </w:r>
    </w:p>
    <w:p>
      <w:pPr>
        <w:pStyle w:val="BodyText"/>
      </w:pPr>
      <w:r>
        <w:t xml:space="preserve">A.1 SC-001: Security Baseline — CSP References</w:t>
      </w:r>
    </w:p>
    <w:tbl>
      <w:tblPr>
        <w:tblStyle w:val="Table"/>
        <w:tblW w:type="pct" w:w="4952"/>
        <w:tblLayout w:type="fixed"/>
        <w:tblLook w:firstRow="1" w:lastRow="0" w:firstColumn="0" w:lastColumn="0" w:noHBand="0" w:noVBand="0" w:val="0020"/>
      </w:tblPr>
      <w:tblGrid>
        <w:gridCol w:w="1206"/>
        <w:gridCol w:w="2112"/>
        <w:gridCol w:w="4525"/>
      </w:tblGrid>
      <w:tr>
        <w:trPr>
          <w:tblHeader w:val="on"/>
        </w:trPr>
        <w:tc>
          <w:tcPr/>
          <w:p>
            <w:pPr>
              <w:pStyle w:val="Compact"/>
              <w:jc w:val="left"/>
            </w:pPr>
            <w:r>
              <w:rPr>
                <w:b/>
                <w:bCs/>
              </w:rPr>
              <w:t xml:space="preserve">Setting</w:t>
            </w:r>
          </w:p>
        </w:tc>
        <w:tc>
          <w:tcPr/>
          <w:p>
            <w:pPr>
              <w:pStyle w:val="Compact"/>
              <w:jc w:val="left"/>
            </w:pPr>
            <w:r>
              <w:rPr>
                <w:b/>
                <w:bCs/>
              </w:rPr>
              <w:t xml:space="preserve">ADMX Setting Name</w:t>
            </w:r>
          </w:p>
        </w:tc>
        <w:tc>
          <w:tcPr/>
          <w:p>
            <w:pPr>
              <w:pStyle w:val="Compact"/>
              <w:jc w:val="left"/>
            </w:pPr>
            <w:r>
              <w:rPr>
                <w:b/>
                <w:bCs/>
              </w:rPr>
              <w:t xml:space="preserve">CSP URI</w:t>
            </w:r>
          </w:p>
        </w:tc>
      </w:tr>
      <w:tr>
        <w:tc>
          <w:tcPr/>
          <w:p>
            <w:pPr>
              <w:pStyle w:val="Compact"/>
              <w:jc w:val="left"/>
            </w:pPr>
            <w:r>
              <w:t xml:space="preserve">Account Lockout Threshold</w:t>
            </w:r>
          </w:p>
        </w:tc>
        <w:tc>
          <w:tcPr/>
          <w:p>
            <w:pPr>
              <w:pStyle w:val="Compact"/>
              <w:jc w:val="left"/>
            </w:pPr>
            <w:r>
              <w:t xml:space="preserve">AccountLockoutThreshold</w:t>
            </w:r>
          </w:p>
        </w:tc>
        <w:tc>
          <w:tcPr/>
          <w:p>
            <w:pPr>
              <w:pStyle w:val="Compact"/>
              <w:jc w:val="left"/>
            </w:pPr>
            <w:r>
              <w:t xml:space="preserve">./Device/Vendor/MSFT/Policy/Config/DeviceLock/MaxDevicePasswordFailedAttempts</w:t>
            </w:r>
          </w:p>
        </w:tc>
      </w:tr>
      <w:tr>
        <w:tc>
          <w:tcPr/>
          <w:p>
            <w:pPr>
              <w:pStyle w:val="Compact"/>
              <w:jc w:val="left"/>
            </w:pPr>
            <w:r>
              <w:t xml:space="preserve">Account Lockout Duration</w:t>
            </w:r>
          </w:p>
        </w:tc>
        <w:tc>
          <w:tcPr/>
          <w:p>
            <w:pPr>
              <w:pStyle w:val="Compact"/>
              <w:jc w:val="left"/>
            </w:pPr>
            <w:r>
              <w:t xml:space="preserve">AccountLockoutDuration</w:t>
            </w:r>
          </w:p>
        </w:tc>
        <w:tc>
          <w:tcPr/>
          <w:p>
            <w:pPr>
              <w:pStyle w:val="Compact"/>
              <w:jc w:val="left"/>
            </w:pPr>
            <w:r>
              <w:t xml:space="preserve">./Device/Vendor/MSFT/Policy/Config/DeviceLock/AccountLockoutDuration</w:t>
            </w:r>
          </w:p>
        </w:tc>
      </w:tr>
      <w:tr>
        <w:tc>
          <w:tcPr/>
          <w:p>
            <w:pPr>
              <w:pStyle w:val="Compact"/>
              <w:jc w:val="left"/>
            </w:pPr>
            <w:r>
              <w:t xml:space="preserve">Audit Logon Events</w:t>
            </w:r>
          </w:p>
        </w:tc>
        <w:tc>
          <w:tcPr/>
          <w:p>
            <w:pPr>
              <w:pStyle w:val="Compact"/>
              <w:jc w:val="left"/>
            </w:pPr>
            <w:r>
              <w:t xml:space="preserve">AuditLogonEvents</w:t>
            </w:r>
          </w:p>
        </w:tc>
        <w:tc>
          <w:tcPr/>
          <w:p>
            <w:pPr>
              <w:pStyle w:val="Compact"/>
              <w:jc w:val="left"/>
            </w:pPr>
            <w:r>
              <w:t xml:space="preserve">./Device/Vendor/MSFT/Policy/Config/Audit/AccountLogon_AuditLogon</w:t>
            </w:r>
          </w:p>
        </w:tc>
      </w:tr>
      <w:tr>
        <w:tc>
          <w:tcPr/>
          <w:p>
            <w:pPr>
              <w:pStyle w:val="Compact"/>
              <w:jc w:val="left"/>
            </w:pPr>
            <w:r>
              <w:t xml:space="preserve">Do Not Display Last User Name</w:t>
            </w:r>
          </w:p>
        </w:tc>
        <w:tc>
          <w:tcPr/>
          <w:p>
            <w:pPr>
              <w:pStyle w:val="Compact"/>
              <w:jc w:val="left"/>
            </w:pPr>
            <w:r>
              <w:t xml:space="preserve">InteractiveLogon_DoNotDisplayLastSignedIn</w:t>
            </w:r>
          </w:p>
        </w:tc>
        <w:tc>
          <w:tcPr/>
          <w:p>
            <w:pPr>
              <w:pStyle w:val="Compact"/>
              <w:jc w:val="left"/>
            </w:pPr>
            <w:r>
              <w:t xml:space="preserve">./Device/Vendor/MSFT/Policy/Config/LocalPoliciesSecurityOptions/InteractiveLogon_DoNotDisplayLastSignedIn</w:t>
            </w:r>
          </w:p>
        </w:tc>
      </w:tr>
      <w:tr>
        <w:tc>
          <w:tcPr/>
          <w:p>
            <w:pPr>
              <w:pStyle w:val="Compact"/>
              <w:jc w:val="left"/>
            </w:pPr>
            <w:r>
              <w:t xml:space="preserve">Logon Message Text</w:t>
            </w:r>
          </w:p>
        </w:tc>
        <w:tc>
          <w:tcPr/>
          <w:p>
            <w:pPr>
              <w:pStyle w:val="Compact"/>
              <w:jc w:val="left"/>
            </w:pPr>
            <w:r>
              <w:t xml:space="preserve">InteractiveLogon_MessageTextForUsersAttemptingToLogOn</w:t>
            </w:r>
          </w:p>
        </w:tc>
        <w:tc>
          <w:tcPr/>
          <w:p>
            <w:pPr>
              <w:pStyle w:val="Compact"/>
              <w:jc w:val="left"/>
            </w:pPr>
            <w:r>
              <w:t xml:space="preserve">./Device/Vendor/MSFT/Policy/Config/LocalPoliciesSecurityOptions/InteractiveLogon_MessageTextForUsersAttemptingToLogOn</w:t>
            </w:r>
          </w:p>
        </w:tc>
      </w:tr>
    </w:tbl>
    <w:p>
      <w:pPr>
        <w:pStyle w:val="BodyText"/>
      </w:pPr>
      <w:r>
        <w:t xml:space="preserve">A.2 SC-002: Defender Antivirus — CSP References</w:t>
      </w:r>
    </w:p>
    <w:tbl>
      <w:tblPr>
        <w:tblStyle w:val="Table"/>
        <w:tblW w:type="pct" w:w="4904"/>
        <w:tblLayout w:type="fixed"/>
        <w:tblLook w:firstRow="1" w:lastRow="0" w:firstColumn="0" w:lastColumn="0" w:noHBand="0" w:noVBand="0" w:val="0020"/>
      </w:tblPr>
      <w:tblGrid>
        <w:gridCol w:w="2056"/>
        <w:gridCol w:w="571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Real-time Protection</w:t>
            </w:r>
          </w:p>
        </w:tc>
        <w:tc>
          <w:tcPr/>
          <w:p>
            <w:pPr>
              <w:pStyle w:val="Compact"/>
              <w:jc w:val="left"/>
            </w:pPr>
            <w:r>
              <w:t xml:space="preserve">./Device/Vendor/MSFT/Policy/Config/Defender/AllowRealtimeMonitoring</w:t>
            </w:r>
          </w:p>
        </w:tc>
      </w:tr>
      <w:tr>
        <w:tc>
          <w:tcPr/>
          <w:p>
            <w:pPr>
              <w:pStyle w:val="Compact"/>
              <w:jc w:val="left"/>
            </w:pPr>
            <w:r>
              <w:t xml:space="preserve">Cloud Protection Level</w:t>
            </w:r>
          </w:p>
        </w:tc>
        <w:tc>
          <w:tcPr/>
          <w:p>
            <w:pPr>
              <w:pStyle w:val="Compact"/>
              <w:jc w:val="left"/>
            </w:pPr>
            <w:r>
              <w:t xml:space="preserve">./Device/Vendor/MSFT/Policy/Config/Defender/CloudBlockLevel</w:t>
            </w:r>
          </w:p>
        </w:tc>
      </w:tr>
      <w:tr>
        <w:tc>
          <w:tcPr/>
          <w:p>
            <w:pPr>
              <w:pStyle w:val="Compact"/>
              <w:jc w:val="left"/>
            </w:pPr>
            <w:r>
              <w:t xml:space="preserve">Cloud Extended Timeout</w:t>
            </w:r>
          </w:p>
        </w:tc>
        <w:tc>
          <w:tcPr/>
          <w:p>
            <w:pPr>
              <w:pStyle w:val="Compact"/>
              <w:jc w:val="left"/>
            </w:pPr>
            <w:r>
              <w:t xml:space="preserve">./Device/Vendor/MSFT/Policy/Config/Defender/CloudExtendedTimeout</w:t>
            </w:r>
          </w:p>
        </w:tc>
      </w:tr>
      <w:tr>
        <w:tc>
          <w:tcPr/>
          <w:p>
            <w:pPr>
              <w:pStyle w:val="Compact"/>
              <w:jc w:val="left"/>
            </w:pPr>
            <w:r>
              <w:t xml:space="preserve">Submit Samples Consent</w:t>
            </w:r>
          </w:p>
        </w:tc>
        <w:tc>
          <w:tcPr/>
          <w:p>
            <w:pPr>
              <w:pStyle w:val="Compact"/>
              <w:jc w:val="left"/>
            </w:pPr>
            <w:r>
              <w:t xml:space="preserve">./Device/Vendor/MSFT/Policy/Config/Defender/SubmitSamplesConsent</w:t>
            </w:r>
          </w:p>
        </w:tc>
      </w:tr>
      <w:tr>
        <w:tc>
          <w:tcPr/>
          <w:p>
            <w:pPr>
              <w:pStyle w:val="Compact"/>
              <w:jc w:val="left"/>
            </w:pPr>
            <w:r>
              <w:t xml:space="preserve">PUA Protection</w:t>
            </w:r>
          </w:p>
        </w:tc>
        <w:tc>
          <w:tcPr/>
          <w:p>
            <w:pPr>
              <w:pStyle w:val="Compact"/>
              <w:jc w:val="left"/>
            </w:pPr>
            <w:r>
              <w:t xml:space="preserve">./Device/Vendor/MSFT/Policy/Config/Defender/PUAProtection</w:t>
            </w:r>
          </w:p>
        </w:tc>
      </w:tr>
      <w:tr>
        <w:tc>
          <w:tcPr/>
          <w:p>
            <w:pPr>
              <w:pStyle w:val="Compact"/>
              <w:jc w:val="left"/>
            </w:pPr>
            <w:r>
              <w:t xml:space="preserve">Network Protection</w:t>
            </w:r>
          </w:p>
        </w:tc>
        <w:tc>
          <w:tcPr/>
          <w:p>
            <w:pPr>
              <w:pStyle w:val="Compact"/>
              <w:jc w:val="left"/>
            </w:pPr>
            <w:r>
              <w:t xml:space="preserve">./Device/Vendor/MSFT/Policy/Config/Defender/EnableNetworkProtection</w:t>
            </w:r>
          </w:p>
        </w:tc>
      </w:tr>
      <w:tr>
        <w:tc>
          <w:tcPr/>
          <w:p>
            <w:pPr>
              <w:pStyle w:val="Compact"/>
              <w:jc w:val="left"/>
            </w:pPr>
            <w:r>
              <w:t xml:space="preserve">Controlled Folder Access</w:t>
            </w:r>
          </w:p>
        </w:tc>
        <w:tc>
          <w:tcPr/>
          <w:p>
            <w:pPr>
              <w:pStyle w:val="Compact"/>
              <w:jc w:val="left"/>
            </w:pPr>
            <w:r>
              <w:t xml:space="preserve">./Device/Vendor/MSFT/Policy/Config/Defender/EnableControlledFolderAccess</w:t>
            </w:r>
          </w:p>
        </w:tc>
      </w:tr>
      <w:tr>
        <w:tc>
          <w:tcPr/>
          <w:p>
            <w:pPr>
              <w:pStyle w:val="Compact"/>
              <w:jc w:val="left"/>
            </w:pPr>
            <w:r>
              <w:t xml:space="preserve">ASR Rules</w:t>
            </w:r>
          </w:p>
        </w:tc>
        <w:tc>
          <w:tcPr/>
          <w:p>
            <w:pPr>
              <w:pStyle w:val="Compact"/>
              <w:jc w:val="left"/>
            </w:pPr>
            <w:r>
              <w:t xml:space="preserve">./Device/Vendor/MSFT/Policy/Config/Defender/AttackSurfaceReductionRules</w:t>
            </w:r>
          </w:p>
        </w:tc>
      </w:tr>
    </w:tbl>
    <w:p>
      <w:pPr>
        <w:pStyle w:val="BodyText"/>
      </w:pPr>
      <w:r>
        <w:t xml:space="preserve">A.3 SC-005: Windows Update for Business — CSP References</w:t>
      </w:r>
    </w:p>
    <w:tbl>
      <w:tblPr>
        <w:tblStyle w:val="Table"/>
        <w:tblW w:type="pct" w:w="4907"/>
        <w:tblLayout w:type="fixed"/>
        <w:tblLook w:firstRow="1" w:lastRow="0" w:firstColumn="0" w:lastColumn="0" w:noHBand="0" w:noVBand="0" w:val="0020"/>
      </w:tblPr>
      <w:tblGrid>
        <w:gridCol w:w="2146"/>
        <w:gridCol w:w="5625"/>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Feature Update Deferral</w:t>
            </w:r>
          </w:p>
        </w:tc>
        <w:tc>
          <w:tcPr/>
          <w:p>
            <w:pPr>
              <w:pStyle w:val="Compact"/>
              <w:jc w:val="left"/>
            </w:pPr>
            <w:r>
              <w:t xml:space="preserve">./Device/Vendor/MSFT/Policy/Config/Update/DeferFeatureUpdatesPeriodInDays</w:t>
            </w:r>
          </w:p>
        </w:tc>
      </w:tr>
      <w:tr>
        <w:tc>
          <w:tcPr/>
          <w:p>
            <w:pPr>
              <w:pStyle w:val="Compact"/>
              <w:jc w:val="left"/>
            </w:pPr>
            <w:r>
              <w:t xml:space="preserve">Quality Update Deferral</w:t>
            </w:r>
          </w:p>
        </w:tc>
        <w:tc>
          <w:tcPr/>
          <w:p>
            <w:pPr>
              <w:pStyle w:val="Compact"/>
              <w:jc w:val="left"/>
            </w:pPr>
            <w:r>
              <w:t xml:space="preserve">./Device/Vendor/MSFT/Policy/Config/Update/DeferQualityUpdatesPeriodInDays</w:t>
            </w:r>
          </w:p>
        </w:tc>
      </w:tr>
      <w:tr>
        <w:tc>
          <w:tcPr/>
          <w:p>
            <w:pPr>
              <w:pStyle w:val="Compact"/>
              <w:jc w:val="left"/>
            </w:pPr>
            <w:r>
              <w:t xml:space="preserve">Active Hours Start</w:t>
            </w:r>
          </w:p>
        </w:tc>
        <w:tc>
          <w:tcPr/>
          <w:p>
            <w:pPr>
              <w:pStyle w:val="Compact"/>
              <w:jc w:val="left"/>
            </w:pPr>
            <w:r>
              <w:t xml:space="preserve">./Device/Vendor/MSFT/Policy/Config/Update/ActiveHoursStart</w:t>
            </w:r>
          </w:p>
        </w:tc>
      </w:tr>
      <w:tr>
        <w:tc>
          <w:tcPr/>
          <w:p>
            <w:pPr>
              <w:pStyle w:val="Compact"/>
              <w:jc w:val="left"/>
            </w:pPr>
            <w:r>
              <w:t xml:space="preserve">Active Hours End</w:t>
            </w:r>
          </w:p>
        </w:tc>
        <w:tc>
          <w:tcPr/>
          <w:p>
            <w:pPr>
              <w:pStyle w:val="Compact"/>
              <w:jc w:val="left"/>
            </w:pPr>
            <w:r>
              <w:t xml:space="preserve">./Device/Vendor/MSFT/Policy/Config/Update/ActiveHoursEnd</w:t>
            </w:r>
          </w:p>
        </w:tc>
      </w:tr>
      <w:tr>
        <w:tc>
          <w:tcPr/>
          <w:p>
            <w:pPr>
              <w:pStyle w:val="Compact"/>
              <w:jc w:val="left"/>
            </w:pPr>
            <w:r>
              <w:t xml:space="preserve">Delivery Optimization Mode</w:t>
            </w:r>
          </w:p>
        </w:tc>
        <w:tc>
          <w:tcPr/>
          <w:p>
            <w:pPr>
              <w:pStyle w:val="Compact"/>
              <w:jc w:val="left"/>
            </w:pPr>
            <w:r>
              <w:t xml:space="preserve">./Device/Vendor/MSFT/Policy/Config/DeliveryOptimization/DODownloadMode</w:t>
            </w:r>
          </w:p>
        </w:tc>
      </w:tr>
    </w:tbl>
    <w:p>
      <w:pPr>
        <w:pStyle w:val="BodyText"/>
      </w:pPr>
      <w:r>
        <w:t xml:space="preserve">A.4 SC-006: BitLocker — CSP References</w:t>
      </w:r>
    </w:p>
    <w:tbl>
      <w:tblPr>
        <w:tblStyle w:val="Table"/>
        <w:tblW w:type="pct" w:w="4891"/>
        <w:tblLayout w:type="fixed"/>
        <w:tblLook w:firstRow="1" w:lastRow="0" w:firstColumn="0" w:lastColumn="0" w:noHBand="0" w:noVBand="0" w:val="0020"/>
      </w:tblPr>
      <w:tblGrid>
        <w:gridCol w:w="2496"/>
        <w:gridCol w:w="525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Require Encryption</w:t>
            </w:r>
          </w:p>
        </w:tc>
        <w:tc>
          <w:tcPr/>
          <w:p>
            <w:pPr>
              <w:pStyle w:val="Compact"/>
              <w:jc w:val="left"/>
            </w:pPr>
            <w:r>
              <w:t xml:space="preserve">./Device/Vendor/MSFT/BitLocker/RequireDeviceEncryption</w:t>
            </w:r>
          </w:p>
        </w:tc>
      </w:tr>
      <w:tr>
        <w:tc>
          <w:tcPr/>
          <w:p>
            <w:pPr>
              <w:pStyle w:val="Compact"/>
              <w:jc w:val="left"/>
            </w:pPr>
            <w:r>
              <w:t xml:space="preserve">OS Drive Encryption Method</w:t>
            </w:r>
          </w:p>
        </w:tc>
        <w:tc>
          <w:tcPr/>
          <w:p>
            <w:pPr>
              <w:pStyle w:val="Compact"/>
              <w:jc w:val="left"/>
            </w:pPr>
            <w:r>
              <w:t xml:space="preserve">./Device/Vendor/MSFT/BitLocker/EncryptionMethodByDriveType</w:t>
            </w:r>
          </w:p>
        </w:tc>
      </w:tr>
      <w:tr>
        <w:tc>
          <w:tcPr/>
          <w:p>
            <w:pPr>
              <w:pStyle w:val="Compact"/>
              <w:jc w:val="left"/>
            </w:pPr>
            <w:r>
              <w:t xml:space="preserve">Recovery Key Escrow</w:t>
            </w:r>
          </w:p>
        </w:tc>
        <w:tc>
          <w:tcPr/>
          <w:p>
            <w:pPr>
              <w:pStyle w:val="Compact"/>
              <w:jc w:val="left"/>
            </w:pPr>
            <w:r>
              <w:t xml:space="preserve">./Device/Vendor/MSFT/BitLocker/SystemDrivesRecoveryOptions</w:t>
            </w:r>
          </w:p>
        </w:tc>
      </w:tr>
    </w:tbl>
    <w:p>
      <w:pPr>
        <w:pStyle w:val="BodyText"/>
      </w:pPr>
      <w:r>
        <w:t xml:space="preserve">A.5 SC-008: Windows LAPS — CSP References</w:t>
      </w:r>
    </w:p>
    <w:tbl>
      <w:tblPr>
        <w:tblStyle w:val="Table"/>
        <w:tblW w:type="pct" w:w="4895"/>
        <w:tblLayout w:type="fixed"/>
        <w:tblLook w:firstRow="1" w:lastRow="0" w:firstColumn="0" w:lastColumn="0" w:noHBand="0" w:noVBand="0" w:val="0020"/>
      </w:tblPr>
      <w:tblGrid>
        <w:gridCol w:w="2501"/>
        <w:gridCol w:w="5252"/>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Backup Directory</w:t>
            </w:r>
          </w:p>
        </w:tc>
        <w:tc>
          <w:tcPr/>
          <w:p>
            <w:pPr>
              <w:pStyle w:val="Compact"/>
              <w:jc w:val="left"/>
            </w:pPr>
            <w:r>
              <w:t xml:space="preserve">./Device/Vendor/MSFT/LAPS/Policies/BackupDirectory</w:t>
            </w:r>
          </w:p>
        </w:tc>
      </w:tr>
      <w:tr>
        <w:tc>
          <w:tcPr/>
          <w:p>
            <w:pPr>
              <w:pStyle w:val="Compact"/>
              <w:jc w:val="left"/>
            </w:pPr>
            <w:r>
              <w:t xml:space="preserve">Password Complexity</w:t>
            </w:r>
          </w:p>
        </w:tc>
        <w:tc>
          <w:tcPr/>
          <w:p>
            <w:pPr>
              <w:pStyle w:val="Compact"/>
              <w:jc w:val="left"/>
            </w:pPr>
            <w:r>
              <w:t xml:space="preserve">./Device/Vendor/MSFT/LAPS/Policies/PasswordComplexity</w:t>
            </w:r>
          </w:p>
        </w:tc>
      </w:tr>
      <w:tr>
        <w:tc>
          <w:tcPr/>
          <w:p>
            <w:pPr>
              <w:pStyle w:val="Compact"/>
              <w:jc w:val="left"/>
            </w:pPr>
            <w:r>
              <w:t xml:space="preserve">Password Length</w:t>
            </w:r>
          </w:p>
        </w:tc>
        <w:tc>
          <w:tcPr/>
          <w:p>
            <w:pPr>
              <w:pStyle w:val="Compact"/>
              <w:jc w:val="left"/>
            </w:pPr>
            <w:r>
              <w:t xml:space="preserve">./Device/Vendor/MSFT/LAPS/Policies/PasswordLength</w:t>
            </w:r>
          </w:p>
        </w:tc>
      </w:tr>
      <w:tr>
        <w:tc>
          <w:tcPr/>
          <w:p>
            <w:pPr>
              <w:pStyle w:val="Compact"/>
              <w:jc w:val="left"/>
            </w:pPr>
            <w:r>
              <w:t xml:space="preserve">Password Age (Days)</w:t>
            </w:r>
          </w:p>
        </w:tc>
        <w:tc>
          <w:tcPr/>
          <w:p>
            <w:pPr>
              <w:pStyle w:val="Compact"/>
              <w:jc w:val="left"/>
            </w:pPr>
            <w:r>
              <w:t xml:space="preserve">./Device/Vendor/MSFT/LAPS/Policies/PasswordAgeDays</w:t>
            </w:r>
          </w:p>
        </w:tc>
      </w:tr>
      <w:tr>
        <w:tc>
          <w:tcPr/>
          <w:p>
            <w:pPr>
              <w:pStyle w:val="Compact"/>
              <w:jc w:val="left"/>
            </w:pPr>
            <w:r>
              <w:t xml:space="preserve">Post-Authentication Actions</w:t>
            </w:r>
          </w:p>
        </w:tc>
        <w:tc>
          <w:tcPr/>
          <w:p>
            <w:pPr>
              <w:pStyle w:val="Compact"/>
              <w:jc w:val="left"/>
            </w:pPr>
            <w:r>
              <w:t xml:space="preserve">./Device/Vendor/MSFT/LAPS/Policies/PostAuthenticationActions</w:t>
            </w:r>
          </w:p>
        </w:tc>
      </w:tr>
    </w:tbl>
    <w:p>
      <w:pPr>
        <w:pStyle w:val="BodyText"/>
      </w:pPr>
      <w:r>
        <w:t xml:space="preserve">A.6 Custom OMA-URI Template</w:t>
      </w:r>
    </w:p>
    <w:p>
      <w:pPr>
        <w:pStyle w:val="BodyText"/>
      </w:pPr>
      <w:r>
        <w:t xml:space="preserve">For settings not available in the Settings Catalog, deploy via custom OMA-URI profile: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Name: [Descriptive setting name] Description: [Purpose and GPO equivalent] OMA-URI: ./Device/Vendor/MSFT/Policy/Config/[Area]/[SettingName] Data type: [Integer | String | Boolean | Base64] Value: [Setting value]</w:t>
            </w:r>
          </w:p>
        </w:tc>
      </w:tr>
    </w:tbl>
    <w:p>
      <w:pPr>
        <w:pStyle w:val="BodyText"/>
      </w:pPr>
      <w:r>
        <w:t xml:space="preserve">Appendix B: JSON Export Templates</w:t>
      </w:r>
    </w:p>
    <w:p>
      <w:pPr>
        <w:pStyle w:val="BodyText"/>
      </w:pPr>
      <w:r>
        <w:t xml:space="preserve">The following JSON payloads can be used with the Microsoft Graph API to programmatically create Intune policies. GCC-Moderate uses the worldwide endpoint:</w:t>
      </w:r>
      <w:r>
        <w:t xml:space="preserve"> </w:t>
      </w:r>
      <w:r>
        <w:rPr>
          <w:b/>
          <w:bCs/>
        </w:rPr>
        <w:t xml:space="preserve">https://graph.microsoft.com</w:t>
      </w:r>
      <w:r>
        <w:t xml:space="preserve"> </w:t>
      </w:r>
      <w:r>
        <w:t xml:space="preserve">(</w:t>
      </w:r>
      <w:r>
        <w:rPr>
          <w:b/>
          <w:bCs/>
        </w:rPr>
        <w:t xml:space="preserve">graph.microsoft.us</w:t>
      </w:r>
      <w:r>
        <w:t xml:space="preserve"> </w:t>
      </w:r>
      <w:r>
        <w:t xml:space="preserve">is for GCC High).</w:t>
      </w:r>
    </w:p>
    <w:p>
      <w:pPr>
        <w:pStyle w:val="BodyText"/>
      </w:pPr>
      <w:r>
        <w:t xml:space="preserve">B.1 Compliance Policy — CP-001 (Graph API JSON)</w:t>
      </w:r>
    </w:p>
    <w:tbl>
      <w:tblPr>
        <w:tblStyle w:val="Table"/>
        <w:tblW w:type="pct" w:w="4991"/>
        <w:tblLayout w:type="fixed"/>
        <w:tblLook w:firstRow="0" w:lastRow="0" w:firstColumn="0" w:lastColumn="0" w:noHBand="0" w:noVBand="0" w:val="0000"/>
      </w:tblPr>
      <w:tblGrid>
        <w:gridCol w:w="7906"/>
      </w:tblGrid>
      <w:tr>
        <w:tc>
          <w:tcPr/>
          <w:p>
            <w:pPr>
              <w:pStyle w:val="Compact"/>
              <w:jc w:val="left"/>
            </w:pPr>
            <w:r>
              <w:t xml:space="preserve">POST https://graph.microsoft.com/v1.0/deviceManagement/deviceCompliancePolicies Content-Type: application/json { "</w:t>
            </w:r>
            <w:r>
              <w:t xml:space="preserve">@odata.type</w:t>
            </w:r>
            <w:r>
              <w:t xml:space="preserve">": "#microsoft.graph.windows10CompliancePolicy", "displayName": "FMP-CP-001-Workstation-Baseline", "description": "Windows Workstation Baseline Compliance - FMP", "passwordRequired": true, "passwordMinimumLength": 14, "passwordRequiredType": "alphanumeric", "passwordMinutesOfInactivityBeforeLock": 15, "osMinimumVersion": "10.0.19045", "secureBootEnabled": true, "codeIntegrityEnabled": true, "bitLockerEnabled": true, "tpmRequired": true, "activeFirewallRequired": true, "defenderEnabled": true, "antivirusRequired": true, "antiSpywareRequired": true, "signatureOutOfDate": true, "rtpEnabled": true, "scheduledActionsForRule": [ { "ruleName": "PasswordRequired", "scheduledActionConfigurations": [ { "actionType": "block", "gracePeriodHours": 24, "notificationTemplateId": "", "notificationMessageCCList": [] }, { "actionType": "notification", "gracePeriodHours": 24 }, { "actionType": "retire", "gracePeriodHours": 720 } ] } ] }</w:t>
            </w:r>
          </w:p>
        </w:tc>
      </w:tr>
    </w:tbl>
    <w:p>
      <w:pPr>
        <w:pStyle w:val="BodyText"/>
      </w:pPr>
      <w:r>
        <w:t xml:space="preserve">B.2 Settings Catalog Profile — SC-002 Defender (Graph API JSON)</w:t>
      </w:r>
    </w:p>
    <w:tbl>
      <w:tblPr>
        <w:tblStyle w:val="Table"/>
        <w:tblW w:type="pct" w:w="4995"/>
        <w:tblLayout w:type="fixed"/>
        <w:tblLook w:firstRow="0" w:lastRow="0" w:firstColumn="0" w:lastColumn="0" w:noHBand="0" w:noVBand="0" w:val="0000"/>
      </w:tblPr>
      <w:tblGrid>
        <w:gridCol w:w="7911"/>
      </w:tblGrid>
      <w:tr>
        <w:tc>
          <w:tcPr/>
          <w:p>
            <w:pPr>
              <w:pStyle w:val="Compact"/>
              <w:jc w:val="left"/>
            </w:pPr>
            <w:r>
              <w:t xml:space="preserve">POST https://graph.microsoft.com/v1.0/deviceManagement/configurationPolicies Content-Type: application/json { "name": "FMP-SC-002-Defender-Antivirus", "description": "Microsoft Defender Antivirus Configuration - FMP", "platforms": "windows10", "technologies": "mdm", "settings": [ { "settingInstance": { "</w:t>
            </w:r>
            <w:r>
              <w:t xml:space="preserve">@odata.type</w:t>
            </w:r>
            <w:r>
              <w:t xml:space="preserve">": "#microsoft.graph.deviceManagementConfigurationChoiceSettingInstance", "settingDefinitionId": "device_vendor_msft_policy_config_defender_allowrealtimemonitoring", "choiceSettingValue": { "value": "device_vendor_msft_policy_config_defender_allowrealtimemonitoring_1" } } }, { "settingInstance": { "</w:t>
            </w:r>
            <w:r>
              <w:t xml:space="preserve">@odata.type</w:t>
            </w:r>
            <w:r>
              <w:t xml:space="preserve">": "#microsoft.graph.deviceManagementConfigurationChoiceSettingInstance", "settingDefinitionId": "device_vendor_msft_policy_config_defender_cloudblocklevel", "choiceSettingValue": { "value": "device_vendor_msft_policy_config_defender_cloudblocklevel_2" } } }, { "settingInstance": { "</w:t>
            </w:r>
            <w:r>
              <w:t xml:space="preserve">@odata.type</w:t>
            </w:r>
            <w:r>
              <w:t xml:space="preserve">": "#microsoft.graph.deviceManagementConfigurationSimpleSettingInstance", "settingDefinitionId": "device_vendor_msft_policy_config_defender_cloudextendedtimeout", "simpleSettingValue": { "</w:t>
            </w:r>
            <w:r>
              <w:t xml:space="preserve">@odata.type</w:t>
            </w:r>
            <w:r>
              <w:t xml:space="preserve">": "#microsoft.graph.deviceManagementConfigurationIntegerSettingValue", "value": 50 } } }, { "settingInstance": { "</w:t>
            </w:r>
            <w:r>
              <w:t xml:space="preserve">@odata.type</w:t>
            </w:r>
            <w:r>
              <w:t xml:space="preserve">": "#microsoft.graph.deviceManagementConfigurationChoiceSettingInstance", "settingDefinitionId": "device_vendor_msft_policy_config_defender_submitsamplesconsent", "choiceSettingValue": { "value": "device_vendor_msft_policy_config_defender_submitsamplesconsent_1" } } }, { "settingInstance": { "</w:t>
            </w:r>
            <w:r>
              <w:t xml:space="preserve">@odata.type</w:t>
            </w:r>
            <w:r>
              <w:t xml:space="preserve">": "#microsoft.graph.deviceManagementConfigurationChoiceSettingInstance", "settingDefinitionId": "device_vendor_msft_policy_config_defender_puaprotection", "choiceSettingValue": { "value": "device_vendor_msft_policy_config_defender_puaprotection_1" } } } ] }</w:t>
            </w:r>
          </w:p>
        </w:tc>
      </w:tr>
    </w:tbl>
    <w:p>
      <w:pPr>
        <w:pStyle w:val="BodyText"/>
      </w:pPr>
      <w:r>
        <w:t xml:space="preserve">B.3 Endpoint Security — ES-005 ASR Rules (Graph API JSON)</w:t>
      </w:r>
    </w:p>
    <w:tbl>
      <w:tblPr>
        <w:tblStyle w:val="Table"/>
        <w:tblW w:type="pct" w:w="4983"/>
        <w:tblLayout w:type="fixed"/>
        <w:tblLook w:firstRow="0" w:lastRow="0" w:firstColumn="0" w:lastColumn="0" w:noHBand="0" w:noVBand="0" w:val="0000"/>
      </w:tblPr>
      <w:tblGrid>
        <w:gridCol w:w="7893"/>
      </w:tblGrid>
      <w:tr>
        <w:tc>
          <w:tcPr/>
          <w:p>
            <w:pPr>
              <w:pStyle w:val="Compact"/>
              <w:jc w:val="left"/>
            </w:pPr>
            <w:r>
              <w:t xml:space="preserve">POST https://graph.microsoft.com/v1.0/deviceManagement/intents Content-Type: application/json { "displayName": "FMP-ES-005-ASR-Rules", "description": "Attack Surface Reduction Rules - Audit Mode - FMP", "templateId": "[ASR template GUID from Intune]", "settings": [ { "definitionId": "deviceConfiguration--windows10EndpointProtectionConfiguration_defenderAttackSurfaceReductionExcludedPaths", "valueJson": "[]" }, { "definitionId": "deviceConfiguration--windows10EndpointProtectionConfiguration_defenderGuardedFoldersAllowedAppPaths", "valueJson": "[]" } ] }</w:t>
            </w:r>
          </w:p>
        </w:tc>
      </w:tr>
    </w:tbl>
    <w:p>
      <w:pPr>
        <w:pStyle w:val="BodyText"/>
      </w:pPr>
      <w:r>
        <w:t xml:space="preserve">B.4 PowerShell — Create Policies via Graph SDK</w:t>
      </w:r>
    </w:p>
    <w:tbl>
      <w:tblPr>
        <w:tblStyle w:val="Table"/>
        <w:tblW w:type="pct" w:w="4989"/>
        <w:tblLayout w:type="fixed"/>
        <w:tblLook w:firstRow="0" w:lastRow="0" w:firstColumn="0" w:lastColumn="0" w:noHBand="0" w:noVBand="0" w:val="0000"/>
      </w:tblPr>
      <w:tblGrid>
        <w:gridCol w:w="7902"/>
      </w:tblGrid>
      <w:tr>
        <w:tc>
          <w:tcPr/>
          <w:p>
            <w:pPr>
              <w:pStyle w:val="Compact"/>
              <w:jc w:val="left"/>
            </w:pPr>
            <w:r>
              <w:t xml:space="preserve"># Connect to Graph (GCC-Moderate) Connect-MgGraph -Scopes "DeviceManagementConfiguration.ReadWrite.All" ` # Create Compliance Policy $complianceBody = @{ "</w:t>
            </w:r>
            <w:r>
              <w:t xml:space="preserve">@odata.type</w:t>
            </w:r>
            <w:r>
              <w:t xml:space="preserve">" = "#microsoft.graph.windows10CompliancePolicy" displayName = "FMP-CP-001-Workstation-Baseline" description = "Windows Workstation Baseline Compliance" passwordRequired = $true passwordMinimumLength = 14 secureBootEnabled = $true bitLockerEnabled = $true tpmRequired = $true activeFirewallRequired = $true defenderEnabled = $true } New-MgDeviceManagementDeviceCompliancePolicy -BodyParameter $complianceBody # Create Configuration Profile $configBody = @{ "</w:t>
            </w:r>
            <w:r>
              <w:t xml:space="preserve">@odata.type</w:t>
            </w:r>
            <w:r>
              <w:t xml:space="preserve">" = "#microsoft.graph.windows10GeneralConfiguration" displayName = "FMP-SC-001-Security-Baseline" description = "Windows Security Baseline Configuration" } New-MgDeviceManagementDeviceConfiguration -BodyParameter $configBody</w:t>
            </w:r>
          </w:p>
        </w:tc>
      </w:tr>
    </w:tbl>
    <w:p>
      <w:pPr>
        <w:pStyle w:val="BodyText"/>
      </w:pPr>
      <w:r>
        <w:t xml:space="preserve">Appendix C: Co-Management Decision Matrix</w:t>
      </w:r>
    </w:p>
    <w:p>
      <w:pPr>
        <w:pStyle w:val="BodyText"/>
      </w:pPr>
      <w:r>
        <w:t xml:space="preserve">Use this matrix to determine which management authority (GPO, SCCM, or Intune) should control each workload based on device type, management model, and connectivity requirements.</w:t>
      </w:r>
    </w:p>
    <w:p>
      <w:pPr>
        <w:pStyle w:val="BodyText"/>
      </w:pPr>
      <w:r>
        <w:t xml:space="preserve">C.1 Workload-by-Workload Comparison</w:t>
      </w:r>
    </w:p>
    <w:tbl>
      <w:tblPr>
        <w:tblStyle w:val="Table"/>
        <w:tblW w:type="pct" w:w="4963"/>
        <w:tblLayout w:type="fixed"/>
        <w:tblLook w:firstRow="1" w:lastRow="0" w:firstColumn="0" w:lastColumn="0" w:noHBand="0" w:noVBand="0" w:val="0020"/>
      </w:tblPr>
      <w:tblGrid>
        <w:gridCol w:w="1102"/>
        <w:gridCol w:w="1595"/>
        <w:gridCol w:w="1566"/>
        <w:gridCol w:w="1798"/>
        <w:gridCol w:w="1798"/>
      </w:tblGrid>
      <w:tr>
        <w:trPr>
          <w:tblHeader w:val="on"/>
        </w:trPr>
        <w:tc>
          <w:tcPr/>
          <w:p>
            <w:pPr>
              <w:pStyle w:val="Compact"/>
              <w:jc w:val="left"/>
            </w:pPr>
            <w:r>
              <w:rPr>
                <w:b/>
                <w:bCs/>
              </w:rPr>
              <w:t xml:space="preserve">Workload</w:t>
            </w:r>
          </w:p>
        </w:tc>
        <w:tc>
          <w:tcPr/>
          <w:p>
            <w:pPr>
              <w:pStyle w:val="Compact"/>
              <w:jc w:val="left"/>
            </w:pPr>
            <w:r>
              <w:rPr>
                <w:b/>
                <w:bCs/>
              </w:rPr>
              <w:t xml:space="preserve">GPO (On-Premises)</w:t>
            </w:r>
          </w:p>
        </w:tc>
        <w:tc>
          <w:tcPr/>
          <w:p>
            <w:pPr>
              <w:pStyle w:val="Compact"/>
              <w:jc w:val="left"/>
            </w:pPr>
            <w:r>
              <w:rPr>
                <w:b/>
                <w:bCs/>
              </w:rPr>
              <w:t xml:space="preserve">SCCM / MECM</w:t>
            </w:r>
          </w:p>
        </w:tc>
        <w:tc>
          <w:tcPr/>
          <w:p>
            <w:pPr>
              <w:pStyle w:val="Compact"/>
              <w:jc w:val="left"/>
            </w:pPr>
            <w:r>
              <w:rPr>
                <w:b/>
                <w:bCs/>
              </w:rPr>
              <w:t xml:space="preserve">Intune</w:t>
            </w:r>
          </w:p>
        </w:tc>
        <w:tc>
          <w:tcPr/>
          <w:p>
            <w:pPr>
              <w:pStyle w:val="Compact"/>
              <w:jc w:val="left"/>
            </w:pPr>
            <w:r>
              <w:rPr>
                <w:b/>
                <w:bCs/>
              </w:rPr>
              <w:t xml:space="preserve">Recommendation</w:t>
            </w:r>
          </w:p>
        </w:tc>
      </w:tr>
      <w:tr>
        <w:tc>
          <w:tcPr/>
          <w:p>
            <w:pPr>
              <w:pStyle w:val="Compact"/>
              <w:jc w:val="left"/>
            </w:pPr>
            <w:r>
              <w:t xml:space="preserve">Compliance Policies</w:t>
            </w:r>
          </w:p>
        </w:tc>
        <w:tc>
          <w:tcPr/>
          <w:p>
            <w:pPr>
              <w:pStyle w:val="Compact"/>
              <w:jc w:val="left"/>
            </w:pPr>
            <w:r>
              <w:t xml:space="preserve">No native equivalent; relies on scripts and SCCM DCM</w:t>
            </w:r>
          </w:p>
        </w:tc>
        <w:tc>
          <w:tcPr/>
          <w:p>
            <w:pPr>
              <w:pStyle w:val="Compact"/>
              <w:jc w:val="left"/>
            </w:pPr>
            <w:r>
              <w:t xml:space="preserve">Compliance Settings (DCM baselines)</w:t>
            </w:r>
          </w:p>
        </w:tc>
        <w:tc>
          <w:tcPr/>
          <w:p>
            <w:pPr>
              <w:pStyle w:val="Compact"/>
              <w:jc w:val="left"/>
            </w:pPr>
            <w:r>
              <w:t xml:space="preserve">Device Compliance Policies + Conditional Access integration</w:t>
            </w:r>
          </w:p>
        </w:tc>
        <w:tc>
          <w:tcPr/>
          <w:p>
            <w:pPr>
              <w:pStyle w:val="Compact"/>
              <w:jc w:val="left"/>
            </w:pPr>
            <w:r>
              <w:t xml:space="preserve">Intune — native CA integration</w:t>
            </w:r>
          </w:p>
        </w:tc>
      </w:tr>
      <w:tr>
        <w:tc>
          <w:tcPr/>
          <w:p>
            <w:pPr>
              <w:pStyle w:val="Compact"/>
              <w:jc w:val="left"/>
            </w:pPr>
            <w:r>
              <w:t xml:space="preserve">Device Configuration</w:t>
            </w:r>
          </w:p>
        </w:tc>
        <w:tc>
          <w:tcPr/>
          <w:p>
            <w:pPr>
              <w:pStyle w:val="Compact"/>
              <w:jc w:val="left"/>
            </w:pPr>
            <w:r>
              <w:t xml:space="preserve">ADMX-backed GPO settings; mature, comprehensive</w:t>
            </w:r>
          </w:p>
        </w:tc>
        <w:tc>
          <w:tcPr/>
          <w:p>
            <w:pPr>
              <w:pStyle w:val="Compact"/>
              <w:jc w:val="left"/>
            </w:pPr>
            <w:r>
              <w:t xml:space="preserve">Configuration Items + Baselines</w:t>
            </w:r>
          </w:p>
        </w:tc>
        <w:tc>
          <w:tcPr/>
          <w:p>
            <w:pPr>
              <w:pStyle w:val="Compact"/>
              <w:jc w:val="left"/>
            </w:pPr>
            <w:r>
              <w:t xml:space="preserve">Settings Catalog (ADMX-backed) + OMA-URI</w:t>
            </w:r>
          </w:p>
        </w:tc>
        <w:tc>
          <w:tcPr/>
          <w:p>
            <w:pPr>
              <w:pStyle w:val="Compact"/>
              <w:jc w:val="left"/>
            </w:pPr>
            <w:r>
              <w:t xml:space="preserve">Intune — Settings Catalog parity achieved; cloud-native</w:t>
            </w:r>
          </w:p>
        </w:tc>
      </w:tr>
      <w:tr>
        <w:tc>
          <w:tcPr/>
          <w:p>
            <w:pPr>
              <w:pStyle w:val="Compact"/>
              <w:jc w:val="left"/>
            </w:pPr>
            <w:r>
              <w:t xml:space="preserve">Endpoint Protection</w:t>
            </w:r>
          </w:p>
        </w:tc>
        <w:tc>
          <w:tcPr/>
          <w:p>
            <w:pPr>
              <w:pStyle w:val="Compact"/>
              <w:jc w:val="left"/>
            </w:pPr>
            <w:r>
              <w:t xml:space="preserve">Limited (Defender GPO)</w:t>
            </w:r>
          </w:p>
        </w:tc>
        <w:tc>
          <w:tcPr/>
          <w:p>
            <w:pPr>
              <w:pStyle w:val="Compact"/>
              <w:jc w:val="left"/>
            </w:pPr>
            <w:r>
              <w:t xml:space="preserve">Endpoint Protection role + SCEP</w:t>
            </w:r>
          </w:p>
        </w:tc>
        <w:tc>
          <w:tcPr/>
          <w:p>
            <w:pPr>
              <w:pStyle w:val="Compact"/>
              <w:jc w:val="left"/>
            </w:pPr>
            <w:r>
              <w:t xml:space="preserve">Endpoint Security blade (AV, FW, ASR, EDR, disk encryption)</w:t>
            </w:r>
          </w:p>
        </w:tc>
        <w:tc>
          <w:tcPr/>
          <w:p>
            <w:pPr>
              <w:pStyle w:val="Compact"/>
              <w:jc w:val="left"/>
            </w:pPr>
            <w:r>
              <w:t xml:space="preserve">Intune — unified security blade</w:t>
            </w:r>
          </w:p>
        </w:tc>
      </w:tr>
      <w:tr>
        <w:tc>
          <w:tcPr/>
          <w:p>
            <w:pPr>
              <w:pStyle w:val="Compact"/>
              <w:jc w:val="left"/>
            </w:pPr>
            <w:r>
              <w:t xml:space="preserve">Windows Update</w:t>
            </w:r>
          </w:p>
        </w:tc>
        <w:tc>
          <w:tcPr/>
          <w:p>
            <w:pPr>
              <w:pStyle w:val="Compact"/>
              <w:jc w:val="left"/>
            </w:pPr>
            <w:r>
              <w:t xml:space="preserve">WSUS GPO targeting</w:t>
            </w:r>
          </w:p>
        </w:tc>
        <w:tc>
          <w:tcPr/>
          <w:p>
            <w:pPr>
              <w:pStyle w:val="Compact"/>
              <w:jc w:val="left"/>
            </w:pPr>
            <w:r>
              <w:t xml:space="preserve">Software Update Point (SUP) + WSUS</w:t>
            </w:r>
          </w:p>
        </w:tc>
        <w:tc>
          <w:tcPr/>
          <w:p>
            <w:pPr>
              <w:pStyle w:val="Compact"/>
              <w:jc w:val="left"/>
            </w:pPr>
            <w:r>
              <w:t xml:space="preserve">Windows Update for Business (WUfB) + Update Rings</w:t>
            </w:r>
          </w:p>
        </w:tc>
        <w:tc>
          <w:tcPr/>
          <w:p>
            <w:pPr>
              <w:pStyle w:val="Compact"/>
              <w:jc w:val="left"/>
            </w:pPr>
            <w:r>
              <w:t xml:space="preserve">Intune — WUfB eliminates WSUS infrastructure</w:t>
            </w:r>
          </w:p>
        </w:tc>
      </w:tr>
      <w:tr>
        <w:tc>
          <w:tcPr/>
          <w:p>
            <w:pPr>
              <w:pStyle w:val="Compact"/>
              <w:jc w:val="left"/>
            </w:pPr>
            <w:r>
              <w:t xml:space="preserve">Resource Access (Wi-Fi, VPN, certs)</w:t>
            </w:r>
          </w:p>
        </w:tc>
        <w:tc>
          <w:tcPr/>
          <w:p>
            <w:pPr>
              <w:pStyle w:val="Compact"/>
              <w:jc w:val="left"/>
            </w:pPr>
            <w:r>
              <w:t xml:space="preserve">GPO + NPS + ADCS templates</w:t>
            </w:r>
          </w:p>
        </w:tc>
        <w:tc>
          <w:tcPr/>
          <w:p>
            <w:pPr>
              <w:pStyle w:val="Compact"/>
              <w:jc w:val="left"/>
            </w:pPr>
            <w:r>
              <w:t xml:space="preserve">Resource access profiles + NDES</w:t>
            </w:r>
          </w:p>
        </w:tc>
        <w:tc>
          <w:tcPr/>
          <w:p>
            <w:pPr>
              <w:pStyle w:val="Compact"/>
              <w:jc w:val="left"/>
            </w:pPr>
            <w:r>
              <w:t xml:space="preserve">Configuration profiles + SCEP/PKCS connector</w:t>
            </w:r>
          </w:p>
        </w:tc>
        <w:tc>
          <w:tcPr/>
          <w:p>
            <w:pPr>
              <w:pStyle w:val="Compact"/>
              <w:jc w:val="left"/>
            </w:pPr>
            <w:r>
              <w:t xml:space="preserve">Intune — requires NDES/SCEP connector for certs</w:t>
            </w:r>
          </w:p>
        </w:tc>
      </w:tr>
      <w:tr>
        <w:tc>
          <w:tcPr/>
          <w:p>
            <w:pPr>
              <w:pStyle w:val="Compact"/>
              <w:jc w:val="left"/>
            </w:pPr>
            <w:r>
              <w:t xml:space="preserve">Client Apps</w:t>
            </w:r>
          </w:p>
        </w:tc>
        <w:tc>
          <w:tcPr/>
          <w:p>
            <w:pPr>
              <w:pStyle w:val="Compact"/>
              <w:jc w:val="left"/>
            </w:pPr>
            <w:r>
              <w:t xml:space="preserve">GPO software installation (limited)</w:t>
            </w:r>
          </w:p>
        </w:tc>
        <w:tc>
          <w:tcPr/>
          <w:p>
            <w:pPr>
              <w:pStyle w:val="Compact"/>
              <w:jc w:val="left"/>
            </w:pPr>
            <w:r>
              <w:t xml:space="preserve">Application Management (MSI, script, task sequence)</w:t>
            </w:r>
          </w:p>
        </w:tc>
        <w:tc>
          <w:tcPr/>
          <w:p>
            <w:pPr>
              <w:pStyle w:val="Compact"/>
              <w:jc w:val="left"/>
            </w:pPr>
            <w:r>
              <w:t xml:space="preserve">Win32 app, MSI, MSIX, Microsoft Store, Winget</w:t>
            </w:r>
          </w:p>
        </w:tc>
        <w:tc>
          <w:tcPr/>
          <w:p>
            <w:pPr>
              <w:pStyle w:val="Compact"/>
              <w:jc w:val="left"/>
            </w:pPr>
            <w:r>
              <w:t xml:space="preserve">Phased — complex apps may remain in SCCM initially</w:t>
            </w:r>
          </w:p>
        </w:tc>
      </w:tr>
      <w:tr>
        <w:tc>
          <w:tcPr/>
          <w:p>
            <w:pPr>
              <w:pStyle w:val="Compact"/>
              <w:jc w:val="left"/>
            </w:pPr>
            <w:r>
              <w:t xml:space="preserve">Office Click-to-Run</w:t>
            </w:r>
          </w:p>
        </w:tc>
        <w:tc>
          <w:tcPr/>
          <w:p>
            <w:pPr>
              <w:pStyle w:val="Compact"/>
              <w:jc w:val="left"/>
            </w:pPr>
            <w:r>
              <w:t xml:space="preserve">Not applicable</w:t>
            </w:r>
          </w:p>
        </w:tc>
        <w:tc>
          <w:tcPr/>
          <w:p>
            <w:pPr>
              <w:pStyle w:val="Compact"/>
              <w:jc w:val="left"/>
            </w:pPr>
            <w:r>
              <w:t xml:space="preserve">Office 365 client deployment</w:t>
            </w:r>
          </w:p>
        </w:tc>
        <w:tc>
          <w:tcPr/>
          <w:p>
            <w:pPr>
              <w:pStyle w:val="Compact"/>
              <w:jc w:val="left"/>
            </w:pPr>
            <w:r>
              <w:t xml:space="preserve">Microsoft 365 Apps assignment</w:t>
            </w:r>
          </w:p>
        </w:tc>
        <w:tc>
          <w:tcPr/>
          <w:p>
            <w:pPr>
              <w:pStyle w:val="Compact"/>
              <w:jc w:val="left"/>
            </w:pPr>
            <w:r>
              <w:t xml:space="preserve">Intune — first workload to move</w:t>
            </w:r>
          </w:p>
        </w:tc>
      </w:tr>
    </w:tbl>
    <w:p>
      <w:pPr>
        <w:pStyle w:val="BodyText"/>
      </w:pPr>
      <w:r>
        <w:t xml:space="preserve">C.2 Decision Criteria</w:t>
      </w:r>
    </w:p>
    <w:tbl>
      <w:tblPr>
        <w:tblStyle w:val="Table"/>
        <w:tblW w:type="pct" w:w="4927"/>
        <w:tblLayout w:type="fixed"/>
        <w:tblLook w:firstRow="1" w:lastRow="0" w:firstColumn="0" w:lastColumn="0" w:noHBand="0" w:noVBand="0" w:val="0020"/>
      </w:tblPr>
      <w:tblGrid>
        <w:gridCol w:w="1445"/>
        <w:gridCol w:w="3468"/>
        <w:gridCol w:w="2890"/>
      </w:tblGrid>
      <w:tr>
        <w:trPr>
          <w:tblHeader w:val="on"/>
        </w:trPr>
        <w:tc>
          <w:tcPr/>
          <w:p>
            <w:pPr>
              <w:pStyle w:val="Compact"/>
              <w:jc w:val="left"/>
            </w:pPr>
            <w:r>
              <w:rPr>
                <w:b/>
                <w:bCs/>
              </w:rPr>
              <w:t xml:space="preserve">Criteria</w:t>
            </w:r>
          </w:p>
        </w:tc>
        <w:tc>
          <w:tcPr/>
          <w:p>
            <w:pPr>
              <w:pStyle w:val="Compact"/>
              <w:jc w:val="left"/>
            </w:pPr>
            <w:r>
              <w:rPr>
                <w:b/>
                <w:bCs/>
              </w:rPr>
              <w:t xml:space="preserve">Favor SCCM</w:t>
            </w:r>
          </w:p>
        </w:tc>
        <w:tc>
          <w:tcPr/>
          <w:p>
            <w:pPr>
              <w:pStyle w:val="Compact"/>
              <w:jc w:val="left"/>
            </w:pPr>
            <w:r>
              <w:rPr>
                <w:b/>
                <w:bCs/>
              </w:rPr>
              <w:t xml:space="preserve">Favor Intune</w:t>
            </w:r>
          </w:p>
        </w:tc>
      </w:tr>
      <w:tr>
        <w:tc>
          <w:tcPr/>
          <w:p>
            <w:pPr>
              <w:pStyle w:val="Compact"/>
              <w:jc w:val="left"/>
            </w:pPr>
            <w:r>
              <w:t xml:space="preserve">Device Type</w:t>
            </w:r>
          </w:p>
        </w:tc>
        <w:tc>
          <w:tcPr/>
          <w:p>
            <w:pPr>
              <w:pStyle w:val="Compact"/>
              <w:jc w:val="left"/>
            </w:pPr>
            <w:r>
              <w:t xml:space="preserve">Servers, legacy Windows, on-premises kiosks</w:t>
            </w:r>
          </w:p>
        </w:tc>
        <w:tc>
          <w:tcPr/>
          <w:p>
            <w:pPr>
              <w:pStyle w:val="Compact"/>
              <w:jc w:val="left"/>
            </w:pPr>
            <w:r>
              <w:t xml:space="preserve">Windows 10/11 workstations, remote/BYOD devices</w:t>
            </w:r>
          </w:p>
        </w:tc>
      </w:tr>
      <w:tr>
        <w:tc>
          <w:tcPr/>
          <w:p>
            <w:pPr>
              <w:pStyle w:val="Compact"/>
              <w:jc w:val="left"/>
            </w:pPr>
            <w:r>
              <w:t xml:space="preserve">Management Model</w:t>
            </w:r>
          </w:p>
        </w:tc>
        <w:tc>
          <w:tcPr/>
          <w:p>
            <w:pPr>
              <w:pStyle w:val="Compact"/>
              <w:jc w:val="left"/>
            </w:pPr>
            <w:r>
              <w:t xml:space="preserve">On-premises, domain-joined, managed network</w:t>
            </w:r>
          </w:p>
        </w:tc>
        <w:tc>
          <w:tcPr/>
          <w:p>
            <w:pPr>
              <w:pStyle w:val="Compact"/>
              <w:jc w:val="left"/>
            </w:pPr>
            <w:r>
              <w:t xml:space="preserve">Cloud-native, Entra-joined, hybrid join</w:t>
            </w:r>
          </w:p>
        </w:tc>
      </w:tr>
      <w:tr>
        <w:tc>
          <w:tcPr/>
          <w:p>
            <w:pPr>
              <w:pStyle w:val="Compact"/>
              <w:jc w:val="left"/>
            </w:pPr>
            <w:r>
              <w:t xml:space="preserve">Connectivity</w:t>
            </w:r>
          </w:p>
        </w:tc>
        <w:tc>
          <w:tcPr/>
          <w:p>
            <w:pPr>
              <w:pStyle w:val="Compact"/>
              <w:jc w:val="left"/>
            </w:pPr>
            <w:r>
              <w:t xml:space="preserve">Always on corporate network or VPN</w:t>
            </w:r>
          </w:p>
        </w:tc>
        <w:tc>
          <w:tcPr/>
          <w:p>
            <w:pPr>
              <w:pStyle w:val="Compact"/>
              <w:jc w:val="left"/>
            </w:pPr>
            <w:r>
              <w:t xml:space="preserve">Internet-connected (any network)</w:t>
            </w:r>
          </w:p>
        </w:tc>
      </w:tr>
      <w:tr>
        <w:tc>
          <w:tcPr/>
          <w:p>
            <w:pPr>
              <w:pStyle w:val="Compact"/>
              <w:jc w:val="left"/>
            </w:pPr>
            <w:r>
              <w:t xml:space="preserve">User Type</w:t>
            </w:r>
          </w:p>
        </w:tc>
        <w:tc>
          <w:tcPr/>
          <w:p>
            <w:pPr>
              <w:pStyle w:val="Compact"/>
              <w:jc w:val="left"/>
            </w:pPr>
            <w:r>
              <w:t xml:space="preserve">On-site workers, manufacturing, lab environments</w:t>
            </w:r>
          </w:p>
        </w:tc>
        <w:tc>
          <w:tcPr/>
          <w:p>
            <w:pPr>
              <w:pStyle w:val="Compact"/>
              <w:jc w:val="left"/>
            </w:pPr>
            <w:r>
              <w:t xml:space="preserve">Remote workers, hybrid workers, executives</w:t>
            </w:r>
          </w:p>
        </w:tc>
      </w:tr>
      <w:tr>
        <w:tc>
          <w:tcPr/>
          <w:p>
            <w:pPr>
              <w:pStyle w:val="Compact"/>
              <w:jc w:val="left"/>
            </w:pPr>
            <w:r>
              <w:t xml:space="preserve">Application Complexity</w:t>
            </w:r>
          </w:p>
        </w:tc>
        <w:tc>
          <w:tcPr/>
          <w:p>
            <w:pPr>
              <w:pStyle w:val="Compact"/>
              <w:jc w:val="left"/>
            </w:pPr>
            <w:r>
              <w:t xml:space="preserve">Complex task sequences, multi-step installs, dependencies</w:t>
            </w:r>
          </w:p>
        </w:tc>
        <w:tc>
          <w:tcPr/>
          <w:p>
            <w:pPr>
              <w:pStyle w:val="Compact"/>
              <w:jc w:val="left"/>
            </w:pPr>
            <w:r>
              <w:t xml:space="preserve">Standard apps, Win32 wrapped apps, Winget</w:t>
            </w:r>
          </w:p>
        </w:tc>
      </w:tr>
    </w:tbl>
    <w:p>
      <w:pPr>
        <w:pStyle w:val="BodyText"/>
      </w:pPr>
      <w:r>
        <w:t xml:space="preserve">C.3 Timeline Recommendations</w:t>
      </w:r>
    </w:p>
    <w:tbl>
      <w:tblPr>
        <w:tblStyle w:val="Table"/>
        <w:tblW w:type="pct" w:w="4895"/>
        <w:tblLayout w:type="fixed"/>
        <w:tblLook w:firstRow="1" w:lastRow="0" w:firstColumn="0" w:lastColumn="0" w:noHBand="0" w:noVBand="0" w:val="0020"/>
      </w:tblPr>
      <w:tblGrid>
        <w:gridCol w:w="1917"/>
        <w:gridCol w:w="1417"/>
        <w:gridCol w:w="1417"/>
        <w:gridCol w:w="1417"/>
        <w:gridCol w:w="1584"/>
      </w:tblGrid>
      <w:tr>
        <w:trPr>
          <w:tblHeader w:val="on"/>
        </w:trPr>
        <w:tc>
          <w:tcPr/>
          <w:p>
            <w:pPr>
              <w:pStyle w:val="Compact"/>
              <w:jc w:val="left"/>
            </w:pPr>
            <w:r>
              <w:rPr>
                <w:b/>
                <w:bCs/>
              </w:rPr>
              <w:t xml:space="preserve">Workload</w:t>
            </w:r>
          </w:p>
        </w:tc>
        <w:tc>
          <w:tcPr/>
          <w:p>
            <w:pPr>
              <w:pStyle w:val="Compact"/>
              <w:jc w:val="left"/>
            </w:pPr>
            <w:r>
              <w:rPr>
                <w:b/>
                <w:bCs/>
              </w:rPr>
              <w:t xml:space="preserve">Month 1–3</w:t>
            </w:r>
          </w:p>
        </w:tc>
        <w:tc>
          <w:tcPr/>
          <w:p>
            <w:pPr>
              <w:pStyle w:val="Compact"/>
              <w:jc w:val="left"/>
            </w:pPr>
            <w:r>
              <w:rPr>
                <w:b/>
                <w:bCs/>
              </w:rPr>
              <w:t xml:space="preserve">Month 4–6</w:t>
            </w:r>
          </w:p>
        </w:tc>
        <w:tc>
          <w:tcPr/>
          <w:p>
            <w:pPr>
              <w:pStyle w:val="Compact"/>
              <w:jc w:val="left"/>
            </w:pPr>
            <w:r>
              <w:rPr>
                <w:b/>
                <w:bCs/>
              </w:rPr>
              <w:t xml:space="preserve">Month 7–9</w:t>
            </w:r>
          </w:p>
        </w:tc>
        <w:tc>
          <w:tcPr/>
          <w:p>
            <w:pPr>
              <w:pStyle w:val="Compact"/>
              <w:jc w:val="left"/>
            </w:pPr>
            <w:r>
              <w:rPr>
                <w:b/>
                <w:bCs/>
              </w:rPr>
              <w:t xml:space="preserve">Month 10–12</w:t>
            </w:r>
          </w:p>
        </w:tc>
      </w:tr>
      <w:tr>
        <w:tc>
          <w:tcPr/>
          <w:p>
            <w:pPr>
              <w:pStyle w:val="Compact"/>
              <w:jc w:val="left"/>
            </w:pPr>
            <w:r>
              <w:t xml:space="preserve">Office Click-to-Run</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Compliance Policies</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r>
      <w:tr>
        <w:tc>
          <w:tcPr/>
          <w:p>
            <w:pPr>
              <w:pStyle w:val="Compact"/>
              <w:jc w:val="left"/>
            </w:pPr>
            <w:r>
              <w:t xml:space="preserve">Device Configuration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Endpoint Protection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Windows Update</w:t>
            </w:r>
          </w:p>
        </w:tc>
        <w:tc>
          <w:tcPr/>
          <w:p>
            <w:pPr>
              <w:pStyle w:val="Compact"/>
              <w:jc w:val="left"/>
            </w:pPr>
            <w:r>
              <w:t xml:space="preserve">—</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Decom WSUS</w:t>
            </w:r>
          </w:p>
        </w:tc>
      </w:tr>
      <w:tr>
        <w:tc>
          <w:tcPr/>
          <w:p>
            <w:pPr>
              <w:pStyle w:val="Compact"/>
              <w:jc w:val="left"/>
            </w:pPr>
            <w:r>
              <w:t xml:space="preserve">Resource Access</w:t>
            </w:r>
          </w:p>
        </w:tc>
        <w:tc>
          <w:tcPr/>
          <w:p>
            <w:pPr>
              <w:pStyle w:val="Compact"/>
              <w:jc w:val="left"/>
            </w:pPr>
            <w:r>
              <w:t xml:space="preserve">—</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r>
      <w:tr>
        <w:tc>
          <w:tcPr/>
          <w:p>
            <w:pPr>
              <w:pStyle w:val="Compact"/>
              <w:jc w:val="left"/>
            </w:pPr>
            <w:r>
              <w:t xml:space="preserve">Client Apps</w:t>
            </w:r>
          </w:p>
        </w:tc>
        <w:tc>
          <w:tcPr/>
          <w:p>
            <w:pPr>
              <w:pStyle w:val="Compact"/>
              <w:jc w:val="left"/>
            </w:pPr>
            <w:r>
              <w:t xml:space="preserve">—</w:t>
            </w:r>
          </w:p>
        </w:tc>
        <w:tc>
          <w:tcPr/>
          <w:p>
            <w:pPr>
              <w:pStyle w:val="Compact"/>
              <w:jc w:val="left"/>
            </w:pPr>
            <w:r>
              <w:t xml:space="preserve">—</w:t>
            </w:r>
          </w:p>
        </w:tc>
        <w:tc>
          <w:tcPr/>
          <w:p>
            <w:pPr>
              <w:pStyle w:val="Compact"/>
              <w:jc w:val="left"/>
            </w:pPr>
            <w:r>
              <w:t xml:space="preserve">Pilot</w:t>
            </w:r>
          </w:p>
        </w:tc>
        <w:tc>
          <w:tcPr/>
          <w:p>
            <w:pPr>
              <w:pStyle w:val="Compact"/>
              <w:jc w:val="left"/>
            </w:pPr>
            <w:r>
              <w:t xml:space="preserve">Phased move</w:t>
            </w:r>
          </w:p>
        </w:tc>
      </w:tr>
    </w:tbl>
    <w:p>
      <w:pPr>
        <w:pStyle w:val="BodyText"/>
      </w:pPr>
      <w:r>
        <w:t xml:space="preserve">Appendix D: Compliance Mapping</w:t>
      </w:r>
    </w:p>
    <w:p>
      <w:pPr>
        <w:pStyle w:val="BodyText"/>
      </w:pPr>
      <w:r>
        <w:t xml:space="preserve">D.1 NIST 800-53 Control Mapping</w:t>
      </w:r>
    </w:p>
    <w:p>
      <w:pPr>
        <w:pStyle w:val="BodyText"/>
      </w:pPr>
      <w:r>
        <w:t xml:space="preserve">The following table maps the Federal Modernization Program Intune policies to relevant NIST 800-53 Rev. 5 security controls:</w:t>
      </w:r>
    </w:p>
    <w:tbl>
      <w:tblPr>
        <w:tblStyle w:val="Table"/>
        <w:tblW w:type="pct" w:w="4935"/>
        <w:tblLayout w:type="fixed"/>
        <w:tblLook w:firstRow="1" w:lastRow="0" w:firstColumn="0" w:lastColumn="0" w:noHBand="0" w:noVBand="0" w:val="0020"/>
      </w:tblPr>
      <w:tblGrid>
        <w:gridCol w:w="977"/>
        <w:gridCol w:w="1851"/>
        <w:gridCol w:w="1285"/>
        <w:gridCol w:w="3702"/>
      </w:tblGrid>
      <w:tr>
        <w:trPr>
          <w:tblHeader w:val="on"/>
        </w:trPr>
        <w:tc>
          <w:tcPr/>
          <w:p>
            <w:pPr>
              <w:pStyle w:val="Compact"/>
              <w:jc w:val="left"/>
            </w:pPr>
            <w:r>
              <w:rPr>
                <w:b/>
                <w:bCs/>
              </w:rPr>
              <w:t xml:space="preserve">NIST Control</w:t>
            </w:r>
          </w:p>
        </w:tc>
        <w:tc>
          <w:tcPr/>
          <w:p>
            <w:pPr>
              <w:pStyle w:val="Compact"/>
              <w:jc w:val="left"/>
            </w:pPr>
            <w:r>
              <w:rPr>
                <w:b/>
                <w:bCs/>
              </w:rPr>
              <w:t xml:space="preserve">Control Name</w:t>
            </w:r>
          </w:p>
        </w:tc>
        <w:tc>
          <w:tcPr/>
          <w:p>
            <w:pPr>
              <w:pStyle w:val="Compact"/>
            </w:pPr>
            <w:r>
              <w:t xml:space="preserve">**The Federal Modernizati</w:t>
            </w:r>
          </w:p>
        </w:tc>
        <w:tc>
          <w:tcPr/>
          <w:p>
            <w:pPr>
              <w:pStyle w:val="Compact"/>
              <w:jc w:val="left"/>
            </w:pPr>
            <w:r>
              <w:t xml:space="preserve">on Program Policy**</w:t>
            </w:r>
            <w:r>
              <w:t xml:space="preserve"> </w:t>
            </w:r>
            <w:r>
              <w:rPr>
                <w:b/>
                <w:bCs/>
              </w:rPr>
              <w:t xml:space="preserve">Implementation</w:t>
            </w:r>
          </w:p>
        </w:tc>
      </w:tr>
      <w:tr>
        <w:tc>
          <w:tcPr/>
          <w:p>
            <w:pPr>
              <w:pStyle w:val="Compact"/>
              <w:jc w:val="left"/>
            </w:pPr>
            <w:r>
              <w:t xml:space="preserve">AC-2</w:t>
            </w:r>
          </w:p>
        </w:tc>
        <w:tc>
          <w:tcPr/>
          <w:p>
            <w:pPr>
              <w:pStyle w:val="Compact"/>
              <w:jc w:val="left"/>
            </w:pPr>
            <w:r>
              <w:t xml:space="preserve">Account Management</w:t>
            </w:r>
          </w:p>
        </w:tc>
        <w:tc>
          <w:tcPr/>
          <w:p>
            <w:pPr>
              <w:pStyle w:val="Compact"/>
            </w:pPr>
            <w:r>
              <w:t xml:space="preserve">SC-008, ES-006</w:t>
            </w:r>
          </w:p>
        </w:tc>
        <w:tc>
          <w:tcPr/>
          <w:p>
            <w:pPr>
              <w:pStyle w:val="Compact"/>
              <w:jc w:val="left"/>
            </w:pPr>
            <w:r>
              <w:t xml:space="preserve">LAPS for local admin; Windows Hello for Business for user accounts</w:t>
            </w:r>
          </w:p>
        </w:tc>
      </w:tr>
      <w:tr>
        <w:tc>
          <w:tcPr/>
          <w:p>
            <w:pPr>
              <w:pStyle w:val="Compact"/>
              <w:jc w:val="left"/>
            </w:pPr>
            <w:r>
              <w:t xml:space="preserve">AC-7</w:t>
            </w:r>
          </w:p>
        </w:tc>
        <w:tc>
          <w:tcPr/>
          <w:p>
            <w:pPr>
              <w:pStyle w:val="Compact"/>
              <w:jc w:val="left"/>
            </w:pPr>
            <w:r>
              <w:t xml:space="preserve">Unsuccessful Logon Attempts</w:t>
            </w:r>
          </w:p>
        </w:tc>
        <w:tc>
          <w:tcPr/>
          <w:p>
            <w:pPr>
              <w:pStyle w:val="Compact"/>
            </w:pPr>
            <w:r>
              <w:t xml:space="preserve">SC-001</w:t>
            </w:r>
          </w:p>
        </w:tc>
        <w:tc>
          <w:tcPr/>
          <w:p>
            <w:pPr>
              <w:pStyle w:val="Compact"/>
              <w:jc w:val="left"/>
            </w:pPr>
            <w:r>
              <w:t xml:space="preserve">Account lockout threshold (10 attempts), duration (15 min)</w:t>
            </w:r>
          </w:p>
        </w:tc>
      </w:tr>
      <w:tr>
        <w:tc>
          <w:tcPr/>
          <w:p>
            <w:pPr>
              <w:pStyle w:val="Compact"/>
              <w:jc w:val="left"/>
            </w:pPr>
            <w:r>
              <w:t xml:space="preserve">AC-8</w:t>
            </w:r>
          </w:p>
        </w:tc>
        <w:tc>
          <w:tcPr/>
          <w:p>
            <w:pPr>
              <w:pStyle w:val="Compact"/>
              <w:jc w:val="left"/>
            </w:pPr>
            <w:r>
              <w:t xml:space="preserve">System Use Notification</w:t>
            </w:r>
          </w:p>
        </w:tc>
        <w:tc>
          <w:tcPr/>
          <w:p>
            <w:pPr>
              <w:pStyle w:val="Compact"/>
            </w:pPr>
            <w:r>
              <w:t xml:space="preserve">SC-001</w:t>
            </w:r>
          </w:p>
        </w:tc>
        <w:tc>
          <w:tcPr/>
          <w:p>
            <w:pPr>
              <w:pStyle w:val="Compact"/>
              <w:jc w:val="left"/>
            </w:pPr>
            <w:r>
              <w:t xml:space="preserve">Interactive logon message text and title</w:t>
            </w:r>
          </w:p>
        </w:tc>
      </w:tr>
      <w:tr>
        <w:tc>
          <w:tcPr/>
          <w:p>
            <w:pPr>
              <w:pStyle w:val="Compact"/>
              <w:jc w:val="left"/>
            </w:pPr>
            <w:r>
              <w:t xml:space="preserve">AC-11</w:t>
            </w:r>
          </w:p>
        </w:tc>
        <w:tc>
          <w:tcPr/>
          <w:p>
            <w:pPr>
              <w:pStyle w:val="Compact"/>
              <w:jc w:val="left"/>
            </w:pPr>
            <w:r>
              <w:t xml:space="preserve">Device Lock</w:t>
            </w:r>
          </w:p>
        </w:tc>
        <w:tc>
          <w:tcPr/>
          <w:p>
            <w:pPr>
              <w:pStyle w:val="Compact"/>
            </w:pPr>
            <w:r>
              <w:t xml:space="preserve">CP-001</w:t>
            </w:r>
          </w:p>
        </w:tc>
        <w:tc>
          <w:tcPr/>
          <w:p>
            <w:pPr>
              <w:pStyle w:val="Compact"/>
              <w:jc w:val="left"/>
            </w:pPr>
            <w:r>
              <w:t xml:space="preserve">Password required; inactivity timeout</w:t>
            </w:r>
          </w:p>
        </w:tc>
      </w:tr>
      <w:tr>
        <w:tc>
          <w:tcPr/>
          <w:p>
            <w:pPr>
              <w:pStyle w:val="Compact"/>
              <w:jc w:val="left"/>
            </w:pPr>
            <w:r>
              <w:t xml:space="preserve">AU-2</w:t>
            </w:r>
          </w:p>
        </w:tc>
        <w:tc>
          <w:tcPr/>
          <w:p>
            <w:pPr>
              <w:pStyle w:val="Compact"/>
              <w:jc w:val="left"/>
            </w:pPr>
            <w:r>
              <w:t xml:space="preserve">Event Logging</w:t>
            </w:r>
          </w:p>
        </w:tc>
        <w:tc>
          <w:tcPr/>
          <w:p>
            <w:pPr>
              <w:pStyle w:val="Compact"/>
            </w:pPr>
            <w:r>
              <w:t xml:space="preserve">SC-001</w:t>
            </w:r>
          </w:p>
        </w:tc>
        <w:tc>
          <w:tcPr/>
          <w:p>
            <w:pPr>
              <w:pStyle w:val="Compact"/>
              <w:jc w:val="left"/>
            </w:pPr>
            <w:r>
              <w:t xml:space="preserve">Audit policy: logon, object access, policy change, privilege use</w:t>
            </w:r>
          </w:p>
        </w:tc>
      </w:tr>
      <w:tr>
        <w:tc>
          <w:tcPr/>
          <w:p>
            <w:pPr>
              <w:pStyle w:val="Compact"/>
              <w:jc w:val="left"/>
            </w:pPr>
            <w:r>
              <w:t xml:space="preserve">AU-3</w:t>
            </w:r>
          </w:p>
        </w:tc>
        <w:tc>
          <w:tcPr/>
          <w:p>
            <w:pPr>
              <w:pStyle w:val="Compact"/>
              <w:jc w:val="left"/>
            </w:pPr>
            <w:r>
              <w:t xml:space="preserve">Content of Audit Records</w:t>
            </w:r>
          </w:p>
        </w:tc>
        <w:tc>
          <w:tcPr/>
          <w:p>
            <w:pPr>
              <w:pStyle w:val="Compact"/>
            </w:pPr>
            <w:r>
              <w:t xml:space="preserve">SC-001, ES-004</w:t>
            </w:r>
          </w:p>
        </w:tc>
        <w:tc>
          <w:tcPr/>
          <w:p>
            <w:pPr>
              <w:pStyle w:val="Compact"/>
              <w:jc w:val="left"/>
            </w:pPr>
            <w:r>
              <w:t xml:space="preserve">Audit policy settings + EDR telemetry</w:t>
            </w:r>
          </w:p>
        </w:tc>
      </w:tr>
      <w:tr>
        <w:tc>
          <w:tcPr/>
          <w:p>
            <w:pPr>
              <w:pStyle w:val="Compact"/>
              <w:jc w:val="left"/>
            </w:pPr>
            <w:r>
              <w:t xml:space="preserve">CM-6</w:t>
            </w:r>
          </w:p>
        </w:tc>
        <w:tc>
          <w:tcPr/>
          <w:p>
            <w:pPr>
              <w:pStyle w:val="Compact"/>
              <w:jc w:val="left"/>
            </w:pPr>
            <w:r>
              <w:t xml:space="preserve">Configuration Settings</w:t>
            </w:r>
          </w:p>
        </w:tc>
        <w:tc>
          <w:tcPr/>
          <w:p>
            <w:pPr>
              <w:pStyle w:val="Compact"/>
            </w:pPr>
            <w:r>
              <w:t xml:space="preserve">SC-001 through SC-010</w:t>
            </w:r>
          </w:p>
        </w:tc>
        <w:tc>
          <w:tcPr/>
          <w:p>
            <w:pPr>
              <w:pStyle w:val="Compact"/>
              <w:jc w:val="left"/>
            </w:pPr>
            <w:r>
              <w:t xml:space="preserve">All Settings Catalog profiles enforce approved configurations</w:t>
            </w:r>
          </w:p>
        </w:tc>
      </w:tr>
      <w:tr>
        <w:tc>
          <w:tcPr/>
          <w:p>
            <w:pPr>
              <w:pStyle w:val="Compact"/>
              <w:jc w:val="left"/>
            </w:pPr>
            <w:r>
              <w:t xml:space="preserve">CM-7</w:t>
            </w:r>
          </w:p>
        </w:tc>
        <w:tc>
          <w:tcPr/>
          <w:p>
            <w:pPr>
              <w:pStyle w:val="Compact"/>
              <w:jc w:val="left"/>
            </w:pPr>
            <w:r>
              <w:t xml:space="preserve">Least Functionality</w:t>
            </w:r>
          </w:p>
        </w:tc>
        <w:tc>
          <w:tcPr/>
          <w:p>
            <w:pPr>
              <w:pStyle w:val="Compact"/>
            </w:pPr>
            <w:r>
              <w:t xml:space="preserve">ES-005, SC-003</w:t>
            </w:r>
          </w:p>
        </w:tc>
        <w:tc>
          <w:tcPr/>
          <w:p>
            <w:pPr>
              <w:pStyle w:val="Compact"/>
              <w:jc w:val="left"/>
            </w:pPr>
            <w:r>
              <w:t xml:space="preserve">ASR rules block unnecessary functionality; Edge extension blocklist</w:t>
            </w:r>
          </w:p>
        </w:tc>
      </w:tr>
      <w:tr>
        <w:tc>
          <w:tcPr/>
          <w:p>
            <w:pPr>
              <w:pStyle w:val="Compact"/>
              <w:jc w:val="left"/>
            </w:pPr>
            <w:r>
              <w:t xml:space="preserve">IA-2</w:t>
            </w:r>
          </w:p>
        </w:tc>
        <w:tc>
          <w:tcPr/>
          <w:p>
            <w:pPr>
              <w:pStyle w:val="Compact"/>
              <w:jc w:val="left"/>
            </w:pPr>
            <w:r>
              <w:t xml:space="preserve">Identification and Authentication</w:t>
            </w:r>
          </w:p>
        </w:tc>
        <w:tc>
          <w:tcPr/>
          <w:p>
            <w:pPr>
              <w:pStyle w:val="Compact"/>
            </w:pPr>
            <w:r>
              <w:t xml:space="preserve">ES-006</w:t>
            </w:r>
          </w:p>
        </w:tc>
        <w:tc>
          <w:tcPr/>
          <w:p>
            <w:pPr>
              <w:pStyle w:val="Compact"/>
              <w:jc w:val="left"/>
            </w:pPr>
            <w:r>
              <w:t xml:space="preserve">Windows Hello for Business (MFA at device level)</w:t>
            </w:r>
          </w:p>
        </w:tc>
      </w:tr>
      <w:tr>
        <w:tc>
          <w:tcPr/>
          <w:p>
            <w:pPr>
              <w:pStyle w:val="Compact"/>
              <w:jc w:val="left"/>
            </w:pPr>
            <w:r>
              <w:t xml:space="preserve">IA-5</w:t>
            </w:r>
          </w:p>
        </w:tc>
        <w:tc>
          <w:tcPr/>
          <w:p>
            <w:pPr>
              <w:pStyle w:val="Compact"/>
              <w:jc w:val="left"/>
            </w:pPr>
            <w:r>
              <w:t xml:space="preserve">Authenticator Management</w:t>
            </w:r>
          </w:p>
        </w:tc>
        <w:tc>
          <w:tcPr/>
          <w:p>
            <w:pPr>
              <w:pStyle w:val="Compact"/>
            </w:pPr>
            <w:r>
              <w:t xml:space="preserve">CP-001, SC-008</w:t>
            </w:r>
          </w:p>
        </w:tc>
        <w:tc>
          <w:tcPr/>
          <w:p>
            <w:pPr>
              <w:pStyle w:val="Compact"/>
              <w:jc w:val="left"/>
            </w:pPr>
            <w:r>
              <w:t xml:space="preserve">Password length/complexity; LAPS password rotation</w:t>
            </w:r>
          </w:p>
        </w:tc>
      </w:tr>
      <w:tr>
        <w:tc>
          <w:tcPr/>
          <w:p>
            <w:pPr>
              <w:pStyle w:val="Compact"/>
              <w:jc w:val="left"/>
            </w:pPr>
            <w:r>
              <w:t xml:space="preserve">SC-7</w:t>
            </w:r>
          </w:p>
        </w:tc>
        <w:tc>
          <w:tcPr/>
          <w:p>
            <w:pPr>
              <w:pStyle w:val="Compact"/>
              <w:jc w:val="left"/>
            </w:pPr>
            <w:r>
              <w:t xml:space="preserve">Boundary Protection</w:t>
            </w:r>
          </w:p>
        </w:tc>
        <w:tc>
          <w:tcPr/>
          <w:p>
            <w:pPr>
              <w:pStyle w:val="Compact"/>
            </w:pPr>
            <w:r>
              <w:t xml:space="preserve">SC-007, ES-003</w:t>
            </w:r>
          </w:p>
        </w:tc>
        <w:tc>
          <w:tcPr/>
          <w:p>
            <w:pPr>
              <w:pStyle w:val="Compact"/>
              <w:jc w:val="left"/>
            </w:pPr>
            <w:r>
              <w:t xml:space="preserve">Windows Firewall profiles with per-network rules</w:t>
            </w:r>
          </w:p>
        </w:tc>
      </w:tr>
      <w:tr>
        <w:tc>
          <w:tcPr/>
          <w:p>
            <w:pPr>
              <w:pStyle w:val="Compact"/>
              <w:jc w:val="left"/>
            </w:pPr>
            <w:r>
              <w:t xml:space="preserve">SC-13</w:t>
            </w:r>
          </w:p>
        </w:tc>
        <w:tc>
          <w:tcPr/>
          <w:p>
            <w:pPr>
              <w:pStyle w:val="Compact"/>
              <w:jc w:val="left"/>
            </w:pPr>
            <w:r>
              <w:t xml:space="preserve">Cryptographic Protection</w:t>
            </w:r>
          </w:p>
        </w:tc>
        <w:tc>
          <w:tcPr/>
          <w:p>
            <w:pPr>
              <w:pStyle w:val="Compact"/>
            </w:pPr>
            <w:r>
              <w:t xml:space="preserve">SC-006, ES-002</w:t>
            </w:r>
          </w:p>
        </w:tc>
        <w:tc>
          <w:tcPr/>
          <w:p>
            <w:pPr>
              <w:pStyle w:val="Compact"/>
              <w:jc w:val="left"/>
            </w:pPr>
            <w:r>
              <w:t xml:space="preserve">BitLocker XTS-AES 256; recovery key escrow to Entra ID</w:t>
            </w:r>
          </w:p>
        </w:tc>
      </w:tr>
      <w:tr>
        <w:tc>
          <w:tcPr/>
          <w:p>
            <w:pPr>
              <w:pStyle w:val="Compact"/>
              <w:jc w:val="left"/>
            </w:pPr>
            <w:r>
              <w:t xml:space="preserve">SC-28</w:t>
            </w:r>
          </w:p>
        </w:tc>
        <w:tc>
          <w:tcPr/>
          <w:p>
            <w:pPr>
              <w:pStyle w:val="Compact"/>
              <w:jc w:val="left"/>
            </w:pPr>
            <w:r>
              <w:t xml:space="preserve">Protection of Information at Rest</w:t>
            </w:r>
          </w:p>
        </w:tc>
        <w:tc>
          <w:tcPr/>
          <w:p>
            <w:pPr>
              <w:pStyle w:val="Compact"/>
            </w:pPr>
            <w:r>
              <w:t xml:space="preserve">SC-006, ES-002, AP-001</w:t>
            </w:r>
          </w:p>
        </w:tc>
        <w:tc>
          <w:tcPr/>
          <w:p>
            <w:pPr>
              <w:pStyle w:val="Compact"/>
              <w:jc w:val="left"/>
            </w:pPr>
            <w:r>
              <w:t xml:space="preserve">BitLocker disk encryption; App Protection encryption requirement</w:t>
            </w:r>
          </w:p>
        </w:tc>
      </w:tr>
      <w:tr>
        <w:tc>
          <w:tcPr/>
          <w:p>
            <w:pPr>
              <w:pStyle w:val="Compact"/>
              <w:jc w:val="left"/>
            </w:pPr>
            <w:r>
              <w:t xml:space="preserve">SI-2</w:t>
            </w:r>
          </w:p>
        </w:tc>
        <w:tc>
          <w:tcPr/>
          <w:p>
            <w:pPr>
              <w:pStyle w:val="Compact"/>
              <w:jc w:val="left"/>
            </w:pPr>
            <w:r>
              <w:t xml:space="preserve">Flaw Remediation</w:t>
            </w:r>
          </w:p>
        </w:tc>
        <w:tc>
          <w:tcPr/>
          <w:p>
            <w:pPr>
              <w:pStyle w:val="Compact"/>
            </w:pPr>
            <w:r>
              <w:t xml:space="preserve">SC-005</w:t>
            </w:r>
          </w:p>
        </w:tc>
        <w:tc>
          <w:tcPr/>
          <w:p>
            <w:pPr>
              <w:pStyle w:val="Compact"/>
              <w:jc w:val="left"/>
            </w:pPr>
            <w:r>
              <w:t xml:space="preserve">WUfB quality update deferral (7 days) + compliance deadline (7 days)</w:t>
            </w:r>
          </w:p>
        </w:tc>
      </w:tr>
      <w:tr>
        <w:tc>
          <w:tcPr/>
          <w:p>
            <w:pPr>
              <w:pStyle w:val="Compact"/>
              <w:jc w:val="left"/>
            </w:pPr>
            <w:r>
              <w:t xml:space="preserve">SI-3</w:t>
            </w:r>
          </w:p>
        </w:tc>
        <w:tc>
          <w:tcPr/>
          <w:p>
            <w:pPr>
              <w:pStyle w:val="Compact"/>
              <w:jc w:val="left"/>
            </w:pPr>
            <w:r>
              <w:t xml:space="preserve">Malicious Code Protection</w:t>
            </w:r>
          </w:p>
        </w:tc>
        <w:tc>
          <w:tcPr/>
          <w:p>
            <w:pPr>
              <w:pStyle w:val="Compact"/>
            </w:pPr>
            <w:r>
              <w:t xml:space="preserve">SC-002, ES-001</w:t>
            </w:r>
          </w:p>
        </w:tc>
        <w:tc>
          <w:tcPr/>
          <w:p>
            <w:pPr>
              <w:pStyle w:val="Compact"/>
              <w:jc w:val="left"/>
            </w:pPr>
            <w:r>
              <w:t xml:space="preserve">Defender AV real-time protection, cloud protection, tamper protection</w:t>
            </w:r>
          </w:p>
        </w:tc>
      </w:tr>
      <w:tr>
        <w:tc>
          <w:tcPr/>
          <w:p>
            <w:pPr>
              <w:pStyle w:val="Compact"/>
              <w:jc w:val="left"/>
            </w:pPr>
            <w:r>
              <w:t xml:space="preserve">SI-4</w:t>
            </w:r>
          </w:p>
        </w:tc>
        <w:tc>
          <w:tcPr/>
          <w:p>
            <w:pPr>
              <w:pStyle w:val="Compact"/>
              <w:jc w:val="left"/>
            </w:pPr>
            <w:r>
              <w:t xml:space="preserve">System Monitoring</w:t>
            </w:r>
          </w:p>
        </w:tc>
        <w:tc>
          <w:tcPr/>
          <w:p>
            <w:pPr>
              <w:pStyle w:val="Compact"/>
            </w:pPr>
            <w:r>
              <w:t xml:space="preserve">ES-004</w:t>
            </w:r>
          </w:p>
        </w:tc>
        <w:tc>
          <w:tcPr/>
          <w:p>
            <w:pPr>
              <w:pStyle w:val="Compact"/>
              <w:jc w:val="left"/>
            </w:pPr>
            <w:r>
              <w:t xml:space="preserve">Microsoft Defender for Endpoint EDR; automated investigation</w:t>
            </w:r>
          </w:p>
        </w:tc>
      </w:tr>
      <w:tr>
        <w:tc>
          <w:tcPr/>
          <w:p>
            <w:pPr>
              <w:pStyle w:val="Compact"/>
              <w:jc w:val="left"/>
            </w:pPr>
            <w:r>
              <w:t xml:space="preserve">SI-16</w:t>
            </w:r>
          </w:p>
        </w:tc>
        <w:tc>
          <w:tcPr/>
          <w:p>
            <w:pPr>
              <w:pStyle w:val="Compact"/>
              <w:jc w:val="left"/>
            </w:pPr>
            <w:r>
              <w:t xml:space="preserve">Memory Protection</w:t>
            </w:r>
          </w:p>
        </w:tc>
        <w:tc>
          <w:tcPr/>
          <w:p>
            <w:pPr>
              <w:pStyle w:val="Compact"/>
            </w:pPr>
            <w:r>
              <w:t xml:space="preserve">CP-002, ES-006</w:t>
            </w:r>
          </w:p>
        </w:tc>
        <w:tc>
          <w:tcPr/>
          <w:p>
            <w:pPr>
              <w:pStyle w:val="Compact"/>
              <w:jc w:val="left"/>
            </w:pPr>
            <w:r>
              <w:t xml:space="preserve">Credential Guard with UEFI lock; Code Integrity required</w:t>
            </w:r>
          </w:p>
        </w:tc>
      </w:tr>
    </w:tbl>
    <w:p>
      <w:pPr>
        <w:pStyle w:val="BodyText"/>
      </w:pPr>
      <w:r>
        <w:t xml:space="preserve">D.2 CIS Benchmark Mapping (Windows 10/11)</w:t>
      </w:r>
    </w:p>
    <w:tbl>
      <w:tblPr>
        <w:tblStyle w:val="Table"/>
        <w:tblW w:type="pct" w:w="4917"/>
        <w:tblLayout w:type="fixed"/>
        <w:tblLook w:firstRow="1" w:lastRow="0" w:firstColumn="0" w:lastColumn="0" w:noHBand="0" w:noVBand="0" w:val="0020"/>
      </w:tblPr>
      <w:tblGrid>
        <w:gridCol w:w="1832"/>
        <w:gridCol w:w="3010"/>
        <w:gridCol w:w="1178"/>
        <w:gridCol w:w="1767"/>
      </w:tblGrid>
      <w:tr>
        <w:trPr>
          <w:tblHeader w:val="on"/>
        </w:trPr>
        <w:tc>
          <w:tcPr/>
          <w:p>
            <w:pPr>
              <w:pStyle w:val="Compact"/>
              <w:jc w:val="left"/>
            </w:pPr>
            <w:r>
              <w:rPr>
                <w:b/>
                <w:bCs/>
              </w:rPr>
              <w:t xml:space="preserve">CIS Benchmark Section</w:t>
            </w:r>
          </w:p>
        </w:tc>
        <w:tc>
          <w:tcPr/>
          <w:p>
            <w:pPr>
              <w:pStyle w:val="Compact"/>
              <w:jc w:val="left"/>
            </w:pPr>
            <w:r>
              <w:rPr>
                <w:b/>
                <w:bCs/>
              </w:rPr>
              <w:t xml:space="preserve">CIS Recommendation</w:t>
            </w:r>
          </w:p>
        </w:tc>
        <w:tc>
          <w:tcPr/>
          <w:p>
            <w:pPr>
              <w:pStyle w:val="Compact"/>
            </w:pPr>
            <w:r>
              <w:t xml:space="preserve">**The Federal Mode</w:t>
            </w:r>
          </w:p>
        </w:tc>
        <w:tc>
          <w:tcPr/>
          <w:p>
            <w:pPr>
              <w:pStyle w:val="Compact"/>
            </w:pPr>
            <w:r>
              <w:t xml:space="preserve">rnization Program Policy**</w:t>
            </w:r>
            <w:r>
              <w:t xml:space="preserve"> </w:t>
            </w:r>
            <w:r>
              <w:rPr>
                <w:b/>
                <w:bCs/>
              </w:rPr>
              <w:t xml:space="preserve">Status</w:t>
            </w:r>
          </w:p>
        </w:tc>
      </w:tr>
      <w:tr>
        <w:tc>
          <w:tcPr/>
          <w:p>
            <w:pPr>
              <w:pStyle w:val="Compact"/>
              <w:jc w:val="left"/>
            </w:pPr>
            <w:r>
              <w:t xml:space="preserve">1.1.1</w:t>
            </w:r>
          </w:p>
        </w:tc>
        <w:tc>
          <w:tcPr/>
          <w:p>
            <w:pPr>
              <w:pStyle w:val="Compact"/>
              <w:jc w:val="left"/>
            </w:pPr>
            <w:r>
              <w:t xml:space="preserve">Enforce password history (24 passwords)</w:t>
            </w:r>
          </w:p>
        </w:tc>
        <w:tc>
          <w:tcPr/>
          <w:p>
            <w:pPr>
              <w:pStyle w:val="Compact"/>
            </w:pPr>
            <w:r>
              <w:t xml:space="preserve">SC-001</w:t>
            </w:r>
          </w:p>
        </w:tc>
        <w:tc>
          <w:tcPr/>
          <w:p>
            <w:pPr>
              <w:pStyle w:val="Compact"/>
            </w:pPr>
            <w:r>
              <w:t xml:space="preserve">Configured</w:t>
            </w:r>
          </w:p>
        </w:tc>
      </w:tr>
      <w:tr>
        <w:tc>
          <w:tcPr/>
          <w:p>
            <w:pPr>
              <w:pStyle w:val="Compact"/>
              <w:jc w:val="left"/>
            </w:pPr>
            <w:r>
              <w:t xml:space="preserve">1.1.4</w:t>
            </w:r>
          </w:p>
        </w:tc>
        <w:tc>
          <w:tcPr/>
          <w:p>
            <w:pPr>
              <w:pStyle w:val="Compact"/>
              <w:jc w:val="left"/>
            </w:pPr>
            <w:r>
              <w:t xml:space="preserve">Minimum password length (14 characters)</w:t>
            </w:r>
          </w:p>
        </w:tc>
        <w:tc>
          <w:tcPr/>
          <w:p>
            <w:pPr>
              <w:pStyle w:val="Compact"/>
            </w:pPr>
            <w:r>
              <w:t xml:space="preserve">CP-001</w:t>
            </w:r>
          </w:p>
        </w:tc>
        <w:tc>
          <w:tcPr/>
          <w:p>
            <w:pPr>
              <w:pStyle w:val="Compact"/>
            </w:pPr>
            <w:r>
              <w:t xml:space="preserve">Configured</w:t>
            </w:r>
          </w:p>
        </w:tc>
      </w:tr>
      <w:tr>
        <w:tc>
          <w:tcPr/>
          <w:p>
            <w:pPr>
              <w:pStyle w:val="Compact"/>
              <w:jc w:val="left"/>
            </w:pPr>
            <w:r>
              <w:t xml:space="preserve">1.2.1</w:t>
            </w:r>
          </w:p>
        </w:tc>
        <w:tc>
          <w:tcPr/>
          <w:p>
            <w:pPr>
              <w:pStyle w:val="Compact"/>
              <w:jc w:val="left"/>
            </w:pPr>
            <w:r>
              <w:t xml:space="preserve">Account lockout duration (15 minutes)</w:t>
            </w:r>
          </w:p>
        </w:tc>
        <w:tc>
          <w:tcPr/>
          <w:p>
            <w:pPr>
              <w:pStyle w:val="Compact"/>
            </w:pPr>
            <w:r>
              <w:t xml:space="preserve">SC-001</w:t>
            </w:r>
          </w:p>
        </w:tc>
        <w:tc>
          <w:tcPr/>
          <w:p>
            <w:pPr>
              <w:pStyle w:val="Compact"/>
            </w:pPr>
            <w:r>
              <w:t xml:space="preserve">Configured</w:t>
            </w:r>
          </w:p>
        </w:tc>
      </w:tr>
      <w:tr>
        <w:tc>
          <w:tcPr/>
          <w:p>
            <w:pPr>
              <w:pStyle w:val="Compact"/>
              <w:jc w:val="left"/>
            </w:pPr>
            <w:r>
              <w:t xml:space="preserve">1.2.2</w:t>
            </w:r>
          </w:p>
        </w:tc>
        <w:tc>
          <w:tcPr/>
          <w:p>
            <w:pPr>
              <w:pStyle w:val="Compact"/>
              <w:jc w:val="left"/>
            </w:pPr>
            <w:r>
              <w:t xml:space="preserve">Account lockout threshold (10 attempts)</w:t>
            </w:r>
          </w:p>
        </w:tc>
        <w:tc>
          <w:tcPr/>
          <w:p>
            <w:pPr>
              <w:pStyle w:val="Compact"/>
            </w:pPr>
            <w:r>
              <w:t xml:space="preserve">SC-001</w:t>
            </w:r>
          </w:p>
        </w:tc>
        <w:tc>
          <w:tcPr/>
          <w:p>
            <w:pPr>
              <w:pStyle w:val="Compact"/>
            </w:pPr>
            <w:r>
              <w:t xml:space="preserve">Configured</w:t>
            </w:r>
          </w:p>
        </w:tc>
      </w:tr>
      <w:tr>
        <w:tc>
          <w:tcPr/>
          <w:p>
            <w:pPr>
              <w:pStyle w:val="Compact"/>
              <w:jc w:val="left"/>
            </w:pPr>
            <w:r>
              <w:t xml:space="preserve">2.3.1.2</w:t>
            </w:r>
          </w:p>
        </w:tc>
        <w:tc>
          <w:tcPr/>
          <w:p>
            <w:pPr>
              <w:pStyle w:val="Compact"/>
              <w:jc w:val="left"/>
            </w:pPr>
            <w:r>
              <w:t xml:space="preserve">Do not display last signed-in user</w:t>
            </w:r>
          </w:p>
        </w:tc>
        <w:tc>
          <w:tcPr/>
          <w:p>
            <w:pPr>
              <w:pStyle w:val="Compact"/>
            </w:pPr>
            <w:r>
              <w:t xml:space="preserve">SC-001</w:t>
            </w:r>
          </w:p>
        </w:tc>
        <w:tc>
          <w:tcPr/>
          <w:p>
            <w:pPr>
              <w:pStyle w:val="Compact"/>
            </w:pPr>
            <w:r>
              <w:t xml:space="preserve">Configured</w:t>
            </w:r>
          </w:p>
        </w:tc>
      </w:tr>
      <w:tr>
        <w:tc>
          <w:tcPr/>
          <w:p>
            <w:pPr>
              <w:pStyle w:val="Compact"/>
              <w:jc w:val="left"/>
            </w:pPr>
            <w:r>
              <w:t xml:space="preserve">2.3.7.1</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Configured</w:t>
            </w:r>
          </w:p>
        </w:tc>
      </w:tr>
      <w:tr>
        <w:tc>
          <w:tcPr/>
          <w:p>
            <w:pPr>
              <w:pStyle w:val="Compact"/>
              <w:jc w:val="left"/>
            </w:pPr>
            <w:r>
              <w:t xml:space="preserve">9.1.1</w:t>
            </w:r>
          </w:p>
        </w:tc>
        <w:tc>
          <w:tcPr/>
          <w:p>
            <w:pPr>
              <w:pStyle w:val="Compact"/>
              <w:jc w:val="left"/>
            </w:pPr>
            <w:r>
              <w:t xml:space="preserve">Domain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9.2.1</w:t>
            </w:r>
          </w:p>
        </w:tc>
        <w:tc>
          <w:tcPr/>
          <w:p>
            <w:pPr>
              <w:pStyle w:val="Compact"/>
              <w:jc w:val="left"/>
            </w:pPr>
            <w:r>
              <w:t xml:space="preserve">Private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9.3.1</w:t>
            </w:r>
          </w:p>
        </w:tc>
        <w:tc>
          <w:tcPr/>
          <w:p>
            <w:pPr>
              <w:pStyle w:val="Compact"/>
              <w:jc w:val="left"/>
            </w:pPr>
            <w:r>
              <w:t xml:space="preserve">Public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18.9.47</w:t>
            </w:r>
          </w:p>
        </w:tc>
        <w:tc>
          <w:tcPr/>
          <w:p>
            <w:pPr>
              <w:pStyle w:val="Compact"/>
              <w:jc w:val="left"/>
            </w:pPr>
            <w:r>
              <w:t xml:space="preserve">Configure BitLocker encryption</w:t>
            </w:r>
          </w:p>
        </w:tc>
        <w:tc>
          <w:tcPr/>
          <w:p>
            <w:pPr>
              <w:pStyle w:val="Compact"/>
            </w:pPr>
            <w:r>
              <w:t xml:space="preserve">SC-006 / ES-002</w:t>
            </w:r>
          </w:p>
        </w:tc>
        <w:tc>
          <w:tcPr/>
          <w:p>
            <w:pPr>
              <w:pStyle w:val="Compact"/>
            </w:pPr>
            <w:r>
              <w:t xml:space="preserve">Configured (XTS-AES 256)</w:t>
            </w:r>
          </w:p>
        </w:tc>
      </w:tr>
      <w:tr>
        <w:tc>
          <w:tcPr/>
          <w:p>
            <w:pPr>
              <w:pStyle w:val="Compact"/>
              <w:jc w:val="left"/>
            </w:pPr>
            <w:r>
              <w:t xml:space="preserve">18.9.47.5</w:t>
            </w:r>
          </w:p>
        </w:tc>
        <w:tc>
          <w:tcPr/>
          <w:p>
            <w:pPr>
              <w:pStyle w:val="Compact"/>
              <w:jc w:val="left"/>
            </w:pPr>
            <w:r>
              <w:t xml:space="preserve">Choose drive encryption method — OS drive</w:t>
            </w:r>
          </w:p>
        </w:tc>
        <w:tc>
          <w:tcPr/>
          <w:p>
            <w:pPr>
              <w:pStyle w:val="Compact"/>
            </w:pPr>
            <w:r>
              <w:t xml:space="preserve">SC-006</w:t>
            </w:r>
          </w:p>
        </w:tc>
        <w:tc>
          <w:tcPr/>
          <w:p>
            <w:pPr>
              <w:pStyle w:val="Compact"/>
            </w:pPr>
            <w:r>
              <w:t xml:space="preserve">Configured (XTS-AES 256)</w:t>
            </w:r>
          </w:p>
        </w:tc>
      </w:tr>
      <w:tr>
        <w:tc>
          <w:tcPr/>
          <w:p>
            <w:pPr>
              <w:pStyle w:val="Compact"/>
              <w:jc w:val="left"/>
            </w:pPr>
            <w:r>
              <w:t xml:space="preserve">18.10.43</w:t>
            </w:r>
          </w:p>
        </w:tc>
        <w:tc>
          <w:tcPr/>
          <w:p>
            <w:pPr>
              <w:pStyle w:val="Compact"/>
              <w:jc w:val="left"/>
            </w:pPr>
            <w:r>
              <w:t xml:space="preserve">Configure Defender real-time protection</w:t>
            </w:r>
          </w:p>
        </w:tc>
        <w:tc>
          <w:tcPr/>
          <w:p>
            <w:pPr>
              <w:pStyle w:val="Compact"/>
            </w:pPr>
            <w:r>
              <w:t xml:space="preserve">SC-002 / ES-001</w:t>
            </w:r>
          </w:p>
        </w:tc>
        <w:tc>
          <w:tcPr/>
          <w:p>
            <w:pPr>
              <w:pStyle w:val="Compact"/>
            </w:pPr>
            <w:r>
              <w:t xml:space="preserve">Configured</w:t>
            </w:r>
          </w:p>
        </w:tc>
      </w:tr>
      <w:tr>
        <w:tc>
          <w:tcPr/>
          <w:p>
            <w:pPr>
              <w:pStyle w:val="Compact"/>
              <w:jc w:val="left"/>
            </w:pPr>
            <w:r>
              <w:t xml:space="preserve">18.10.43</w:t>
            </w:r>
          </w:p>
        </w:tc>
        <w:tc>
          <w:tcPr/>
          <w:p>
            <w:pPr>
              <w:pStyle w:val="Compact"/>
              <w:jc w:val="left"/>
            </w:pPr>
            <w:r>
              <w:t xml:space="preserve">Cloud-delivered protection level</w:t>
            </w:r>
          </w:p>
        </w:tc>
        <w:tc>
          <w:tcPr/>
          <w:p>
            <w:pPr>
              <w:pStyle w:val="Compact"/>
            </w:pPr>
            <w:r>
              <w:t xml:space="preserve">SC-002</w:t>
            </w:r>
          </w:p>
        </w:tc>
        <w:tc>
          <w:tcPr/>
          <w:p>
            <w:pPr>
              <w:pStyle w:val="Compact"/>
            </w:pPr>
            <w:r>
              <w:t xml:space="preserve">Configured (High)</w:t>
            </w:r>
          </w:p>
        </w:tc>
      </w:tr>
      <w:tr>
        <w:tc>
          <w:tcPr/>
          <w:p>
            <w:pPr>
              <w:pStyle w:val="Compact"/>
              <w:jc w:val="left"/>
            </w:pPr>
            <w:r>
              <w:t xml:space="preserve">18.10.43</w:t>
            </w:r>
          </w:p>
        </w:tc>
        <w:tc>
          <w:tcPr/>
          <w:p>
            <w:pPr>
              <w:pStyle w:val="Compact"/>
              <w:jc w:val="left"/>
            </w:pPr>
            <w:r>
              <w:t xml:space="preserve">Configure Attack Surface Reduction rules</w:t>
            </w:r>
          </w:p>
        </w:tc>
        <w:tc>
          <w:tcPr/>
          <w:p>
            <w:pPr>
              <w:pStyle w:val="Compact"/>
            </w:pPr>
            <w:r>
              <w:t xml:space="preserve">ES-005</w:t>
            </w:r>
          </w:p>
        </w:tc>
        <w:tc>
          <w:tcPr/>
          <w:p>
            <w:pPr>
              <w:pStyle w:val="Compact"/>
            </w:pPr>
            <w:r>
              <w:t xml:space="preserve">Configured (12 rules)</w:t>
            </w:r>
          </w:p>
        </w:tc>
      </w:tr>
    </w:tbl>
    <w:p>
      <w:pPr>
        <w:pStyle w:val="BodyText"/>
      </w:pPr>
      <w:r>
        <w:t xml:space="preserve">D.3 GCC-Moderate Boundary Considerations</w:t>
      </w:r>
    </w:p>
    <w:tbl>
      <w:tblPr>
        <w:tblStyle w:val="Table"/>
        <w:tblW w:type="pct" w:w="4947"/>
        <w:tblLayout w:type="fixed"/>
        <w:tblLook w:firstRow="1" w:lastRow="0" w:firstColumn="0" w:lastColumn="0" w:noHBand="0" w:noVBand="0" w:val="0020"/>
      </w:tblPr>
      <w:tblGrid>
        <w:gridCol w:w="1101"/>
        <w:gridCol w:w="2795"/>
        <w:gridCol w:w="3938"/>
      </w:tblGrid>
      <w:tr>
        <w:trPr>
          <w:tblHeader w:val="on"/>
        </w:trPr>
        <w:tc>
          <w:tcPr/>
          <w:p>
            <w:pPr>
              <w:pStyle w:val="Compact"/>
              <w:jc w:val="left"/>
            </w:pPr>
            <w:r>
              <w:rPr>
                <w:b/>
                <w:bCs/>
              </w:rPr>
              <w:t xml:space="preserve">Consideration</w:t>
            </w:r>
          </w:p>
        </w:tc>
        <w:tc>
          <w:tcPr/>
          <w:p>
            <w:pPr>
              <w:pStyle w:val="Compact"/>
              <w:jc w:val="left"/>
            </w:pPr>
            <w:r>
              <w:rPr>
                <w:b/>
                <w:bCs/>
              </w:rPr>
              <w:t xml:space="preserve">Requirement</w:t>
            </w:r>
          </w:p>
        </w:tc>
        <w:tc>
          <w:tcPr/>
          <w:p>
            <w:pPr>
              <w:pStyle w:val="Compact"/>
              <w:jc w:val="left"/>
            </w:pPr>
            <w:r>
              <w:rPr>
                <w:b/>
                <w:bCs/>
              </w:rPr>
              <w:t xml:space="preserve">The Federal Modernization Program Implementation</w:t>
            </w:r>
          </w:p>
        </w:tc>
      </w:tr>
      <w:tr>
        <w:tc>
          <w:tcPr/>
          <w:p>
            <w:pPr>
              <w:pStyle w:val="Compact"/>
              <w:jc w:val="left"/>
            </w:pPr>
            <w:r>
              <w:t xml:space="preserve">Intune Service Endpoint</w:t>
            </w:r>
          </w:p>
        </w:tc>
        <w:tc>
          <w:tcPr/>
          <w:p>
            <w:pPr>
              <w:pStyle w:val="Compact"/>
              <w:jc w:val="left"/>
            </w:pPr>
            <w:r>
              <w:t xml:space="preserve">GCC-Moderate uses the commercial Intune service</w:t>
            </w:r>
          </w:p>
        </w:tc>
        <w:tc>
          <w:tcPr/>
          <w:p>
            <w:pPr>
              <w:pStyle w:val="Compact"/>
              <w:jc w:val="left"/>
            </w:pPr>
            <w:r>
              <w:t xml:space="preserve">All policies deployed to the GCC-Moderate tenant</w:t>
            </w:r>
          </w:p>
        </w:tc>
      </w:tr>
      <w:tr>
        <w:tc>
          <w:tcPr/>
          <w:p>
            <w:pPr>
              <w:pStyle w:val="Compact"/>
              <w:jc w:val="left"/>
            </w:pPr>
            <w:r>
              <w:t xml:space="preserve">Graph API Endpoint</w:t>
            </w:r>
          </w:p>
        </w:tc>
        <w:tc>
          <w:tcPr/>
          <w:p>
            <w:pPr>
              <w:pStyle w:val="Compact"/>
              <w:jc w:val="left"/>
            </w:pPr>
            <w:r>
              <w:t xml:space="preserve">Use graph.microsoft.com (.us is GCC High/DoD only)</w:t>
            </w:r>
          </w:p>
        </w:tc>
        <w:tc>
          <w:tcPr/>
          <w:p>
            <w:pPr>
              <w:pStyle w:val="Compact"/>
              <w:jc w:val="left"/>
            </w:pPr>
            <w:r>
              <w:t xml:space="preserve">All Graph API calls in Appendix B use the worldwide endpoint</w:t>
            </w:r>
          </w:p>
        </w:tc>
      </w:tr>
      <w:tr>
        <w:tc>
          <w:tcPr/>
          <w:p>
            <w:pPr>
              <w:pStyle w:val="Compact"/>
              <w:jc w:val="left"/>
            </w:pPr>
            <w:r>
              <w:t xml:space="preserve">Data Residency</w:t>
            </w:r>
          </w:p>
        </w:tc>
        <w:tc>
          <w:tcPr/>
          <w:p>
            <w:pPr>
              <w:pStyle w:val="Compact"/>
              <w:jc w:val="left"/>
            </w:pPr>
            <w:r>
              <w:t xml:space="preserve">Intune data must reside in US sovereign cloud</w:t>
            </w:r>
          </w:p>
        </w:tc>
        <w:tc>
          <w:tcPr/>
          <w:p>
            <w:pPr>
              <w:pStyle w:val="Compact"/>
              <w:jc w:val="left"/>
            </w:pPr>
            <w:r>
              <w:t xml:space="preserve">GCC-Moderate tenant ensures US data residency</w:t>
            </w:r>
          </w:p>
        </w:tc>
      </w:tr>
      <w:tr>
        <w:tc>
          <w:tcPr/>
          <w:p>
            <w:pPr>
              <w:pStyle w:val="Compact"/>
              <w:jc w:val="left"/>
            </w:pPr>
            <w:r>
              <w:t xml:space="preserve">Defender for Endpoint</w:t>
            </w:r>
          </w:p>
        </w:tc>
        <w:tc>
          <w:tcPr/>
          <w:p>
            <w:pPr>
              <w:pStyle w:val="Compact"/>
              <w:jc w:val="left"/>
            </w:pPr>
            <w:r>
              <w:t xml:space="preserve">MDE must be in GCC-Moderate instance</w:t>
            </w:r>
          </w:p>
        </w:tc>
        <w:tc>
          <w:tcPr/>
          <w:p>
            <w:pPr>
              <w:pStyle w:val="Compact"/>
              <w:jc w:val="left"/>
            </w:pPr>
            <w:r>
              <w:t xml:space="preserve">ES-004 onboarding targets GCC-Moderate MDE instance</w:t>
            </w:r>
          </w:p>
        </w:tc>
      </w:tr>
      <w:tr>
        <w:tc>
          <w:tcPr/>
          <w:p>
            <w:pPr>
              <w:pStyle w:val="Compact"/>
              <w:jc w:val="left"/>
            </w:pPr>
            <w:r>
              <w:t xml:space="preserve">Conditional Access</w:t>
            </w:r>
          </w:p>
        </w:tc>
        <w:tc>
          <w:tcPr/>
          <w:p>
            <w:pPr>
              <w:pStyle w:val="Compact"/>
              <w:jc w:val="left"/>
            </w:pPr>
            <w:r>
              <w:t xml:space="preserve">Entra ID Conditional Access in government cloud</w:t>
            </w:r>
          </w:p>
        </w:tc>
        <w:tc>
          <w:tcPr/>
          <w:p>
            <w:pPr>
              <w:pStyle w:val="Compact"/>
              <w:jc w:val="left"/>
            </w:pPr>
            <w:r>
              <w:t xml:space="preserve">Compliance policies (CP-xxx) feed CA grant controls in Entra ID gov</w:t>
            </w:r>
          </w:p>
        </w:tc>
      </w:tr>
      <w:tr>
        <w:tc>
          <w:tcPr/>
          <w:p>
            <w:pPr>
              <w:pStyle w:val="Compact"/>
              <w:jc w:val="left"/>
            </w:pPr>
            <w:r>
              <w:t xml:space="preserve">Azure AD (Entra ID)</w:t>
            </w:r>
          </w:p>
        </w:tc>
        <w:tc>
          <w:tcPr/>
          <w:p>
            <w:pPr>
              <w:pStyle w:val="Compact"/>
              <w:jc w:val="left"/>
            </w:pPr>
            <w:r>
              <w:t xml:space="preserve">Use entra.microsoft.com / intune.microsoft.com</w:t>
            </w:r>
          </w:p>
        </w:tc>
        <w:tc>
          <w:tcPr/>
          <w:p>
            <w:pPr>
              <w:pStyle w:val="Compact"/>
              <w:jc w:val="left"/>
            </w:pPr>
            <w:r>
              <w:t xml:space="preserve">Dynamic groups and device management in the admin centers</w:t>
            </w:r>
          </w:p>
        </w:tc>
      </w:tr>
      <w:tr>
        <w:tc>
          <w:tcPr/>
          <w:p>
            <w:pPr>
              <w:pStyle w:val="Compact"/>
              <w:jc w:val="left"/>
            </w:pPr>
            <w:r>
              <w:t xml:space="preserve">Recovery Key Storage</w:t>
            </w:r>
          </w:p>
        </w:tc>
        <w:tc>
          <w:tcPr/>
          <w:p>
            <w:pPr>
              <w:pStyle w:val="Compact"/>
              <w:jc w:val="left"/>
            </w:pPr>
            <w:r>
              <w:t xml:space="preserve">BitLocker recovery keys in sovereign cloud Entra ID</w:t>
            </w:r>
          </w:p>
        </w:tc>
        <w:tc>
          <w:tcPr/>
          <w:p>
            <w:pPr>
              <w:pStyle w:val="Compact"/>
              <w:jc w:val="left"/>
            </w:pPr>
            <w:r>
              <w:t xml:space="preserve">SC-006 / ES-002 escrow keys to Entra ID (government instance)</w:t>
            </w:r>
          </w:p>
        </w:tc>
      </w:tr>
      <w:tr>
        <w:tc>
          <w:tcPr/>
          <w:p>
            <w:pPr>
              <w:pStyle w:val="Compact"/>
              <w:jc w:val="left"/>
            </w:pPr>
            <w:r>
              <w:t xml:space="preserve">LAPS Backup</w:t>
            </w:r>
          </w:p>
        </w:tc>
        <w:tc>
          <w:tcPr/>
          <w:p>
            <w:pPr>
              <w:pStyle w:val="Compact"/>
              <w:jc w:val="left"/>
            </w:pPr>
            <w:r>
              <w:t xml:space="preserve">LAPS passwords stored in government Entra ID</w:t>
            </w:r>
          </w:p>
        </w:tc>
        <w:tc>
          <w:tcPr/>
          <w:p>
            <w:pPr>
              <w:pStyle w:val="Compact"/>
              <w:jc w:val="left"/>
            </w:pPr>
            <w:r>
              <w:t xml:space="preserve">SC-008 backs up to Azure AD (government tenant)</w:t>
            </w:r>
          </w:p>
        </w:tc>
      </w:tr>
      <w:tr>
        <w:tc>
          <w:tcPr/>
          <w:p>
            <w:pPr>
              <w:pStyle w:val="Compact"/>
              <w:jc w:val="left"/>
            </w:pPr>
            <w:r>
              <w:t xml:space="preserve">Telemetry</w:t>
            </w:r>
          </w:p>
        </w:tc>
        <w:tc>
          <w:tcPr/>
          <w:p>
            <w:pPr>
              <w:pStyle w:val="Compact"/>
              <w:jc w:val="left"/>
            </w:pPr>
            <w:r>
              <w:t xml:space="preserve">Diagnostic data within FedRAMP boundary</w:t>
            </w:r>
          </w:p>
        </w:tc>
        <w:tc>
          <w:tcPr/>
          <w:p>
            <w:pPr>
              <w:pStyle w:val="Compact"/>
              <w:jc w:val="left"/>
            </w:pPr>
            <w:r>
              <w:t xml:space="preserve">Telemetry level configured for compliance; data stays in GCC boundary</w:t>
            </w:r>
          </w:p>
        </w:tc>
      </w:tr>
      <w:tr>
        <w:tc>
          <w:tcPr/>
          <w:p>
            <w:pPr>
              <w:pStyle w:val="Compact"/>
              <w:jc w:val="left"/>
            </w:pPr>
            <w:r>
              <w:t xml:space="preserve">Feature Availability</w:t>
            </w:r>
          </w:p>
        </w:tc>
        <w:tc>
          <w:tcPr/>
          <w:p>
            <w:pPr>
              <w:pStyle w:val="Compact"/>
              <w:jc w:val="left"/>
            </w:pPr>
            <w:r>
              <w:t xml:space="preserve">Some Intune features may have delayed availability in GCC</w:t>
            </w:r>
          </w:p>
        </w:tc>
        <w:tc>
          <w:tcPr/>
          <w:p>
            <w:pPr>
              <w:pStyle w:val="Compact"/>
              <w:jc w:val="left"/>
            </w:pPr>
            <w:r>
              <w:t xml:space="preserve">Validate each feature against Microsoft GCC feature parity documentation before deployment</w:t>
            </w:r>
          </w:p>
        </w:tc>
      </w:tr>
    </w:tbl>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Important: GCC Feature Parity</w:t>
            </w:r>
          </w:p>
          <w:p>
            <w:pPr>
              <w:pStyle w:val="BodyText"/>
            </w:pPr>
            <w:r>
              <w:t xml:space="preserve">Not all Intune features are available simultaneously in commercial and GCC-Moderate environments. Before deploying any policy from this library, verify feature availability in the GCC-Moderate service description. Key areas to validate: Settings Catalog coverage, Endpoint Security templates, Windows Autopatch, and Intune Suite add-ons.</w:t>
            </w:r>
          </w:p>
        </w:tc>
      </w:tr>
    </w:tbl>
    <w:p>
      <w:pPr>
        <w:pStyle w:val="BodyText"/>
      </w:pPr>
      <w:r>
        <w:rPr>
          <w:b/>
          <w:bCs/>
        </w:rPr>
        <w:t xml:space="preserve">The Federal Modernization Program Intune Policy Templates</w:t>
      </w:r>
      <w:r>
        <w:t xml:space="preserve"> </w:t>
      </w:r>
      <w:r>
        <w:t xml:space="preserve">| Version 1.0 | April 21, 2026</w:t>
      </w:r>
      <w:r>
        <w:br/>
      </w:r>
      <w:r>
        <w:t xml:space="preserve">Classification: Controlled | Boundary: GCC-Moderate</w:t>
      </w:r>
      <w:r>
        <w:br/>
      </w:r>
      <w:r>
        <w:t xml:space="preserve">Unified Identity Architecture &amp; Operations (the Federal Modernization Program) Program</w:t>
      </w:r>
      <w:r>
        <w:br/>
      </w:r>
      <w:r>
        <w:t xml:space="preserve">For questions or updates, contact the Federal Modernization Program Endpoint Management team.</w:t>
      </w:r>
    </w:p>
    <w:bookmarkEnd w:id="665"/>
    <w:bookmarkStart w:id="667" w:name="b.-transformation-engine"/>
    <w:p>
      <w:pPr>
        <w:pStyle w:val="Heading1"/>
      </w:pPr>
      <w:r>
        <w:t xml:space="preserve">B. Transformation Engine</w:t>
      </w:r>
    </w:p>
    <w:p>
      <w:pPr>
        <w:pStyle w:val="FirstParagraph"/>
      </w:pPr>
      <w:r>
        <w:t xml:space="preserve">The engine that reads the Client/Server AD estate, computes transformation</w:t>
      </w:r>
      <w:r>
        <w:t xml:space="preserve"> </w:t>
      </w:r>
      <w:r>
        <w:t xml:space="preserve">plans, and delivers governed data into the Hybrid-Cloud target surface.</w:t>
      </w:r>
      <w:r>
        <w:t xml:space="preserve"> </w:t>
      </w:r>
      <w:r>
        <w:t xml:space="preserve">All plans are stored in Gitea with full provenance. No ad-hoc changes</w:t>
      </w:r>
      <w:r>
        <w:t xml:space="preserve"> </w:t>
      </w:r>
      <w:r>
        <w:t xml:space="preserve">reach the target surface.</w:t>
      </w:r>
    </w:p>
    <w:bookmarkStart w:id="666" w:name="leaves-6"/>
    <w:p>
      <w:pPr>
        <w:pStyle w:val="Heading2"/>
      </w:pPr>
      <w:r>
        <w:t xml:space="preserve">Leaves</w:t>
      </w:r>
    </w:p>
    <w:p>
      <w:pPr>
        <w:pStyle w:val="Compact"/>
        <w:numPr>
          <w:ilvl w:val="0"/>
          <w:numId w:val="1326"/>
        </w:numPr>
      </w:pPr>
      <w:r>
        <w:rPr>
          <w:b/>
          <w:bCs/>
        </w:rPr>
        <w:t xml:space="preserve">B.1</w:t>
      </w:r>
      <w:r>
        <w:t xml:space="preserve"> </w:t>
      </w:r>
      <w:r>
        <w:t xml:space="preserve">PowerShell assessment modules (FMPADAssessment, Read-Only AD)</w:t>
      </w:r>
    </w:p>
    <w:p>
      <w:pPr>
        <w:pStyle w:val="Compact"/>
        <w:numPr>
          <w:ilvl w:val="0"/>
          <w:numId w:val="1326"/>
        </w:numPr>
      </w:pPr>
      <w:r>
        <w:rPr>
          <w:b/>
          <w:bCs/>
        </w:rPr>
        <w:t xml:space="preserve">B.2</w:t>
      </w:r>
      <w:r>
        <w:t xml:space="preserve"> </w:t>
      </w:r>
      <w:r>
        <w:t xml:space="preserve">Python analysis scripts</w:t>
      </w:r>
    </w:p>
    <w:p>
      <w:pPr>
        <w:pStyle w:val="Compact"/>
        <w:numPr>
          <w:ilvl w:val="0"/>
          <w:numId w:val="1326"/>
        </w:numPr>
      </w:pPr>
      <w:r>
        <w:rPr>
          <w:b/>
          <w:bCs/>
        </w:rPr>
        <w:t xml:space="preserve">B.3</w:t>
      </w:r>
      <w:r>
        <w:t xml:space="preserve"> </w:t>
      </w:r>
      <w:r>
        <w:t xml:space="preserve">API integrator layer (Graph, ARM, Infoblox, vendor APIs)</w:t>
      </w:r>
    </w:p>
    <w:p>
      <w:pPr>
        <w:pStyle w:val="Compact"/>
        <w:numPr>
          <w:ilvl w:val="0"/>
          <w:numId w:val="1326"/>
        </w:numPr>
      </w:pPr>
      <w:r>
        <w:rPr>
          <w:b/>
          <w:bCs/>
        </w:rPr>
        <w:t xml:space="preserve">B.4</w:t>
      </w:r>
      <w:r>
        <w:t xml:space="preserve"> </w:t>
      </w:r>
      <w:r>
        <w:t xml:space="preserve">Plan generator (analysis → migration plan)</w:t>
      </w:r>
    </w:p>
    <w:p>
      <w:pPr>
        <w:pStyle w:val="Compact"/>
        <w:numPr>
          <w:ilvl w:val="0"/>
          <w:numId w:val="1326"/>
        </w:numPr>
      </w:pPr>
      <w:r>
        <w:rPr>
          <w:b/>
          <w:bCs/>
        </w:rPr>
        <w:t xml:space="preserve">B.5</w:t>
      </w:r>
      <w:r>
        <w:t xml:space="preserve"> </w:t>
      </w:r>
      <w:r>
        <w:t xml:space="preserve">Delivery pipeline (plan → target)</w:t>
      </w:r>
    </w:p>
    <w:p>
      <w:pPr>
        <w:pStyle w:val="Compact"/>
        <w:numPr>
          <w:ilvl w:val="0"/>
          <w:numId w:val="1326"/>
        </w:numPr>
      </w:pPr>
      <w:r>
        <w:rPr>
          <w:b/>
          <w:bCs/>
        </w:rPr>
        <w:t xml:space="preserve">B.6</w:t>
      </w:r>
      <w:r>
        <w:t xml:space="preserve"> </w:t>
      </w:r>
      <w:r>
        <w:t xml:space="preserve">Drift reconciliation loop</w:t>
      </w:r>
    </w:p>
    <w:p>
      <w:pPr>
        <w:pStyle w:val="Compact"/>
        <w:numPr>
          <w:ilvl w:val="0"/>
          <w:numId w:val="1326"/>
        </w:numPr>
      </w:pPr>
      <w:r>
        <w:rPr>
          <w:b/>
          <w:bCs/>
        </w:rPr>
        <w:t xml:space="preserve">B.7</w:t>
      </w:r>
      <w:r>
        <w:t xml:space="preserve"> </w:t>
      </w:r>
      <w:r>
        <w:t xml:space="preserve">CLI + module reference</w:t>
      </w:r>
    </w:p>
    <w:p>
      <w:pPr>
        <w:pStyle w:val="FirstParagraph"/>
      </w:pPr>
      <w:r>
        <w:rPr>
          <w:b/>
          <w:bCs/>
        </w:rPr>
        <w:t xml:space="preserve">Scaffold</w:t>
      </w:r>
    </w:p>
    <w:p>
      <w:pPr>
        <w:pStyle w:val="BodyText"/>
      </w:pPr>
      <w:r>
        <w:t xml:space="preserve">Posted references ready to port: AD Interaction Guide · Read-Only AD</w:t>
      </w:r>
      <w:r>
        <w:t xml:space="preserve"> </w:t>
      </w:r>
      <w:r>
        <w:t xml:space="preserve">Assessment Guide · PowerShell Module Reference · the Federal Modernization Program CLI Reference.</w:t>
      </w:r>
    </w:p>
    <w:bookmarkEnd w:id="666"/>
    <w:bookmarkEnd w:id="667"/>
    <w:bookmarkStart w:id="685" w:name="zero-trust-assessment-dashboard"/>
    <w:p>
      <w:pPr>
        <w:pStyle w:val="Heading1"/>
      </w:pPr>
      <w:r>
        <w:t xml:space="preserve">Zero Trust Assessment Dashboard</w:t>
      </w:r>
    </w:p>
    <w:p>
      <w:pPr>
        <w:pStyle w:val="FirstParagraph"/>
      </w:pPr>
      <w:r>
        <w:t xml:space="preserve">Microsoft’s</w:t>
      </w:r>
      <w:r>
        <w:t xml:space="preserve"> </w:t>
      </w:r>
      <w:hyperlink r:id="rId668">
        <w:r>
          <w:rPr>
            <w:rStyle w:val="Hyperlink"/>
          </w:rPr>
          <w:t xml:space="preserve">Zero Trust Assessment</w:t>
        </w:r>
      </w:hyperlink>
      <w:r>
        <w:t xml:space="preserve"> </w:t>
      </w:r>
      <w:r>
        <w:t xml:space="preserve">runs hundreds of read-only checks against your Entra / Intune / Azure / Purview</w:t>
      </w:r>
      <w:r>
        <w:t xml:space="preserve"> </w:t>
      </w:r>
      <w:r>
        <w:t xml:space="preserve">tenant and writes a</w:t>
      </w:r>
      <w:r>
        <w:t xml:space="preserve"> </w:t>
      </w:r>
      <w:r>
        <w:rPr>
          <w:rStyle w:val="VerbatimChar"/>
        </w:rPr>
        <w:t xml:space="preserve">ZeroTrustAssessmentReport.html</w:t>
      </w:r>
      <w:r>
        <w:t xml:space="preserve">. That report is excellent</w:t>
      </w:r>
      <w:r>
        <w:t xml:space="preserve"> </w:t>
      </w:r>
      <w:r>
        <w:t xml:space="preserve">for browsing but hard to</w:t>
      </w:r>
      <w:r>
        <w:t xml:space="preserve"> </w:t>
      </w:r>
      <w:r>
        <w:rPr>
          <w:i/>
          <w:iCs/>
        </w:rPr>
        <w:t xml:space="preserve">act on</w:t>
      </w:r>
      <w:r>
        <w:t xml:space="preserve"> </w:t>
      </w:r>
      <w:r>
        <w:t xml:space="preserve">as a team. This guide walks you — entirely</w:t>
      </w:r>
      <w:r>
        <w:t xml:space="preserve"> </w:t>
      </w:r>
      <w:r>
        <w:t xml:space="preserve">from PowerShell — through turning it into:</w:t>
      </w:r>
    </w:p>
    <w:p>
      <w:pPr>
        <w:pStyle w:val="Compact"/>
        <w:numPr>
          <w:ilvl w:val="0"/>
          <w:numId w:val="1327"/>
        </w:numPr>
      </w:pPr>
      <w:r>
        <w:t xml:space="preserve">an</w:t>
      </w:r>
      <w:r>
        <w:t xml:space="preserve"> </w:t>
      </w:r>
      <w:r>
        <w:rPr>
          <w:b/>
          <w:bCs/>
        </w:rPr>
        <w:t xml:space="preserve">Excel dashboard</w:t>
      </w:r>
      <w:r>
        <w:t xml:space="preserve"> </w:t>
      </w:r>
      <w:r>
        <w:t xml:space="preserve">(charts + pillar × risk heatmap, findings grouped by</w:t>
      </w:r>
      <w:r>
        <w:t xml:space="preserve"> </w:t>
      </w:r>
      <w:r>
        <w:t xml:space="preserve">pillar,</w:t>
      </w:r>
      <w:r>
        <w:t xml:space="preserve"> </w:t>
      </w:r>
      <w:r>
        <w:rPr>
          <w:b/>
          <w:bCs/>
        </w:rPr>
        <w:t xml:space="preserve">severity scored 0–100</w:t>
      </w:r>
      <w:r>
        <w:t xml:space="preserve">, and a</w:t>
      </w:r>
      <w:r>
        <w:t xml:space="preserve"> </w:t>
      </w:r>
      <w:r>
        <w:rPr>
          <w:b/>
          <w:bCs/>
        </w:rPr>
        <w:t xml:space="preserve">remediation priority</w:t>
      </w:r>
      <w:r>
        <w:t xml:space="preserve"> </w:t>
      </w:r>
      <w:r>
        <w:t xml:space="preserve">P1–P4 with</w:t>
      </w:r>
      <w:r>
        <w:t xml:space="preserve"> </w:t>
      </w:r>
      <w:r>
        <w:t xml:space="preserve">quick-wins called out), and</w:t>
      </w:r>
    </w:p>
    <w:p>
      <w:pPr>
        <w:pStyle w:val="Compact"/>
        <w:numPr>
          <w:ilvl w:val="0"/>
          <w:numId w:val="1327"/>
        </w:numPr>
      </w:pPr>
      <w:r>
        <w:t xml:space="preserve">a</w:t>
      </w:r>
      <w:r>
        <w:t xml:space="preserve"> </w:t>
      </w:r>
      <w:r>
        <w:rPr>
          <w:b/>
          <w:bCs/>
        </w:rPr>
        <w:t xml:space="preserve">Power BI-ready CSV</w:t>
      </w:r>
      <w:r>
        <w:t xml:space="preserve"> </w:t>
      </w:r>
      <w:r>
        <w:t xml:space="preserve">(one tidy row per check, every derived column).</w:t>
      </w:r>
    </w:p>
    <w:bookmarkStart w:id="669" w:name="handle-the-output-as-controlled-data"/>
    <w:p>
      <w:pPr>
        <w:pStyle w:val="Heading2"/>
      </w:pPr>
      <w:r>
        <w:t xml:space="preserve">Handle the output as Controlled data</w:t>
      </w:r>
    </w:p>
    <w:p>
      <w:pPr>
        <w:pStyle w:val="FirstParagraph"/>
      </w:pPr>
      <w:r>
        <w:t xml:space="preserve">The assessment report and everything derived from it contain sensitive tenant</w:t>
      </w:r>
      <w:r>
        <w:t xml:space="preserve"> </w:t>
      </w:r>
      <w:r>
        <w:t xml:space="preserve">configuration — effectively a map of where you are weak. Keep all input and</w:t>
      </w:r>
      <w:r>
        <w:t xml:space="preserve"> </w:t>
      </w:r>
      <w:r>
        <w:t xml:space="preserve">output</w:t>
      </w:r>
      <w:r>
        <w:t xml:space="preserve"> </w:t>
      </w:r>
      <w:r>
        <w:rPr>
          <w:b/>
          <w:bCs/>
        </w:rPr>
        <w:t xml:space="preserve">inside your authorization boundary</w:t>
      </w:r>
      <w:r>
        <w:t xml:space="preserve">, share only with authorized</w:t>
      </w:r>
      <w:r>
        <w:t xml:space="preserve"> </w:t>
      </w:r>
      <w:r>
        <w:t xml:space="preserve">personnel, and</w:t>
      </w:r>
      <w:r>
        <w:t xml:space="preserve"> </w:t>
      </w:r>
      <w:r>
        <w:rPr>
          <w:b/>
          <w:bCs/>
        </w:rPr>
        <w:t xml:space="preserve">do not publish raw findings</w:t>
      </w:r>
      <w:r>
        <w:t xml:space="preserve">. Remediation guidance is</w:t>
      </w:r>
      <w:r>
        <w:t xml:space="preserve"> </w:t>
      </w:r>
      <w:r>
        <w:rPr>
          <w:b/>
          <w:bCs/>
        </w:rPr>
        <w:t xml:space="preserve">advisory</w:t>
      </w:r>
      <w:r>
        <w:t xml:space="preserve">: apply changes only through your normal change-control process.</w:t>
      </w:r>
    </w:p>
    <w:bookmarkEnd w:id="669"/>
    <w:bookmarkStart w:id="670" w:name="what-you-get"/>
    <w:p>
      <w:pPr>
        <w:pStyle w:val="Heading2"/>
      </w:pPr>
      <w:r>
        <w:t xml:space="preserve">What you get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Output</w:t>
            </w:r>
          </w:p>
        </w:tc>
        <w:tc>
          <w:tcPr/>
          <w:p>
            <w:pPr>
              <w:pStyle w:val="Compact"/>
            </w:pPr>
            <w:r>
              <w:t xml:space="preserve">Description</w:t>
            </w:r>
          </w:p>
        </w:tc>
      </w:tr>
      <w:tr>
        <w:tc>
          <w:tcPr/>
          <w:p>
            <w:pPr>
              <w:pStyle w:val="Compact"/>
            </w:pPr>
            <w:r>
              <w:rPr>
                <w:rStyle w:val="VerbatimChar"/>
              </w:rPr>
              <w:t xml:space="preserve">…-dashboard.xlsx</w:t>
            </w:r>
          </w:p>
        </w:tc>
        <w:tc>
          <w:tcPr/>
          <w:p>
            <w:pPr>
              <w:pStyle w:val="Compact"/>
            </w:pPr>
            <w:r>
              <w:rPr>
                <w:b/>
                <w:bCs/>
              </w:rPr>
              <w:t xml:space="preserve">Dashboard</w:t>
            </w:r>
            <w:r>
              <w:t xml:space="preserve"> </w:t>
            </w:r>
            <w:r>
              <w:t xml:space="preserve">sheet with four embedded charts;</w:t>
            </w:r>
            <w:r>
              <w:t xml:space="preserve"> </w:t>
            </w:r>
            <w:r>
              <w:rPr>
                <w:b/>
                <w:bCs/>
              </w:rPr>
              <w:t xml:space="preserve">Findings</w:t>
            </w:r>
            <w:r>
              <w:t xml:space="preserve"> </w:t>
            </w:r>
            <w:r>
              <w:t xml:space="preserve">(ranked, severity color-scale, P1–P4 fills);</w:t>
            </w:r>
            <w:r>
              <w:t xml:space="preserve"> </w:t>
            </w:r>
            <w:r>
              <w:rPr>
                <w:b/>
                <w:bCs/>
              </w:rPr>
              <w:t xml:space="preserve">By Pillar</w:t>
            </w:r>
            <w:r>
              <w:t xml:space="preserve">;</w:t>
            </w:r>
            <w:r>
              <w:t xml:space="preserve"> </w:t>
            </w:r>
            <w:r>
              <w:rPr>
                <w:b/>
                <w:bCs/>
              </w:rPr>
              <w:t xml:space="preserve">All Tests</w:t>
            </w:r>
            <w:r>
              <w:t xml:space="preserve">;</w:t>
            </w:r>
            <w:r>
              <w:t xml:space="preserve"> </w:t>
            </w:r>
            <w:r>
              <w:rPr>
                <w:b/>
                <w:bCs/>
              </w:rPr>
              <w:t xml:space="preserve">Methodology</w:t>
            </w:r>
            <w:r>
              <w:t xml:space="preserve"> </w:t>
            </w:r>
            <w:r>
              <w:t xml:space="preserve">(the exact scoring, documented).</w:t>
            </w:r>
          </w:p>
        </w:tc>
      </w:tr>
      <w:tr>
        <w:tc>
          <w:tcPr/>
          <w:p>
            <w:pPr>
              <w:pStyle w:val="Compact"/>
            </w:pPr>
            <w:r>
              <w:rPr>
                <w:rStyle w:val="VerbatimChar"/>
              </w:rPr>
              <w:t xml:space="preserve">charts\*.png</w:t>
            </w:r>
          </w:p>
        </w:tc>
        <w:tc>
          <w:tcPr/>
          <w:p>
            <w:pPr>
              <w:pStyle w:val="Compact"/>
            </w:pPr>
            <w:r>
              <w:t xml:space="preserve">The individual charts (status, findings-by-pillar, pillar × risk heatmap, severity × effort remediation quadrant).</w:t>
            </w:r>
          </w:p>
        </w:tc>
      </w:tr>
      <w:tr>
        <w:tc>
          <w:tcPr/>
          <w:p>
            <w:pPr>
              <w:pStyle w:val="Compact"/>
            </w:pPr>
            <w:r>
              <w:rPr>
                <w:rStyle w:val="VerbatimChar"/>
              </w:rPr>
              <w:t xml:space="preserve">…-powerbi.csv</w:t>
            </w:r>
          </w:p>
        </w:tc>
        <w:tc>
          <w:tcPr/>
          <w:p>
            <w:pPr>
              <w:pStyle w:val="Compact"/>
            </w:pPr>
            <w:r>
              <w:t xml:space="preserve">One row per check with severity, priority, applicability, and SKU columns — import directly into Power BI.</w:t>
            </w:r>
          </w:p>
        </w:tc>
      </w:tr>
    </w:tbl>
    <w:bookmarkEnd w:id="670"/>
    <w:bookmarkStart w:id="672" w:name="prerequisites-3"/>
    <w:p>
      <w:pPr>
        <w:pStyle w:val="Heading2"/>
      </w:pPr>
      <w:r>
        <w:t xml:space="preserve">Prerequisites</w:t>
      </w:r>
    </w:p>
    <w:p>
      <w:pPr>
        <w:pStyle w:val="Compact"/>
        <w:numPr>
          <w:ilvl w:val="0"/>
          <w:numId w:val="1328"/>
        </w:numPr>
      </w:pPr>
      <w:r>
        <w:rPr>
          <w:b/>
          <w:bCs/>
        </w:rPr>
        <w:t xml:space="preserve">PowerShell 7+</w:t>
      </w:r>
      <w:r>
        <w:t xml:space="preserve"> </w:t>
      </w:r>
      <w:r>
        <w:t xml:space="preserve">—</w:t>
      </w:r>
      <w:r>
        <w:t xml:space="preserve"> </w:t>
      </w:r>
      <w:hyperlink r:id="rId671">
        <w:r>
          <w:rPr>
            <w:rStyle w:val="Hyperlink"/>
          </w:rPr>
          <w:t xml:space="preserve">install guide</w:t>
        </w:r>
      </w:hyperlink>
      <w:r>
        <w:t xml:space="preserve">.</w:t>
      </w:r>
    </w:p>
    <w:p>
      <w:pPr>
        <w:pStyle w:val="Compact"/>
        <w:numPr>
          <w:ilvl w:val="0"/>
          <w:numId w:val="1328"/>
        </w:numPr>
      </w:pPr>
      <w:r>
        <w:rPr>
          <w:b/>
          <w:bCs/>
        </w:rPr>
        <w:t xml:space="preserve">Python 3.11+</w:t>
      </w:r>
      <w:r>
        <w:t xml:space="preserve"> </w:t>
      </w:r>
      <w:r>
        <w:t xml:space="preserve">on</w:t>
      </w:r>
      <w:r>
        <w:t xml:space="preserve"> </w:t>
      </w:r>
      <w:r>
        <w:rPr>
          <w:rStyle w:val="VerbatimChar"/>
        </w:rPr>
        <w:t xml:space="preserve">PATH</w:t>
      </w:r>
      <w:r>
        <w:t xml:space="preserve">.</w:t>
      </w:r>
    </w:p>
    <w:p>
      <w:pPr>
        <w:pStyle w:val="Compact"/>
        <w:numPr>
          <w:ilvl w:val="0"/>
          <w:numId w:val="1328"/>
        </w:numPr>
      </w:pPr>
      <w:r>
        <w:rPr>
          <w:b/>
          <w:bCs/>
        </w:rPr>
        <w:t xml:space="preserve">The Federal Modernization Program toolkit</w:t>
      </w:r>
      <w:r>
        <w:t xml:space="preserve"> </w:t>
      </w:r>
      <w:r>
        <w:t xml:space="preserve">(provides the</w:t>
      </w:r>
      <w:r>
        <w:t xml:space="preserve"> </w:t>
      </w:r>
      <w:r>
        <w:rPr>
          <w:rStyle w:val="VerbatimChar"/>
        </w:rPr>
        <w:t xml:space="preserve">fmp</w:t>
      </w:r>
      <w:r>
        <w:t xml:space="preserve"> </w:t>
      </w:r>
      <w:r>
        <w:t xml:space="preserve">command):</w:t>
      </w:r>
      <w:r>
        <w:t xml:space="preserve"> </w:t>
      </w:r>
      <w:r>
        <w:rPr>
          <w:rStyle w:val="VerbatimChar"/>
        </w:rPr>
        <w:t xml:space="preserve">pip install fmp</w:t>
      </w:r>
      <w:r>
        <w:t xml:space="preserve"> </w:t>
      </w:r>
      <w:r>
        <w:t xml:space="preserve">from the</w:t>
      </w:r>
      <w:r>
        <w:t xml:space="preserve"> </w:t>
      </w:r>
      <w:r>
        <w:t xml:space="preserve">repository, which brings in the</w:t>
      </w:r>
      <w:r>
        <w:t xml:space="preserve"> </w:t>
      </w:r>
      <w:r>
        <w:rPr>
          <w:rStyle w:val="VerbatimChar"/>
        </w:rPr>
        <w:t xml:space="preserve">openpyxl</w:t>
      </w:r>
      <w:r>
        <w:t xml:space="preserve"> </w:t>
      </w:r>
      <w:r>
        <w:t xml:space="preserve">and</w:t>
      </w:r>
      <w:r>
        <w:t xml:space="preserve"> </w:t>
      </w:r>
      <w:r>
        <w:rPr>
          <w:rStyle w:val="VerbatimChar"/>
        </w:rPr>
        <w:t xml:space="preserve">matplotlib</w:t>
      </w:r>
      <w:r>
        <w:t xml:space="preserve"> </w:t>
      </w:r>
      <w:r>
        <w:t xml:space="preserve">dependencies the</w:t>
      </w:r>
      <w:r>
        <w:t xml:space="preserve"> </w:t>
      </w:r>
      <w:r>
        <w:t xml:space="preserve">dashboard needs.</w:t>
      </w:r>
    </w:p>
    <w:p>
      <w:pPr>
        <w:pStyle w:val="Compact"/>
        <w:numPr>
          <w:ilvl w:val="0"/>
          <w:numId w:val="1328"/>
        </w:numPr>
      </w:pPr>
      <w:r>
        <w:t xml:space="preserve">A</w:t>
      </w:r>
      <w:r>
        <w:t xml:space="preserve"> </w:t>
      </w:r>
      <w:r>
        <w:rPr>
          <w:rStyle w:val="VerbatimChar"/>
          <w:b/>
          <w:bCs/>
        </w:rPr>
        <w:t xml:space="preserve">ZeroTrustAssessmentReport.html</w:t>
      </w:r>
      <w:r>
        <w:t xml:space="preserve"> </w:t>
      </w:r>
      <w:r>
        <w:t xml:space="preserve">(or</w:t>
      </w:r>
      <w:r>
        <w:t xml:space="preserve"> </w:t>
      </w:r>
      <w:r>
        <w:rPr>
          <w:rStyle w:val="VerbatimChar"/>
        </w:rPr>
        <w:t xml:space="preserve">.json</w:t>
      </w:r>
      <w:r>
        <w:t xml:space="preserve">) from a completed assessment</w:t>
      </w:r>
      <w:r>
        <w:t xml:space="preserve"> </w:t>
      </w:r>
      <w:r>
        <w:t xml:space="preserve">run — produced in Step 1 below.</w:t>
      </w:r>
    </w:p>
    <w:p>
      <w:pPr>
        <w:pStyle w:val="SourceCode"/>
      </w:pPr>
      <w:r>
        <w:rPr>
          <w:rStyle w:val="CommentTok"/>
        </w:rPr>
        <w:t xml:space="preserve"># one-time: confirm the toolkit is available</w:t>
      </w:r>
      <w:r>
        <w:br/>
      </w:r>
      <w:r>
        <w:rPr>
          <w:rStyle w:val="NormalTok"/>
        </w:rPr>
        <w:t xml:space="preserve">fmp </w:t>
      </w:r>
      <w:r>
        <w:rPr>
          <w:rStyle w:val="OperatorTok"/>
        </w:rPr>
        <w:t xml:space="preserve">--</w:t>
      </w:r>
      <w:r>
        <w:rPr>
          <w:rStyle w:val="NormalTok"/>
        </w:rPr>
        <w:t xml:space="preserve">version</w:t>
      </w:r>
      <w:r>
        <w:br/>
      </w:r>
      <w:r>
        <w:rPr>
          <w:rStyle w:val="NormalTok"/>
        </w:rPr>
        <w:t xml:space="preserve">fmp zta </w:t>
      </w:r>
      <w:r>
        <w:rPr>
          <w:rStyle w:val="OperatorTok"/>
        </w:rPr>
        <w:t xml:space="preserve">--</w:t>
      </w:r>
      <w:r>
        <w:rPr>
          <w:rStyle w:val="NormalTok"/>
        </w:rPr>
        <w:t xml:space="preserve">help</w:t>
      </w:r>
    </w:p>
    <w:bookmarkEnd w:id="672"/>
    <w:bookmarkStart w:id="674" w:name="step-1-run-the-zero-trust-assessment"/>
    <w:p>
      <w:pPr>
        <w:pStyle w:val="Heading2"/>
      </w:pPr>
      <w:r>
        <w:t xml:space="preserve">Step 1 — Run the Zero Trust Assessment</w:t>
      </w:r>
    </w:p>
    <w:p>
      <w:pPr>
        <w:pStyle w:val="FirstParagraph"/>
      </w:pPr>
      <w:r>
        <w:t xml:space="preserve">If you have not already produced a report, run the assessment (read-only). The</w:t>
      </w:r>
      <w:r>
        <w:t xml:space="preserve"> </w:t>
      </w:r>
      <w:r>
        <w:t xml:space="preserve">first run needs a Global Administrator to consent; later runs can use Global</w:t>
      </w:r>
      <w:r>
        <w:t xml:space="preserve"> </w:t>
      </w:r>
      <w:r>
        <w:t xml:space="preserve">Reader. See Microsoft’s</w:t>
      </w:r>
      <w:r>
        <w:t xml:space="preserve"> </w:t>
      </w:r>
      <w:hyperlink r:id="rId673">
        <w:r>
          <w:rPr>
            <w:rStyle w:val="Hyperlink"/>
          </w:rPr>
          <w:t xml:space="preserve">get-started guide</w:t>
        </w:r>
      </w:hyperlink>
      <w:r>
        <w:t xml:space="preserve">.</w:t>
      </w:r>
    </w:p>
    <w:p>
      <w:pPr>
        <w:pStyle w:val="SourceCode"/>
      </w:pPr>
      <w:r>
        <w:rPr>
          <w:rStyle w:val="NormalTok"/>
        </w:rPr>
        <w:t xml:space="preserve">Install-Module ZeroTrustAssessment </w:t>
      </w:r>
      <w:r>
        <w:rPr>
          <w:rStyle w:val="OperatorTok"/>
        </w:rPr>
        <w:t xml:space="preserve">-</w:t>
      </w:r>
      <w:r>
        <w:rPr>
          <w:rStyle w:val="NormalTok"/>
        </w:rPr>
        <w:t xml:space="preserve">Scope CurrentUser</w:t>
      </w:r>
      <w:r>
        <w:br/>
      </w:r>
      <w:r>
        <w:rPr>
          <w:rStyle w:val="NormalTok"/>
        </w:rPr>
        <w:t xml:space="preserve">Connect-ZtAssessment</w:t>
      </w:r>
      <w:r>
        <w:br/>
      </w:r>
      <w:r>
        <w:rPr>
          <w:rStyle w:val="NormalTok"/>
        </w:rPr>
        <w:t xml:space="preserve">Invoke-ZtAssessment            </w:t>
      </w:r>
      <w:r>
        <w:rPr>
          <w:rStyle w:val="CommentTok"/>
        </w:rPr>
        <w:t xml:space="preserve"># writes .\ZeroTrustReport\ZeroTrustAssessmentReport.html</w:t>
      </w:r>
    </w:p>
    <w:p>
      <w:pPr>
        <w:pStyle w:val="FirstParagraph"/>
      </w:pPr>
      <w:r>
        <w:t xml:space="preserve">The assessment can take a while on large tenants. The HTML it opens by default</w:t>
      </w:r>
      <w:r>
        <w:t xml:space="preserve"> </w:t>
      </w:r>
      <w:r>
        <w:t xml:space="preserve">already embeds the full dataset — the dashboard reads it directly, so you do</w:t>
      </w:r>
      <w:r>
        <w:t xml:space="preserve"> </w:t>
      </w:r>
      <w:r>
        <w:rPr>
          <w:b/>
          <w:bCs/>
        </w:rPr>
        <w:t xml:space="preserve">not</w:t>
      </w:r>
      <w:r>
        <w:t xml:space="preserve"> </w:t>
      </w:r>
      <w:r>
        <w:t xml:space="preserve">need a separate JSON export.</w:t>
      </w:r>
    </w:p>
    <w:bookmarkEnd w:id="674"/>
    <w:bookmarkStart w:id="675" w:name="step-2-generate-the-dashboard"/>
    <w:p>
      <w:pPr>
        <w:pStyle w:val="Heading2"/>
      </w:pPr>
      <w:r>
        <w:t xml:space="preserve">Step 2 — Generate the dashboard</w:t>
      </w:r>
    </w:p>
    <w:p>
      <w:pPr>
        <w:pStyle w:val="FirstParagraph"/>
      </w:pPr>
      <w:r>
        <w:t xml:space="preserve">Download</w:t>
      </w:r>
      <w:r>
        <w:t xml:space="preserve"> </w:t>
      </w:r>
      <w:r>
        <w:rPr>
          <w:rStyle w:val="VerbatimChar"/>
          <w:b/>
          <w:bCs/>
        </w:rPr>
        <w:t xml:space="preserve">Invoke-ZtDashboard.ps1</w:t>
      </w:r>
      <w:r>
        <w:t xml:space="preserve"> </w:t>
      </w:r>
      <w:r>
        <w:t xml:space="preserve">(see</w:t>
      </w:r>
      <w:r>
        <w:t xml:space="preserve"> </w:t>
      </w:r>
      <w:hyperlink w:anchor="downloads">
        <w:r>
          <w:rPr>
            <w:rStyle w:val="Hyperlink"/>
          </w:rPr>
          <w:t xml:space="preserve">Downloads</w:t>
        </w:r>
      </w:hyperlink>
      <w:r>
        <w:t xml:space="preserve">) and run it</w:t>
      </w:r>
      <w:r>
        <w:t xml:space="preserve"> </w:t>
      </w:r>
      <w:r>
        <w:t xml:space="preserve">against the report:</w:t>
      </w:r>
    </w:p>
    <w:p>
      <w:pPr>
        <w:pStyle w:val="SourceCode"/>
      </w:pPr>
      <w:r>
        <w:rPr>
          <w:rStyle w:val="OperatorTok"/>
        </w:rPr>
        <w:t xml:space="preserve">.</w:t>
      </w:r>
      <w:r>
        <w:rPr>
          <w:rStyle w:val="NormalTok"/>
        </w:rPr>
        <w:t xml:space="preserve">\Invoke-ZtDashboard</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ReportPath </w:t>
      </w:r>
      <w:r>
        <w:rPr>
          <w:rStyle w:val="OperatorTok"/>
        </w:rPr>
        <w:t xml:space="preserve">.</w:t>
      </w:r>
      <w:r>
        <w:rPr>
          <w:rStyle w:val="NormalTok"/>
        </w:rPr>
        <w:t xml:space="preserve">\ZeroTrustReport\ZeroTrustAssessmentReport</w:t>
      </w:r>
      <w:r>
        <w:rPr>
          <w:rStyle w:val="OperatorTok"/>
        </w:rPr>
        <w:t xml:space="preserve">.</w:t>
      </w:r>
      <w:r>
        <w:rPr>
          <w:rStyle w:val="FunctionTok"/>
        </w:rPr>
        <w:t xml:space="preserve">html</w:t>
      </w:r>
      <w:r>
        <w:rPr>
          <w:rStyle w:val="NormalTok"/>
        </w:rPr>
        <w:t xml:space="preserve"> </w:t>
      </w:r>
      <w:r>
        <w:rPr>
          <w:rStyle w:val="OperatorTok"/>
        </w:rPr>
        <w:t xml:space="preserve">-</w:t>
      </w:r>
      <w:r>
        <w:rPr>
          <w:rStyle w:val="NormalTok"/>
        </w:rPr>
        <w:t xml:space="preserve">OutputDirectory </w:t>
      </w:r>
      <w:r>
        <w:rPr>
          <w:rStyle w:val="OperatorTok"/>
        </w:rPr>
        <w:t xml:space="preserve">.</w:t>
      </w:r>
      <w:r>
        <w:rPr>
          <w:rStyle w:val="NormalTok"/>
        </w:rPr>
        <w:t xml:space="preserve">\zt-dashboard</w:t>
      </w:r>
    </w:p>
    <w:p>
      <w:pPr>
        <w:pStyle w:val="FirstParagraph"/>
      </w:pPr>
      <w:r>
        <w:t xml:space="preserve">That is a thin wrapper over the toolkit; the equivalent direct call is:</w:t>
      </w:r>
    </w:p>
    <w:p>
      <w:pPr>
        <w:pStyle w:val="SourceCode"/>
      </w:pPr>
      <w:r>
        <w:rPr>
          <w:rStyle w:val="NormalTok"/>
        </w:rPr>
        <w:t xml:space="preserve">fmp zta dashboard </w:t>
      </w:r>
      <w:r>
        <w:rPr>
          <w:rStyle w:val="OperatorTok"/>
        </w:rPr>
        <w:t xml:space="preserve">--</w:t>
      </w:r>
      <w:r>
        <w:rPr>
          <w:rStyle w:val="NormalTok"/>
        </w:rPr>
        <w:t xml:space="preserve">input </w:t>
      </w:r>
      <w:r>
        <w:rPr>
          <w:rStyle w:val="OperatorTok"/>
        </w:rPr>
        <w:t xml:space="preserve">.</w:t>
      </w:r>
      <w:r>
        <w:rPr>
          <w:rStyle w:val="NormalTok"/>
        </w:rPr>
        <w:t xml:space="preserve">\ZeroTrustReport\ZeroTrustAssessmentReport</w:t>
      </w:r>
      <w:r>
        <w:rPr>
          <w:rStyle w:val="OperatorTok"/>
        </w:rPr>
        <w:t xml:space="preserve">.</w:t>
      </w:r>
      <w:r>
        <w:rPr>
          <w:rStyle w:val="FunctionTok"/>
        </w:rPr>
        <w:t xml:space="preserve">html</w:t>
      </w:r>
      <w:r>
        <w:rPr>
          <w:rStyle w:val="NormalTok"/>
        </w:rPr>
        <w:t xml:space="preserve"> </w:t>
      </w:r>
      <w:r>
        <w:rPr>
          <w:rStyle w:val="OperatorTok"/>
        </w:rPr>
        <w:t xml:space="preserve">--</w:t>
      </w:r>
      <w:r>
        <w:rPr>
          <w:rStyle w:val="NormalTok"/>
        </w:rPr>
        <w:t xml:space="preserve">out-dir </w:t>
      </w:r>
      <w:r>
        <w:rPr>
          <w:rStyle w:val="OperatorTok"/>
        </w:rPr>
        <w:t xml:space="preserve">.</w:t>
      </w:r>
      <w:r>
        <w:rPr>
          <w:rStyle w:val="NormalTok"/>
        </w:rPr>
        <w:t xml:space="preserve">\zt-dashboard</w:t>
      </w:r>
    </w:p>
    <w:p>
      <w:pPr>
        <w:pStyle w:val="FirstParagraph"/>
      </w:pPr>
      <w:r>
        <w:t xml:space="preserve">You can also produce the lighter text/CSV digests (executive summary, Markdown,</w:t>
      </w:r>
      <w:r>
        <w:t xml:space="preserve"> </w:t>
      </w:r>
      <w:r>
        <w:t xml:space="preserve">worklist) with:</w:t>
      </w:r>
    </w:p>
    <w:p>
      <w:pPr>
        <w:pStyle w:val="SourceCode"/>
      </w:pPr>
      <w:r>
        <w:rPr>
          <w:rStyle w:val="NormalTok"/>
        </w:rPr>
        <w:t xml:space="preserve">fmp zta digest </w:t>
      </w:r>
      <w:r>
        <w:rPr>
          <w:rStyle w:val="OperatorTok"/>
        </w:rPr>
        <w:t xml:space="preserve">--</w:t>
      </w:r>
      <w:r>
        <w:rPr>
          <w:rStyle w:val="NormalTok"/>
        </w:rPr>
        <w:t xml:space="preserve">input </w:t>
      </w:r>
      <w:r>
        <w:rPr>
          <w:rStyle w:val="OperatorTok"/>
        </w:rPr>
        <w:t xml:space="preserve">.</w:t>
      </w:r>
      <w:r>
        <w:rPr>
          <w:rStyle w:val="NormalTok"/>
        </w:rPr>
        <w:t xml:space="preserve">\ZeroTrustReport\ZeroTrustAssessmentReport</w:t>
      </w:r>
      <w:r>
        <w:rPr>
          <w:rStyle w:val="OperatorTok"/>
        </w:rPr>
        <w:t xml:space="preserve">.</w:t>
      </w:r>
      <w:r>
        <w:rPr>
          <w:rStyle w:val="FunctionTok"/>
        </w:rPr>
        <w:t xml:space="preserve">html</w:t>
      </w:r>
      <w:r>
        <w:rPr>
          <w:rStyle w:val="NormalTok"/>
        </w:rPr>
        <w:t xml:space="preserve"> </w:t>
      </w:r>
      <w:r>
        <w:rPr>
          <w:rStyle w:val="OperatorTok"/>
        </w:rPr>
        <w:t xml:space="preserve">--</w:t>
      </w:r>
      <w:r>
        <w:rPr>
          <w:rStyle w:val="NormalTok"/>
        </w:rPr>
        <w:t xml:space="preserve">out-dir </w:t>
      </w:r>
      <w:r>
        <w:rPr>
          <w:rStyle w:val="OperatorTok"/>
        </w:rPr>
        <w:t xml:space="preserve">.</w:t>
      </w:r>
      <w:r>
        <w:rPr>
          <w:rStyle w:val="NormalTok"/>
        </w:rPr>
        <w:t xml:space="preserve">\zt-digest</w:t>
      </w:r>
    </w:p>
    <w:bookmarkEnd w:id="675"/>
    <w:bookmarkStart w:id="676" w:name="step-3-build-a-remediation-playbook"/>
    <w:p>
      <w:pPr>
        <w:pStyle w:val="Heading2"/>
      </w:pPr>
      <w:r>
        <w:t xml:space="preserve">Step 3 — Build a remediation playbook</w:t>
      </w:r>
    </w:p>
    <w:p>
      <w:pPr>
        <w:pStyle w:val="FirstParagraph"/>
      </w:pPr>
      <w:r>
        <w:t xml:space="preserve">To get a per-finding</w:t>
      </w:r>
      <w:r>
        <w:t xml:space="preserve"> </w:t>
      </w:r>
      <w:r>
        <w:rPr>
          <w:b/>
          <w:bCs/>
        </w:rPr>
        <w:t xml:space="preserve">how-to-fix</w:t>
      </w:r>
      <w:r>
        <w:t xml:space="preserve"> </w:t>
      </w:r>
      <w:r>
        <w:t xml:space="preserve">guide, run:</w:t>
      </w:r>
    </w:p>
    <w:p>
      <w:pPr>
        <w:pStyle w:val="SourceCode"/>
      </w:pPr>
      <w:r>
        <w:rPr>
          <w:rStyle w:val="NormalTok"/>
        </w:rPr>
        <w:t xml:space="preserve">fmp zta remediate </w:t>
      </w:r>
      <w:r>
        <w:rPr>
          <w:rStyle w:val="OperatorTok"/>
        </w:rPr>
        <w:t xml:space="preserve">--</w:t>
      </w:r>
      <w:r>
        <w:rPr>
          <w:rStyle w:val="NormalTok"/>
        </w:rPr>
        <w:t xml:space="preserve">input </w:t>
      </w:r>
      <w:r>
        <w:rPr>
          <w:rStyle w:val="OperatorTok"/>
        </w:rPr>
        <w:t xml:space="preserve">.</w:t>
      </w:r>
      <w:r>
        <w:rPr>
          <w:rStyle w:val="NormalTok"/>
        </w:rPr>
        <w:t xml:space="preserve">\ZeroTrustReport\ZeroTrustAssessmentReport</w:t>
      </w:r>
      <w:r>
        <w:rPr>
          <w:rStyle w:val="OperatorTok"/>
        </w:rPr>
        <w:t xml:space="preserve">.</w:t>
      </w:r>
      <w:r>
        <w:rPr>
          <w:rStyle w:val="FunctionTok"/>
        </w:rPr>
        <w:t xml:space="preserve">html</w:t>
      </w:r>
      <w:r>
        <w:rPr>
          <w:rStyle w:val="NormalTok"/>
        </w:rPr>
        <w:t xml:space="preserve"> </w:t>
      </w:r>
      <w:r>
        <w:rPr>
          <w:rStyle w:val="OperatorTok"/>
        </w:rPr>
        <w:t xml:space="preserve">--</w:t>
      </w:r>
      <w:r>
        <w:rPr>
          <w:rStyle w:val="NormalTok"/>
        </w:rPr>
        <w:t xml:space="preserve">out-dir </w:t>
      </w:r>
      <w:r>
        <w:rPr>
          <w:rStyle w:val="OperatorTok"/>
        </w:rPr>
        <w:t xml:space="preserve">.</w:t>
      </w:r>
      <w:r>
        <w:rPr>
          <w:rStyle w:val="NormalTok"/>
        </w:rPr>
        <w:t xml:space="preserve">\zt-remediation</w:t>
      </w:r>
    </w:p>
    <w:p>
      <w:pPr>
        <w:pStyle w:val="FirstParagraph"/>
      </w:pPr>
      <w:r>
        <w:t xml:space="preserve">This writes a Markdown</w:t>
      </w:r>
      <w:r>
        <w:t xml:space="preserve"> </w:t>
      </w:r>
      <w:r>
        <w:rPr>
          <w:b/>
          <w:bCs/>
        </w:rPr>
        <w:t xml:space="preserve">playbook</w:t>
      </w:r>
      <w:r>
        <w:t xml:space="preserve"> </w:t>
      </w:r>
      <w:r>
        <w:t xml:space="preserve">and a CSV</w:t>
      </w:r>
      <w:r>
        <w:t xml:space="preserve"> </w:t>
      </w:r>
      <w:r>
        <w:rPr>
          <w:b/>
          <w:bCs/>
        </w:rPr>
        <w:t xml:space="preserve">tracker</w:t>
      </w:r>
      <w:r>
        <w:t xml:space="preserve">. For each failed check</w:t>
      </w:r>
      <w:r>
        <w:t xml:space="preserve"> </w:t>
      </w:r>
      <w:r>
        <w:t xml:space="preserve">it surfaces — from the assessment’s own content — the</w:t>
      </w:r>
      <w:r>
        <w:t xml:space="preserve"> </w:t>
      </w:r>
      <w:r>
        <w:rPr>
          <w:b/>
          <w:bCs/>
        </w:rPr>
        <w:t xml:space="preserve">admin console</w:t>
      </w:r>
      <w:r>
        <w:t xml:space="preserve"> </w:t>
      </w:r>
      <w:r>
        <w:t xml:space="preserve">the fix</w:t>
      </w:r>
      <w:r>
        <w:t xml:space="preserve"> </w:t>
      </w:r>
      <w:r>
        <w:t xml:space="preserve">lives in (Entra / Intune / Purview / Azure / …), the check’s</w:t>
      </w:r>
      <w:r>
        <w:t xml:space="preserve"> </w:t>
      </w:r>
      <w:r>
        <w:rPr>
          <w:b/>
          <w:bCs/>
        </w:rPr>
        <w:t xml:space="preserve">remediation</w:t>
      </w:r>
      <w:r>
        <w:rPr>
          <w:b/>
          <w:bCs/>
        </w:rPr>
        <w:t xml:space="preserve"> </w:t>
      </w:r>
      <w:r>
        <w:rPr>
          <w:b/>
          <w:bCs/>
        </w:rPr>
        <w:t xml:space="preserve">steps</w:t>
      </w:r>
      <w:r>
        <w:t xml:space="preserve">,</w:t>
      </w:r>
      <w:r>
        <w:t xml:space="preserve"> </w:t>
      </w:r>
      <w:r>
        <w:rPr>
          <w:b/>
          <w:bCs/>
        </w:rPr>
        <w:t xml:space="preserve">Microsoft Learn</w:t>
      </w:r>
      <w:r>
        <w:t xml:space="preserve"> </w:t>
      </w:r>
      <w:r>
        <w:t xml:space="preserve">references, and deep links to the</w:t>
      </w:r>
      <w:r>
        <w:t xml:space="preserve"> </w:t>
      </w:r>
      <w:r>
        <w:rPr>
          <w:b/>
          <w:bCs/>
        </w:rPr>
        <w:t xml:space="preserve">specific failing</w:t>
      </w:r>
      <w:r>
        <w:rPr>
          <w:b/>
          <w:bCs/>
        </w:rPr>
        <w:t xml:space="preserve"> </w:t>
      </w:r>
      <w:r>
        <w:rPr>
          <w:b/>
          <w:bCs/>
        </w:rPr>
        <w:t xml:space="preserve">objects</w:t>
      </w:r>
      <w:r>
        <w:t xml:space="preserve">. The tracker has blank</w:t>
      </w:r>
      <w:r>
        <w:t xml:space="preserve"> </w:t>
      </w:r>
      <w:r>
        <w:rPr>
          <w:rStyle w:val="VerbatimChar"/>
        </w:rPr>
        <w:t xml:space="preserve">Status</w:t>
      </w:r>
      <w:r>
        <w:t xml:space="preserve"> </w:t>
      </w:r>
      <w:r>
        <w:t xml:space="preserve">/</w:t>
      </w:r>
      <w:r>
        <w:t xml:space="preserve"> </w:t>
      </w:r>
      <w:r>
        <w:rPr>
          <w:rStyle w:val="VerbatimChar"/>
        </w:rPr>
        <w:t xml:space="preserve">Owner</w:t>
      </w:r>
      <w:r>
        <w:t xml:space="preserve"> </w:t>
      </w:r>
      <w:r>
        <w:t xml:space="preserve">/</w:t>
      </w:r>
      <w:r>
        <w:t xml:space="preserve"> </w:t>
      </w:r>
      <w:r>
        <w:rPr>
          <w:rStyle w:val="VerbatimChar"/>
        </w:rPr>
        <w:t xml:space="preserve">Notes</w:t>
      </w:r>
      <w:r>
        <w:t xml:space="preserve"> </w:t>
      </w:r>
      <w:r>
        <w:t xml:space="preserve">columns so a team</w:t>
      </w:r>
      <w:r>
        <w:t xml:space="preserve"> </w:t>
      </w:r>
      <w:r>
        <w:t xml:space="preserve">can work the list. Add</w:t>
      </w:r>
      <w:r>
        <w:t xml:space="preserve"> </w:t>
      </w:r>
      <w:r>
        <w:rPr>
          <w:rStyle w:val="VerbatimChar"/>
        </w:rPr>
        <w:t xml:space="preserve">--status Investigate</w:t>
      </w:r>
      <w:r>
        <w:t xml:space="preserve"> </w:t>
      </w:r>
      <w:r>
        <w:t xml:space="preserve">to include manual-review items.</w:t>
      </w:r>
    </w:p>
    <w:p>
      <w:pPr>
        <w:pStyle w:val="BodyText"/>
      </w:pPr>
      <w:r>
        <w:t xml:space="preserve">The playbook gives</w:t>
      </w:r>
      <w:r>
        <w:t xml:space="preserve"> </w:t>
      </w:r>
      <w:r>
        <w:rPr>
          <w:b/>
          <w:bCs/>
        </w:rPr>
        <w:t xml:space="preserve">portal steps and Microsoft Learn links only</w:t>
      </w:r>
      <w:r>
        <w:t xml:space="preserve"> </w:t>
      </w:r>
      <w:r>
        <w:t xml:space="preserve">— no scripts.</w:t>
      </w:r>
      <w:r>
        <w:t xml:space="preserve"> </w:t>
      </w:r>
      <w:r>
        <w:t xml:space="preserve">Each step routes you to the right console; make the change there through your</w:t>
      </w:r>
      <w:r>
        <w:t xml:space="preserve"> </w:t>
      </w:r>
      <w:r>
        <w:t xml:space="preserve">normal change-control process.</w:t>
      </w:r>
    </w:p>
    <w:bookmarkEnd w:id="676"/>
    <w:bookmarkStart w:id="677" w:name="reading-the-dashboard"/>
    <w:p>
      <w:pPr>
        <w:pStyle w:val="Heading2"/>
      </w:pPr>
      <w:r>
        <w:t xml:space="preserve">Reading the dashboard</w:t>
      </w:r>
    </w:p>
    <w:p>
      <w:pPr>
        <w:pStyle w:val="Compact"/>
        <w:numPr>
          <w:ilvl w:val="0"/>
          <w:numId w:val="1329"/>
        </w:numPr>
      </w:pPr>
      <w:r>
        <w:rPr>
          <w:b/>
          <w:bCs/>
        </w:rPr>
        <w:t xml:space="preserve">Outcomes are recomputed from the per-test results.</w:t>
      </w:r>
      <w:r>
        <w:t xml:space="preserve"> </w:t>
      </w:r>
      <w:r>
        <w:t xml:space="preserve">The report’s own</w:t>
      </w:r>
      <w:r>
        <w:t xml:space="preserve"> </w:t>
      </w:r>
      <w:r>
        <w:t xml:space="preserve">summary block is intentionally ignored because it does not reconcile.</w:t>
      </w:r>
    </w:p>
    <w:p>
      <w:pPr>
        <w:pStyle w:val="Compact"/>
        <w:numPr>
          <w:ilvl w:val="0"/>
          <w:numId w:val="1329"/>
        </w:numPr>
      </w:pPr>
      <w:r>
        <w:rPr>
          <w:b/>
          <w:bCs/>
        </w:rPr>
        <w:t xml:space="preserve">Only</w:t>
      </w:r>
      <w:r>
        <w:rPr>
          <w:b/>
          <w:bCs/>
        </w:rPr>
        <w:t xml:space="preserve"> </w:t>
      </w:r>
      <w:r>
        <w:rPr>
          <w:rStyle w:val="VerbatimChar"/>
          <w:b/>
          <w:bCs/>
        </w:rPr>
        <w:t xml:space="preserve">Failed</w:t>
      </w:r>
      <w:r>
        <w:rPr>
          <w:b/>
          <w:bCs/>
        </w:rPr>
        <w:t xml:space="preserve"> </w:t>
      </w:r>
      <w:r>
        <w:rPr>
          <w:b/>
          <w:bCs/>
        </w:rPr>
        <w:t xml:space="preserve">and</w:t>
      </w:r>
      <w:r>
        <w:rPr>
          <w:b/>
          <w:bCs/>
        </w:rPr>
        <w:t xml:space="preserve"> </w:t>
      </w:r>
      <w:r>
        <w:rPr>
          <w:rStyle w:val="VerbatimChar"/>
          <w:b/>
          <w:bCs/>
        </w:rPr>
        <w:t xml:space="preserve">Investigate</w:t>
      </w:r>
      <w:r>
        <w:rPr>
          <w:b/>
          <w:bCs/>
        </w:rPr>
        <w:t xml:space="preserve"> </w:t>
      </w:r>
      <w:r>
        <w:rPr>
          <w:b/>
          <w:bCs/>
        </w:rPr>
        <w:t xml:space="preserve">are findings.</w:t>
      </w:r>
      <w:r>
        <w:t xml:space="preserve"> </w:t>
      </w:r>
      <w:r>
        <w:rPr>
          <w:rStyle w:val="VerbatimChar"/>
        </w:rPr>
        <w:t xml:space="preserve">Skipped</w:t>
      </w:r>
      <w:r>
        <w:t xml:space="preserve"> </w:t>
      </w:r>
      <w:r>
        <w:t xml:space="preserve">(not applicable /</w:t>
      </w:r>
      <w:r>
        <w:t xml:space="preserve"> </w:t>
      </w:r>
      <w:r>
        <w:t xml:space="preserve">unlicensed) and</w:t>
      </w:r>
      <w:r>
        <w:t xml:space="preserve"> </w:t>
      </w:r>
      <w:r>
        <w:rPr>
          <w:rStyle w:val="VerbatimChar"/>
        </w:rPr>
        <w:t xml:space="preserve">Planned</w:t>
      </w:r>
      <w:r>
        <w:t xml:space="preserve"> </w:t>
      </w:r>
      <w:r>
        <w:t xml:space="preserve">(a check Microsoft has not implemented yet) are shown</w:t>
      </w:r>
      <w:r>
        <w:t xml:space="preserve"> </w:t>
      </w:r>
      <w:r>
        <w:t xml:space="preserve">but are</w:t>
      </w:r>
      <w:r>
        <w:t xml:space="preserve"> </w:t>
      </w:r>
      <w:r>
        <w:rPr>
          <w:b/>
          <w:bCs/>
        </w:rPr>
        <w:t xml:space="preserve">not</w:t>
      </w:r>
      <w:r>
        <w:t xml:space="preserve"> </w:t>
      </w:r>
      <w:r>
        <w:t xml:space="preserve">gaps — don’t chase them.</w:t>
      </w:r>
    </w:p>
    <w:p>
      <w:pPr>
        <w:pStyle w:val="Compact"/>
        <w:numPr>
          <w:ilvl w:val="0"/>
          <w:numId w:val="1329"/>
        </w:numPr>
      </w:pPr>
      <w:r>
        <w:rPr>
          <w:b/>
          <w:bCs/>
        </w:rPr>
        <w:t xml:space="preserve">Severity (0–100)</w:t>
      </w:r>
      <w:r>
        <w:t xml:space="preserve"> </w:t>
      </w:r>
      <w:r>
        <w:t xml:space="preserve">= risk × status weighting.</w:t>
      </w:r>
      <w:r>
        <w:t xml:space="preserve"> </w:t>
      </w:r>
      <w:r>
        <w:rPr>
          <w:b/>
          <w:bCs/>
        </w:rPr>
        <w:t xml:space="preserve">Priority</w:t>
      </w:r>
      <w:r>
        <w:t xml:space="preserve"> </w:t>
      </w:r>
      <w:r>
        <w:t xml:space="preserve">= severity ÷</w:t>
      </w:r>
      <w:r>
        <w:t xml:space="preserve"> </w:t>
      </w:r>
      <w:r>
        <w:t xml:space="preserve">effort, so a high-severity, low-effort check (a</w:t>
      </w:r>
      <w:r>
        <w:t xml:space="preserve"> </w:t>
      </w:r>
      <w:r>
        <w:rPr>
          <w:i/>
          <w:iCs/>
        </w:rPr>
        <w:t xml:space="preserve">quick win</w:t>
      </w:r>
      <w:r>
        <w:t xml:space="preserve">) outranks a</w:t>
      </w:r>
      <w:r>
        <w:t xml:space="preserve"> </w:t>
      </w:r>
      <w:r>
        <w:t xml:space="preserve">high-severity, high-effort one. Buckets:</w:t>
      </w:r>
      <w:r>
        <w:t xml:space="preserve"> </w:t>
      </w:r>
      <w:r>
        <w:rPr>
          <w:b/>
          <w:bCs/>
        </w:rPr>
        <w:t xml:space="preserve">P1 ≥ 50, P2 ≥ 30, P3 ≥ 15, P4 &gt; 0</w:t>
      </w:r>
      <w:r>
        <w:t xml:space="preserve">.</w:t>
      </w:r>
    </w:p>
    <w:p>
      <w:pPr>
        <w:pStyle w:val="Compact"/>
        <w:numPr>
          <w:ilvl w:val="0"/>
          <w:numId w:val="1329"/>
        </w:numPr>
      </w:pPr>
      <w:r>
        <w:t xml:space="preserve">The</w:t>
      </w:r>
      <w:r>
        <w:t xml:space="preserve"> </w:t>
      </w:r>
      <w:r>
        <w:rPr>
          <w:b/>
          <w:bCs/>
        </w:rPr>
        <w:t xml:space="preserve">Findings</w:t>
      </w:r>
      <w:r>
        <w:t xml:space="preserve"> </w:t>
      </w:r>
      <w:r>
        <w:t xml:space="preserve">sheet is your worklist — sorted P1 first, severity color-scaled.</w:t>
      </w:r>
    </w:p>
    <w:p>
      <w:pPr>
        <w:pStyle w:val="Compact"/>
        <w:numPr>
          <w:ilvl w:val="0"/>
          <w:numId w:val="1329"/>
        </w:numPr>
      </w:pPr>
      <w:r>
        <w:t xml:space="preserve">The</w:t>
      </w:r>
      <w:r>
        <w:t xml:space="preserve"> </w:t>
      </w:r>
      <w:r>
        <w:rPr>
          <w:b/>
          <w:bCs/>
        </w:rPr>
        <w:t xml:space="preserve">remediation quadrant</w:t>
      </w:r>
      <w:r>
        <w:t xml:space="preserve"> </w:t>
      </w:r>
      <w:r>
        <w:t xml:space="preserve">chart splits findings into quick-wins (top-left)</w:t>
      </w:r>
      <w:r>
        <w:t xml:space="preserve"> </w:t>
      </w:r>
      <w:r>
        <w:t xml:space="preserve">vs major projects (top-right).</w:t>
      </w:r>
    </w:p>
    <w:bookmarkEnd w:id="677"/>
    <w:bookmarkStart w:id="678" w:name="verify-boundary-scope-before-acting"/>
    <w:p>
      <w:pPr>
        <w:pStyle w:val="Heading2"/>
      </w:pPr>
      <w:r>
        <w:t xml:space="preserve">Verify boundary scope before acting</w:t>
      </w:r>
    </w:p>
    <w:p>
      <w:pPr>
        <w:pStyle w:val="FirstParagraph"/>
      </w:pPr>
      <w:r>
        <w:t xml:space="preserve">Many checks require premium / P2-class SKUs (flagged in the</w:t>
      </w:r>
      <w:r>
        <w:t xml:space="preserve"> </w:t>
      </w:r>
      <w:r>
        <w:rPr>
          <w:b/>
          <w:bCs/>
        </w:rPr>
        <w:t xml:space="preserve">ApplicabilityNote</w:t>
      </w:r>
      <w:r>
        <w:t xml:space="preserve"> </w:t>
      </w:r>
      <w:r>
        <w:t xml:space="preserve">column). In a GCC / FedRAMP Moderate tenant some of those capabilities may not be</w:t>
      </w:r>
      <w:r>
        <w:t xml:space="preserve"> </w:t>
      </w:r>
      <w:r>
        <w:t xml:space="preserve">available or authorized — so a</w:t>
      </w:r>
      <w:r>
        <w:t xml:space="preserve"> </w:t>
      </w:r>
      <w:r>
        <w:t xml:space="preserve">“skipped”</w:t>
      </w:r>
      <w:r>
        <w:t xml:space="preserve"> </w:t>
      </w:r>
      <w:r>
        <w:t xml:space="preserve">or</w:t>
      </w:r>
      <w:r>
        <w:t xml:space="preserve"> </w:t>
      </w:r>
      <w:r>
        <w:t xml:space="preserve">“failed”</w:t>
      </w:r>
      <w:r>
        <w:t xml:space="preserve"> </w:t>
      </w:r>
      <w:r>
        <w:t xml:space="preserve">premium check may not be a</w:t>
      </w:r>
      <w:r>
        <w:t xml:space="preserve"> </w:t>
      </w:r>
      <w:r>
        <w:t xml:space="preserve">real gap. Confirm the SKU applies in your boundary before scoring it as one.</w:t>
      </w:r>
    </w:p>
    <w:p>
      <w:pPr>
        <w:pStyle w:val="BodyText"/>
      </w:pPr>
      <w:r>
        <w:t xml:space="preserve">The same caution applies when carrying results into a</w:t>
      </w:r>
      <w:r>
        <w:t xml:space="preserve"> </w:t>
      </w:r>
      <w:r>
        <w:rPr>
          <w:b/>
          <w:bCs/>
        </w:rPr>
        <w:t xml:space="preserve">FedRAMP 20x</w:t>
      </w:r>
      <w:r>
        <w:t xml:space="preserve"> </w:t>
      </w:r>
      <w:r>
        <w:t xml:space="preserve">package.</w:t>
      </w:r>
      <w:r>
        <w:t xml:space="preserve"> </w:t>
      </w:r>
      <w:r>
        <w:t xml:space="preserve">A skipped check is not evidence that a CR26 indicator fails; it is the absence</w:t>
      </w:r>
      <w:r>
        <w:t xml:space="preserve"> </w:t>
      </w:r>
      <w:r>
        <w:t xml:space="preserve">of evidence, which is a different claim and belongs in the package as such.</w:t>
      </w:r>
      <w:r>
        <w:t xml:space="preserve"> </w:t>
      </w:r>
      <w:r>
        <w:t xml:space="preserve">Scoring an unavailable capability as a failed indicator overstates the gap;</w:t>
      </w:r>
      <w:r>
        <w:t xml:space="preserve"> </w:t>
      </w:r>
      <w:r>
        <w:t xml:space="preserve">scoring it as a pass overstates the posture.</w:t>
      </w:r>
    </w:p>
    <w:bookmarkEnd w:id="678"/>
    <w:bookmarkStart w:id="679" w:name="power-bi-quickstart"/>
    <w:p>
      <w:pPr>
        <w:pStyle w:val="Heading2"/>
      </w:pPr>
      <w:r>
        <w:t xml:space="preserve">Power BI quickstart</w:t>
      </w:r>
    </w:p>
    <w:p>
      <w:pPr>
        <w:pStyle w:val="Compact"/>
        <w:numPr>
          <w:ilvl w:val="0"/>
          <w:numId w:val="1330"/>
        </w:numPr>
      </w:pPr>
      <w:r>
        <w:t xml:space="preserve">Power BI Desktop →</w:t>
      </w:r>
      <w:r>
        <w:t xml:space="preserve"> </w:t>
      </w:r>
      <w:r>
        <w:rPr>
          <w:b/>
          <w:bCs/>
        </w:rPr>
        <w:t xml:space="preserve">Get Data → Text/CSV</w:t>
      </w:r>
      <w:r>
        <w:t xml:space="preserve"> </w:t>
      </w:r>
      <w:r>
        <w:t xml:space="preserve">→ select</w:t>
      </w:r>
      <w:r>
        <w:t xml:space="preserve"> </w:t>
      </w:r>
      <w:r>
        <w:rPr>
          <w:rStyle w:val="VerbatimChar"/>
        </w:rPr>
        <w:t xml:space="preserve">…-powerbi.csv</w:t>
      </w:r>
      <w:r>
        <w:t xml:space="preserve">.</w:t>
      </w:r>
    </w:p>
    <w:p>
      <w:pPr>
        <w:pStyle w:val="Compact"/>
        <w:numPr>
          <w:ilvl w:val="0"/>
          <w:numId w:val="1330"/>
        </w:numPr>
      </w:pPr>
      <w:r>
        <w:t xml:space="preserve">It’s already tidy (one row per check). Build visuals directly — e.g. a matrix</w:t>
      </w:r>
      <w:r>
        <w:t xml:space="preserve"> </w:t>
      </w:r>
      <w:r>
        <w:t xml:space="preserve">of</w:t>
      </w:r>
      <w:r>
        <w:t xml:space="preserve"> </w:t>
      </w:r>
      <w:r>
        <w:rPr>
          <w:rStyle w:val="VerbatimChar"/>
        </w:rPr>
        <w:t xml:space="preserve">Pillar</w:t>
      </w:r>
      <w:r>
        <w:t xml:space="preserve"> </w:t>
      </w:r>
      <w:r>
        <w:t xml:space="preserve">×</w:t>
      </w:r>
      <w:r>
        <w:t xml:space="preserve"> </w:t>
      </w:r>
      <w:r>
        <w:rPr>
          <w:rStyle w:val="VerbatimChar"/>
        </w:rPr>
        <w:t xml:space="preserve">Status</w:t>
      </w:r>
      <w:r>
        <w:t xml:space="preserve">, a bar of</w:t>
      </w:r>
      <w:r>
        <w:t xml:space="preserve"> </w:t>
      </w:r>
      <w:r>
        <w:rPr>
          <w:rStyle w:val="VerbatimChar"/>
        </w:rPr>
        <w:t xml:space="preserve">PriorityBucket</w:t>
      </w:r>
      <w:r>
        <w:t xml:space="preserve">, or a card for count of</w:t>
      </w:r>
      <w:r>
        <w:t xml:space="preserve"> </w:t>
      </w:r>
      <w:r>
        <w:rPr>
          <w:rStyle w:val="VerbatimChar"/>
        </w:rPr>
        <w:t xml:space="preserve">IsFinding = yes</w:t>
      </w:r>
      <w:r>
        <w:t xml:space="preserve">.</w:t>
      </w:r>
    </w:p>
    <w:p>
      <w:pPr>
        <w:pStyle w:val="Compact"/>
        <w:numPr>
          <w:ilvl w:val="0"/>
          <w:numId w:val="1330"/>
        </w:numPr>
      </w:pPr>
      <w:r>
        <w:t xml:space="preserve">Useful measures: count of findings (</w:t>
      </w:r>
      <w:r>
        <w:rPr>
          <w:rStyle w:val="VerbatimChar"/>
        </w:rPr>
        <w:t xml:space="preserve">IsFinding = "yes"</w:t>
      </w:r>
      <w:r>
        <w:t xml:space="preserve">), average</w:t>
      </w:r>
      <w:r>
        <w:t xml:space="preserve"> </w:t>
      </w:r>
      <w:r>
        <w:rPr>
          <w:rStyle w:val="VerbatimChar"/>
        </w:rPr>
        <w:t xml:space="preserve">SeverityScore</w:t>
      </w:r>
      <w:r>
        <w:t xml:space="preserve"> </w:t>
      </w:r>
      <w:r>
        <w:t xml:space="preserve">by</w:t>
      </w:r>
      <w:r>
        <w:t xml:space="preserve"> </w:t>
      </w:r>
      <w:r>
        <w:rPr>
          <w:rStyle w:val="VerbatimChar"/>
        </w:rPr>
        <w:t xml:space="preserve">Pillar</w:t>
      </w:r>
      <w:r>
        <w:t xml:space="preserve">, P1 count by</w:t>
      </w:r>
      <w:r>
        <w:t xml:space="preserve"> </w:t>
      </w:r>
      <w:r>
        <w:rPr>
          <w:rStyle w:val="VerbatimChar"/>
        </w:rPr>
        <w:t xml:space="preserve">Pillar</w:t>
      </w:r>
      <w:r>
        <w:t xml:space="preserve">.</w:t>
      </w:r>
    </w:p>
    <w:bookmarkEnd w:id="679"/>
    <w:bookmarkStart w:id="680" w:name="troubleshooting"/>
    <w:p>
      <w:pPr>
        <w:pStyle w:val="Heading2"/>
      </w:pPr>
      <w:r>
        <w:t xml:space="preserve">Troubleshooting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Symptom</w:t>
            </w:r>
          </w:p>
        </w:tc>
        <w:tc>
          <w:tcPr/>
          <w:p>
            <w:pPr>
              <w:pStyle w:val="Compact"/>
            </w:pPr>
            <w:r>
              <w:t xml:space="preserve">Fix</w:t>
            </w:r>
          </w:p>
        </w:tc>
      </w:tr>
      <w:tr>
        <w:tc>
          <w:tcPr/>
          <w:p>
            <w:pPr>
              <w:pStyle w:val="Compact"/>
            </w:pPr>
            <w:r>
              <w:rPr>
                <w:rStyle w:val="VerbatimChar"/>
              </w:rPr>
              <w:t xml:space="preserve">fmp: command not found</w:t>
            </w:r>
          </w:p>
        </w:tc>
        <w:tc>
          <w:tcPr/>
          <w:p>
            <w:pPr>
              <w:pStyle w:val="Compact"/>
            </w:pPr>
            <w:r>
              <w:t xml:space="preserve">The toolkit isn’t installed/active.</w:t>
            </w:r>
            <w:r>
              <w:t xml:space="preserve"> </w:t>
            </w:r>
            <w:r>
              <w:rPr>
                <w:rStyle w:val="VerbatimChar"/>
              </w:rPr>
              <w:t xml:space="preserve">pip install fmp</w:t>
            </w:r>
            <w:r>
              <w:t xml:space="preserve">, or the wrapper will fall back to</w:t>
            </w:r>
            <w:r>
              <w:t xml:space="preserve"> </w:t>
            </w:r>
            <w:r>
              <w:rPr>
                <w:rStyle w:val="VerbatimChar"/>
              </w:rPr>
              <w:t xml:space="preserve">python -m fmp.cli.app</w:t>
            </w:r>
            <w:r>
              <w:t xml:space="preserve"> </w:t>
            </w:r>
            <w:r>
              <w:t xml:space="preserve">if Python is on</w:t>
            </w:r>
            <w:r>
              <w:t xml:space="preserve"> </w:t>
            </w:r>
            <w:r>
              <w:rPr>
                <w:rStyle w:val="VerbatimChar"/>
              </w:rPr>
              <w:t xml:space="preserve">PATH</w:t>
            </w:r>
            <w:r>
              <w:t xml:space="preserve">.</w:t>
            </w:r>
          </w:p>
        </w:tc>
      </w:tr>
      <w:tr>
        <w:tc>
          <w:tcPr/>
          <w:p>
            <w:pPr>
              <w:pStyle w:val="Compact"/>
            </w:pPr>
            <w:r>
              <w:t xml:space="preserve">Unicode /</w:t>
            </w:r>
            <w:r>
              <w:t xml:space="preserve"> </w:t>
            </w:r>
            <w:r>
              <w:rPr>
                <w:rStyle w:val="VerbatimChar"/>
              </w:rPr>
              <w:t xml:space="preserve">cp1252</w:t>
            </w:r>
            <w:r>
              <w:t xml:space="preserve"> </w:t>
            </w:r>
            <w:r>
              <w:t xml:space="preserve">errors in the console</w:t>
            </w:r>
          </w:p>
        </w:tc>
        <w:tc>
          <w:tcPr/>
          <w:p>
            <w:pPr>
              <w:pStyle w:val="Compact"/>
            </w:pPr>
            <w:r>
              <w:t xml:space="preserve">Run</w:t>
            </w:r>
            <w:r>
              <w:t xml:space="preserve"> </w:t>
            </w:r>
            <w:r>
              <w:rPr>
                <w:rStyle w:val="VerbatimChar"/>
              </w:rPr>
              <w:t xml:space="preserve">"$env:PYTHONUTF8 = 1"</w:t>
            </w:r>
            <w:r>
              <w:t xml:space="preserve"> </w:t>
            </w:r>
            <w:r>
              <w:t xml:space="preserve">before invoking, or use PowerShell 7.</w:t>
            </w:r>
          </w:p>
        </w:tc>
      </w:tr>
      <w:tr>
        <w:tc>
          <w:tcPr/>
          <w:p>
            <w:pPr>
              <w:pStyle w:val="Compact"/>
            </w:pPr>
            <w:r>
              <w:rPr>
                <w:rStyle w:val="VerbatimChar"/>
              </w:rPr>
              <w:t xml:space="preserve">could not locate an embedded reportData object</w:t>
            </w:r>
          </w:p>
        </w:tc>
        <w:tc>
          <w:tcPr/>
          <w:p>
            <w:pPr>
              <w:pStyle w:val="Compact"/>
            </w:pPr>
            <w:r>
              <w:t xml:space="preserve">The input isn’t a Zero Trust Assessment report — point</w:t>
            </w:r>
            <w:r>
              <w:t xml:space="preserve"> </w:t>
            </w:r>
            <w:r>
              <w:rPr>
                <w:rStyle w:val="VerbatimChar"/>
              </w:rPr>
              <w:t xml:space="preserve">-ReportPath</w:t>
            </w:r>
            <w:r>
              <w:t xml:space="preserve"> </w:t>
            </w:r>
            <w:r>
              <w:t xml:space="preserve">at the real</w:t>
            </w:r>
            <w:r>
              <w:t xml:space="preserve"> </w:t>
            </w:r>
            <w:r>
              <w:rPr>
                <w:rStyle w:val="VerbatimChar"/>
              </w:rPr>
              <w:t xml:space="preserve">…Report.html</w:t>
            </w:r>
            <w:r>
              <w:t xml:space="preserve"> </w:t>
            </w:r>
            <w:r>
              <w:t xml:space="preserve">or a</w:t>
            </w:r>
            <w:r>
              <w:t xml:space="preserve"> </w:t>
            </w:r>
            <w:r>
              <w:rPr>
                <w:rStyle w:val="VerbatimChar"/>
              </w:rPr>
              <w:t xml:space="preserve">.json</w:t>
            </w:r>
            <w:r>
              <w:t xml:space="preserve"> </w:t>
            </w:r>
            <w:r>
              <w:t xml:space="preserve">export.</w:t>
            </w:r>
          </w:p>
        </w:tc>
      </w:tr>
    </w:tbl>
    <w:bookmarkEnd w:id="680"/>
    <w:bookmarkStart w:id="683" w:name="script-parameters"/>
    <w:p>
      <w:pPr>
        <w:pStyle w:val="Heading2"/>
      </w:pPr>
      <w:r>
        <w:t xml:space="preserve">Script parameters</w:t>
      </w:r>
    </w:p>
    <w:p>
      <w:pPr>
        <w:pStyle w:val="FirstParagraph"/>
      </w:pPr>
      <w:r>
        <w:rPr>
          <w:rStyle w:val="VerbatimChar"/>
        </w:rPr>
        <w:t xml:space="preserve">Invoke-ZtDashboard.ps1</w:t>
      </w:r>
      <w:r>
        <w:t xml:space="preserve"> </w:t>
      </w:r>
      <w:r>
        <w:t xml:space="preserve">accepts these parameters: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-ReportPath</w:t>
            </w:r>
          </w:p>
        </w:tc>
        <w:tc>
          <w:tcPr/>
          <w:p>
            <w:pPr>
              <w:pStyle w:val="Compact"/>
            </w:pPr>
            <w:r>
              <w:rPr>
                <w:rStyle w:val="VerbatimChar"/>
              </w:rPr>
              <w:t xml:space="preserve">string</w:t>
            </w:r>
          </w:p>
        </w:tc>
        <w:tc>
          <w:tcPr/>
          <w:p>
            <w:pPr>
              <w:pStyle w:val="Compact"/>
            </w:pPr>
            <w:r>
              <w:rPr>
                <w:i/>
                <w:iCs/>
              </w:rPr>
              <w:t xml:space="preserve">(required)</w:t>
            </w:r>
          </w:p>
        </w:tc>
        <w:tc>
          <w:tcPr/>
          <w:p>
            <w:pPr>
              <w:pStyle w:val="Compact"/>
            </w:pPr>
            <w:r>
              <w:t xml:space="preserve">Path to the</w:t>
            </w:r>
            <w:r>
              <w:t xml:space="preserve"> </w:t>
            </w:r>
            <w:r>
              <w:rPr>
                <w:rStyle w:val="VerbatimChar"/>
              </w:rPr>
              <w:t xml:space="preserve">ZeroTrustAssessmentReport.html</w:t>
            </w:r>
            <w:r>
              <w:t xml:space="preserve"> </w:t>
            </w:r>
            <w:r>
              <w:t xml:space="preserve">or</w:t>
            </w:r>
            <w:r>
              <w:t xml:space="preserve"> </w:t>
            </w:r>
            <w:r>
              <w:rPr>
                <w:rStyle w:val="VerbatimChar"/>
              </w:rPr>
              <w:t xml:space="preserve">.json</w:t>
            </w:r>
            <w:r>
              <w:t xml:space="preserve"> </w:t>
            </w:r>
            <w:r>
              <w:t xml:space="preserve">export. Falls back to the</w:t>
            </w:r>
            <w:r>
              <w:t xml:space="preserve"> </w:t>
            </w:r>
            <w:r>
              <w:rPr>
                <w:rStyle w:val="VerbatimChar"/>
              </w:rPr>
              <w:t xml:space="preserve">FMP_REPORTPATH</w:t>
            </w:r>
            <w:r>
              <w:t xml:space="preserve"> </w:t>
            </w:r>
            <w:r>
              <w:t xml:space="preserve">environment variable when the parameter is omitted.</w:t>
            </w:r>
          </w:p>
        </w:tc>
      </w:tr>
      <w:tr>
        <w:tc>
          <w:tcPr/>
          <w:p>
            <w:pPr>
              <w:pStyle w:val="Compact"/>
            </w:pPr>
            <w:r>
              <w:rPr>
                <w:rStyle w:val="VerbatimChar"/>
              </w:rPr>
              <w:t xml:space="preserve">-OutputDirectory</w:t>
            </w:r>
          </w:p>
        </w:tc>
        <w:tc>
          <w:tcPr/>
          <w:p>
            <w:pPr>
              <w:pStyle w:val="Compact"/>
            </w:pPr>
            <w:r>
              <w:rPr>
                <w:rStyle w:val="VerbatimChar"/>
              </w:rPr>
              <w:t xml:space="preserve">string</w:t>
            </w:r>
          </w:p>
        </w:tc>
        <w:tc>
          <w:tcPr/>
          <w:p>
            <w:pPr>
              <w:pStyle w:val="Compact"/>
            </w:pPr>
            <w:r>
              <w:rPr>
                <w:rStyle w:val="VerbatimChar"/>
              </w:rPr>
              <w:t xml:space="preserve">./zt-dashboard</w:t>
            </w:r>
          </w:p>
        </w:tc>
        <w:tc>
          <w:tcPr/>
          <w:p>
            <w:pPr>
              <w:pStyle w:val="Compact"/>
            </w:pPr>
            <w:r>
              <w:t xml:space="preserve">Where to write the dashboard, charts, and Power BI CSV. Falls back to the</w:t>
            </w:r>
            <w:r>
              <w:t xml:space="preserve"> </w:t>
            </w:r>
            <w:r>
              <w:rPr>
                <w:rStyle w:val="VerbatimChar"/>
              </w:rPr>
              <w:t xml:space="preserve">FMP_OUTPUT</w:t>
            </w:r>
            <w:r>
              <w:t xml:space="preserve"> </w:t>
            </w:r>
            <w:r>
              <w:t xml:space="preserve">environment variable when omitted.</w:t>
            </w:r>
          </w:p>
        </w:tc>
      </w:tr>
      <w:tr>
        <w:tc>
          <w:tcPr/>
          <w:p>
            <w:pPr>
              <w:pStyle w:val="Compact"/>
            </w:pPr>
            <w:r>
              <w:rPr>
                <w:rStyle w:val="VerbatimChar"/>
              </w:rPr>
              <w:t xml:space="preserve">-CheckPrereqs</w:t>
            </w:r>
          </w:p>
        </w:tc>
        <w:tc>
          <w:tcPr/>
          <w:p>
            <w:pPr>
              <w:pStyle w:val="Compact"/>
            </w:pPr>
            <w:r>
              <w:rPr>
                <w:rStyle w:val="VerbatimChar"/>
              </w:rPr>
              <w:t xml:space="preserve">switch</w:t>
            </w:r>
          </w:p>
        </w:tc>
        <w:tc>
          <w:tcPr/>
          <w:p>
            <w:pPr>
              <w:pStyle w:val="Compact"/>
            </w:pPr>
            <w:r>
              <w:t xml:space="preserve">off</w:t>
            </w:r>
          </w:p>
        </w:tc>
        <w:tc>
          <w:tcPr/>
          <w:p>
            <w:pPr>
              <w:pStyle w:val="Compact"/>
            </w:pPr>
            <w:r>
              <w:t xml:space="preserve">Run</w:t>
            </w:r>
            <w:r>
              <w:t xml:space="preserve"> </w:t>
            </w:r>
            <w:r>
              <w:rPr>
                <w:rStyle w:val="VerbatimChar"/>
              </w:rPr>
              <w:t xml:space="preserve">FMP.ConfigTools</w:t>
            </w:r>
            <w:r>
              <w:t xml:space="preserve"> </w:t>
            </w:r>
            <w:r>
              <w:t xml:space="preserve">prereq validation before executing: checks PowerShell 7+, Python 3.11+, the</w:t>
            </w:r>
            <w:r>
              <w:t xml:space="preserve"> </w:t>
            </w:r>
            <w:r>
              <w:rPr>
                <w:rStyle w:val="VerbatimChar"/>
              </w:rPr>
              <w:t xml:space="preserve">fmp</w:t>
            </w:r>
            <w:r>
              <w:t xml:space="preserve"> </w:t>
            </w:r>
            <w:r>
              <w:t xml:space="preserve">package, and Microsoft Graph context. Silently ignored when</w:t>
            </w:r>
            <w:r>
              <w:t xml:space="preserve"> </w:t>
            </w:r>
            <w:r>
              <w:rPr>
                <w:rStyle w:val="VerbatimChar"/>
              </w:rPr>
              <w:t xml:space="preserve">FMP.ConfigTools</w:t>
            </w:r>
            <w:r>
              <w:t xml:space="preserve"> </w:t>
            </w:r>
            <w:r>
              <w:t xml:space="preserve">is not installed.</w:t>
            </w:r>
          </w:p>
        </w:tc>
      </w:tr>
      <w:tr>
        <w:tc>
          <w:tcPr/>
          <w:p>
            <w:pPr>
              <w:pStyle w:val="Compact"/>
            </w:pPr>
            <w:r>
              <w:rPr>
                <w:rStyle w:val="VerbatimChar"/>
              </w:rPr>
              <w:t xml:space="preserve">-EnableLogging</w:t>
            </w:r>
          </w:p>
        </w:tc>
        <w:tc>
          <w:tcPr/>
          <w:p>
            <w:pPr>
              <w:pStyle w:val="Compact"/>
            </w:pPr>
            <w:r>
              <w:rPr>
                <w:rStyle w:val="VerbatimChar"/>
              </w:rPr>
              <w:t xml:space="preserve">switch</w:t>
            </w:r>
          </w:p>
        </w:tc>
        <w:tc>
          <w:tcPr/>
          <w:p>
            <w:pPr>
              <w:pStyle w:val="Compact"/>
            </w:pPr>
            <w:r>
              <w:t xml:space="preserve">off</w:t>
            </w:r>
          </w:p>
        </w:tc>
        <w:tc>
          <w:tcPr/>
          <w:p>
            <w:pPr>
              <w:pStyle w:val="Compact"/>
            </w:pPr>
            <w:r>
              <w:t xml:space="preserve">Start a timestamped transcript under</w:t>
            </w:r>
            <w:r>
              <w:t xml:space="preserve"> </w:t>
            </w:r>
            <w:r>
              <w:rPr>
                <w:rStyle w:val="VerbatimChar"/>
              </w:rPr>
              <w:t xml:space="preserve">&lt;OutputDirectory&gt;\logs\</w:t>
            </w:r>
            <w:r>
              <w:t xml:space="preserve">. Requires</w:t>
            </w:r>
            <w:r>
              <w:t xml:space="preserve"> </w:t>
            </w:r>
            <w:r>
              <w:rPr>
                <w:rStyle w:val="VerbatimChar"/>
              </w:rPr>
              <w:t xml:space="preserve">FMP.ConfigTools</w:t>
            </w:r>
            <w:r>
              <w:t xml:space="preserve">; silently ignored when the module is absent.</w:t>
            </w:r>
          </w:p>
        </w:tc>
      </w:tr>
    </w:tbl>
    <w:bookmarkStart w:id="681" w:name="environment-variables"/>
    <w:p>
      <w:pPr>
        <w:pStyle w:val="Heading3"/>
      </w:pPr>
      <w:r>
        <w:t xml:space="preserve">Environment variables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Overrides</w:t>
            </w:r>
          </w:p>
        </w:tc>
      </w:tr>
      <w:tr>
        <w:tc>
          <w:tcPr/>
          <w:p>
            <w:pPr>
              <w:pStyle w:val="Compact"/>
            </w:pPr>
            <w:r>
              <w:rPr>
                <w:rStyle w:val="VerbatimChar"/>
              </w:rPr>
              <w:t xml:space="preserve">FMP_REPORTPATH</w:t>
            </w:r>
          </w:p>
        </w:tc>
        <w:tc>
          <w:tcPr/>
          <w:p>
            <w:pPr>
              <w:pStyle w:val="Compact"/>
            </w:pPr>
            <w:r>
              <w:t xml:space="preserve">Default value of</w:t>
            </w:r>
            <w:r>
              <w:t xml:space="preserve"> </w:t>
            </w:r>
            <w:r>
              <w:rPr>
                <w:rStyle w:val="VerbatimChar"/>
              </w:rPr>
              <w:t xml:space="preserve">-ReportPath</w:t>
            </w:r>
          </w:p>
        </w:tc>
      </w:tr>
      <w:tr>
        <w:tc>
          <w:tcPr/>
          <w:p>
            <w:pPr>
              <w:pStyle w:val="Compact"/>
            </w:pPr>
            <w:r>
              <w:rPr>
                <w:rStyle w:val="VerbatimChar"/>
              </w:rPr>
              <w:t xml:space="preserve">FMP_OUTPUT</w:t>
            </w:r>
          </w:p>
        </w:tc>
        <w:tc>
          <w:tcPr/>
          <w:p>
            <w:pPr>
              <w:pStyle w:val="Compact"/>
            </w:pPr>
            <w:r>
              <w:t xml:space="preserve">Default value of</w:t>
            </w:r>
            <w:r>
              <w:t xml:space="preserve"> </w:t>
            </w:r>
            <w:r>
              <w:rPr>
                <w:rStyle w:val="VerbatimChar"/>
              </w:rPr>
              <w:t xml:space="preserve">-OutputDirectory</w:t>
            </w:r>
          </w:p>
        </w:tc>
      </w:tr>
    </w:tbl>
    <w:bookmarkEnd w:id="681"/>
    <w:bookmarkStart w:id="682" w:name="fmp.configtools-integration"/>
    <w:p>
      <w:pPr>
        <w:pStyle w:val="Heading3"/>
      </w:pPr>
      <w:r>
        <w:t xml:space="preserve">FMP.ConfigTools integration</w:t>
      </w:r>
    </w:p>
    <w:p>
      <w:pPr>
        <w:pStyle w:val="FirstParagraph"/>
      </w:pPr>
      <w:r>
        <w:t xml:space="preserve">When the</w:t>
      </w:r>
      <w:r>
        <w:t xml:space="preserve"> </w:t>
      </w:r>
      <w:r>
        <w:rPr>
          <w:rStyle w:val="VerbatimChar"/>
        </w:rPr>
        <w:t xml:space="preserve">FMP.ConfigTools</w:t>
      </w:r>
      <w:r>
        <w:t xml:space="preserve"> </w:t>
      </w:r>
      <w:r>
        <w:t xml:space="preserve">shared module (included in</w:t>
      </w:r>
      <w:r>
        <w:t xml:space="preserve"> </w:t>
      </w:r>
      <w:r>
        <w:rPr>
          <w:rStyle w:val="VerbatimChar"/>
        </w:rPr>
        <w:t xml:space="preserve">fmp-cli.zip</w:t>
      </w:r>
      <w:r>
        <w:t xml:space="preserve"> </w:t>
      </w:r>
      <w:r>
        <w:t xml:space="preserve">under</w:t>
      </w:r>
      <w:r>
        <w:t xml:space="preserve"> </w:t>
      </w:r>
      <w:r>
        <w:rPr>
          <w:rStyle w:val="VerbatimChar"/>
        </w:rPr>
        <w:t xml:space="preserve">scripts\FMP.ConfigTools\</w:t>
      </w:r>
      <w:r>
        <w:t xml:space="preserve">) is installed, the script uses it for structured</w:t>
      </w:r>
      <w:r>
        <w:t xml:space="preserve"> </w:t>
      </w:r>
      <w:r>
        <w:t xml:space="preserve">coloured output and optional transcript logging. Absent the module, it falls</w:t>
      </w:r>
      <w:r>
        <w:t xml:space="preserve"> </w:t>
      </w:r>
      <w:r>
        <w:t xml:space="preserve">back to plain</w:t>
      </w:r>
      <w:r>
        <w:t xml:space="preserve"> </w:t>
      </w:r>
      <w:r>
        <w:rPr>
          <w:rStyle w:val="VerbatimChar"/>
        </w:rPr>
        <w:t xml:space="preserve">Write-Host</w:t>
      </w:r>
      <w:r>
        <w:t xml:space="preserve">.</w:t>
      </w:r>
    </w:p>
    <w:p>
      <w:pPr>
        <w:pStyle w:val="SourceCode"/>
      </w:pPr>
      <w:r>
        <w:rPr>
          <w:rStyle w:val="CommentTok"/>
        </w:rPr>
        <w:t xml:space="preserve"># Install the module from the kit</w:t>
      </w:r>
      <w:r>
        <w:br/>
      </w:r>
      <w:r>
        <w:rPr>
          <w:rStyle w:val="VariableTok"/>
        </w:rPr>
        <w:t xml:space="preserve">$dest</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$env</w:t>
      </w:r>
      <w:r>
        <w:rPr>
          <w:rStyle w:val="OperatorTok"/>
        </w:rPr>
        <w:t xml:space="preserve">:</w:t>
      </w:r>
      <w:r>
        <w:rPr>
          <w:rStyle w:val="VariableTok"/>
        </w:rPr>
        <w:t xml:space="preserve">USERPROFILE</w:t>
      </w:r>
      <w:r>
        <w:rPr>
          <w:rStyle w:val="StringTok"/>
        </w:rPr>
        <w:t xml:space="preserve">\Documents\PowerShell\Modules\FMP.ConfigTools"</w:t>
      </w:r>
      <w:r>
        <w:br/>
      </w:r>
      <w:r>
        <w:rPr>
          <w:rStyle w:val="FunctionTok"/>
        </w:rPr>
        <w:t xml:space="preserve">Copy-Item</w:t>
      </w:r>
      <w:r>
        <w:rPr>
          <w:rStyle w:val="NormalTok"/>
        </w:rPr>
        <w:t xml:space="preserve"> </w:t>
      </w:r>
      <w:r>
        <w:rPr>
          <w:rStyle w:val="OperatorTok"/>
        </w:rPr>
        <w:t xml:space="preserve">.</w:t>
      </w:r>
      <w:r>
        <w:rPr>
          <w:rStyle w:val="NormalTok"/>
        </w:rPr>
        <w:t xml:space="preserve">\fmp-cli\scripts\FMP</w:t>
      </w:r>
      <w:r>
        <w:rPr>
          <w:rStyle w:val="OperatorTok"/>
        </w:rPr>
        <w:t xml:space="preserve">.</w:t>
      </w:r>
      <w:r>
        <w:rPr>
          <w:rStyle w:val="FunctionTok"/>
        </w:rPr>
        <w:t xml:space="preserve">ConfigTools</w:t>
      </w:r>
      <w:r>
        <w:rPr>
          <w:rStyle w:val="NormalTok"/>
        </w:rPr>
        <w:t xml:space="preserve"> </w:t>
      </w:r>
      <w:r>
        <w:rPr>
          <w:rStyle w:val="VariableTok"/>
        </w:rPr>
        <w:t xml:space="preserve">$dest</w:t>
      </w:r>
      <w:r>
        <w:rPr>
          <w:rStyle w:val="NormalTok"/>
        </w:rPr>
        <w:t xml:space="preserve"> </w:t>
      </w:r>
      <w:r>
        <w:rPr>
          <w:rStyle w:val="OperatorTok"/>
        </w:rPr>
        <w:t xml:space="preserve">-</w:t>
      </w:r>
      <w:r>
        <w:rPr>
          <w:rStyle w:val="NormalTok"/>
        </w:rPr>
        <w:t xml:space="preserve">Recurse </w:t>
      </w:r>
      <w:r>
        <w:rPr>
          <w:rStyle w:val="OperatorTok"/>
        </w:rPr>
        <w:t xml:space="preserve">-</w:t>
      </w:r>
      <w:r>
        <w:rPr>
          <w:rStyle w:val="NormalTok"/>
        </w:rPr>
        <w:t xml:space="preserve">Force</w:t>
      </w:r>
      <w:r>
        <w:br/>
      </w:r>
      <w:r>
        <w:br/>
      </w:r>
      <w:r>
        <w:rPr>
          <w:rStyle w:val="CommentTok"/>
        </w:rPr>
        <w:t xml:space="preserve"># Run with prereq check and logging</w:t>
      </w:r>
      <w:r>
        <w:br/>
      </w:r>
      <w:r>
        <w:rPr>
          <w:rStyle w:val="OperatorTok"/>
        </w:rPr>
        <w:t xml:space="preserve">.</w:t>
      </w:r>
      <w:r>
        <w:rPr>
          <w:rStyle w:val="NormalTok"/>
        </w:rPr>
        <w:t xml:space="preserve">\Invoke-ZtDashboard</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ReportPath </w:t>
      </w:r>
      <w:r>
        <w:rPr>
          <w:rStyle w:val="OperatorTok"/>
        </w:rPr>
        <w:t xml:space="preserve">.</w:t>
      </w:r>
      <w:r>
        <w:rPr>
          <w:rStyle w:val="NormalTok"/>
        </w:rPr>
        <w:t xml:space="preserve">\ZeroTrustReport\ZeroTrustAssessmentReport</w:t>
      </w:r>
      <w:r>
        <w:rPr>
          <w:rStyle w:val="OperatorTok"/>
        </w:rPr>
        <w:t xml:space="preserve">.</w:t>
      </w:r>
      <w:r>
        <w:rPr>
          <w:rStyle w:val="FunctionTok"/>
        </w:rPr>
        <w:t xml:space="preserve">html</w:t>
      </w:r>
      <w:r>
        <w:rPr>
          <w:rStyle w:val="NormalTok"/>
        </w:rPr>
        <w:t xml:space="preserve"> `</w:t>
      </w:r>
      <w:r>
        <w:br/>
      </w:r>
      <w:r>
        <w:rPr>
          <w:rStyle w:val="NormalTok"/>
        </w:rPr>
        <w:t xml:space="preserve">    </w:t>
      </w:r>
      <w:r>
        <w:rPr>
          <w:rStyle w:val="OperatorTok"/>
        </w:rPr>
        <w:t xml:space="preserve">-</w:t>
      </w:r>
      <w:r>
        <w:rPr>
          <w:rStyle w:val="NormalTok"/>
        </w:rPr>
        <w:t xml:space="preserve">CheckPrereqs </w:t>
      </w:r>
      <w:r>
        <w:rPr>
          <w:rStyle w:val="OperatorTok"/>
        </w:rPr>
        <w:t xml:space="preserve">-</w:t>
      </w:r>
      <w:r>
        <w:rPr>
          <w:rStyle w:val="NormalTok"/>
        </w:rPr>
        <w:t xml:space="preserve">EnableLogging</w:t>
      </w:r>
    </w:p>
    <w:bookmarkEnd w:id="682"/>
    <w:bookmarkEnd w:id="683"/>
    <w:bookmarkStart w:id="684" w:name="downloads"/>
    <w:p>
      <w:pPr>
        <w:pStyle w:val="Heading2"/>
      </w:pPr>
      <w:r>
        <w:t xml:space="preserve">Downloads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Script</w:t>
            </w:r>
          </w:p>
        </w:tc>
        <w:tc>
          <w:tcPr/>
          <w:p>
            <w:pPr>
              <w:pStyle w:val="Compact"/>
            </w:pPr>
            <w:r>
              <w:t xml:space="preserve">Version</w:t>
            </w:r>
          </w:p>
        </w:tc>
        <w:tc>
          <w:tcPr/>
          <w:p>
            <w:pPr>
              <w:pStyle w:val="Compact"/>
            </w:pPr>
            <w:r>
              <w:t xml:space="preserve">SHA-256</w:t>
            </w:r>
          </w:p>
        </w:tc>
      </w:tr>
      <w:tr>
        <w:tc>
          <w:tcPr/>
          <w:p>
            <w:pPr>
              <w:pStyle w:val="Compact"/>
            </w:pPr>
            <w:r>
              <w:rPr>
                <w:rStyle w:val="VerbatimChar"/>
              </w:rPr>
              <w:t xml:space="preserve">Invoke-ZtDashboard.ps1</w:t>
            </w:r>
          </w:p>
        </w:tc>
        <w:tc>
          <w:tcPr/>
          <w:p>
            <w:pPr>
              <w:pStyle w:val="Compact"/>
            </w:pPr>
            <w:r>
              <w:t xml:space="preserve">1.1</w:t>
            </w:r>
          </w:p>
        </w:tc>
        <w:tc>
          <w:tcPr/>
          <w:p>
            <w:pPr>
              <w:pStyle w:val="Compact"/>
            </w:pPr>
            <w:r>
              <w:rPr>
                <w:rStyle w:val="VerbatimChar"/>
              </w:rPr>
              <w:t xml:space="preserve">f30811fd01616e2960e12dd0e870a4d19cd52a7c5c79f0e3bcc592ca5d13d509</w:t>
            </w:r>
            <w:r>
              <w:t xml:space="preserve"> </w:t>
            </w:r>
            <w:r>
              <w:t xml:space="preserve">(v1.0 base)</w:t>
            </w:r>
          </w:p>
        </w:tc>
      </w:tr>
    </w:tbl>
    <w:p>
      <w:pPr>
        <w:pStyle w:val="BodyText"/>
      </w:pPr>
      <w:r>
        <w:t xml:space="preserve">Verify the download before running it:</w:t>
      </w:r>
    </w:p>
    <w:p>
      <w:pPr>
        <w:pStyle w:val="SourceCode"/>
      </w:pPr>
      <w:r>
        <w:rPr>
          <w:rStyle w:val="NormalTok"/>
        </w:rPr>
        <w:t xml:space="preserve">Get-FileHash </w:t>
      </w:r>
      <w:r>
        <w:rPr>
          <w:rStyle w:val="OperatorTok"/>
        </w:rPr>
        <w:t xml:space="preserve">.</w:t>
      </w:r>
      <w:r>
        <w:rPr>
          <w:rStyle w:val="NormalTok"/>
        </w:rPr>
        <w:t xml:space="preserve">\Invoke-ZtDashboard</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Algorithm SHA256</w:t>
      </w:r>
    </w:p>
    <w:bookmarkEnd w:id="684"/>
    <w:bookmarkEnd w:id="6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56">
    <w:p>
      <w:pPr>
        <w:pStyle w:val="FootnoteText"/>
      </w:pPr>
      <w:r>
        <w:rPr>
          <w:rStyle w:val="FootnoteReference"/>
        </w:rPr>
        <w:footnoteRef/>
      </w:r>
      <w:r>
        <w:t xml:space="preserve"> </w:t>
      </w:r>
      <w:r>
        <w:t xml:space="preserve">ServiceNow,</w:t>
      </w:r>
      <w:r>
        <w:t xml:space="preserve"> </w:t>
      </w:r>
      <w:r>
        <w:rPr>
          <w:i/>
          <w:iCs/>
        </w:rPr>
        <w:t xml:space="preserve">Email filters</w:t>
      </w:r>
      <w:r>
        <w:t xml:space="preserve">.</w:t>
      </w:r>
      <w:r>
        <w:t xml:space="preserve"> </w:t>
      </w:r>
      <w:hyperlink r:id="rId457">
        <w:r>
          <w:rPr>
            <w:rStyle w:val="Hyperlink"/>
          </w:rPr>
          <w:t xml:space="preserve">https://www.servicenow.com/docs/r/platform-administration/c_EmailFilters.html</w:t>
        </w:r>
      </w:hyperlink>
    </w:p>
  </w:footnote>
  <w:footnote w:id="458">
    <w:p>
      <w:pPr>
        <w:pStyle w:val="FootnoteText"/>
      </w:pPr>
      <w:r>
        <w:rPr>
          <w:rStyle w:val="FootnoteReference"/>
        </w:rPr>
        <w:footnoteRef/>
      </w:r>
      <w:r>
        <w:t xml:space="preserve"> </w:t>
      </w:r>
      <w:r>
        <w:t xml:space="preserve">ServiceNow,</w:t>
      </w:r>
      <w:r>
        <w:t xml:space="preserve"> </w:t>
      </w:r>
      <w:r>
        <w:rPr>
          <w:i/>
          <w:iCs/>
        </w:rPr>
        <w:t xml:space="preserve">Inbound email actions</w:t>
      </w:r>
      <w:r>
        <w:t xml:space="preserve">.</w:t>
      </w:r>
      <w:r>
        <w:t xml:space="preserve"> </w:t>
      </w:r>
      <w:hyperlink r:id="rId459">
        <w:r>
          <w:rPr>
            <w:rStyle w:val="Hyperlink"/>
          </w:rPr>
          <w:t xml:space="preserve">https://www.servicenow.com/docs/bundle/yokohama-platform-administration/page/administer/notification/concept/c_InboundEmailActions.html</w:t>
        </w:r>
      </w:hyperlink>
    </w:p>
  </w:footnote>
  <w:footnote w:id="460">
    <w:p>
      <w:pPr>
        <w:pStyle w:val="FootnoteText"/>
      </w:pPr>
      <w:r>
        <w:rPr>
          <w:rStyle w:val="FootnoteReference"/>
        </w:rPr>
        <w:footnoteRef/>
      </w:r>
      <w:r>
        <w:t xml:space="preserve"> </w:t>
      </w:r>
      <w:r>
        <w:t xml:space="preserve">ServiceNow,</w:t>
      </w:r>
      <w:r>
        <w:t xml:space="preserve"> </w:t>
      </w:r>
      <w:r>
        <w:rPr>
          <w:i/>
          <w:iCs/>
        </w:rPr>
        <w:t xml:space="preserve">Flow Designer approvals overview</w:t>
      </w:r>
      <w:r>
        <w:t xml:space="preserve">.</w:t>
      </w:r>
      <w:r>
        <w:t xml:space="preserve"> </w:t>
      </w:r>
      <w:hyperlink r:id="rId461">
        <w:r>
          <w:rPr>
            <w:rStyle w:val="Hyperlink"/>
          </w:rPr>
          <w:t xml:space="preserve">https://www.servicenow.com/community/workflow-automation-articles/flow-designer-approvals-overview-workflow-automation-center-of/ta-p/2528202</w:t>
        </w:r>
      </w:hyperlink>
    </w:p>
  </w:footnote>
  <w:footnote w:id="462">
    <w:p>
      <w:pPr>
        <w:pStyle w:val="FootnoteText"/>
      </w:pPr>
      <w:r>
        <w:rPr>
          <w:rStyle w:val="FootnoteReference"/>
        </w:rPr>
        <w:footnoteRef/>
      </w:r>
      <w:r>
        <w:t xml:space="preserve"> </w:t>
      </w:r>
      <w:r>
        <w:t xml:space="preserve">ServiceNow,</w:t>
      </w:r>
      <w:r>
        <w:t xml:space="preserve"> </w:t>
      </w:r>
      <w:r>
        <w:rPr>
          <w:i/>
          <w:iCs/>
        </w:rPr>
        <w:t xml:space="preserve">Microsoft Entra ID Spoke (formerly Microsoft Azure Active Directory spoke), Integration Hub</w:t>
      </w:r>
      <w:r>
        <w:t xml:space="preserve">.</w:t>
      </w:r>
      <w:r>
        <w:t xml:space="preserve"> </w:t>
      </w:r>
      <w:hyperlink r:id="rId385">
        <w:r>
          <w:rPr>
            <w:rStyle w:val="Hyperlink"/>
          </w:rPr>
          <w:t xml:space="preserve">https://www.servicenow.com/docs/bundle/zurich-integrate-applications/page/administer/integrationhub/concept/microsoft-azure-ad-spoke.html</w:t>
        </w:r>
      </w:hyperlink>
    </w:p>
  </w:footnote>
  <w:footnote w:id="463">
    <w:p>
      <w:pPr>
        <w:pStyle w:val="FootnoteText"/>
      </w:pPr>
      <w:r>
        <w:rPr>
          <w:rStyle w:val="FootnoteReference"/>
        </w:rPr>
        <w:footnoteRef/>
      </w:r>
      <w:r>
        <w:t xml:space="preserve"> </w:t>
      </w:r>
      <w:r>
        <w:t xml:space="preserve">ServiceNow,</w:t>
      </w:r>
      <w:r>
        <w:t xml:space="preserve"> </w:t>
      </w:r>
      <w:r>
        <w:rPr>
          <w:i/>
          <w:iCs/>
        </w:rPr>
        <w:t xml:space="preserve">Microsoft Entra ID Spoke (formerly Microsoft Azure Active Directory spoke), Integration Hub</w:t>
      </w:r>
      <w:r>
        <w:t xml:space="preserve">.</w:t>
      </w:r>
      <w:r>
        <w:t xml:space="preserve"> </w:t>
      </w:r>
      <w:hyperlink r:id="rId385">
        <w:r>
          <w:rPr>
            <w:rStyle w:val="Hyperlink"/>
          </w:rPr>
          <w:t xml:space="preserve">https://www.servicenow.com/docs/bundle/zurich-integrate-applications/page/administer/integrationhub/concept/microsoft-azure-ad-spoke.html</w:t>
        </w:r>
      </w:hyperlink>
    </w:p>
  </w:footnote>
  <w:footnote w:id="466">
    <w:p>
      <w:pPr>
        <w:pStyle w:val="FootnoteText"/>
      </w:pPr>
      <w:r>
        <w:rPr>
          <w:rStyle w:val="FootnoteReference"/>
        </w:rPr>
        <w:footnoteRef/>
      </w:r>
      <w:r>
        <w:t xml:space="preserve"> </w:t>
      </w:r>
      <w:r>
        <w:t xml:space="preserve">ServiceNow,</w:t>
      </w:r>
      <w:r>
        <w:t xml:space="preserve"> </w:t>
      </w:r>
      <w:r>
        <w:rPr>
          <w:i/>
          <w:iCs/>
        </w:rPr>
        <w:t xml:space="preserve">Microsoft Entra ID Spoke (formerly Microsoft Azure Active Directory spoke), Integration Hub</w:t>
      </w:r>
      <w:r>
        <w:t xml:space="preserve">.</w:t>
      </w:r>
      <w:r>
        <w:t xml:space="preserve"> </w:t>
      </w:r>
      <w:hyperlink r:id="rId385">
        <w:r>
          <w:rPr>
            <w:rStyle w:val="Hyperlink"/>
          </w:rPr>
          <w:t xml:space="preserve">https://www.servicenow.com/docs/bundle/zurich-integrate-applications/page/administer/integrationhub/concept/microsoft-azure-ad-spoke.html</w:t>
        </w:r>
      </w:hyperlink>
    </w:p>
  </w:footnote>
  <w:footnote w:id="467">
    <w:p>
      <w:pPr>
        <w:pStyle w:val="FootnoteText"/>
      </w:pPr>
      <w:r>
        <w:rPr>
          <w:rStyle w:val="FootnoteReference"/>
        </w:rPr>
        <w:footnoteRef/>
      </w:r>
      <w:r>
        <w:t xml:space="preserve"> </w:t>
      </w:r>
      <w:r>
        <w:t xml:space="preserve">Microsoft,</w:t>
      </w:r>
      <w:r>
        <w:t xml:space="preserve"> </w:t>
      </w:r>
      <w:r>
        <w:rPr>
          <w:i/>
          <w:iCs/>
        </w:rPr>
        <w:t xml:space="preserve">Microsoft Entra built-in roles</w:t>
      </w:r>
      <w:r>
        <w:t xml:space="preserve"> </w:t>
      </w:r>
      <w:r>
        <w:t xml:space="preserve">— the Spoke calls Microsoft Graph and needs the matching role/permission consent.</w:t>
      </w:r>
      <w:r>
        <w:t xml:space="preserve"> </w:t>
      </w:r>
      <w:hyperlink r:id="rId212">
        <w:r>
          <w:rPr>
            <w:rStyle w:val="Hyperlink"/>
          </w:rPr>
          <w:t xml:space="preserve">https://learn.microsoft.com/en-us/entra/identity/role-based-access-control/permissions-reference</w:t>
        </w:r>
      </w:hyperlink>
    </w:p>
  </w:footnote>
  <w:footnote w:id="468">
    <w:p>
      <w:pPr>
        <w:pStyle w:val="FootnoteText"/>
      </w:pPr>
      <w:r>
        <w:rPr>
          <w:rStyle w:val="FootnoteReference"/>
        </w:rPr>
        <w:footnoteRef/>
      </w:r>
      <w:r>
        <w:t xml:space="preserve"> </w:t>
      </w:r>
      <w:r>
        <w:t xml:space="preserve">ServiceNow,</w:t>
      </w:r>
      <w:r>
        <w:t xml:space="preserve"> </w:t>
      </w:r>
      <w:r>
        <w:rPr>
          <w:i/>
          <w:iCs/>
        </w:rPr>
        <w:t xml:space="preserve">Microsoft Entra ID Spoke (formerly Microsoft Azure Active Directory spoke), Integration Hub</w:t>
      </w:r>
      <w:r>
        <w:t xml:space="preserve">.</w:t>
      </w:r>
      <w:r>
        <w:t xml:space="preserve"> </w:t>
      </w:r>
      <w:hyperlink r:id="rId385">
        <w:r>
          <w:rPr>
            <w:rStyle w:val="Hyperlink"/>
          </w:rPr>
          <w:t xml:space="preserve">https://www.servicenow.com/docs/bundle/zurich-integrate-applications/page/administer/integrationhub/concept/microsoft-azure-ad-spoke.html</w:t>
        </w:r>
      </w:hyperlink>
    </w:p>
  </w:footnote>
  <w:footnote w:id="469">
    <w:p>
      <w:pPr>
        <w:pStyle w:val="FootnoteText"/>
      </w:pPr>
      <w:r>
        <w:rPr>
          <w:rStyle w:val="FootnoteReference"/>
        </w:rPr>
        <w:footnoteRef/>
      </w:r>
      <w:r>
        <w:t xml:space="preserve"> </w:t>
      </w:r>
      <w:r>
        <w:t xml:space="preserve">Microsoft,</w:t>
      </w:r>
      <w:r>
        <w:t xml:space="preserve"> </w:t>
      </w:r>
      <w:r>
        <w:rPr>
          <w:i/>
          <w:iCs/>
        </w:rPr>
        <w:t xml:space="preserve">Microsoft Entra built-in roles</w:t>
      </w:r>
      <w:r>
        <w:t xml:space="preserve"> </w:t>
      </w:r>
      <w:r>
        <w:t xml:space="preserve">— the Spoke calls Microsoft Graph and needs the matching role/permission consent.</w:t>
      </w:r>
      <w:r>
        <w:t xml:space="preserve"> </w:t>
      </w:r>
      <w:hyperlink r:id="rId212">
        <w:r>
          <w:rPr>
            <w:rStyle w:val="Hyperlink"/>
          </w:rPr>
          <w:t xml:space="preserve">https://learn.microsoft.com/en-us/entra/identity/role-based-access-control/permissions-reference</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1"/>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1"/>
  </w:num>
  <w:num w:numId="1112">
    <w:abstractNumId w:val="991"/>
  </w:num>
  <w:num w:numId="1113">
    <w:abstractNumId w:val="991"/>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1"/>
  </w:num>
  <w:num w:numId="1116">
    <w:abstractNumId w:val="991"/>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1"/>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1"/>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1"/>
  </w:num>
  <w:num w:numId="1139">
    <w:abstractNumId w:val="991"/>
  </w:num>
  <w:num w:numId="1140">
    <w:abstractNumId w:val="991"/>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1"/>
  </w:num>
  <w:num w:numId="1170">
    <w:abstractNumId w:val="991"/>
  </w:num>
  <w:num w:numId="1171">
    <w:abstractNumId w:val="991"/>
  </w:num>
  <w:num w:numId="1172">
    <w:abstractNumId w:val="991"/>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1"/>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1"/>
  </w:num>
  <w:num w:numId="1181">
    <w:abstractNumId w:val="991"/>
  </w:num>
  <w:num w:numId="1182">
    <w:abstractNumId w:val="991"/>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1"/>
  </w:num>
  <w:num w:numId="1198">
    <w:abstractNumId w:val="991"/>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1"/>
  </w:num>
  <w:num w:numId="1203">
    <w:abstractNumId w:val="991"/>
  </w:num>
  <w:num w:numId="1204">
    <w:abstractNumId w:val="991"/>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1"/>
  </w:num>
  <w:num w:numId="1218">
    <w:abstractNumId w:val="991"/>
  </w:num>
  <w:num w:numId="12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1"/>
  </w:num>
  <w:num w:numId="12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6">
    <w:abstractNumId w:val="991"/>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1"/>
  </w:num>
  <w:num w:numId="1259">
    <w:abstractNumId w:val="991"/>
  </w:num>
  <w:num w:numId="1260">
    <w:abstractNumId w:val="992"/>
  </w:num>
  <w:num w:numId="1261">
    <w:abstractNumId w:val="992"/>
  </w:num>
  <w:num w:numId="1262">
    <w:abstractNumId w:val="992"/>
  </w:num>
  <w:num w:numId="1263">
    <w:abstractNumId w:val="992"/>
  </w:num>
  <w:num w:numId="1264">
    <w:abstractNumId w:val="992"/>
  </w:num>
  <w:num w:numId="1265">
    <w:abstractNumId w:val="992"/>
  </w:num>
  <w:num w:numId="1266">
    <w:abstractNumId w:val="992"/>
  </w:num>
  <w:num w:numId="1267">
    <w:abstractNumId w:val="992"/>
  </w:num>
  <w:num w:numId="1268">
    <w:abstractNumId w:val="992"/>
  </w:num>
  <w:num w:numId="1269">
    <w:abstractNumId w:val="992"/>
  </w:num>
  <w:num w:numId="1270">
    <w:abstractNumId w:val="992"/>
  </w:num>
  <w:num w:numId="1271">
    <w:abstractNumId w:val="992"/>
  </w:num>
  <w:num w:numId="1272">
    <w:abstractNumId w:val="992"/>
  </w:num>
  <w:num w:numId="1273">
    <w:abstractNumId w:val="992"/>
  </w:num>
  <w:num w:numId="1274">
    <w:abstractNumId w:val="992"/>
  </w:num>
  <w:num w:numId="1275">
    <w:abstractNumId w:val="992"/>
  </w:num>
  <w:num w:numId="1276">
    <w:abstractNumId w:val="992"/>
  </w:num>
  <w:num w:numId="1277">
    <w:abstractNumId w:val="991"/>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7">
    <w:abstractNumId w:val="991"/>
  </w:num>
  <w:num w:numId="1288">
    <w:abstractNumId w:val="991"/>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1"/>
  </w:num>
  <w:num w:numId="12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2">
    <w:abstractNumId w:val="991"/>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1"/>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1"/>
  </w:num>
  <w:num w:numId="1298">
    <w:abstractNumId w:val="991"/>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1"/>
  </w:num>
  <w:num w:numId="1310">
    <w:abstractNumId w:val="991"/>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3" Target="media/rId23.png" /><Relationship Type="http://schemas.openxmlformats.org/officeDocument/2006/relationships/image" Id="rId27" Target="media/rId27.png" /><Relationship Type="http://schemas.openxmlformats.org/officeDocument/2006/relationships/image" Id="rId47" Target="media/rId47.png" /><Relationship Type="http://schemas.openxmlformats.org/officeDocument/2006/relationships/image" Id="rId54" Target="media/rId54.png" /><Relationship Type="http://schemas.openxmlformats.org/officeDocument/2006/relationships/image" Id="rId59" Target="media/rId59.png" /><Relationship Type="http://schemas.openxmlformats.org/officeDocument/2006/relationships/image" Id="rId68" Target="media/rId68.png" /><Relationship Type="http://schemas.openxmlformats.org/officeDocument/2006/relationships/image" Id="rId79" Target="media/rId79.png" /><Relationship Type="http://schemas.openxmlformats.org/officeDocument/2006/relationships/image" Id="rId89" Target="media/rId89.png" /><Relationship Type="http://schemas.openxmlformats.org/officeDocument/2006/relationships/image" Id="rId135" Target="media/rId135.png" /><Relationship Type="http://schemas.openxmlformats.org/officeDocument/2006/relationships/image" Id="rId491" Target="media/rId491.png" /><Relationship Type="http://schemas.openxmlformats.org/officeDocument/2006/relationships/hyperlink" Id="rId223" Target="https://doi.org/10.6028/NIST.SP.800-53r5" TargetMode="External" /><Relationship Type="http://schemas.openxmlformats.org/officeDocument/2006/relationships/hyperlink" Id="rId172" Target="https://entra.microsoft.com" TargetMode="External" /><Relationship Type="http://schemas.openxmlformats.org/officeDocument/2006/relationships/hyperlink" Id="rId668" Target="https://github.com/microsoft/zerotrustassessment" TargetMode="External" /><Relationship Type="http://schemas.openxmlformats.org/officeDocument/2006/relationships/hyperlink" Id="rId224" Target="https://github.com/usnistgov/oscal-content/blob/main/nist.gov/SP800-53/rev5/json/NIST_SP-800-53_rev5_MODERATE-baseline-resolved-profile_catalog.json" TargetMode="External" /><Relationship Type="http://schemas.openxmlformats.org/officeDocument/2006/relationships/hyperlink" Id="rId624" Target="https://learn.microsoft.com/azure/azure-monitor/platform/activity-log#export-management-group-activity-logs" TargetMode="External" /><Relationship Type="http://schemas.openxmlformats.org/officeDocument/2006/relationships/hyperlink" Id="rId613" Target="https://learn.microsoft.com/azure/azure-monitor/platform/activity-log-schema#categories" TargetMode="External" /><Relationship Type="http://schemas.openxmlformats.org/officeDocument/2006/relationships/hyperlink" Id="rId622" Target="https://learn.microsoft.com/azure/azure-monitor/platform/diagnostic-settings#methods-for-creating-a-diagnostic-setting" TargetMode="External" /><Relationship Type="http://schemas.openxmlformats.org/officeDocument/2006/relationships/hyperlink" Id="rId595" Target="https://learn.microsoft.com/azure/data-factory/monitor-logs-rest#enable-diagnostic-logs-via-the-monitor-rest-api" TargetMode="External" /><Relationship Type="http://schemas.openxmlformats.org/officeDocument/2006/relationships/hyperlink" Id="rId628" Target="https://learn.microsoft.com/azure/managed-instance-apache-cassandra/monitor-clusters#diagnostic-settings-in-azure" TargetMode="External" /><Relationship Type="http://schemas.openxmlformats.org/officeDocument/2006/relationships/hyperlink" Id="rId584" Target="https://learn.microsoft.com/azure/sentinel/connect-azure-active-directory#microsoft-entra-id-data-connector-data-types" TargetMode="External" /><Relationship Type="http://schemas.openxmlformats.org/officeDocument/2006/relationships/hyperlink" Id="rId593" Target="https://learn.microsoft.com/azure/templates/microsoft.aadiam/2017-04-01/diagnosticsettings" TargetMode="External" /><Relationship Type="http://schemas.openxmlformats.org/officeDocument/2006/relationships/hyperlink" Id="rId221" Target="https://learn.microsoft.com/en-us/entra/architecture/governance-deployment-privileged-identities" TargetMode="External" /><Relationship Type="http://schemas.openxmlformats.org/officeDocument/2006/relationships/hyperlink" Id="rId222" Target="https://learn.microsoft.com/en-us/entra/architecture/ops-guide-govern" TargetMode="External" /><Relationship Type="http://schemas.openxmlformats.org/officeDocument/2006/relationships/hyperlink" Id="rId208" Target="https://learn.microsoft.com/en-us/entra/id-governance/licensing-fundamentals" TargetMode="External" /><Relationship Type="http://schemas.openxmlformats.org/officeDocument/2006/relationships/hyperlink" Id="rId478" Target="https://learn.microsoft.com/en-us/entra/id-governance/privileged-identity-management/concept-pim-for-groups" TargetMode="External" /><Relationship Type="http://schemas.openxmlformats.org/officeDocument/2006/relationships/hyperlink" Id="rId200" Target="https://learn.microsoft.com/en-us/entra/id-governance/privileged-identity-management/pim-approval-workflow" TargetMode="External" /><Relationship Type="http://schemas.openxmlformats.org/officeDocument/2006/relationships/hyperlink" Id="rId479" Target="https://learn.microsoft.com/en-us/entra/id-governance/privileged-identity-management/pim-configure" TargetMode="External" /><Relationship Type="http://schemas.openxmlformats.org/officeDocument/2006/relationships/hyperlink" Id="rId206" Target="https://learn.microsoft.com/en-us/entra/id-governance/privileged-identity-management/pim-create-roles-and-resource-roles-review" TargetMode="External" /><Relationship Type="http://schemas.openxmlformats.org/officeDocument/2006/relationships/hyperlink" Id="rId203" Target="https://learn.microsoft.com/en-us/entra/id-governance/privileged-identity-management/pim-deployment-plan" TargetMode="External" /><Relationship Type="http://schemas.openxmlformats.org/officeDocument/2006/relationships/hyperlink" Id="rId207" Target="https://learn.microsoft.com/en-us/entra/id-governance/privileged-identity-management/pim-email-notifications" TargetMode="External" /><Relationship Type="http://schemas.openxmlformats.org/officeDocument/2006/relationships/hyperlink" Id="rId202" Target="https://learn.microsoft.com/en-us/entra/id-governance/privileged-identity-management/pim-getting-started" TargetMode="External" /><Relationship Type="http://schemas.openxmlformats.org/officeDocument/2006/relationships/hyperlink" Id="rId201" Target="https://learn.microsoft.com/en-us/entra/id-governance/privileged-identity-management/pim-how-to-add-role-to-user" TargetMode="External" /><Relationship Type="http://schemas.openxmlformats.org/officeDocument/2006/relationships/hyperlink" Id="rId199" Target="https://learn.microsoft.com/en-us/entra/id-governance/privileged-identity-management/pim-how-to-change-default-settings" TargetMode="External" /><Relationship Type="http://schemas.openxmlformats.org/officeDocument/2006/relationships/hyperlink" Id="rId205" Target="https://learn.microsoft.com/en-us/entra/id-governance/privileged-identity-management/pim-how-to-configure-security-alerts" TargetMode="External" /><Relationship Type="http://schemas.openxmlformats.org/officeDocument/2006/relationships/hyperlink" Id="rId204" Target="https://learn.microsoft.com/en-us/entra/id-governance/privileged-identity-management/pim-how-to-use-audit-log" TargetMode="External" /><Relationship Type="http://schemas.openxmlformats.org/officeDocument/2006/relationships/hyperlink" Id="rId163" Target="https://learn.microsoft.com/en-us/entra/identity/authentication/feature-availability" TargetMode="External" /><Relationship Type="http://schemas.openxmlformats.org/officeDocument/2006/relationships/hyperlink" Id="rId480" Target="https://learn.microsoft.com/en-us/entra/identity/authentication/tutorial-enable-sspr" TargetMode="External" /><Relationship Type="http://schemas.openxmlformats.org/officeDocument/2006/relationships/hyperlink" Id="rId217" Target="https://learn.microsoft.com/en-us/entra/identity/conditional-access/concept-conditional-access-cloud-apps" TargetMode="External" /><Relationship Type="http://schemas.openxmlformats.org/officeDocument/2006/relationships/hyperlink" Id="rId219" Target="https://learn.microsoft.com/en-us/entra/identity/monitoring-health/howto-archive-logs-to-storage-account" TargetMode="External" /><Relationship Type="http://schemas.openxmlformats.org/officeDocument/2006/relationships/hyperlink" Id="rId218" Target="https://learn.microsoft.com/en-us/entra/identity/monitoring-health/reference-reports-data-retention" TargetMode="External" /><Relationship Type="http://schemas.openxmlformats.org/officeDocument/2006/relationships/hyperlink" Id="rId212" Target="https://learn.microsoft.com/en-us/entra/identity/role-based-access-control/permissions-reference" TargetMode="External" /><Relationship Type="http://schemas.openxmlformats.org/officeDocument/2006/relationships/hyperlink" Id="rId215" Target="https://learn.microsoft.com/en-us/entra/identity/role-based-access-control/protected-actions-add" TargetMode="External" /><Relationship Type="http://schemas.openxmlformats.org/officeDocument/2006/relationships/hyperlink" Id="rId214" Target="https://learn.microsoft.com/en-us/entra/identity/role-based-access-control/protected-actions-overview" TargetMode="External" /><Relationship Type="http://schemas.openxmlformats.org/officeDocument/2006/relationships/hyperlink" Id="rId213" Target="https://learn.microsoft.com/en-us/entra/identity/role-based-access-control/security-emergency-access" TargetMode="External" /><Relationship Type="http://schemas.openxmlformats.org/officeDocument/2006/relationships/hyperlink" Id="rId216" Target="https://learn.microsoft.com/en-us/entra/identity/role-based-access-control/security-planning" TargetMode="External" /><Relationship Type="http://schemas.openxmlformats.org/officeDocument/2006/relationships/hyperlink" Id="rId211" Target="https://learn.microsoft.com/en-us/graph/api/resources/privilegedidentitymanagementv3-overview" TargetMode="External" /><Relationship Type="http://schemas.openxmlformats.org/officeDocument/2006/relationships/hyperlink" Id="rId210" Target="https://learn.microsoft.com/en-us/graph/api/resources/unifiedrolemanagementpolicyrule" TargetMode="External" /><Relationship Type="http://schemas.openxmlformats.org/officeDocument/2006/relationships/hyperlink" Id="rId209" Target="https://learn.microsoft.com/en-us/graph/how-to-pim-update-rules" TargetMode="External" /><Relationship Type="http://schemas.openxmlformats.org/officeDocument/2006/relationships/hyperlink" Id="rId220" Target="https://learn.microsoft.com/en-us/security/zero-trust/dod-zero-trust-strategy-user" TargetMode="External" /><Relationship Type="http://schemas.openxmlformats.org/officeDocument/2006/relationships/hyperlink" Id="rId585" Target="https://learn.microsoft.com/entra/id-protection/howto-export-risk-data#log-analytics" TargetMode="External" /><Relationship Type="http://schemas.openxmlformats.org/officeDocument/2006/relationships/hyperlink" Id="rId581" Target="https://learn.microsoft.com/entra/identity/monitoring-health/concept-diagnostic-settings-logs-options" TargetMode="External" /><Relationship Type="http://schemas.openxmlformats.org/officeDocument/2006/relationships/hyperlink" Id="rId599" Target="https://learn.microsoft.com/entra/identity/monitoring-health/howto-analyze-activity-logs-with-microsoft-graph#access-reports-using-microsoft-graph-explorer" TargetMode="External" /><Relationship Type="http://schemas.openxmlformats.org/officeDocument/2006/relationships/hyperlink" Id="rId590" Target="https://learn.microsoft.com/entra/identity/monitoring-health/howto-configure-diagnostic-settings#select-the-logs-and-destination" TargetMode="External" /><Relationship Type="http://schemas.openxmlformats.org/officeDocument/2006/relationships/hyperlink" Id="rId582" Target="https://learn.microsoft.com/entra/identity/monitoring-health/reference-reports-data-retention#how-long-does-microsoft-entra-id-store-the-data" TargetMode="External" /><Relationship Type="http://schemas.openxmlformats.org/officeDocument/2006/relationships/hyperlink" Id="rId600" Target="https://learn.microsoft.com/graph/api/directoryaudit-list?view=graph-rest-1.0" TargetMode="External" /><Relationship Type="http://schemas.openxmlformats.org/officeDocument/2006/relationships/hyperlink" Id="rId601" Target="https://learn.microsoft.com/graph/api/signin-list?view=graph-rest-1.0#permissions" TargetMode="External" /><Relationship Type="http://schemas.openxmlformats.org/officeDocument/2006/relationships/hyperlink" Id="rId606" Target="https://learn.microsoft.com/graph/sdks/national-clouds#examples" TargetMode="External" /><Relationship Type="http://schemas.openxmlformats.org/officeDocument/2006/relationships/hyperlink" Id="rId650" Target="https://learn.microsoft.com/office/office-365-management-api/office-365-management-activity-api-reference#list-available-content" TargetMode="External" /><Relationship Type="http://schemas.openxmlformats.org/officeDocument/2006/relationships/hyperlink" Id="rId647" Target="https://learn.microsoft.com/office/office-365-management-api/office-365-management-activity-api-reference#working-with-the-office-365-management-activity-api" TargetMode="External" /><Relationship Type="http://schemas.openxmlformats.org/officeDocument/2006/relationships/hyperlink" Id="rId643" Target="https://learn.microsoft.com/office/office-365-management-api/troubleshooting-the-office-365-management-activity-api#troubleshooting-the-office-365-management-activity-api" TargetMode="External" /><Relationship Type="http://schemas.openxmlformats.org/officeDocument/2006/relationships/hyperlink" Id="rId644" Target="https://learn.microsoft.com/power-platform/guidance/coe/setup-auditlog-http#create-a-microsoft-entra-app-registration-for-office-365-management-api-access" TargetMode="External" /><Relationship Type="http://schemas.openxmlformats.org/officeDocument/2006/relationships/hyperlink" Id="rId614" Target="https://learn.microsoft.com/powershell/module/az.monitor/get-azeventcategory?view=azps-16.2.0" TargetMode="External" /><Relationship Type="http://schemas.openxmlformats.org/officeDocument/2006/relationships/hyperlink" Id="rId671" Target="https://learn.microsoft.com/powershell/scripting/install/installing-powershell" TargetMode="External" /><Relationship Type="http://schemas.openxmlformats.org/officeDocument/2006/relationships/hyperlink" Id="rId636" Target="https://learn.microsoft.com/purview/audit-log-enable-disable" TargetMode="External" /><Relationship Type="http://schemas.openxmlformats.org/officeDocument/2006/relationships/hyperlink" Id="rId638" Target="https://learn.microsoft.com/purview/audit-log-enable-disable#before-you-turn-auditing-on-or-off" TargetMode="External" /><Relationship Type="http://schemas.openxmlformats.org/officeDocument/2006/relationships/hyperlink" Id="rId653" Target="https://learn.microsoft.com/purview/audit-log-retention-policies" TargetMode="External" /><Relationship Type="http://schemas.openxmlformats.org/officeDocument/2006/relationships/hyperlink" Id="rId654" Target="https://learn.microsoft.com/purview/audit-solutions-overview#audit-premium" TargetMode="External" /><Relationship Type="http://schemas.openxmlformats.org/officeDocument/2006/relationships/hyperlink" Id="rId673" Target="https://learn.microsoft.com/security/zero-trust/assessment/get-started" TargetMode="External" /><Relationship Type="http://schemas.openxmlformats.org/officeDocument/2006/relationships/hyperlink" Id="rId619" Target="https://learn.microsoft.com/troubleshoot/azure/azure-monitor/activity-logs/config-export/configuring-azure-activity-log-export-comprehensive-guide" TargetMode="External" /><Relationship Type="http://schemas.openxmlformats.org/officeDocument/2006/relationships/hyperlink" Id="rId618" Target="https://portal.azure.com" TargetMode="External" /><Relationship Type="http://schemas.openxmlformats.org/officeDocument/2006/relationships/hyperlink" Id="rId640" Target="https://purview.microsoft.com" TargetMode="External" /><Relationship Type="http://schemas.openxmlformats.org/officeDocument/2006/relationships/hyperlink" Id="rId225" Target="https://www.fedramp.gov/" TargetMode="External" /><Relationship Type="http://schemas.openxmlformats.org/officeDocument/2006/relationships/hyperlink" Id="rId524" Target="https://www.fedramp.gov/20x/notice-0009/" TargetMode="External" /><Relationship Type="http://schemas.openxmlformats.org/officeDocument/2006/relationships/hyperlink" Id="rId461" Target="https://www.servicenow.com/community/workflow-automation-articles/flow-designer-approvals-overview-workflow-automation-center-of/ta-p/2528202" TargetMode="External" /><Relationship Type="http://schemas.openxmlformats.org/officeDocument/2006/relationships/hyperlink" Id="rId459" Target="https://www.servicenow.com/docs/bundle/yokohama-platform-administration/page/administer/notification/concept/c_InboundEmailActions.html" TargetMode="External" /><Relationship Type="http://schemas.openxmlformats.org/officeDocument/2006/relationships/hyperlink" Id="rId385" Target="https://www.servicenow.com/docs/bundle/zurich-integrate-applications/page/administer/integrationhub/concept/microsoft-azure-ad-spoke.html" TargetMode="External" /><Relationship Type="http://schemas.openxmlformats.org/officeDocument/2006/relationships/hyperlink" Id="rId457" Target="https://www.servicenow.com/docs/r/platform-administration/c_EmailFilters.html" TargetMode="External" /></Relationships>
</file>

<file path=word/_rels/footnotes.xml.rels><?xml version="1.0" encoding="UTF-8"?><Relationships xmlns="http://schemas.openxmlformats.org/package/2006/relationships"><Relationship Type="http://schemas.openxmlformats.org/officeDocument/2006/relationships/hyperlink" Id="rId223" Target="https://doi.org/10.6028/NIST.SP.800-53r5" TargetMode="External" /><Relationship Type="http://schemas.openxmlformats.org/officeDocument/2006/relationships/hyperlink" Id="rId172" Target="https://entra.microsoft.com" TargetMode="External" /><Relationship Type="http://schemas.openxmlformats.org/officeDocument/2006/relationships/hyperlink" Id="rId668" Target="https://github.com/microsoft/zerotrustassessment" TargetMode="External" /><Relationship Type="http://schemas.openxmlformats.org/officeDocument/2006/relationships/hyperlink" Id="rId224" Target="https://github.com/usnistgov/oscal-content/blob/main/nist.gov/SP800-53/rev5/json/NIST_SP-800-53_rev5_MODERATE-baseline-resolved-profile_catalog.json" TargetMode="External" /><Relationship Type="http://schemas.openxmlformats.org/officeDocument/2006/relationships/hyperlink" Id="rId624" Target="https://learn.microsoft.com/azure/azure-monitor/platform/activity-log#export-management-group-activity-logs" TargetMode="External" /><Relationship Type="http://schemas.openxmlformats.org/officeDocument/2006/relationships/hyperlink" Id="rId613" Target="https://learn.microsoft.com/azure/azure-monitor/platform/activity-log-schema#categories" TargetMode="External" /><Relationship Type="http://schemas.openxmlformats.org/officeDocument/2006/relationships/hyperlink" Id="rId622" Target="https://learn.microsoft.com/azure/azure-monitor/platform/diagnostic-settings#methods-for-creating-a-diagnostic-setting" TargetMode="External" /><Relationship Type="http://schemas.openxmlformats.org/officeDocument/2006/relationships/hyperlink" Id="rId595" Target="https://learn.microsoft.com/azure/data-factory/monitor-logs-rest#enable-diagnostic-logs-via-the-monitor-rest-api" TargetMode="External" /><Relationship Type="http://schemas.openxmlformats.org/officeDocument/2006/relationships/hyperlink" Id="rId628" Target="https://learn.microsoft.com/azure/managed-instance-apache-cassandra/monitor-clusters#diagnostic-settings-in-azure" TargetMode="External" /><Relationship Type="http://schemas.openxmlformats.org/officeDocument/2006/relationships/hyperlink" Id="rId584" Target="https://learn.microsoft.com/azure/sentinel/connect-azure-active-directory#microsoft-entra-id-data-connector-data-types" TargetMode="External" /><Relationship Type="http://schemas.openxmlformats.org/officeDocument/2006/relationships/hyperlink" Id="rId593" Target="https://learn.microsoft.com/azure/templates/microsoft.aadiam/2017-04-01/diagnosticsettings" TargetMode="External" /><Relationship Type="http://schemas.openxmlformats.org/officeDocument/2006/relationships/hyperlink" Id="rId221" Target="https://learn.microsoft.com/en-us/entra/architecture/governance-deployment-privileged-identities" TargetMode="External" /><Relationship Type="http://schemas.openxmlformats.org/officeDocument/2006/relationships/hyperlink" Id="rId222" Target="https://learn.microsoft.com/en-us/entra/architecture/ops-guide-govern" TargetMode="External" /><Relationship Type="http://schemas.openxmlformats.org/officeDocument/2006/relationships/hyperlink" Id="rId208" Target="https://learn.microsoft.com/en-us/entra/id-governance/licensing-fundamentals" TargetMode="External" /><Relationship Type="http://schemas.openxmlformats.org/officeDocument/2006/relationships/hyperlink" Id="rId478" Target="https://learn.microsoft.com/en-us/entra/id-governance/privileged-identity-management/concept-pim-for-groups" TargetMode="External" /><Relationship Type="http://schemas.openxmlformats.org/officeDocument/2006/relationships/hyperlink" Id="rId200" Target="https://learn.microsoft.com/en-us/entra/id-governance/privileged-identity-management/pim-approval-workflow" TargetMode="External" /><Relationship Type="http://schemas.openxmlformats.org/officeDocument/2006/relationships/hyperlink" Id="rId479" Target="https://learn.microsoft.com/en-us/entra/id-governance/privileged-identity-management/pim-configure" TargetMode="External" /><Relationship Type="http://schemas.openxmlformats.org/officeDocument/2006/relationships/hyperlink" Id="rId206" Target="https://learn.microsoft.com/en-us/entra/id-governance/privileged-identity-management/pim-create-roles-and-resource-roles-review" TargetMode="External" /><Relationship Type="http://schemas.openxmlformats.org/officeDocument/2006/relationships/hyperlink" Id="rId203" Target="https://learn.microsoft.com/en-us/entra/id-governance/privileged-identity-management/pim-deployment-plan" TargetMode="External" /><Relationship Type="http://schemas.openxmlformats.org/officeDocument/2006/relationships/hyperlink" Id="rId207" Target="https://learn.microsoft.com/en-us/entra/id-governance/privileged-identity-management/pim-email-notifications" TargetMode="External" /><Relationship Type="http://schemas.openxmlformats.org/officeDocument/2006/relationships/hyperlink" Id="rId202" Target="https://learn.microsoft.com/en-us/entra/id-governance/privileged-identity-management/pim-getting-started" TargetMode="External" /><Relationship Type="http://schemas.openxmlformats.org/officeDocument/2006/relationships/hyperlink" Id="rId201" Target="https://learn.microsoft.com/en-us/entra/id-governance/privileged-identity-management/pim-how-to-add-role-to-user" TargetMode="External" /><Relationship Type="http://schemas.openxmlformats.org/officeDocument/2006/relationships/hyperlink" Id="rId199" Target="https://learn.microsoft.com/en-us/entra/id-governance/privileged-identity-management/pim-how-to-change-default-settings" TargetMode="External" /><Relationship Type="http://schemas.openxmlformats.org/officeDocument/2006/relationships/hyperlink" Id="rId205" Target="https://learn.microsoft.com/en-us/entra/id-governance/privileged-identity-management/pim-how-to-configure-security-alerts" TargetMode="External" /><Relationship Type="http://schemas.openxmlformats.org/officeDocument/2006/relationships/hyperlink" Id="rId204" Target="https://learn.microsoft.com/en-us/entra/id-governance/privileged-identity-management/pim-how-to-use-audit-log" TargetMode="External" /><Relationship Type="http://schemas.openxmlformats.org/officeDocument/2006/relationships/hyperlink" Id="rId163" Target="https://learn.microsoft.com/en-us/entra/identity/authentication/feature-availability" TargetMode="External" /><Relationship Type="http://schemas.openxmlformats.org/officeDocument/2006/relationships/hyperlink" Id="rId480" Target="https://learn.microsoft.com/en-us/entra/identity/authentication/tutorial-enable-sspr" TargetMode="External" /><Relationship Type="http://schemas.openxmlformats.org/officeDocument/2006/relationships/hyperlink" Id="rId217" Target="https://learn.microsoft.com/en-us/entra/identity/conditional-access/concept-conditional-access-cloud-apps" TargetMode="External" /><Relationship Type="http://schemas.openxmlformats.org/officeDocument/2006/relationships/hyperlink" Id="rId219" Target="https://learn.microsoft.com/en-us/entra/identity/monitoring-health/howto-archive-logs-to-storage-account" TargetMode="External" /><Relationship Type="http://schemas.openxmlformats.org/officeDocument/2006/relationships/hyperlink" Id="rId218" Target="https://learn.microsoft.com/en-us/entra/identity/monitoring-health/reference-reports-data-retention" TargetMode="External" /><Relationship Type="http://schemas.openxmlformats.org/officeDocument/2006/relationships/hyperlink" Id="rId212" Target="https://learn.microsoft.com/en-us/entra/identity/role-based-access-control/permissions-reference" TargetMode="External" /><Relationship Type="http://schemas.openxmlformats.org/officeDocument/2006/relationships/hyperlink" Id="rId215" Target="https://learn.microsoft.com/en-us/entra/identity/role-based-access-control/protected-actions-add" TargetMode="External" /><Relationship Type="http://schemas.openxmlformats.org/officeDocument/2006/relationships/hyperlink" Id="rId214" Target="https://learn.microsoft.com/en-us/entra/identity/role-based-access-control/protected-actions-overview" TargetMode="External" /><Relationship Type="http://schemas.openxmlformats.org/officeDocument/2006/relationships/hyperlink" Id="rId213" Target="https://learn.microsoft.com/en-us/entra/identity/role-based-access-control/security-emergency-access" TargetMode="External" /><Relationship Type="http://schemas.openxmlformats.org/officeDocument/2006/relationships/hyperlink" Id="rId216" Target="https://learn.microsoft.com/en-us/entra/identity/role-based-access-control/security-planning" TargetMode="External" /><Relationship Type="http://schemas.openxmlformats.org/officeDocument/2006/relationships/hyperlink" Id="rId211" Target="https://learn.microsoft.com/en-us/graph/api/resources/privilegedidentitymanagementv3-overview" TargetMode="External" /><Relationship Type="http://schemas.openxmlformats.org/officeDocument/2006/relationships/hyperlink" Id="rId210" Target="https://learn.microsoft.com/en-us/graph/api/resources/unifiedrolemanagementpolicyrule" TargetMode="External" /><Relationship Type="http://schemas.openxmlformats.org/officeDocument/2006/relationships/hyperlink" Id="rId209" Target="https://learn.microsoft.com/en-us/graph/how-to-pim-update-rules" TargetMode="External" /><Relationship Type="http://schemas.openxmlformats.org/officeDocument/2006/relationships/hyperlink" Id="rId220" Target="https://learn.microsoft.com/en-us/security/zero-trust/dod-zero-trust-strategy-user" TargetMode="External" /><Relationship Type="http://schemas.openxmlformats.org/officeDocument/2006/relationships/hyperlink" Id="rId585" Target="https://learn.microsoft.com/entra/id-protection/howto-export-risk-data#log-analytics" TargetMode="External" /><Relationship Type="http://schemas.openxmlformats.org/officeDocument/2006/relationships/hyperlink" Id="rId581" Target="https://learn.microsoft.com/entra/identity/monitoring-health/concept-diagnostic-settings-logs-options" TargetMode="External" /><Relationship Type="http://schemas.openxmlformats.org/officeDocument/2006/relationships/hyperlink" Id="rId599" Target="https://learn.microsoft.com/entra/identity/monitoring-health/howto-analyze-activity-logs-with-microsoft-graph#access-reports-using-microsoft-graph-explorer" TargetMode="External" /><Relationship Type="http://schemas.openxmlformats.org/officeDocument/2006/relationships/hyperlink" Id="rId590" Target="https://learn.microsoft.com/entra/identity/monitoring-health/howto-configure-diagnostic-settings#select-the-logs-and-destination" TargetMode="External" /><Relationship Type="http://schemas.openxmlformats.org/officeDocument/2006/relationships/hyperlink" Id="rId582" Target="https://learn.microsoft.com/entra/identity/monitoring-health/reference-reports-data-retention#how-long-does-microsoft-entra-id-store-the-data" TargetMode="External" /><Relationship Type="http://schemas.openxmlformats.org/officeDocument/2006/relationships/hyperlink" Id="rId600" Target="https://learn.microsoft.com/graph/api/directoryaudit-list?view=graph-rest-1.0" TargetMode="External" /><Relationship Type="http://schemas.openxmlformats.org/officeDocument/2006/relationships/hyperlink" Id="rId601" Target="https://learn.microsoft.com/graph/api/signin-list?view=graph-rest-1.0#permissions" TargetMode="External" /><Relationship Type="http://schemas.openxmlformats.org/officeDocument/2006/relationships/hyperlink" Id="rId606" Target="https://learn.microsoft.com/graph/sdks/national-clouds#examples" TargetMode="External" /><Relationship Type="http://schemas.openxmlformats.org/officeDocument/2006/relationships/hyperlink" Id="rId650" Target="https://learn.microsoft.com/office/office-365-management-api/office-365-management-activity-api-reference#list-available-content" TargetMode="External" /><Relationship Type="http://schemas.openxmlformats.org/officeDocument/2006/relationships/hyperlink" Id="rId647" Target="https://learn.microsoft.com/office/office-365-management-api/office-365-management-activity-api-reference#working-with-the-office-365-management-activity-api" TargetMode="External" /><Relationship Type="http://schemas.openxmlformats.org/officeDocument/2006/relationships/hyperlink" Id="rId643" Target="https://learn.microsoft.com/office/office-365-management-api/troubleshooting-the-office-365-management-activity-api#troubleshooting-the-office-365-management-activity-api" TargetMode="External" /><Relationship Type="http://schemas.openxmlformats.org/officeDocument/2006/relationships/hyperlink" Id="rId644" Target="https://learn.microsoft.com/power-platform/guidance/coe/setup-auditlog-http#create-a-microsoft-entra-app-registration-for-office-365-management-api-access" TargetMode="External" /><Relationship Type="http://schemas.openxmlformats.org/officeDocument/2006/relationships/hyperlink" Id="rId614" Target="https://learn.microsoft.com/powershell/module/az.monitor/get-azeventcategory?view=azps-16.2.0" TargetMode="External" /><Relationship Type="http://schemas.openxmlformats.org/officeDocument/2006/relationships/hyperlink" Id="rId671" Target="https://learn.microsoft.com/powershell/scripting/install/installing-powershell" TargetMode="External" /><Relationship Type="http://schemas.openxmlformats.org/officeDocument/2006/relationships/hyperlink" Id="rId636" Target="https://learn.microsoft.com/purview/audit-log-enable-disable" TargetMode="External" /><Relationship Type="http://schemas.openxmlformats.org/officeDocument/2006/relationships/hyperlink" Id="rId638" Target="https://learn.microsoft.com/purview/audit-log-enable-disable#before-you-turn-auditing-on-or-off" TargetMode="External" /><Relationship Type="http://schemas.openxmlformats.org/officeDocument/2006/relationships/hyperlink" Id="rId653" Target="https://learn.microsoft.com/purview/audit-log-retention-policies" TargetMode="External" /><Relationship Type="http://schemas.openxmlformats.org/officeDocument/2006/relationships/hyperlink" Id="rId654" Target="https://learn.microsoft.com/purview/audit-solutions-overview#audit-premium" TargetMode="External" /><Relationship Type="http://schemas.openxmlformats.org/officeDocument/2006/relationships/hyperlink" Id="rId673" Target="https://learn.microsoft.com/security/zero-trust/assessment/get-started" TargetMode="External" /><Relationship Type="http://schemas.openxmlformats.org/officeDocument/2006/relationships/hyperlink" Id="rId619" Target="https://learn.microsoft.com/troubleshoot/azure/azure-monitor/activity-logs/config-export/configuring-azure-activity-log-export-comprehensive-guide" TargetMode="External" /><Relationship Type="http://schemas.openxmlformats.org/officeDocument/2006/relationships/hyperlink" Id="rId618" Target="https://portal.azure.com" TargetMode="External" /><Relationship Type="http://schemas.openxmlformats.org/officeDocument/2006/relationships/hyperlink" Id="rId640" Target="https://purview.microsoft.com" TargetMode="External" /><Relationship Type="http://schemas.openxmlformats.org/officeDocument/2006/relationships/hyperlink" Id="rId225" Target="https://www.fedramp.gov/" TargetMode="External" /><Relationship Type="http://schemas.openxmlformats.org/officeDocument/2006/relationships/hyperlink" Id="rId524" Target="https://www.fedramp.gov/20x/notice-0009/" TargetMode="External" /><Relationship Type="http://schemas.openxmlformats.org/officeDocument/2006/relationships/hyperlink" Id="rId461" Target="https://www.servicenow.com/community/workflow-automation-articles/flow-designer-approvals-overview-workflow-automation-center-of/ta-p/2528202" TargetMode="External" /><Relationship Type="http://schemas.openxmlformats.org/officeDocument/2006/relationships/hyperlink" Id="rId459" Target="https://www.servicenow.com/docs/bundle/yokohama-platform-administration/page/administer/notification/concept/c_InboundEmailActions.html" TargetMode="External" /><Relationship Type="http://schemas.openxmlformats.org/officeDocument/2006/relationships/hyperlink" Id="rId385" Target="https://www.servicenow.com/docs/bundle/zurich-integrate-applications/page/administer/integrationhub/concept/microsoft-azure-ad-spoke.html" TargetMode="External" /><Relationship Type="http://schemas.openxmlformats.org/officeDocument/2006/relationships/hyperlink" Id="rId457" Target="https://www.servicenow.com/docs/r/platform-administration/c_EmailFilter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Modernization</dc:title>
  <dc:creator/>
  <cp:keywords/>
  <dcterms:created xsi:type="dcterms:W3CDTF">2026-10-19T10:17:40Z</dcterms:created>
  <dcterms:modified xsi:type="dcterms:W3CDTF">2026-10-19T10:17:40Z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