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30.png" ContentType="image/png"/>
  <Override PartName="/word/media/rId41.png" ContentType="image/png"/>
  <Override PartName="/word/media/rId57.png" ContentType="image/png"/>
  <Override PartName="/word/media/rId67.png" ContentType="image/png"/>
  <Override PartName="/word/media/rId85.png" ContentType="image/png"/>
  <Override PartName="/word/media/rId97.png" ContentType="image/png"/>
  <Override PartName="/word/media/rId109.png" ContentType="image/png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Physics of a Single Source of Truth</w:t>
      </w:r>
    </w:p>
    <w:p>
      <w:pPr>
        <w:pStyle w:val="Subtitle"/>
      </w:pPr>
      <w:r>
        <w:t xml:space="preserve">Modernization Workbook — Word edition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17" w:name="the-physics-of-a-single-source-of-truth"/>
    <w:p>
      <w:pPr>
        <w:pStyle w:val="Heading1"/>
      </w:pPr>
      <w:r>
        <w:t xml:space="preserve">The Physics of a Single Source of Truth</w:t>
      </w:r>
    </w:p>
    <w:bookmarkStart w:id="9" w:name="thesis-in-one-paragraph"/>
    <w:p>
      <w:pPr>
        <w:pStyle w:val="Heading2"/>
      </w:pPr>
      <w:r>
        <w:t xml:space="preserve">Thesis in one paragraph</w:t>
      </w:r>
    </w:p>
    <w:p>
      <w:pPr>
        <w:pStyle w:val="FirstParagraph"/>
      </w:pPr>
      <w:r>
        <w:t xml:space="preserve">The fashionable architecture of the last decade — fragment data into many</w:t>
      </w:r>
      <w:r>
        <w:t xml:space="preserve"> </w:t>
      </w:r>
      <w:r>
        <w:t xml:space="preserve">small, service-owned databases — overcorrected, and the fragmentation it</w:t>
      </w:r>
      <w:r>
        <w:t xml:space="preserve"> </w:t>
      </w:r>
      <w:r>
        <w:t xml:space="preserve">created became the largest single source of governance drift. Three forces now</w:t>
      </w:r>
      <w:r>
        <w:t xml:space="preserve"> </w:t>
      </w:r>
      <w:r>
        <w:t xml:space="preserve">push the pendulum back toward</w:t>
      </w:r>
      <w:r>
        <w:t xml:space="preserve"> </w:t>
      </w:r>
      <w:r>
        <w:rPr>
          <w:b/>
          <w:bCs/>
        </w:rPr>
        <w:t xml:space="preserve">logical centralization</w:t>
      </w:r>
      <w:r>
        <w:t xml:space="preserve">: wide-area networks</w:t>
      </w:r>
      <w:r>
        <w:t xml:space="preserve"> </w:t>
      </w:r>
      <w:r>
        <w:t xml:space="preserve">that are fat and application-aware,</w:t>
      </w:r>
      <w:r>
        <w:t xml:space="preserve"> </w:t>
      </w:r>
      <w:r>
        <w:rPr>
          <w:b/>
          <w:bCs/>
        </w:rPr>
        <w:t xml:space="preserve">token-based (zero-trust) security</w:t>
      </w:r>
      <w:r>
        <w:t xml:space="preserve"> </w:t>
      </w:r>
      <w:r>
        <w:t xml:space="preserve">that</w:t>
      </w:r>
      <w:r>
        <w:t xml:space="preserve"> </w:t>
      </w:r>
      <w:r>
        <w:t xml:space="preserve">lets one logical store safely serve many trust domains, and the discipline of a</w:t>
      </w:r>
      <w:r>
        <w:t xml:space="preserve"> </w:t>
      </w:r>
      <w:r>
        <w:rPr>
          <w:b/>
          <w:bCs/>
        </w:rPr>
        <w:t xml:space="preserve">single source of truth (SSOT)</w:t>
      </w:r>
      <w:r>
        <w:t xml:space="preserve"> </w:t>
      </w:r>
      <w:r>
        <w:t xml:space="preserve">as the cheapest thing to reason about. This</w:t>
      </w:r>
      <w:r>
        <w:t xml:space="preserve"> </w:t>
      </w:r>
      <w:r>
        <w:t xml:space="preserve">white paper argues that the era of small SQL servers</w:t>
      </w:r>
      <w:r>
        <w:t xml:space="preserve"> </w:t>
      </w:r>
      <w:r>
        <w:rPr>
          <w:i/>
          <w:iCs/>
        </w:rPr>
        <w:t xml:space="preserve">as sources of truth</w:t>
      </w:r>
      <w:r>
        <w:t xml:space="preserve"> </w:t>
      </w:r>
      <w:r>
        <w:t xml:space="preserve">is</w:t>
      </w:r>
      <w:r>
        <w:t xml:space="preserve"> </w:t>
      </w:r>
      <w:r>
        <w:t xml:space="preserve">over — but that small databases survive, repurposed as disposable caches,</w:t>
      </w:r>
      <w:r>
        <w:t xml:space="preserve"> </w:t>
      </w:r>
      <w:r>
        <w:t xml:space="preserve">read replicas, and compliance-stamped exceptions. It then confronts the one</w:t>
      </w:r>
      <w:r>
        <w:t xml:space="preserve"> </w:t>
      </w:r>
      <w:r>
        <w:t xml:space="preserve">wall none of this moves: the speed of light. Network optimization (SD-WAN</w:t>
      </w:r>
      <w:r>
        <w:t xml:space="preserve"> </w:t>
      </w:r>
      <w:r>
        <w:t xml:space="preserve">differentiated transport, forward error correction, clock distribution) can</w:t>
      </w:r>
      <w:r>
        <w:t xml:space="preserve"> </w:t>
      </w:r>
      <w:r>
        <w:t xml:space="preserve">take you</w:t>
      </w:r>
      <w:r>
        <w:t xml:space="preserve"> </w:t>
      </w:r>
      <w:r>
        <w:rPr>
          <w:i/>
          <w:iCs/>
        </w:rPr>
        <w:t xml:space="preserve">to</w:t>
      </w:r>
      <w:r>
        <w:t xml:space="preserve"> </w:t>
      </w:r>
      <w:r>
        <w:t xml:space="preserve">the physical latency floor with a tight tail, but never</w:t>
      </w:r>
      <w:r>
        <w:t xml:space="preserve"> </w:t>
      </w:r>
      <w:r>
        <w:rPr>
          <w:i/>
          <w:iCs/>
        </w:rPr>
        <w:t xml:space="preserve">below</w:t>
      </w:r>
      <w:r>
        <w:t xml:space="preserve"> </w:t>
      </w:r>
      <w:r>
        <w:t xml:space="preserve">it — so the correct architectural move is not</w:t>
      </w:r>
      <w:r>
        <w:t xml:space="preserve"> </w:t>
      </w:r>
      <w:r>
        <w:t xml:space="preserve">“make global sync fast”</w:t>
      </w:r>
      <w:r>
        <w:t xml:space="preserve"> </w:t>
      </w:r>
      <w:r>
        <w:t xml:space="preserve">but</w:t>
      </w:r>
      <w:r>
        <w:t xml:space="preserve"> </w:t>
      </w:r>
      <w:r>
        <w:t xml:space="preserve">“need less global sync.”</w:t>
      </w:r>
      <w:r>
        <w:t xml:space="preserve"> </w:t>
      </w:r>
      <w:r>
        <w:t xml:space="preserve">the Federal Modernization Program’s own SaaS data plane (the program decision) is the worked</w:t>
      </w:r>
      <w:r>
        <w:t xml:space="preserve"> </w:t>
      </w:r>
      <w:r>
        <w:t xml:space="preserve">reference example throughout.</w:t>
      </w:r>
    </w:p>
    <w:bookmarkEnd w:id="9"/>
    <w:bookmarkStart w:id="10" w:name="who-this-is-for"/>
    <w:p>
      <w:pPr>
        <w:pStyle w:val="Heading2"/>
      </w:pPr>
      <w:r>
        <w:t xml:space="preserve">Who this is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Architects and platform engineers</w:t>
      </w:r>
      <w:r>
        <w:t xml:space="preserve"> </w:t>
      </w:r>
      <w:r>
        <w:t xml:space="preserve">weighing centralized vs. distributed</w:t>
      </w:r>
      <w:r>
        <w:t xml:space="preserve"> </w:t>
      </w:r>
      <w:r>
        <w:t xml:space="preserve">data topologies for a multi-tenant or multi-region service.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CISOs and zero-trust practitioners</w:t>
      </w:r>
      <w:r>
        <w:t xml:space="preserve"> </w:t>
      </w:r>
      <w:r>
        <w:t xml:space="preserve">evaluating how identity-based security</w:t>
      </w:r>
      <w:r>
        <w:t xml:space="preserve"> </w:t>
      </w:r>
      <w:r>
        <w:t xml:space="preserve">changes the data-isolation calculus.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Network engineers</w:t>
      </w:r>
      <w:r>
        <w:t xml:space="preserve"> </w:t>
      </w:r>
      <w:r>
        <w:t xml:space="preserve">deciding what SD-WAN path differentiation can and</w:t>
      </w:r>
      <w:r>
        <w:t xml:space="preserve"> </w:t>
      </w:r>
      <w:r>
        <w:t xml:space="preserve">cannot buy a database tier.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Governance and compliance teams</w:t>
      </w:r>
      <w:r>
        <w:t xml:space="preserve"> </w:t>
      </w:r>
      <w:r>
        <w:t xml:space="preserve">mapping data-residency and blast-radius</w:t>
      </w:r>
      <w:r>
        <w:t xml:space="preserve"> </w:t>
      </w:r>
      <w:r>
        <w:t xml:space="preserve">constraints onto a consolidation strategy.</w:t>
      </w:r>
    </w:p>
    <w:bookmarkEnd w:id="10"/>
    <w:bookmarkStart w:id="14" w:name="chapters"/>
    <w:p>
      <w:pPr>
        <w:pStyle w:val="Heading2"/>
      </w:pPr>
      <w:r>
        <w:t xml:space="preserve">Chapters</w:t>
      </w:r>
    </w:p>
    <w:p>
      <w:pPr>
        <w:pStyle w:val="CaptionedFigure"/>
      </w:pPr>
      <w:r>
        <w:drawing>
          <wp:inline>
            <wp:extent cx="5334000" cy="1193866"/>
            <wp:effectExtent b="0" l="0" r="0" t="0"/>
            <wp:docPr descr="The chapters build one argument: the case for centralization, the physical wall, what transport can and cannot do, and the synthesis." title="" id="12" name="Picture"/>
            <a:graphic>
              <a:graphicData uri="http://schemas.openxmlformats.org/drawingml/2006/picture">
                <pic:pic>
                  <pic:nvPicPr>
                    <pic:cNvPr descr="/home/runner/work/modernization-workbook/modernization-workbook/docs/images/diagrams/ssot-network-physics/png/series-00-argument-path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938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chapters build one argument: the case for centralization, the physical wall, what transport can and cannot do, and the synthesis.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00</w:t>
      </w:r>
      <w:r>
        <w:t xml:space="preserve"> </w:t>
      </w:r>
      <w:r>
        <w:t xml:space="preserve">— Executive Summary — The Centralization Question</w:t>
      </w:r>
    </w:p>
    <w:p>
      <w:pPr>
        <w:pStyle w:val="Compact"/>
        <w:numPr>
          <w:ilvl w:val="1"/>
          <w:numId w:val="1003"/>
        </w:numPr>
      </w:pPr>
      <w:r>
        <w:t xml:space="preserve">The pendulum, the three forces, and the wall that does not move</w:t>
      </w:r>
    </w:p>
    <w:p>
      <w:pPr>
        <w:pStyle w:val="Compact"/>
        <w:numPr>
          <w:ilvl w:val="1"/>
          <w:numId w:val="1003"/>
        </w:numPr>
      </w:pPr>
      <w:r>
        <w:rPr>
          <w:i/>
          <w:iCs/>
        </w:rPr>
        <w:t xml:space="preserve">Audience:</w:t>
      </w:r>
      <w:r>
        <w:t xml:space="preserve"> </w:t>
      </w:r>
      <w:r>
        <w:t xml:space="preserve">Executive stakeholders · architects · CISO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01</w:t>
      </w:r>
      <w:r>
        <w:t xml:space="preserve"> </w:t>
      </w:r>
      <w:r>
        <w:t xml:space="preserve">— Logical Centralization and the Single Source of Truth</w:t>
      </w:r>
    </w:p>
    <w:p>
      <w:pPr>
        <w:pStyle w:val="Compact"/>
        <w:numPr>
          <w:ilvl w:val="1"/>
          <w:numId w:val="1004"/>
        </w:numPr>
      </w:pPr>
      <w:r>
        <w:t xml:space="preserve">Why fewer authoritative copies beats more, and how hardware ate the scaling objection</w:t>
      </w:r>
    </w:p>
    <w:p>
      <w:pPr>
        <w:pStyle w:val="Compact"/>
        <w:numPr>
          <w:ilvl w:val="1"/>
          <w:numId w:val="1004"/>
        </w:numPr>
      </w:pPr>
      <w:r>
        <w:rPr>
          <w:i/>
          <w:iCs/>
        </w:rPr>
        <w:t xml:space="preserve">Audience:</w:t>
      </w:r>
      <w:r>
        <w:t xml:space="preserve"> </w:t>
      </w:r>
      <w:r>
        <w:t xml:space="preserve">Architects · platform engineers · data owners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02</w:t>
      </w:r>
      <w:r>
        <w:t xml:space="preserve"> </w:t>
      </w:r>
      <w:r>
        <w:t xml:space="preserve">— Token-Based Security as the Enabler</w:t>
      </w:r>
    </w:p>
    <w:p>
      <w:pPr>
        <w:pStyle w:val="Compact"/>
        <w:numPr>
          <w:ilvl w:val="1"/>
          <w:numId w:val="1005"/>
        </w:numPr>
      </w:pPr>
      <w:r>
        <w:t xml:space="preserve">How zero-trust identity removes the historical reason to fragment data</w:t>
      </w:r>
    </w:p>
    <w:p>
      <w:pPr>
        <w:pStyle w:val="Compact"/>
        <w:numPr>
          <w:ilvl w:val="1"/>
          <w:numId w:val="1005"/>
        </w:numPr>
      </w:pPr>
      <w:r>
        <w:rPr>
          <w:i/>
          <w:iCs/>
        </w:rPr>
        <w:t xml:space="preserve">Audience:</w:t>
      </w:r>
      <w:r>
        <w:t xml:space="preserve"> </w:t>
      </w:r>
      <w:r>
        <w:t xml:space="preserve">CISO · zero-trust practitioners · platform engineers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03</w:t>
      </w:r>
      <w:r>
        <w:t xml:space="preserve"> </w:t>
      </w:r>
      <w:r>
        <w:t xml:space="preserve">— The Speed-of-Light Tax</w:t>
      </w:r>
    </w:p>
    <w:p>
      <w:pPr>
        <w:pStyle w:val="Compact"/>
        <w:numPr>
          <w:ilvl w:val="1"/>
          <w:numId w:val="1006"/>
        </w:numPr>
      </w:pPr>
      <w:r>
        <w:t xml:space="preserve">Propagation delay vs. everything else, and why strong consistency is a latency problem</w:t>
      </w:r>
    </w:p>
    <w:p>
      <w:pPr>
        <w:pStyle w:val="Compact"/>
        <w:numPr>
          <w:ilvl w:val="1"/>
          <w:numId w:val="1006"/>
        </w:numPr>
      </w:pPr>
      <w:r>
        <w:rPr>
          <w:i/>
          <w:iCs/>
        </w:rPr>
        <w:t xml:space="preserve">Audience:</w:t>
      </w:r>
      <w:r>
        <w:t xml:space="preserve"> </w:t>
      </w:r>
      <w:r>
        <w:t xml:space="preserve">Architects · network engineers · SRE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04</w:t>
      </w:r>
      <w:r>
        <w:t xml:space="preserve"> </w:t>
      </w:r>
      <w:r>
        <w:t xml:space="preserve">— SD-WAN and Differentiated Transport</w:t>
      </w:r>
    </w:p>
    <w:p>
      <w:pPr>
        <w:pStyle w:val="Compact"/>
        <w:numPr>
          <w:ilvl w:val="1"/>
          <w:numId w:val="1007"/>
        </w:numPr>
      </w:pPr>
      <w:r>
        <w:t xml:space="preserve">Path classes, tail-latency reduction, FEC, and clock distribution for keeping large databases in sync</w:t>
      </w:r>
    </w:p>
    <w:p>
      <w:pPr>
        <w:pStyle w:val="Compact"/>
        <w:numPr>
          <w:ilvl w:val="1"/>
          <w:numId w:val="1007"/>
        </w:numPr>
      </w:pPr>
      <w:r>
        <w:rPr>
          <w:i/>
          <w:iCs/>
        </w:rPr>
        <w:t xml:space="preserve">Audience:</w:t>
      </w:r>
      <w:r>
        <w:t xml:space="preserve"> </w:t>
      </w:r>
      <w:r>
        <w:t xml:space="preserve">Network engineers · platform engineers · SRE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05</w:t>
      </w:r>
      <w:r>
        <w:t xml:space="preserve"> </w:t>
      </w:r>
      <w:r>
        <w:t xml:space="preserve">— The Governed Path — Token-Bound Transport and the Application-Aware Overlay</w:t>
      </w:r>
    </w:p>
    <w:p>
      <w:pPr>
        <w:pStyle w:val="Compact"/>
        <w:numPr>
          <w:ilvl w:val="1"/>
          <w:numId w:val="1008"/>
        </w:numPr>
      </w:pPr>
      <w:r>
        <w:rPr>
          <w:i/>
          <w:iCs/>
        </w:rPr>
        <w:t xml:space="preserve">Forward-looking (Proposed, the program decision).</w:t>
      </w:r>
      <w:r>
        <w:t xml:space="preserve"> </w:t>
      </w:r>
      <w:r>
        <w:t xml:space="preserve">Why an efficient edge device needs an identity-anchored fabric, and how the path becomes governed evidence</w:t>
      </w:r>
    </w:p>
    <w:p>
      <w:pPr>
        <w:pStyle w:val="Compact"/>
        <w:numPr>
          <w:ilvl w:val="1"/>
          <w:numId w:val="1008"/>
        </w:numPr>
      </w:pPr>
      <w:r>
        <w:rPr>
          <w:i/>
          <w:iCs/>
        </w:rPr>
        <w:t xml:space="preserve">Audience:</w:t>
      </w:r>
      <w:r>
        <w:t xml:space="preserve"> </w:t>
      </w:r>
      <w:r>
        <w:t xml:space="preserve">Network architects · zero-trust practitioners · platform engineers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06</w:t>
      </w:r>
      <w:r>
        <w:t xml:space="preserve"> </w:t>
      </w:r>
      <w:r>
        <w:t xml:space="preserve">— Matching Consistency Classes to Network Classes</w:t>
      </w:r>
    </w:p>
    <w:p>
      <w:pPr>
        <w:pStyle w:val="Compact"/>
        <w:numPr>
          <w:ilvl w:val="1"/>
          <w:numId w:val="1009"/>
        </w:numPr>
      </w:pPr>
      <w:r>
        <w:t xml:space="preserve">The synthesis: aligning the data layer’s consistency model with the network layer’s transport tiers</w:t>
      </w:r>
    </w:p>
    <w:p>
      <w:pPr>
        <w:pStyle w:val="Compact"/>
        <w:numPr>
          <w:ilvl w:val="1"/>
          <w:numId w:val="1009"/>
        </w:numPr>
      </w:pPr>
      <w:r>
        <w:rPr>
          <w:i/>
          <w:iCs/>
        </w:rPr>
        <w:t xml:space="preserve">Audience:</w:t>
      </w:r>
      <w:r>
        <w:t xml:space="preserve"> </w:t>
      </w:r>
      <w:r>
        <w:t xml:space="preserve">Architects · platform engineers · network engineers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07</w:t>
      </w:r>
      <w:r>
        <w:t xml:space="preserve"> </w:t>
      </w:r>
      <w:r>
        <w:t xml:space="preserve">— Reference Architecture — the Federal Modernization Program SaaS Data Plane</w:t>
      </w:r>
    </w:p>
    <w:p>
      <w:pPr>
        <w:pStyle w:val="Compact"/>
        <w:numPr>
          <w:ilvl w:val="1"/>
          <w:numId w:val="1010"/>
        </w:numPr>
      </w:pPr>
      <w:r>
        <w:t xml:space="preserve">How the program decision and the program decision implement centralize-the-truth / distribute-the-copies in practice</w:t>
      </w:r>
    </w:p>
    <w:p>
      <w:pPr>
        <w:pStyle w:val="Compact"/>
        <w:numPr>
          <w:ilvl w:val="1"/>
          <w:numId w:val="1010"/>
        </w:numPr>
      </w:pPr>
      <w:r>
        <w:rPr>
          <w:i/>
          <w:iCs/>
        </w:rPr>
        <w:t xml:space="preserve">Audience:</w:t>
      </w:r>
      <w:r>
        <w:t xml:space="preserve"> </w:t>
      </w:r>
      <w:r>
        <w:t xml:space="preserve">Architects · platform engineers · governance teams</w:t>
      </w:r>
    </w:p>
    <w:bookmarkEnd w:id="14"/>
    <w:bookmarkStart w:id="15" w:name="provenance"/>
    <w:p>
      <w:pPr>
        <w:pStyle w:val="Heading2"/>
      </w:pPr>
      <w:r>
        <w:t xml:space="preserve">Provenance</w:t>
      </w:r>
    </w:p>
    <w:p>
      <w:pPr>
        <w:pStyle w:val="FirstParagraph"/>
      </w:pPr>
      <w:r>
        <w:t xml:space="preserve">This white paper is an analysis document. Its FMP-specific claims trace to</w:t>
      </w:r>
      <w:r>
        <w:t xml:space="preserve"> </w:t>
      </w:r>
      <w:r>
        <w:t xml:space="preserve">the canonical decision records they cite — principally</w:t>
      </w:r>
      <w:r>
        <w:t xml:space="preserve"> </w:t>
      </w:r>
      <w:r>
        <w:rPr>
          <w:b/>
          <w:bCs/>
        </w:rPr>
        <w:t xml:space="preserve">the program decision</w:t>
      </w:r>
      <w:r>
        <w:t xml:space="preserve"> </w:t>
      </w:r>
      <w:r>
        <w:t xml:space="preserve">(Azure SaaS architecture),</w:t>
      </w:r>
      <w:r>
        <w:t xml:space="preserve"> </w:t>
      </w:r>
      <w:r>
        <w:rPr>
          <w:b/>
          <w:bCs/>
        </w:rPr>
        <w:t xml:space="preserve">the program decision</w:t>
      </w:r>
      <w:r>
        <w:t xml:space="preserve"> </w:t>
      </w:r>
      <w:r>
        <w:t xml:space="preserve">(passwordless Entra</w:t>
      </w:r>
      <w:r>
        <w:t xml:space="preserve"> </w:t>
      </w:r>
      <w:r>
        <w:t xml:space="preserve">Postgres auth),</w:t>
      </w:r>
      <w:r>
        <w:t xml:space="preserve"> </w:t>
      </w:r>
      <w:r>
        <w:rPr>
          <w:b/>
          <w:bCs/>
        </w:rPr>
        <w:t xml:space="preserve">the program decision</w:t>
      </w:r>
      <w:r>
        <w:t xml:space="preserve"> </w:t>
      </w:r>
      <w:r>
        <w:t xml:space="preserve">(GCC-Moderate boundary), and</w:t>
      </w:r>
      <w:r>
        <w:t xml:space="preserve"> </w:t>
      </w:r>
      <w:r>
        <w:rPr>
          <w:b/>
          <w:bCs/>
        </w:rPr>
        <w:t xml:space="preserve">the program decision</w:t>
      </w:r>
      <w:r>
        <w:t xml:space="preserve"> </w:t>
      </w:r>
      <w:r>
        <w:t xml:space="preserve">(diagram</w:t>
      </w:r>
      <w:r>
        <w:t xml:space="preserve"> </w:t>
      </w:r>
      <w:r>
        <w:t xml:space="preserve">source-of-truth doctrine) under</w:t>
      </w:r>
      <w:r>
        <w:t xml:space="preserve"> </w:t>
      </w:r>
      <w:r>
        <w:rPr>
          <w:rStyle w:val="VerbatimChar"/>
        </w:rPr>
        <w:t xml:space="preserve">src/fmp/canon/adr/</w:t>
      </w:r>
      <w:r>
        <w:t xml:space="preserve"> </w:t>
      </w:r>
      <w:r>
        <w:t xml:space="preserve">— and, for the</w:t>
      </w:r>
      <w:r>
        <w:t xml:space="preserve"> </w:t>
      </w:r>
      <w:r>
        <w:t xml:space="preserve">forward-looking Chapter 5, the</w:t>
      </w:r>
      <w:r>
        <w:t xml:space="preserve"> </w:t>
      </w:r>
      <w:r>
        <w:rPr>
          <w:i/>
          <w:iCs/>
        </w:rPr>
        <w:t xml:space="preserve">Proposed</w:t>
      </w:r>
      <w:r>
        <w:t xml:space="preserve"> </w:t>
      </w:r>
      <w:r>
        <w:rPr>
          <w:b/>
          <w:bCs/>
        </w:rPr>
        <w:t xml:space="preserve">the program decision</w:t>
      </w:r>
      <w:r>
        <w:t xml:space="preserve"> </w:t>
      </w:r>
      <w:r>
        <w:t xml:space="preserve">(Application-Aware</w:t>
      </w:r>
      <w:r>
        <w:t xml:space="preserve"> </w:t>
      </w:r>
      <w:r>
        <w:t xml:space="preserve">Networking and Token-Bound Transport) — and to the substrate</w:t>
      </w:r>
      <w:r>
        <w:t xml:space="preserve"> </w:t>
      </w:r>
      <w:r>
        <w:t xml:space="preserve">operating principle of SSOT recorded in</w:t>
      </w:r>
      <w:r>
        <w:t xml:space="preserve"> </w:t>
      </w:r>
      <w:r>
        <w:rPr>
          <w:rStyle w:val="VerbatimChar"/>
        </w:rPr>
        <w:t xml:space="preserve">AGENTS.md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the program decision</w:t>
      </w:r>
      <w:r>
        <w:t xml:space="preserve">. Per the Federal Modernization Program</w:t>
      </w:r>
      <w:r>
        <w:t xml:space="preserve"> </w:t>
      </w:r>
      <w:r>
        <w:t xml:space="preserve">provenance doctrine, external facts (networking physics, vendor behavior) are</w:t>
      </w:r>
      <w:r>
        <w:t xml:space="preserve"> </w:t>
      </w:r>
      <w:r>
        <w:t xml:space="preserve">authoritative only where this document cites their source directly; where a</w:t>
      </w:r>
      <w:r>
        <w:t xml:space="preserve"> </w:t>
      </w:r>
      <w:r>
        <w:t xml:space="preserve">claim rests on a Federal Modernization Program decision, the ADR is named inline.</w:t>
      </w:r>
    </w:p>
    <w:bookmarkEnd w:id="15"/>
    <w:bookmarkStart w:id="16" w:name="a-note-on-figures"/>
    <w:p>
      <w:pPr>
        <w:pStyle w:val="Heading2"/>
      </w:pPr>
      <w:r>
        <w:t xml:space="preserve">A note on figures</w:t>
      </w:r>
    </w:p>
    <w:p>
      <w:pPr>
        <w:pStyle w:val="FirstParagraph"/>
      </w:pPr>
      <w:r>
        <w:t xml:space="preserve">This white paper uses no generative-AI raster figures and no inline Mermaid.</w:t>
      </w:r>
      <w:r>
        <w:t xml:space="preserve"> </w:t>
      </w:r>
      <w:r>
        <w:t xml:space="preserve">Each figure is generated from a committed source in</w:t>
      </w:r>
      <w:r>
        <w:t xml:space="preserve"> </w:t>
      </w:r>
      <w:r>
        <w:rPr>
          <w:rStyle w:val="VerbatimChar"/>
        </w:rPr>
        <w:t xml:space="preserve">docs/images/diagrams/ssot-network-physics/</w:t>
      </w:r>
      <w:r>
        <w:t xml:space="preserve"> </w:t>
      </w:r>
      <w:r>
        <w:t xml:space="preserve">with the site’s shared diagram</w:t>
      </w:r>
      <w:r>
        <w:t xml:space="preserve"> </w:t>
      </w:r>
      <w:r>
        <w:t xml:space="preserve">renderer (</w:t>
      </w:r>
      <w:r>
        <w:rPr>
          <w:rStyle w:val="VerbatimChar"/>
        </w:rPr>
        <w:t xml:space="preserve">scripts/diagrams/render.py</w:t>
      </w:r>
      <w:r>
        <w:t xml:space="preserve">): SVG for the web, a 2x PNG for the Word</w:t>
      </w:r>
      <w:r>
        <w:t xml:space="preserve"> </w:t>
      </w:r>
      <w:r>
        <w:t xml:space="preserve">edition.</w:t>
      </w:r>
    </w:p>
    <w:bookmarkEnd w:id="16"/>
    <w:bookmarkEnd w:id="17"/>
    <w:bookmarkStart w:id="28" w:name="X7ad42e70d046a465c05fda574b2195dd98b5f91"/>
    <w:p>
      <w:pPr>
        <w:pStyle w:val="Heading1"/>
      </w:pPr>
      <w:r>
        <w:t xml:space="preserve">Executive Summary — The Centralization Question</w:t>
      </w:r>
    </w:p>
    <w:bookmarkStart w:id="18" w:name="the-question"/>
    <w:p>
      <w:pPr>
        <w:pStyle w:val="Heading2"/>
      </w:pPr>
      <w:r>
        <w:t xml:space="preserve">The question</w:t>
      </w:r>
    </w:p>
    <w:p>
      <w:pPr>
        <w:pStyle w:val="FirstParagraph"/>
      </w:pPr>
      <w:r>
        <w:t xml:space="preserve">For a decade the default answer to</w:t>
      </w:r>
      <w:r>
        <w:t xml:space="preserve"> </w:t>
      </w:r>
      <w:r>
        <w:t xml:space="preserve">“where should the data live?”</w:t>
      </w:r>
      <w:r>
        <w:t xml:space="preserve"> </w:t>
      </w:r>
      <w:r>
        <w:t xml:space="preserve">has been</w:t>
      </w:r>
      <w:r>
        <w:t xml:space="preserve"> </w:t>
      </w:r>
      <w:r>
        <w:rPr>
          <w:i/>
          <w:iCs/>
        </w:rPr>
        <w:t xml:space="preserve">spread it out</w:t>
      </w:r>
      <w:r>
        <w:t xml:space="preserve">: every microservice owns its own database, every region gets</w:t>
      </w:r>
      <w:r>
        <w:t xml:space="preserve"> </w:t>
      </w:r>
      <w:r>
        <w:t xml:space="preserve">its own store, and a single large SQL server is treated as a legacy</w:t>
      </w:r>
      <w:r>
        <w:t xml:space="preserve"> </w:t>
      </w:r>
      <w:r>
        <w:t xml:space="preserve">embarrassment. That instinct is now worth re-examining. With wide-area</w:t>
      </w:r>
      <w:r>
        <w:t xml:space="preserve"> </w:t>
      </w:r>
      <w:r>
        <w:t xml:space="preserve">networking that is both fast and application-aware, and with token-based</w:t>
      </w:r>
      <w:r>
        <w:t xml:space="preserve"> </w:t>
      </w:r>
      <w:r>
        <w:t xml:space="preserve">security that travels identity with every request,</w:t>
      </w:r>
      <w:r>
        <w:t xml:space="preserve"> </w:t>
      </w:r>
      <w:r>
        <w:rPr>
          <w:b/>
          <w:bCs/>
        </w:rPr>
        <w:t xml:space="preserve">is it more efficient to</w:t>
      </w:r>
      <w:r>
        <w:rPr>
          <w:b/>
          <w:bCs/>
        </w:rPr>
        <w:t xml:space="preserve"> </w:t>
      </w:r>
      <w:r>
        <w:rPr>
          <w:b/>
          <w:bCs/>
        </w:rPr>
        <w:t xml:space="preserve">consolidate onto large, centralized database servers — to fight data drift and</w:t>
      </w:r>
      <w:r>
        <w:rPr>
          <w:b/>
          <w:bCs/>
        </w:rPr>
        <w:t xml:space="preserve"> </w:t>
      </w:r>
      <w:r>
        <w:rPr>
          <w:b/>
          <w:bCs/>
        </w:rPr>
        <w:t xml:space="preserve">stay close to a single source of truth?</w:t>
      </w:r>
    </w:p>
    <w:p>
      <w:pPr>
        <w:pStyle w:val="BodyText"/>
      </w:pPr>
      <w:r>
        <w:t xml:space="preserve">This white paper’s answer is a qualified</w:t>
      </w:r>
      <w:r>
        <w:t xml:space="preserve"> </w:t>
      </w:r>
      <w:r>
        <w:rPr>
          <w:i/>
          <w:iCs/>
        </w:rPr>
        <w:t xml:space="preserve">yes</w:t>
      </w:r>
      <w:r>
        <w:t xml:space="preserve">, with one hard boundary set by</w:t>
      </w:r>
      <w:r>
        <w:t xml:space="preserve"> </w:t>
      </w:r>
      <w:r>
        <w:t xml:space="preserve">physics. The qualification matters as much as the answer.</w:t>
      </w:r>
    </w:p>
    <w:bookmarkEnd w:id="18"/>
    <w:bookmarkStart w:id="22" w:name="Xd070e5055b4e674176fbe4d0654f93b02701864"/>
    <w:p>
      <w:pPr>
        <w:pStyle w:val="Heading2"/>
      </w:pPr>
      <w:r>
        <w:t xml:space="preserve">The three forces pushing toward consolidation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Force</w:t>
            </w:r>
          </w:p>
        </w:tc>
        <w:tc>
          <w:tcPr/>
          <w:p>
            <w:pPr>
              <w:pStyle w:val="Compact"/>
            </w:pPr>
            <w:r>
              <w:t xml:space="preserve">What it removes</w:t>
            </w:r>
          </w:p>
        </w:tc>
        <w:tc>
          <w:tcPr/>
          <w:p>
            <w:pPr>
              <w:pStyle w:val="Compact"/>
            </w:pPr>
            <w:r>
              <w:t xml:space="preserve">Consequence for data topology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Fat, application-aware WAN</w:t>
            </w:r>
          </w:p>
        </w:tc>
        <w:tc>
          <w:tcPr/>
          <w:p>
            <w:pPr>
              <w:pStyle w:val="Compact"/>
            </w:pPr>
            <w:r>
              <w:t xml:space="preserve">The latency penalty that forced data to sit physically next to compute</w:t>
            </w:r>
          </w:p>
        </w:tc>
        <w:tc>
          <w:tcPr/>
          <w:p>
            <w:pPr>
              <w:pStyle w:val="Compact"/>
            </w:pPr>
            <w:r>
              <w:t xml:space="preserve">You can centralize the</w:t>
            </w:r>
            <w:r>
              <w:t xml:space="preserve"> </w:t>
            </w:r>
            <w:r>
              <w:rPr>
                <w:i/>
                <w:iCs/>
              </w:rPr>
              <w:t xml:space="preserve">system of record</w:t>
            </w:r>
            <w:r>
              <w:t xml:space="preserve"> </w:t>
            </w:r>
            <w:r>
              <w:t xml:space="preserve">without the old performance tax — at least within a region.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Token-based (zero-trust) security</w:t>
            </w:r>
          </w:p>
        </w:tc>
        <w:tc>
          <w:tcPr/>
          <w:p>
            <w:pPr>
              <w:pStyle w:val="Compact"/>
            </w:pPr>
            <w:r>
              <w:t xml:space="preserve">The need to fragment data behind network perimeters for isolation</w:t>
            </w:r>
          </w:p>
        </w:tc>
        <w:tc>
          <w:tcPr/>
          <w:p>
            <w:pPr>
              <w:pStyle w:val="Compact"/>
            </w:pPr>
            <w:r>
              <w:t xml:space="preserve">One logical store can safely serve many trust domains; you no longer shard</w:t>
            </w:r>
            <w:r>
              <w:t xml:space="preserve"> </w:t>
            </w:r>
            <w:r>
              <w:rPr>
                <w:i/>
                <w:iCs/>
              </w:rPr>
              <w:t xml:space="preserve">for security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SSOT discipline</w:t>
            </w:r>
          </w:p>
        </w:tc>
        <w:tc>
          <w:tcPr/>
          <w:p>
            <w:pPr>
              <w:pStyle w:val="Compact"/>
            </w:pPr>
            <w:r>
              <w:t xml:space="preserve">The reconciliation cost of many divergent copies</w:t>
            </w:r>
          </w:p>
        </w:tc>
        <w:tc>
          <w:tcPr/>
          <w:p>
            <w:pPr>
              <w:pStyle w:val="Compact"/>
            </w:pPr>
            <w:r>
              <w:t xml:space="preserve">Fewer authoritative copies means less drift, fewer</w:t>
            </w:r>
            <w:r>
              <w:t xml:space="preserve"> </w:t>
            </w:r>
            <w:r>
              <w:t xml:space="preserve">“which number is correct?”</w:t>
            </w:r>
            <w:r>
              <w:t xml:space="preserve"> </w:t>
            </w:r>
            <w:r>
              <w:t xml:space="preserve">incidents, and a model one engineer can hold.</w:t>
            </w:r>
          </w:p>
        </w:tc>
      </w:tr>
    </w:tbl>
    <w:p>
      <w:pPr>
        <w:pStyle w:val="BodyText"/>
      </w:pPr>
      <w:r>
        <w:t xml:space="preserve">Each force is real, and together they justify pulling authority back toward the</w:t>
      </w:r>
      <w:r>
        <w:t xml:space="preserve"> </w:t>
      </w:r>
      <w:r>
        <w:t xml:space="preserve">center. The microservices-era fragmentation created drift that the original</w:t>
      </w:r>
      <w:r>
        <w:t xml:space="preserve"> </w:t>
      </w:r>
      <w:r>
        <w:t xml:space="preserve">gospel never budgeted for; consolidating the</w:t>
      </w:r>
      <w:r>
        <w:t xml:space="preserve"> </w:t>
      </w:r>
      <w:r>
        <w:rPr>
          <w:i/>
          <w:iCs/>
        </w:rPr>
        <w:t xml:space="preserve">truth</w:t>
      </w:r>
      <w:r>
        <w:t xml:space="preserve"> </w:t>
      </w:r>
      <w:r>
        <w:t xml:space="preserve">is a defensible, and</w:t>
      </w:r>
      <w:r>
        <w:t xml:space="preserve"> </w:t>
      </w:r>
      <w:r>
        <w:t xml:space="preserve">increasingly common, correction.</w:t>
      </w:r>
    </w:p>
    <w:p>
      <w:pPr>
        <w:pStyle w:val="CaptionedFigure"/>
      </w:pPr>
      <w:r>
        <w:drawing>
          <wp:inline>
            <wp:extent cx="5334000" cy="2159821"/>
            <wp:effectExtent b="0" l="0" r="0" t="0"/>
            <wp:docPr descr="Three forces push toward logical centralization; physical centralization stops at the speed-of-light floor." title="" id="20" name="Picture"/>
            <a:graphic>
              <a:graphicData uri="http://schemas.openxmlformats.org/drawingml/2006/picture">
                <pic:pic>
                  <pic:nvPicPr>
                    <pic:cNvPr descr="/home/runner/work/modernization-workbook/modernization-workbook/docs/images/diagrams/ssot-network-physics/png/ch00-three-forc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9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Three forces push toward logical centralization; physical centralization stops at the speed-of-light floor.</w:t>
      </w:r>
    </w:p>
    <w:bookmarkEnd w:id="22"/>
    <w:bookmarkStart w:id="23" w:name="the-distinction-that-prevents-the-trap"/>
    <w:p>
      <w:pPr>
        <w:pStyle w:val="Heading2"/>
      </w:pPr>
      <w:r>
        <w:t xml:space="preserve">The distinction that prevents the trap</w:t>
      </w:r>
    </w:p>
    <w:p>
      <w:pPr>
        <w:pStyle w:val="FirstParagraph"/>
      </w:pPr>
      <w:r>
        <w:t xml:space="preserve">The single most important idea in this paper is the separation of two things</w:t>
      </w:r>
      <w:r>
        <w:t xml:space="preserve"> </w:t>
      </w:r>
      <w:r>
        <w:t xml:space="preserve">that the word</w:t>
      </w:r>
      <w:r>
        <w:t xml:space="preserve"> </w:t>
      </w:r>
      <w:r>
        <w:t xml:space="preserve">“centralize”</w:t>
      </w:r>
      <w:r>
        <w:t xml:space="preserve"> </w:t>
      </w:r>
      <w:r>
        <w:t xml:space="preserve">carelessly fuses:</w:t>
      </w:r>
    </w:p>
    <w:bookmarkEnd w:id="23"/>
    <w:bookmarkStart w:id="24" w:name="X9cec60b2344f7ef5c5fac5d656738e3b0e5f121"/>
    <w:p>
      <w:pPr>
        <w:pStyle w:val="Heading2"/>
      </w:pPr>
      <w:r>
        <w:t xml:space="preserve">Logical centralization is good; physical centralization hits walls.</w:t>
      </w:r>
    </w:p>
    <w:p>
      <w:pPr>
        <w:pStyle w:val="FirstParagraph"/>
      </w:pPr>
      <w:r>
        <w:rPr>
          <w:b/>
          <w:bCs/>
        </w:rPr>
        <w:t xml:space="preserve">Centralize the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truth</w:t>
      </w:r>
      <w:r>
        <w:rPr>
          <w:b/>
          <w:bCs/>
        </w:rPr>
        <w:t xml:space="preserve"> </w:t>
      </w:r>
      <w:r>
        <w:rPr>
          <w:b/>
          <w:bCs/>
        </w:rPr>
        <w:t xml:space="preserve">— one authoritative source of record. Distribute the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copies</w:t>
      </w:r>
      <w:r>
        <w:rPr>
          <w:b/>
          <w:bCs/>
        </w:rPr>
        <w:t xml:space="preserve"> </w:t>
      </w:r>
      <w:r>
        <w:rPr>
          <w:b/>
          <w:bCs/>
        </w:rPr>
        <w:t xml:space="preserve">— read replicas, caches, edge stores — and keep them explicitly</w:t>
      </w:r>
      <w:r>
        <w:rPr>
          <w:b/>
          <w:bCs/>
        </w:rPr>
        <w:t xml:space="preserve"> </w:t>
      </w:r>
      <w:r>
        <w:rPr>
          <w:b/>
          <w:bCs/>
        </w:rPr>
        <w:t xml:space="preserve">subordinate, derived, and disposable.</w:t>
      </w:r>
      <w:r>
        <w:t xml:space="preserve"> </w:t>
      </w:r>
      <w:r>
        <w:t xml:space="preserve">A convenience copy must never be</w:t>
      </w:r>
      <w:r>
        <w:t xml:space="preserve"> </w:t>
      </w:r>
      <w:r>
        <w:t xml:space="preserve">allowed to quietly promote itself to a source of truth. That promotion is where</w:t>
      </w:r>
      <w:r>
        <w:t xml:space="preserve"> </w:t>
      </w:r>
      <w:r>
        <w:t xml:space="preserve">drift is born.</w:t>
      </w:r>
    </w:p>
    <w:bookmarkEnd w:id="24"/>
    <w:p>
      <w:pPr>
        <w:pStyle w:val="BodyText"/>
      </w:pPr>
      <w:r>
        <w:t xml:space="preserve">Physical centralization — one big server in one place — still runs into walls</w:t>
      </w:r>
      <w:r>
        <w:t xml:space="preserve"> </w:t>
      </w:r>
      <w:r>
        <w:t xml:space="preserve">that no amount of clever networking removes: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The speed of light.</w:t>
      </w:r>
      <w:r>
        <w:t xml:space="preserve"> </w:t>
      </w:r>
      <w:r>
        <w:t xml:space="preserve">WAN got fast in</w:t>
      </w:r>
      <w:r>
        <w:t xml:space="preserve"> </w:t>
      </w:r>
      <w:r>
        <w:rPr>
          <w:i/>
          <w:iCs/>
        </w:rPr>
        <w:t xml:space="preserve">bandwidth</w:t>
      </w:r>
      <w:r>
        <w:t xml:space="preserve">; it did not get fast in</w:t>
      </w:r>
      <w:r>
        <w:t xml:space="preserve"> </w:t>
      </w:r>
      <w:r>
        <w:rPr>
          <w:i/>
          <w:iCs/>
        </w:rPr>
        <w:t xml:space="preserve">latency</w:t>
      </w:r>
      <w:r>
        <w:t xml:space="preserve">. Strong consistency across continents is a latency problem, and the</w:t>
      </w:r>
      <w:r>
        <w:t xml:space="preserve"> </w:t>
      </w:r>
      <w:r>
        <w:t xml:space="preserve">propagation floor is fixed by distance.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Blast radius.</w:t>
      </w:r>
      <w:r>
        <w:t xml:space="preserve"> </w:t>
      </w:r>
      <w:r>
        <w:t xml:space="preserve">One central server is one outage, one bad migration, one</w:t>
      </w:r>
      <w:r>
        <w:t xml:space="preserve"> </w:t>
      </w:r>
      <w:r>
        <w:t xml:space="preserve">noisy tenant away from taking everything down. Distribution is partly a</w:t>
      </w:r>
      <w:r>
        <w:t xml:space="preserve"> </w:t>
      </w:r>
      <w:r>
        <w:rPr>
          <w:i/>
          <w:iCs/>
        </w:rPr>
        <w:t xml:space="preserve">failure-domain</w:t>
      </w:r>
      <w:r>
        <w:t xml:space="preserve"> </w:t>
      </w:r>
      <w:r>
        <w:t xml:space="preserve">strategy, not only a performance one.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Data residency and sovereignty.</w:t>
      </w:r>
      <w:r>
        <w:t xml:space="preserve"> </w:t>
      </w:r>
      <w:r>
        <w:t xml:space="preserve">Some data legally cannot sit in one</w:t>
      </w:r>
      <w:r>
        <w:t xml:space="preserve"> </w:t>
      </w:r>
      <w:r>
        <w:t xml:space="preserve">central place, regardless of how good the network is. This veto is political,</w:t>
      </w:r>
      <w:r>
        <w:t xml:space="preserve"> </w:t>
      </w:r>
      <w:r>
        <w:t xml:space="preserve">not technical, so no technology removes it.</w:t>
      </w:r>
    </w:p>
    <w:bookmarkStart w:id="25" w:name="the-wall-and-the-way-around-it"/>
    <w:p>
      <w:pPr>
        <w:pStyle w:val="Heading2"/>
      </w:pPr>
      <w:r>
        <w:t xml:space="preserve">The wall, and the way around it</w:t>
      </w:r>
    </w:p>
    <w:p>
      <w:pPr>
        <w:pStyle w:val="FirstParagraph"/>
      </w:pPr>
      <w:r>
        <w:t xml:space="preserve">Chapters 3 and 4 confront the speed-of-light tax directly and ask what</w:t>
      </w:r>
      <w:r>
        <w:t xml:space="preserve"> </w:t>
      </w:r>
      <w:r>
        <w:t xml:space="preserve">modern networking — specifically</w:t>
      </w:r>
      <w:r>
        <w:t xml:space="preserve"> </w:t>
      </w:r>
      <w:r>
        <w:rPr>
          <w:b/>
          <w:bCs/>
        </w:rPr>
        <w:t xml:space="preserve">SD-WAN differentiated transport</w:t>
      </w:r>
      <w:r>
        <w:t xml:space="preserve">, which</w:t>
      </w:r>
      <w:r>
        <w:t xml:space="preserve"> </w:t>
      </w:r>
      <w:r>
        <w:t xml:space="preserve">can steer latency-critical traffic onto a lean low-latency path while pushing</w:t>
      </w:r>
      <w:r>
        <w:t xml:space="preserve"> </w:t>
      </w:r>
      <w:r>
        <w:t xml:space="preserve">bulk traffic onto a fat slower one — can actually do for keeping large</w:t>
      </w:r>
      <w:r>
        <w:t xml:space="preserve"> </w:t>
      </w:r>
      <w:r>
        <w:t xml:space="preserve">databases in sync.</w:t>
      </w:r>
    </w:p>
    <w:p>
      <w:pPr>
        <w:pStyle w:val="BodyText"/>
      </w:pPr>
      <w:r>
        <w:t xml:space="preserve">The honest finding: SD-WAN attacks the (usually large) gap between the latency</w:t>
      </w:r>
      <w:r>
        <w:t xml:space="preserve"> </w:t>
      </w:r>
      <w:r>
        <w:t xml:space="preserve">you</w:t>
      </w:r>
      <w:r>
        <w:t xml:space="preserve"> </w:t>
      </w:r>
      <w:r>
        <w:rPr>
          <w:i/>
          <w:iCs/>
        </w:rPr>
        <w:t xml:space="preserve">observe</w:t>
      </w:r>
      <w:r>
        <w:t xml:space="preserve"> </w:t>
      </w:r>
      <w:r>
        <w:t xml:space="preserve">and the physical floor, and that gap is where most real-world</w:t>
      </w:r>
      <w:r>
        <w:t xml:space="preserve"> </w:t>
      </w:r>
      <w:r>
        <w:t xml:space="preserve">sync pain lives. It cannot move the floor itself. The architecturally correct</w:t>
      </w:r>
      <w:r>
        <w:t xml:space="preserve"> </w:t>
      </w:r>
      <w:r>
        <w:t xml:space="preserve">response, therefore, is not to make global synchronization fast — it is to</w:t>
      </w:r>
      <w:r>
        <w:t xml:space="preserve"> </w:t>
      </w:r>
      <w:r>
        <w:rPr>
          <w:b/>
          <w:bCs/>
        </w:rPr>
        <w:t xml:space="preserve">need less of it</w:t>
      </w:r>
      <w:r>
        <w:t xml:space="preserve">: keep strong consistency inside a region where it is nearly</w:t>
      </w:r>
      <w:r>
        <w:t xml:space="preserve"> </w:t>
      </w:r>
      <w:r>
        <w:t xml:space="preserve">free, and let everything that crosses a continent be asynchronous,</w:t>
      </w:r>
      <w:r>
        <w:t xml:space="preserve"> </w:t>
      </w:r>
      <w:r>
        <w:t xml:space="preserve">eventually-consistent, or merge-friendly by design.</w:t>
      </w:r>
    </w:p>
    <w:bookmarkEnd w:id="25"/>
    <w:bookmarkStart w:id="26" w:name="Xd6bc9bcabc64e29777a5f8392342a73655ee6d9"/>
    <w:p>
      <w:pPr>
        <w:pStyle w:val="Heading2"/>
      </w:pPr>
      <w:r>
        <w:t xml:space="preserve">The Federal Modernization Program reference example</w:t>
      </w:r>
    </w:p>
    <w:p>
      <w:pPr>
        <w:pStyle w:val="FirstParagraph"/>
      </w:pPr>
      <w:r>
        <w:t xml:space="preserve">The Federal Modernization Program’s own SaaS data plane already embodies this doctrine, and the paper uses</w:t>
      </w:r>
      <w:r>
        <w:t xml:space="preserve"> </w:t>
      </w:r>
      <w:r>
        <w:t xml:space="preserve">it as the worked example throughout: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One shared, single-region PostgreSQL store</w:t>
      </w:r>
      <w:r>
        <w:t xml:space="preserve"> </w:t>
      </w:r>
      <w:r>
        <w:t xml:space="preserve">is the tenant registry and</w:t>
      </w:r>
      <w:r>
        <w:t xml:space="preserve"> </w:t>
      </w:r>
      <w:r>
        <w:t xml:space="preserve">system of record — logical centralization (the program decision).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Passwordless, token-based authentication</w:t>
      </w:r>
      <w:r>
        <w:t xml:space="preserve"> </w:t>
      </w:r>
      <w:r>
        <w:t xml:space="preserve">(an Entra access token used as</w:t>
      </w:r>
      <w:r>
        <w:t xml:space="preserve"> </w:t>
      </w:r>
      <w:r>
        <w:t xml:space="preserve">the database password) makes that shared store safe to operate and removes</w:t>
      </w:r>
      <w:r>
        <w:t xml:space="preserve"> </w:t>
      </w:r>
      <w:r>
        <w:t xml:space="preserve">the highest-value secret in the deployment (the program decision) — the enabler force made</w:t>
      </w:r>
      <w:r>
        <w:t xml:space="preserve"> </w:t>
      </w:r>
      <w:r>
        <w:t xml:space="preserve">concrete.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A control-plane</w:t>
      </w:r>
      <w:r>
        <w:rPr>
          <w:b/>
          <w:bCs/>
        </w:rPr>
        <w:t xml:space="preserve"> </w:t>
      </w:r>
      <w:r>
        <w:rPr>
          <w:b/>
          <w:bCs/>
        </w:rPr>
        <w:t xml:space="preserve">“stamp”</w:t>
      </w:r>
      <w:r>
        <w:t xml:space="preserve"> </w:t>
      </w:r>
      <w:r>
        <w:t xml:space="preserve">provisions dedicated, physically-isolated</w:t>
      </w:r>
      <w:r>
        <w:t xml:space="preserve"> </w:t>
      </w:r>
      <w:r>
        <w:t xml:space="preserve">resources</w:t>
      </w:r>
      <w:r>
        <w:t xml:space="preserve"> </w:t>
      </w:r>
      <w:r>
        <w:rPr>
          <w:i/>
          <w:iCs/>
        </w:rPr>
        <w:t xml:space="preserve">only</w:t>
      </w:r>
      <w:r>
        <w:t xml:space="preserve"> </w:t>
      </w:r>
      <w:r>
        <w:t xml:space="preserve">for customers whose compliance posture requires it — the</w:t>
      </w:r>
      <w:r>
        <w:t xml:space="preserve"> </w:t>
      </w:r>
      <w:r>
        <w:t xml:space="preserve">distribute-where-you-must escape hatch, kept as an exception rather than the</w:t>
      </w:r>
      <w:r>
        <w:t xml:space="preserve"> </w:t>
      </w:r>
      <w:r>
        <w:t xml:space="preserve">default (the program decision).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No global synchronous write path exists</w:t>
      </w:r>
      <w:r>
        <w:t xml:space="preserve">, on purpose — the Federal Modernization Program’s answer to</w:t>
      </w:r>
      <w:r>
        <w:t xml:space="preserve"> </w:t>
      </w:r>
      <w:r>
        <w:t xml:space="preserve">the speed-of-light tax is to not span it synchronously in the first place.</w:t>
      </w:r>
    </w:p>
    <w:bookmarkEnd w:id="26"/>
    <w:bookmarkStart w:id="27" w:name="how-to-read-this-paper"/>
    <w:p>
      <w:pPr>
        <w:pStyle w:val="Heading2"/>
      </w:pPr>
      <w:r>
        <w:t xml:space="preserve">How to read this paper</w:t>
      </w:r>
    </w:p>
    <w:p>
      <w:pPr>
        <w:pStyle w:val="FirstParagraph"/>
      </w:pPr>
      <w:r>
        <w:t xml:space="preserve">Chapter 1 makes the case for logical centralization and SSOT. Chapter 2 shows</w:t>
      </w:r>
      <w:r>
        <w:t xml:space="preserve"> </w:t>
      </w:r>
      <w:r>
        <w:t xml:space="preserve">why token-based security is the keystone that makes consolidation safe on the</w:t>
      </w:r>
      <w:r>
        <w:t xml:space="preserve"> </w:t>
      </w:r>
      <w:r>
        <w:t xml:space="preserve">data plane. Chapter 3 establishes the physics floor. Chapter 4 details what</w:t>
      </w:r>
      <w:r>
        <w:t xml:space="preserve"> </w:t>
      </w:r>
      <w:r>
        <w:t xml:space="preserve">SD-WAN can and cannot buy a database tier. Chapter 5 — forward-looking, on the</w:t>
      </w:r>
      <w:r>
        <w:t xml:space="preserve"> </w:t>
      </w:r>
      <w:r>
        <w:t xml:space="preserve">proposed the program decision transport plane — extends token-based security from data</w:t>
      </w:r>
      <w:r>
        <w:t xml:space="preserve"> </w:t>
      </w:r>
      <w:r>
        <w:rPr>
          <w:i/>
          <w:iCs/>
        </w:rPr>
        <w:t xml:space="preserve">access</w:t>
      </w:r>
      <w:r>
        <w:t xml:space="preserve"> </w:t>
      </w:r>
      <w:r>
        <w:t xml:space="preserve">to the network</w:t>
      </w:r>
      <w:r>
        <w:t xml:space="preserve"> </w:t>
      </w:r>
      <w:r>
        <w:rPr>
          <w:i/>
          <w:iCs/>
        </w:rPr>
        <w:t xml:space="preserve">path</w:t>
      </w:r>
      <w:r>
        <w:t xml:space="preserve"> </w:t>
      </w:r>
      <w:r>
        <w:t xml:space="preserve">itself, so</w:t>
      </w:r>
      <w:r>
        <w:t xml:space="preserve"> </w:t>
      </w:r>
      <w:r>
        <w:t xml:space="preserve">“identity is the new boundary”</w:t>
      </w:r>
      <w:r>
        <w:t xml:space="preserve"> </w:t>
      </w:r>
      <w:r>
        <w:t xml:space="preserve">holds</w:t>
      </w:r>
      <w:r>
        <w:t xml:space="preserve"> </w:t>
      </w:r>
      <w:r>
        <w:t xml:space="preserve">on both planes. Chapter 6 unifies the data and network layers into a single</w:t>
      </w:r>
      <w:r>
        <w:t xml:space="preserve"> </w:t>
      </w:r>
      <w:r>
        <w:t xml:space="preserve">design rule. Chapter 7 walks the Federal Modernization Program implementation end to end and names the</w:t>
      </w:r>
      <w:r>
        <w:t xml:space="preserve"> </w:t>
      </w:r>
      <w:r>
        <w:t xml:space="preserve">one risk this whole bet imports.</w:t>
      </w:r>
    </w:p>
    <w:bookmarkEnd w:id="27"/>
    <w:bookmarkEnd w:id="28"/>
    <w:bookmarkStart w:id="39" w:name="X7594879e169c50bc2c91e2c7649a35364e191f8"/>
    <w:p>
      <w:pPr>
        <w:pStyle w:val="Heading1"/>
      </w:pPr>
      <w:r>
        <w:t xml:space="preserve">Logical Centralization and the Single Source of Truth</w:t>
      </w:r>
    </w:p>
    <w:bookmarkStart w:id="29" w:name="the-objection-that-no-longer-holds"/>
    <w:p>
      <w:pPr>
        <w:pStyle w:val="Heading2"/>
      </w:pPr>
      <w:r>
        <w:t xml:space="preserve">The objection that no longer holds</w:t>
      </w:r>
    </w:p>
    <w:p>
      <w:pPr>
        <w:pStyle w:val="FirstParagraph"/>
      </w:pPr>
      <w:r>
        <w:t xml:space="preserve">The original case for fragmenting data into many small databases rested on two</w:t>
      </w:r>
      <w:r>
        <w:t xml:space="preserve"> </w:t>
      </w:r>
      <w:r>
        <w:t xml:space="preserve">loadbearing claims: that a single server could not scale to the workload, and</w:t>
      </w:r>
      <w:r>
        <w:t xml:space="preserve"> </w:t>
      </w:r>
      <w:r>
        <w:t xml:space="preserve">that independent services needed independent stores to deploy and fail</w:t>
      </w:r>
      <w:r>
        <w:t xml:space="preserve"> </w:t>
      </w:r>
      <w:r>
        <w:t xml:space="preserve">independently. Both claims have weakened to the point of reversal.</w:t>
      </w:r>
    </w:p>
    <w:p>
      <w:pPr>
        <w:pStyle w:val="BodyText"/>
      </w:pPr>
      <w:r>
        <w:rPr>
          <w:b/>
          <w:bCs/>
        </w:rPr>
        <w:t xml:space="preserve">Hardware ate the scaling objection.</w:t>
      </w:r>
      <w:r>
        <w:t xml:space="preserve"> </w:t>
      </w:r>
      <w:r>
        <w:t xml:space="preserve">A single commodity server today carries</w:t>
      </w:r>
      <w:r>
        <w:t xml:space="preserve"> </w:t>
      </w:r>
      <w:r>
        <w:t xml:space="preserve">dozens of cores, hundreds of gigabytes to multiple terabytes of RAM, and NVMe</w:t>
      </w:r>
      <w:r>
        <w:t xml:space="preserve"> </w:t>
      </w:r>
      <w:r>
        <w:t xml:space="preserve">storage delivering millions of IOPS. A workload that demanded a sharded cluster</w:t>
      </w:r>
      <w:r>
        <w:t xml:space="preserve"> </w:t>
      </w:r>
      <w:r>
        <w:t xml:space="preserve">a decade ago now fits comfortably on one node with headroom to spare. The</w:t>
      </w:r>
      <w:r>
        <w:t xml:space="preserve"> </w:t>
      </w:r>
      <w:r>
        <w:t xml:space="preserve">overwhelming majority of organizations never outgrow a single well-provisioned</w:t>
      </w:r>
      <w:r>
        <w:t xml:space="preserve"> </w:t>
      </w:r>
      <w:r>
        <w:t xml:space="preserve">database.</w:t>
      </w:r>
      <w:r>
        <w:t xml:space="preserve"> </w:t>
      </w:r>
      <w:r>
        <w:rPr>
          <w:i/>
          <w:iCs/>
        </w:rPr>
        <w:t xml:space="preserve">Vertical scaling is now the correct first move, and frequently the</w:t>
      </w:r>
      <w:r>
        <w:rPr>
          <w:i/>
          <w:iCs/>
        </w:rPr>
        <w:t xml:space="preserve"> </w:t>
      </w:r>
      <w:r>
        <w:rPr>
          <w:i/>
          <w:iCs/>
        </w:rPr>
        <w:t xml:space="preserve">only move ever needed.</w:t>
      </w:r>
    </w:p>
    <w:p>
      <w:pPr>
        <w:pStyle w:val="BodyText"/>
      </w:pPr>
      <w:r>
        <w:rPr>
          <w:b/>
          <w:bCs/>
        </w:rPr>
        <w:t xml:space="preserve">The independence claim quietly imported a cost nobody priced.</w:t>
      </w:r>
      <w:r>
        <w:t xml:space="preserve"> </w:t>
      </w:r>
      <w:r>
        <w:t xml:space="preserve">Every</w:t>
      </w:r>
      <w:r>
        <w:t xml:space="preserve"> </w:t>
      </w:r>
      <w:r>
        <w:t xml:space="preserve">independent store is an independent copy of some shared truth — a customer</w:t>
      </w:r>
      <w:r>
        <w:t xml:space="preserve"> </w:t>
      </w:r>
      <w:r>
        <w:t xml:space="preserve">record, a price, an entitlement — and every copy is a liability: a place to go</w:t>
      </w:r>
      <w:r>
        <w:t xml:space="preserve"> </w:t>
      </w:r>
      <w:r>
        <w:t xml:space="preserve">stale, to diverge, to silently disagree. The microservices era treated those</w:t>
      </w:r>
      <w:r>
        <w:t xml:space="preserve"> </w:t>
      </w:r>
      <w:r>
        <w:t xml:space="preserve">copies as free. They are not. They are paid for later, in reconciliation jobs,</w:t>
      </w:r>
      <w:r>
        <w:t xml:space="preserve"> </w:t>
      </w:r>
      <w:r>
        <w:t xml:space="preserve">in eventual-consistency archaeology, and in incidents that begin with the</w:t>
      </w:r>
      <w:r>
        <w:t xml:space="preserve"> </w:t>
      </w:r>
      <w:r>
        <w:t xml:space="preserve">sentence</w:t>
      </w:r>
      <w:r>
        <w:t xml:space="preserve"> </w:t>
      </w:r>
      <w:r>
        <w:t xml:space="preserve">“which system has the right number?”</w:t>
      </w:r>
    </w:p>
    <w:bookmarkEnd w:id="29"/>
    <w:bookmarkStart w:id="33" w:name="X256b7e3f3dcc9517f09dd61f659ef3d485668ad"/>
    <w:p>
      <w:pPr>
        <w:pStyle w:val="Heading2"/>
      </w:pPr>
      <w:r>
        <w:t xml:space="preserve">What a single source of truth actually buys</w:t>
      </w:r>
    </w:p>
    <w:p>
      <w:pPr>
        <w:pStyle w:val="FirstParagraph"/>
      </w:pPr>
      <w:r>
        <w:t xml:space="preserve">A single authoritative source of record is not merely tidier — it is</w:t>
      </w:r>
      <w:r>
        <w:t xml:space="preserve"> </w:t>
      </w:r>
      <w:r>
        <w:rPr>
          <w:i/>
          <w:iCs/>
        </w:rPr>
        <w:t xml:space="preserve">cheaper to reason about</w:t>
      </w:r>
      <w:r>
        <w:t xml:space="preserve">, which is the scarcest resource in any large system.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Property</w:t>
            </w:r>
          </w:p>
        </w:tc>
        <w:tc>
          <w:tcPr/>
          <w:p>
            <w:pPr>
              <w:pStyle w:val="Compact"/>
            </w:pPr>
            <w:r>
              <w:t xml:space="preserve">Many small stores</w:t>
            </w:r>
          </w:p>
        </w:tc>
        <w:tc>
          <w:tcPr/>
          <w:p>
            <w:pPr>
              <w:pStyle w:val="Compact"/>
            </w:pPr>
            <w:r>
              <w:t xml:space="preserve">One logical source of truth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Cross-entity invariants</w:t>
            </w:r>
          </w:p>
        </w:tc>
        <w:tc>
          <w:tcPr/>
          <w:p>
            <w:pPr>
              <w:pStyle w:val="Compact"/>
            </w:pPr>
            <w:r>
              <w:t xml:space="preserve">Enforced by application code and reconciliation, eventually</w:t>
            </w:r>
          </w:p>
        </w:tc>
        <w:tc>
          <w:tcPr/>
          <w:p>
            <w:pPr>
              <w:pStyle w:val="Compact"/>
            </w:pPr>
            <w:r>
              <w:t xml:space="preserve">Enforced by the database — real foreign keys, real transactions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Joins across the data</w:t>
            </w:r>
          </w:p>
        </w:tc>
        <w:tc>
          <w:tcPr/>
          <w:p>
            <w:pPr>
              <w:pStyle w:val="Compact"/>
            </w:pPr>
            <w:r>
              <w:t xml:space="preserve">Distributed query, fan-out, or duplicated data</w:t>
            </w:r>
          </w:p>
        </w:tc>
        <w:tc>
          <w:tcPr/>
          <w:p>
            <w:pPr>
              <w:pStyle w:val="Compact"/>
            </w:pPr>
            <w:r>
              <w:t xml:space="preserve">A local</w:t>
            </w:r>
            <w:r>
              <w:t xml:space="preserve"> </w:t>
            </w:r>
            <w:r>
              <w:rPr>
                <w:rStyle w:val="VerbatimChar"/>
              </w:rPr>
              <w:t xml:space="preserve">JOIN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“Which value is correct?”</w:t>
            </w:r>
          </w:p>
        </w:tc>
        <w:tc>
          <w:tcPr/>
          <w:p>
            <w:pPr>
              <w:pStyle w:val="Compact"/>
            </w:pPr>
            <w:r>
              <w:t xml:space="preserve">A judgment call, often an incident</w:t>
            </w:r>
          </w:p>
        </w:tc>
        <w:tc>
          <w:tcPr/>
          <w:p>
            <w:pPr>
              <w:pStyle w:val="Compact"/>
            </w:pPr>
            <w:r>
              <w:t xml:space="preserve">Defined — there is exactly 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Drift surface</w:t>
            </w:r>
          </w:p>
        </w:tc>
        <w:tc>
          <w:tcPr/>
          <w:p>
            <w:pPr>
              <w:pStyle w:val="Compact"/>
            </w:pPr>
            <w:r>
              <w:t xml:space="preserve">One per copy, multiplied by every replication path</w:t>
            </w:r>
          </w:p>
        </w:tc>
        <w:tc>
          <w:tcPr/>
          <w:p>
            <w:pPr>
              <w:pStyle w:val="Compact"/>
            </w:pPr>
            <w:r>
              <w:t xml:space="preserve">Minimized to the derived copies you explicitly create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Mental model</w:t>
            </w:r>
          </w:p>
        </w:tc>
        <w:tc>
          <w:tcPr/>
          <w:p>
            <w:pPr>
              <w:pStyle w:val="Compact"/>
            </w:pPr>
            <w:r>
              <w:t xml:space="preserve">N schemas and their interactions</w:t>
            </w:r>
          </w:p>
        </w:tc>
        <w:tc>
          <w:tcPr/>
          <w:p>
            <w:pPr>
              <w:pStyle w:val="Compact"/>
            </w:pPr>
            <w:r>
              <w:t xml:space="preserve">One schema and its invariants</w:t>
            </w:r>
          </w:p>
        </w:tc>
      </w:tr>
    </w:tbl>
    <w:p>
      <w:pPr>
        <w:pStyle w:val="BodyText"/>
      </w:pPr>
      <w:r>
        <w:t xml:space="preserve">This is the heart of the Federal Modernization Program’s own operating doctrine. The substrate’s first</w:t>
      </w:r>
      <w:r>
        <w:t xml:space="preserve"> </w:t>
      </w:r>
      <w:r>
        <w:t xml:space="preserve">operating principle is unambiguous:</w:t>
      </w:r>
      <w:r>
        <w:t xml:space="preserve"> </w:t>
      </w:r>
      <w:r>
        <w:rPr>
          <w:i/>
          <w:iCs/>
        </w:rPr>
        <w:t xml:space="preserve">every claim has exactly one canonical</w:t>
      </w:r>
      <w:r>
        <w:rPr>
          <w:i/>
          <w:iCs/>
        </w:rPr>
        <w:t xml:space="preserve"> </w:t>
      </w:r>
      <w:r>
        <w:rPr>
          <w:i/>
          <w:iCs/>
        </w:rPr>
        <w:t xml:space="preserve">source; all other representations are provenance-anchored pointers</w:t>
      </w:r>
      <w:r>
        <w:t xml:space="preserve"> </w:t>
      </w:r>
      <w:r>
        <w:t xml:space="preserve">(see</w:t>
      </w:r>
      <w:r>
        <w:t xml:space="preserve"> </w:t>
      </w:r>
      <w:r>
        <w:rPr>
          <w:rStyle w:val="VerbatimChar"/>
        </w:rPr>
        <w:t xml:space="preserve">AGENTS.md</w:t>
      </w:r>
      <w:r>
        <w:t xml:space="preserve"> </w:t>
      </w:r>
      <w:r>
        <w:t xml:space="preserve">operating principles and</w:t>
      </w:r>
      <w:r>
        <w:t xml:space="preserve"> </w:t>
      </w:r>
      <w:r>
        <w:rPr>
          <w:rStyle w:val="VerbatimChar"/>
        </w:rPr>
        <w:t xml:space="preserve">the program decision</w:t>
      </w:r>
      <w:r>
        <w:t xml:space="preserve">). Drift is not an accident to be</w:t>
      </w:r>
      <w:r>
        <w:t xml:space="preserve"> </w:t>
      </w:r>
      <w:r>
        <w:t xml:space="preserve">mopped up; it is a named, first-class failure mode the architecture is built to</w:t>
      </w:r>
      <w:r>
        <w:t xml:space="preserve"> </w:t>
      </w:r>
      <w:r>
        <w:t xml:space="preserve">prevent. Fewer authoritative copies is the most direct lever on that goal.</w:t>
      </w:r>
    </w:p>
    <w:p>
      <w:pPr>
        <w:pStyle w:val="CaptionedFigure"/>
      </w:pPr>
      <w:r>
        <w:drawing>
          <wp:inline>
            <wp:extent cx="5334000" cy="2413309"/>
            <wp:effectExtent b="0" l="0" r="0" t="0"/>
            <wp:docPr descr="Many small authoritative stores drift; one logical source of truth keeps every other copy derived and subordinate." title="" id="31" name="Picture"/>
            <a:graphic>
              <a:graphicData uri="http://schemas.openxmlformats.org/drawingml/2006/picture">
                <pic:pic>
                  <pic:nvPicPr>
                    <pic:cNvPr descr="/home/runner/work/modernization-workbook/modernization-workbook/docs/images/diagrams/ssot-network-physics/png/ch01-ssot-vs-fragmented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33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Many small authoritative stores drift; one logical source of truth keeps every other copy derived and subordinate.</w:t>
      </w:r>
    </w:p>
    <w:bookmarkEnd w:id="33"/>
    <w:bookmarkStart w:id="34" w:name="X989dc5f9b2cd47c63296b025d72ff26b459f288"/>
    <w:p>
      <w:pPr>
        <w:pStyle w:val="Heading2"/>
      </w:pPr>
      <w:r>
        <w:t xml:space="preserve">Logical vs. physical: the distinction that does the work</w:t>
      </w:r>
    </w:p>
    <w:p>
      <w:pPr>
        <w:pStyle w:val="FirstParagraph"/>
      </w:pPr>
      <w:r>
        <w:t xml:space="preserve">“Centralize”</w:t>
      </w:r>
      <w:r>
        <w:t xml:space="preserve"> </w:t>
      </w:r>
      <w:r>
        <w:t xml:space="preserve">hides two very different decisions, and conflating them is the</w:t>
      </w:r>
      <w:r>
        <w:t xml:space="preserve"> </w:t>
      </w:r>
      <w:r>
        <w:t xml:space="preserve">single most common architectural error in this debate.</w:t>
      </w:r>
    </w:p>
    <w:bookmarkEnd w:id="34"/>
    <w:bookmarkStart w:id="35" w:name="two-meanings-of-centralize"/>
    <w:p>
      <w:pPr>
        <w:pStyle w:val="Heading2"/>
      </w:pPr>
      <w:r>
        <w:t xml:space="preserve">Two meanings of</w:t>
      </w:r>
      <w:r>
        <w:t xml:space="preserve"> </w:t>
      </w:r>
      <w:r>
        <w:t xml:space="preserve">“centralize”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Logical centralization</w:t>
      </w:r>
      <w:r>
        <w:t xml:space="preserve"> </w:t>
      </w:r>
      <w:r>
        <w:t xml:space="preserve">—</w:t>
      </w:r>
      <w:r>
        <w:t xml:space="preserve"> </w:t>
      </w:r>
      <w:r>
        <w:rPr>
          <w:i/>
          <w:iCs/>
        </w:rPr>
        <w:t xml:space="preserve">one source of truth.</w:t>
      </w:r>
      <w:r>
        <w:t xml:space="preserve"> </w:t>
      </w:r>
      <w:r>
        <w:t xml:space="preserve">One place that is</w:t>
      </w:r>
      <w:r>
        <w:t xml:space="preserve"> </w:t>
      </w:r>
      <w:r>
        <w:t xml:space="preserve">authoritative for a given fact; everything else derives from it. This is</w:t>
      </w:r>
      <w:r>
        <w:t xml:space="preserve"> </w:t>
      </w:r>
      <w:r>
        <w:t xml:space="preserve">almost always good.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Physical centralization</w:t>
      </w:r>
      <w:r>
        <w:t xml:space="preserve"> </w:t>
      </w:r>
      <w:r>
        <w:t xml:space="preserve">—</w:t>
      </w:r>
      <w:r>
        <w:t xml:space="preserve"> </w:t>
      </w:r>
      <w:r>
        <w:rPr>
          <w:i/>
          <w:iCs/>
        </w:rPr>
        <w:t xml:space="preserve">one server, one location.</w:t>
      </w:r>
      <w:r>
        <w:t xml:space="preserve"> </w:t>
      </w:r>
      <w:r>
        <w:t xml:space="preserve">One machine that</w:t>
      </w:r>
      <w:r>
        <w:t xml:space="preserve"> </w:t>
      </w:r>
      <w:r>
        <w:t xml:space="preserve">holds and serves all the data. This is sometimes good and often constrained</w:t>
      </w:r>
      <w:r>
        <w:t xml:space="preserve"> </w:t>
      </w:r>
      <w:r>
        <w:t xml:space="preserve">by physics, blast radius, and law.</w:t>
      </w:r>
    </w:p>
    <w:bookmarkEnd w:id="35"/>
    <w:p>
      <w:pPr>
        <w:pStyle w:val="FirstParagraph"/>
      </w:pPr>
      <w:r>
        <w:t xml:space="preserve">The goal is the first. The second is an implementation choice you make</w:t>
      </w:r>
      <w:r>
        <w:t xml:space="preserve"> </w:t>
      </w:r>
      <w:r>
        <w:rPr>
          <w:i/>
          <w:iCs/>
        </w:rPr>
        <w:t xml:space="preserve">only as</w:t>
      </w:r>
      <w:r>
        <w:rPr>
          <w:i/>
          <w:iCs/>
        </w:rPr>
        <w:t xml:space="preserve"> </w:t>
      </w:r>
      <w:r>
        <w:rPr>
          <w:i/>
          <w:iCs/>
        </w:rPr>
        <w:t xml:space="preserve">far as it is safe and cheap</w:t>
      </w:r>
      <w:r>
        <w:t xml:space="preserve">, and back away from the moment physics, failure</w:t>
      </w:r>
      <w:r>
        <w:t xml:space="preserve"> </w:t>
      </w:r>
      <w:r>
        <w:t xml:space="preserve">domains, or data-residency law push back (Chapters 3 and 7). You can have one</w:t>
      </w:r>
      <w:r>
        <w:t xml:space="preserve"> </w:t>
      </w:r>
      <w:r>
        <w:t xml:space="preserve">logical source of truth that is physically replicated across three regions for</w:t>
      </w:r>
      <w:r>
        <w:t xml:space="preserve"> </w:t>
      </w:r>
      <w:r>
        <w:t xml:space="preserve">durability — that is still SSOT, because exactly one of those copies is</w:t>
      </w:r>
      <w:r>
        <w:t xml:space="preserve"> </w:t>
      </w:r>
      <w:r>
        <w:t xml:space="preserve">authoritative for writes and the others are explicitly subordinate.</w:t>
      </w:r>
    </w:p>
    <w:bookmarkStart w:id="36" w:name="X9249c4bd72359ca3c533c14782cbb26bfa11516"/>
    <w:p>
      <w:pPr>
        <w:pStyle w:val="Heading2"/>
      </w:pPr>
      <w:r>
        <w:t xml:space="preserve">Small databases are not dead — they are repurposed</w:t>
      </w:r>
    </w:p>
    <w:p>
      <w:pPr>
        <w:pStyle w:val="FirstParagraph"/>
      </w:pPr>
      <w:r>
        <w:t xml:space="preserve">The provocative framing —</w:t>
      </w:r>
      <w:r>
        <w:t xml:space="preserve"> </w:t>
      </w:r>
      <w:r>
        <w:t xml:space="preserve">“the era of small SQL servers is over”</w:t>
      </w:r>
      <w:r>
        <w:t xml:space="preserve"> </w:t>
      </w:r>
      <w:r>
        <w:t xml:space="preserve">— is precise</w:t>
      </w:r>
      <w:r>
        <w:t xml:space="preserve"> </w:t>
      </w:r>
      <w:r>
        <w:t xml:space="preserve">only when narrowed: it is the era of small SQL servers</w:t>
      </w:r>
      <w:r>
        <w:t xml:space="preserve"> </w:t>
      </w:r>
      <w:r>
        <w:rPr>
          <w:i/>
          <w:iCs/>
        </w:rPr>
        <w:t xml:space="preserve">as sources of truth</w:t>
      </w:r>
      <w:r>
        <w:t xml:space="preserve"> </w:t>
      </w:r>
      <w:r>
        <w:t xml:space="preserve">that is ending. Small databases are flourishing in two repurposed roles: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As disposable accelerators.</w:t>
      </w:r>
      <w:r>
        <w:t xml:space="preserve"> </w:t>
      </w:r>
      <w:r>
        <w:t xml:space="preserve">Read replicas, caches, materialized edge</w:t>
      </w:r>
      <w:r>
        <w:t xml:space="preserve"> </w:t>
      </w:r>
      <w:r>
        <w:t xml:space="preserve">stores. These are</w:t>
      </w:r>
      <w:r>
        <w:t xml:space="preserve"> </w:t>
      </w:r>
      <w:r>
        <w:rPr>
          <w:i/>
          <w:iCs/>
        </w:rPr>
        <w:t xml:space="preserve">derived and rebuildable</w:t>
      </w:r>
      <w:r>
        <w:t xml:space="preserve"> </w:t>
      </w:r>
      <w:r>
        <w:t xml:space="preserve">— explicitly not authoritative —</w:t>
      </w:r>
      <w:r>
        <w:t xml:space="preserve"> </w:t>
      </w:r>
      <w:r>
        <w:t xml:space="preserve">so they cannot drift authoritatively. You can blow one away and regenerate</w:t>
      </w:r>
      <w:r>
        <w:t xml:space="preserve"> </w:t>
      </w:r>
      <w:r>
        <w:t xml:space="preserve">it from the source of truth. (How to keep them current across distance is</w:t>
      </w:r>
      <w:r>
        <w:t xml:space="preserve"> </w:t>
      </w:r>
      <w:r>
        <w:t xml:space="preserve">exactly the SD-WAN question of Chapter 4.)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As compliance-stamped exceptions.</w:t>
      </w:r>
      <w:r>
        <w:t xml:space="preserve"> </w:t>
      </w:r>
      <w:r>
        <w:t xml:space="preserve">Where a customer’s regulatory posture</w:t>
      </w:r>
      <w:r>
        <w:t xml:space="preserve"> </w:t>
      </w:r>
      <w:r>
        <w:t xml:space="preserve">demands hard physical isolation, a dedicated small store is provisioned for</w:t>
      </w:r>
      <w:r>
        <w:t xml:space="preserve"> </w:t>
      </w:r>
      <w:r>
        <w:t xml:space="preserve">that tenant. The Federal Modernization Program implements precisely this as the control-plane</w:t>
      </w:r>
      <w:r>
        <w:t xml:space="preserve"> </w:t>
      </w:r>
      <w:r>
        <w:t xml:space="preserve">“stamp”</w:t>
      </w:r>
      <w:r>
        <w:t xml:space="preserve"> </w:t>
      </w:r>
      <w:r>
        <w:t xml:space="preserve">pattern (Chapter 7, the program decision) — the exception, not the default.</w:t>
      </w:r>
    </w:p>
    <w:p>
      <w:pPr>
        <w:pStyle w:val="FirstParagraph"/>
      </w:pPr>
      <w:r>
        <w:t xml:space="preserve">Meanwhile the small-database</w:t>
      </w:r>
      <w:r>
        <w:t xml:space="preserve"> </w:t>
      </w:r>
      <w:r>
        <w:rPr>
          <w:i/>
          <w:iCs/>
        </w:rPr>
        <w:t xml:space="preserve">movement</w:t>
      </w:r>
      <w:r>
        <w:t xml:space="preserve"> </w:t>
      </w:r>
      <w:r>
        <w:t xml:space="preserve">is expanding, not contracting:</w:t>
      </w:r>
      <w:r>
        <w:t xml:space="preserve"> </w:t>
      </w:r>
      <w:r>
        <w:t xml:space="preserve">SQLite-at-the-edge patterns push SQL smaller and closer to the application than</w:t>
      </w:r>
      <w:r>
        <w:t xml:space="preserve"> </w:t>
      </w:r>
      <w:r>
        <w:t xml:space="preserve">ever — but as</w:t>
      </w:r>
      <w:r>
        <w:t xml:space="preserve"> </w:t>
      </w:r>
      <w:r>
        <w:rPr>
          <w:b/>
          <w:bCs/>
        </w:rPr>
        <w:t xml:space="preserve">derived, near-cache copies</w:t>
      </w:r>
      <w:r>
        <w:t xml:space="preserve">, which is the opposite of a</w:t>
      </w:r>
      <w:r>
        <w:t xml:space="preserve"> </w:t>
      </w:r>
      <w:r>
        <w:t xml:space="preserve">distributed source of truth. The direction of travel confirms the thesis rather</w:t>
      </w:r>
      <w:r>
        <w:t xml:space="preserve"> </w:t>
      </w:r>
      <w:r>
        <w:t xml:space="preserve">than refuting it: truth consolidates; convenience copies proliferate.</w:t>
      </w:r>
    </w:p>
    <w:bookmarkEnd w:id="36"/>
    <w:bookmarkStart w:id="37" w:name="where-drift-is-actually-born"/>
    <w:p>
      <w:pPr>
        <w:pStyle w:val="Heading2"/>
      </w:pPr>
      <w:r>
        <w:t xml:space="preserve">Where drift is actually born</w:t>
      </w:r>
    </w:p>
    <w:p>
      <w:pPr>
        <w:pStyle w:val="FirstParagraph"/>
      </w:pPr>
      <w:r>
        <w:t xml:space="preserve">The deepest reason to centralize the truth is behavioral, not technical. Drift</w:t>
      </w:r>
      <w:r>
        <w:t xml:space="preserve"> </w:t>
      </w:r>
      <w:r>
        <w:t xml:space="preserve">rarely originates in the database engine. It originates when a team, finding the</w:t>
      </w:r>
      <w:r>
        <w:t xml:space="preserve"> </w:t>
      </w:r>
      <w:r>
        <w:t xml:space="preserve">central store too slow or too restricted to reach, creates an</w:t>
      </w:r>
      <w:r>
        <w:t xml:space="preserve"> </w:t>
      </w:r>
      <w:r>
        <w:rPr>
          <w:i/>
          <w:iCs/>
        </w:rPr>
        <w:t xml:space="preserve">unofficial local</w:t>
      </w:r>
      <w:r>
        <w:rPr>
          <w:i/>
          <w:iCs/>
        </w:rPr>
        <w:t xml:space="preserve"> </w:t>
      </w:r>
      <w:r>
        <w:rPr>
          <w:i/>
          <w:iCs/>
        </w:rPr>
        <w:t xml:space="preserve">copy</w:t>
      </w:r>
      <w:r>
        <w:t xml:space="preserve"> </w:t>
      </w:r>
      <w:r>
        <w:t xml:space="preserve">“just for performance”</w:t>
      </w:r>
      <w:r>
        <w:t xml:space="preserve"> </w:t>
      </w:r>
      <w:r>
        <w:t xml:space="preserve">— and that copy slowly diverges into a shadow</w:t>
      </w:r>
      <w:r>
        <w:t xml:space="preserve"> </w:t>
      </w:r>
      <w:r>
        <w:t xml:space="preserve">source of truth nobody blessed.</w:t>
      </w:r>
    </w:p>
    <w:p>
      <w:pPr>
        <w:pStyle w:val="BodyText"/>
      </w:pPr>
      <w:r>
        <w:t xml:space="preserve">This reframes the whole problem. The way to stay near SSOT is to remove the</w:t>
      </w:r>
      <w:r>
        <w:t xml:space="preserve"> </w:t>
      </w:r>
      <w:r>
        <w:rPr>
          <w:i/>
          <w:iCs/>
        </w:rPr>
        <w:t xml:space="preserve">incentive</w:t>
      </w:r>
      <w:r>
        <w:t xml:space="preserve"> </w:t>
      </w:r>
      <w:r>
        <w:t xml:space="preserve">to fragment: make the central source of truth fast enough and</w:t>
      </w:r>
      <w:r>
        <w:t xml:space="preserve"> </w:t>
      </w:r>
      <w:r>
        <w:t xml:space="preserve">frictionless enough to reach that no one is tempted to fork it. That is exactly</w:t>
      </w:r>
      <w:r>
        <w:t xml:space="preserve"> </w:t>
      </w:r>
      <w:r>
        <w:t xml:space="preserve">what the next two forces deliver —</w:t>
      </w:r>
      <w:r>
        <w:t xml:space="preserve"> </w:t>
      </w:r>
      <w:r>
        <w:rPr>
          <w:b/>
          <w:bCs/>
        </w:rPr>
        <w:t xml:space="preserve">token-based security</w:t>
      </w:r>
      <w:r>
        <w:t xml:space="preserve"> </w:t>
      </w:r>
      <w:r>
        <w:t xml:space="preserve">removes the access</w:t>
      </w:r>
      <w:r>
        <w:t xml:space="preserve"> </w:t>
      </w:r>
      <w:r>
        <w:t xml:space="preserve">friction (Chapter 2), and</w:t>
      </w:r>
      <w:r>
        <w:t xml:space="preserve"> </w:t>
      </w:r>
      <w:r>
        <w:rPr>
          <w:b/>
          <w:bCs/>
        </w:rPr>
        <w:t xml:space="preserve">application-aware networking</w:t>
      </w:r>
      <w:r>
        <w:t xml:space="preserve"> </w:t>
      </w:r>
      <w:r>
        <w:t xml:space="preserve">removes the latency</w:t>
      </w:r>
      <w:r>
        <w:t xml:space="preserve"> </w:t>
      </w:r>
      <w:r>
        <w:t xml:space="preserve">friction (Chapter 4). Centralization of truth is sustained not by policy but by</w:t>
      </w:r>
      <w:r>
        <w:t xml:space="preserve"> </w:t>
      </w:r>
      <w:r>
        <w:t xml:space="preserve">making the centered path the path of least resistance.</w:t>
      </w:r>
    </w:p>
    <w:bookmarkEnd w:id="37"/>
    <w:bookmarkStart w:id="38" w:name="summary"/>
    <w:p>
      <w:pPr>
        <w:pStyle w:val="Heading2"/>
      </w:pPr>
      <w:r>
        <w:t xml:space="preserve">Summary</w:t>
      </w:r>
    </w:p>
    <w:p>
      <w:pPr>
        <w:pStyle w:val="Compact"/>
        <w:numPr>
          <w:ilvl w:val="0"/>
          <w:numId w:val="1015"/>
        </w:numPr>
      </w:pPr>
      <w:r>
        <w:t xml:space="preserve">Hardware has removed the scaling objection for the vast majority of</w:t>
      </w:r>
      <w:r>
        <w:t xml:space="preserve"> </w:t>
      </w:r>
      <w:r>
        <w:t xml:space="preserve">workloads; scale up before you scale out.</w:t>
      </w:r>
    </w:p>
    <w:p>
      <w:pPr>
        <w:pStyle w:val="Compact"/>
        <w:numPr>
          <w:ilvl w:val="0"/>
          <w:numId w:val="1015"/>
        </w:numPr>
      </w:pPr>
      <w:r>
        <w:t xml:space="preserve">A single source of truth is cheapest where it counts most — in the cost of</w:t>
      </w:r>
      <w:r>
        <w:t xml:space="preserve"> </w:t>
      </w:r>
      <w:r>
        <w:t xml:space="preserve">reasoning about the system and the absence of drift.</w:t>
      </w:r>
    </w:p>
    <w:p>
      <w:pPr>
        <w:pStyle w:val="Compact"/>
        <w:numPr>
          <w:ilvl w:val="0"/>
          <w:numId w:val="1015"/>
        </w:numPr>
      </w:pPr>
      <w:r>
        <w:t xml:space="preserve">Separate</w:t>
      </w:r>
      <w:r>
        <w:t xml:space="preserve"> </w:t>
      </w:r>
      <w:r>
        <w:rPr>
          <w:i/>
          <w:iCs/>
        </w:rPr>
        <w:t xml:space="preserve">logical</w:t>
      </w:r>
      <w:r>
        <w:t xml:space="preserve"> </w:t>
      </w:r>
      <w:r>
        <w:t xml:space="preserve">centralization (one truth — almost always right) from</w:t>
      </w:r>
      <w:r>
        <w:t xml:space="preserve"> </w:t>
      </w:r>
      <w:r>
        <w:rPr>
          <w:i/>
          <w:iCs/>
        </w:rPr>
        <w:t xml:space="preserve">physical</w:t>
      </w:r>
      <w:r>
        <w:t xml:space="preserve"> </w:t>
      </w:r>
      <w:r>
        <w:t xml:space="preserve">centralization (one server — sometimes constrained).</w:t>
      </w:r>
    </w:p>
    <w:p>
      <w:pPr>
        <w:pStyle w:val="Compact"/>
        <w:numPr>
          <w:ilvl w:val="0"/>
          <w:numId w:val="1015"/>
        </w:numPr>
      </w:pPr>
      <w:r>
        <w:t xml:space="preserve">Small databases survive as disposable caches and compliance-stamped</w:t>
      </w:r>
      <w:r>
        <w:t xml:space="preserve"> </w:t>
      </w:r>
      <w:r>
        <w:t xml:space="preserve">exceptions, not as competing sources of truth.</w:t>
      </w:r>
    </w:p>
    <w:p>
      <w:pPr>
        <w:pStyle w:val="Compact"/>
        <w:numPr>
          <w:ilvl w:val="0"/>
          <w:numId w:val="1015"/>
        </w:numPr>
      </w:pPr>
      <w:r>
        <w:t xml:space="preserve">Drift is born from unofficial convenience copies; the cure is to make the</w:t>
      </w:r>
      <w:r>
        <w:t xml:space="preserve"> </w:t>
      </w:r>
      <w:r>
        <w:t xml:space="preserve">central truth the path of least resistance — the job of Chapters 2 and 4.</w:t>
      </w:r>
    </w:p>
    <w:bookmarkEnd w:id="38"/>
    <w:bookmarkEnd w:id="39"/>
    <w:bookmarkStart w:id="53" w:name="token-based-security-as-the-enabler"/>
    <w:p>
      <w:pPr>
        <w:pStyle w:val="Heading1"/>
      </w:pPr>
      <w:r>
        <w:t xml:space="preserve">Token-Based Security as the Enabler</w:t>
      </w:r>
    </w:p>
    <w:bookmarkStart w:id="40" w:name="why-this-is-the-keystone"/>
    <w:p>
      <w:pPr>
        <w:pStyle w:val="Heading2"/>
      </w:pPr>
      <w:r>
        <w:t xml:space="preserve">Why this is the keystone</w:t>
      </w:r>
    </w:p>
    <w:p>
      <w:pPr>
        <w:pStyle w:val="FirstParagraph"/>
      </w:pPr>
      <w:r>
        <w:t xml:space="preserve">Chapter 1 made the case for consolidating the source of truth. But there is a</w:t>
      </w:r>
      <w:r>
        <w:t xml:space="preserve"> </w:t>
      </w:r>
      <w:r>
        <w:t xml:space="preserve">reason the industry fragmented data in the first place that had nothing to do</w:t>
      </w:r>
      <w:r>
        <w:t xml:space="preserve"> </w:t>
      </w:r>
      <w:r>
        <w:t xml:space="preserve">with scale:</w:t>
      </w:r>
      <w:r>
        <w:t xml:space="preserve"> </w:t>
      </w:r>
      <w:r>
        <w:rPr>
          <w:b/>
          <w:bCs/>
        </w:rPr>
        <w:t xml:space="preserve">isolation by perimeter.</w:t>
      </w:r>
      <w:r>
        <w:t xml:space="preserve"> </w:t>
      </w:r>
      <w:r>
        <w:t xml:space="preserve">When the only way to enforce</w:t>
      </w:r>
      <w:r>
        <w:t xml:space="preserve"> </w:t>
      </w:r>
      <w:r>
        <w:t xml:space="preserve">“who may touch this data”</w:t>
      </w:r>
      <w:r>
        <w:t xml:space="preserve"> </w:t>
      </w:r>
      <w:r>
        <w:t xml:space="preserve">was network segmentation, the safest way to separate</w:t>
      </w:r>
      <w:r>
        <w:t xml:space="preserve"> </w:t>
      </w:r>
      <w:r>
        <w:t xml:space="preserve">two trust domains was to give them separate databases behind separate network</w:t>
      </w:r>
      <w:r>
        <w:t xml:space="preserve"> </w:t>
      </w:r>
      <w:r>
        <w:t xml:space="preserve">boundaries. Security, not performance, drove a great deal of the</w:t>
      </w:r>
      <w:r>
        <w:t xml:space="preserve"> </w:t>
      </w:r>
      <w:r>
        <w:t xml:space="preserve">fragmentation — and no hardware advance addresses it.</w:t>
      </w:r>
    </w:p>
    <w:p>
      <w:pPr>
        <w:pStyle w:val="BodyText"/>
      </w:pPr>
      <w:r>
        <w:t xml:space="preserve">Token-based, identity-centric (zero-trust) security is what dissolves that</w:t>
      </w:r>
      <w:r>
        <w:t xml:space="preserve"> </w:t>
      </w:r>
      <w:r>
        <w:t xml:space="preserve">reason. It is the keystone of the whole consolidation argument: without it, you</w:t>
      </w:r>
      <w:r>
        <w:t xml:space="preserve"> </w:t>
      </w:r>
      <w:r>
        <w:t xml:space="preserve">are forced back into per-domain physical isolation for safety, and the</w:t>
      </w:r>
      <w:r>
        <w:t xml:space="preserve"> </w:t>
      </w:r>
      <w:r>
        <w:t xml:space="preserve">single-source-of-truth story collapses. With it,</w:t>
      </w:r>
      <w:r>
        <w:t xml:space="preserve"> </w:t>
      </w:r>
      <w:r>
        <w:rPr>
          <w:b/>
          <w:bCs/>
        </w:rPr>
        <w:t xml:space="preserve">one logical store can serve</w:t>
      </w:r>
      <w:r>
        <w:rPr>
          <w:b/>
          <w:bCs/>
        </w:rPr>
        <w:t xml:space="preserve"> </w:t>
      </w:r>
      <w:r>
        <w:rPr>
          <w:b/>
          <w:bCs/>
        </w:rPr>
        <w:t xml:space="preserve">many trust domains safely</w:t>
      </w:r>
      <w:r>
        <w:t xml:space="preserve">, because the trust boundary travels with the</w:t>
      </w:r>
      <w:r>
        <w:t xml:space="preserve"> </w:t>
      </w:r>
      <w:r>
        <w:t xml:space="preserve">request rather than living in the network.</w:t>
      </w:r>
    </w:p>
    <w:bookmarkEnd w:id="40"/>
    <w:bookmarkStart w:id="44" w:name="the-shift-from-perimeter-to-identity"/>
    <w:p>
      <w:pPr>
        <w:pStyle w:val="Heading2"/>
      </w:pPr>
      <w:r>
        <w:t xml:space="preserve">The shift: from perimeter to identity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Perimeter model</w:t>
            </w:r>
          </w:p>
        </w:tc>
        <w:tc>
          <w:tcPr/>
          <w:p>
            <w:pPr>
              <w:pStyle w:val="Compact"/>
            </w:pPr>
            <w:r>
              <w:t xml:space="preserve">Token / zero-trust model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Where trust lives</w:t>
            </w:r>
          </w:p>
        </w:tc>
        <w:tc>
          <w:tcPr/>
          <w:p>
            <w:pPr>
              <w:pStyle w:val="Compact"/>
            </w:pPr>
            <w:r>
              <w:t xml:space="preserve">In the network location of the caller</w:t>
            </w:r>
          </w:p>
        </w:tc>
        <w:tc>
          <w:tcPr/>
          <w:p>
            <w:pPr>
              <w:pStyle w:val="Compact"/>
            </w:pPr>
            <w:r>
              <w:t xml:space="preserve">In a signed, verifiable claim the caller presents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Unit of isolation</w:t>
            </w:r>
          </w:p>
        </w:tc>
        <w:tc>
          <w:tcPr/>
          <w:p>
            <w:pPr>
              <w:pStyle w:val="Compact"/>
            </w:pPr>
            <w:r>
              <w:t xml:space="preserve">A network segment (and often a separate datastore)</w:t>
            </w:r>
          </w:p>
        </w:tc>
        <w:tc>
          <w:tcPr/>
          <w:p>
            <w:pPr>
              <w:pStyle w:val="Compact"/>
            </w:pPr>
            <w:r>
              <w:t xml:space="preserve">A verified identity, scoped per request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Default posture</w:t>
            </w:r>
          </w:p>
        </w:tc>
        <w:tc>
          <w:tcPr/>
          <w:p>
            <w:pPr>
              <w:pStyle w:val="Compact"/>
            </w:pPr>
            <w:r>
              <w:t xml:space="preserve">Trust inside the perimeter</w:t>
            </w:r>
          </w:p>
        </w:tc>
        <w:tc>
          <w:tcPr/>
          <w:p>
            <w:pPr>
              <w:pStyle w:val="Compact"/>
            </w:pPr>
            <w:r>
              <w:t xml:space="preserve">Trust nothing; verify every request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Effect on data layout</w:t>
            </w:r>
          </w:p>
        </w:tc>
        <w:tc>
          <w:tcPr/>
          <w:p>
            <w:pPr>
              <w:pStyle w:val="Compact"/>
            </w:pPr>
            <w:r>
              <w:t xml:space="preserve">Encourages a store per trust domain</w:t>
            </w:r>
          </w:p>
        </w:tc>
        <w:tc>
          <w:tcPr/>
          <w:p>
            <w:pPr>
              <w:pStyle w:val="Compact"/>
            </w:pPr>
            <w:r>
              <w:t xml:space="preserve">Permits one store across many trust domains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Highest-value secret</w:t>
            </w:r>
          </w:p>
        </w:tc>
        <w:tc>
          <w:tcPr/>
          <w:p>
            <w:pPr>
              <w:pStyle w:val="Compact"/>
            </w:pPr>
            <w:r>
              <w:t xml:space="preserve">Long-lived credentials guarding the perimeter and the database</w:t>
            </w:r>
          </w:p>
        </w:tc>
        <w:tc>
          <w:tcPr/>
          <w:p>
            <w:pPr>
              <w:pStyle w:val="Compact"/>
            </w:pPr>
            <w:r>
              <w:t xml:space="preserve">None — short-lived tokens, minted on demand</w:t>
            </w:r>
          </w:p>
        </w:tc>
      </w:tr>
    </w:tbl>
    <w:p>
      <w:pPr>
        <w:pStyle w:val="BodyText"/>
      </w:pPr>
      <w:r>
        <w:t xml:space="preserve">The consequence for data architecture is direct:</w:t>
      </w:r>
      <w:r>
        <w:t xml:space="preserve"> </w:t>
      </w:r>
      <w:r>
        <w:rPr>
          <w:b/>
          <w:bCs/>
        </w:rPr>
        <w:t xml:space="preserve">you no longer shard for</w:t>
      </w:r>
      <w:r>
        <w:rPr>
          <w:b/>
          <w:bCs/>
        </w:rPr>
        <w:t xml:space="preserve"> </w:t>
      </w:r>
      <w:r>
        <w:rPr>
          <w:b/>
          <w:bCs/>
        </w:rPr>
        <w:t xml:space="preserve">security.</w:t>
      </w:r>
      <w:r>
        <w:t xml:space="preserve"> </w:t>
      </w:r>
      <w:r>
        <w:t xml:space="preserve">Two customers, two business units, two classification levels can</w:t>
      </w:r>
      <w:r>
        <w:t xml:space="preserve"> </w:t>
      </w:r>
      <w:r>
        <w:t xml:space="preserve">share a logical store when every request carries a cryptographically verifiable</w:t>
      </w:r>
      <w:r>
        <w:t xml:space="preserve"> </w:t>
      </w:r>
      <w:r>
        <w:t xml:space="preserve">statement of who is asking and what they are entitled to, and the store</w:t>
      </w:r>
      <w:r>
        <w:t xml:space="preserve"> </w:t>
      </w:r>
      <w:r>
        <w:t xml:space="preserve">enforces scoping on that statement.</w:t>
      </w:r>
    </w:p>
    <w:p>
      <w:pPr>
        <w:pStyle w:val="CaptionedFigure"/>
      </w:pPr>
      <w:r>
        <w:drawing>
          <wp:inline>
            <wp:extent cx="5334000" cy="2462388"/>
            <wp:effectExtent b="0" l="0" r="0" t="0"/>
            <wp:docPr descr="The perimeter model needs a store per trust domain; the token model lets one store serve many." title="" id="42" name="Picture"/>
            <a:graphic>
              <a:graphicData uri="http://schemas.openxmlformats.org/drawingml/2006/picture">
                <pic:pic>
                  <pic:nvPicPr>
                    <pic:cNvPr descr="/home/runner/work/modernization-workbook/modernization-workbook/docs/images/diagrams/ssot-network-physics/png/ch02-perimeter-vs-token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623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perimeter model needs a store per trust domain; the token model lets one store serve many.</w:t>
      </w:r>
    </w:p>
    <w:bookmarkEnd w:id="44"/>
    <w:bookmarkStart w:id="47" w:name="X885b39625a0b147f8b49187f5530b98f5ce8017"/>
    <w:p>
      <w:pPr>
        <w:pStyle w:val="Heading2"/>
      </w:pPr>
      <w:r>
        <w:t xml:space="preserve">How the Federal Modernization Program makes this concrete</w:t>
      </w:r>
    </w:p>
    <w:p>
      <w:pPr>
        <w:pStyle w:val="FirstParagraph"/>
      </w:pPr>
      <w:r>
        <w:t xml:space="preserve">The Federal Modernization Program’s SaaS plane is a working instance of this principle on both sides of the</w:t>
      </w:r>
      <w:r>
        <w:t xml:space="preserve"> </w:t>
      </w:r>
      <w:r>
        <w:t xml:space="preserve">connection — inbound (who is calling the service) and outbound (how the service</w:t>
      </w:r>
      <w:r>
        <w:t xml:space="preserve"> </w:t>
      </w:r>
      <w:r>
        <w:t xml:space="preserve">authenticates to its own database).</w:t>
      </w:r>
    </w:p>
    <w:bookmarkStart w:id="45" w:name="Xb4278308d2854758f1dbbd87a12562f453aac25"/>
    <w:p>
      <w:pPr>
        <w:pStyle w:val="Heading3"/>
      </w:pPr>
      <w:r>
        <w:t xml:space="preserve">Inbound: identity travels with the request</w:t>
      </w:r>
    </w:p>
    <w:p>
      <w:pPr>
        <w:pStyle w:val="FirstParagraph"/>
      </w:pPr>
      <w:r>
        <w:t xml:space="preserve">Many different customer Microsoft Entra tenants are governed by one operated</w:t>
      </w:r>
      <w:r>
        <w:t xml:space="preserve"> </w:t>
      </w:r>
      <w:r>
        <w:t xml:space="preserve">The Federal Modernization Program service. Requests arrive bearing Entra access tokens minted by</w:t>
      </w:r>
      <w:r>
        <w:t xml:space="preserve"> </w:t>
      </w:r>
      <w:r>
        <w:rPr>
          <w:i/>
          <w:iCs/>
        </w:rPr>
        <w:t xml:space="preserve">different</w:t>
      </w:r>
      <w:r>
        <w:t xml:space="preserve"> </w:t>
      </w:r>
      <w:r>
        <w:t xml:space="preserve">tenants. The data plane verifies each token’s signature against the issuing</w:t>
      </w:r>
      <w:r>
        <w:t xml:space="preserve"> </w:t>
      </w:r>
      <w:r>
        <w:t xml:space="preserve">tenant’s published keys (JWKS, RS256), reads the tenant identity from the</w:t>
      </w:r>
      <w:r>
        <w:t xml:space="preserve"> </w:t>
      </w:r>
      <w:r>
        <w:t xml:space="preserve">token’s</w:t>
      </w:r>
      <w:r>
        <w:t xml:space="preserve"> </w:t>
      </w:r>
      <w:r>
        <w:rPr>
          <w:rStyle w:val="VerbatimChar"/>
        </w:rPr>
        <w:t xml:space="preserve">tid</w:t>
      </w:r>
      <w:r>
        <w:t xml:space="preserve"> </w:t>
      </w:r>
      <w:r>
        <w:t xml:space="preserve">claim, and binds a tenant context for the life of the request</w:t>
      </w:r>
      <w:r>
        <w:t xml:space="preserve"> </w:t>
      </w:r>
      <w:r>
        <w:t xml:space="preserve">(the program decision). One shared, elastically-scaled data plane serves every customer —</w:t>
      </w:r>
      <w:r>
        <w:t xml:space="preserve"> </w:t>
      </w:r>
      <w:r>
        <w:t xml:space="preserve">and the isolation is enforced because the</w:t>
      </w:r>
      <w:r>
        <w:t xml:space="preserve"> </w:t>
      </w:r>
      <w:r>
        <w:rPr>
          <w:i/>
          <w:iCs/>
        </w:rPr>
        <w:t xml:space="preserve">identity</w:t>
      </w:r>
      <w:r>
        <w:t xml:space="preserve"> </w:t>
      </w:r>
      <w:r>
        <w:t xml:space="preserve">of the tenant is proven on</w:t>
      </w:r>
      <w:r>
        <w:t xml:space="preserve"> </w:t>
      </w:r>
      <w:r>
        <w:t xml:space="preserve">every single call, not assumed from a network location.</w:t>
      </w:r>
    </w:p>
    <w:bookmarkEnd w:id="45"/>
    <w:bookmarkStart w:id="46" w:name="Xab9adf916d7995f56f8353c19bbb8767b974f81"/>
    <w:p>
      <w:pPr>
        <w:pStyle w:val="Heading3"/>
      </w:pPr>
      <w:r>
        <w:t xml:space="preserve">Outbound: the database password disappears</w:t>
      </w:r>
    </w:p>
    <w:p>
      <w:pPr>
        <w:pStyle w:val="FirstParagraph"/>
      </w:pPr>
      <w:r>
        <w:t xml:space="preserve">The sharper demonstration is how the service authenticates</w:t>
      </w:r>
      <w:r>
        <w:t xml:space="preserve"> </w:t>
      </w:r>
      <w:r>
        <w:rPr>
          <w:i/>
          <w:iCs/>
        </w:rPr>
        <w:t xml:space="preserve">to its own</w:t>
      </w:r>
      <w:r>
        <w:rPr>
          <w:i/>
          <w:iCs/>
        </w:rPr>
        <w:t xml:space="preserve"> </w:t>
      </w:r>
      <w:r>
        <w:rPr>
          <w:i/>
          <w:iCs/>
        </w:rPr>
        <w:t xml:space="preserve">PostgreSQL store</w:t>
      </w:r>
      <w:r>
        <w:t xml:space="preserve">. Under</w:t>
      </w:r>
      <w:r>
        <w:t xml:space="preserve"> </w:t>
      </w:r>
      <w:r>
        <w:rPr>
          <w:b/>
          <w:bCs/>
        </w:rPr>
        <w:t xml:space="preserve">the program decision</w:t>
      </w:r>
      <w:r>
        <w:t xml:space="preserve">, the Federal Modernization Program uses passwordless authentication:</w:t>
      </w:r>
      <w:r>
        <w:t xml:space="preserve"> </w:t>
      </w:r>
      <w:r>
        <w:t xml:space="preserve">Azure Database for PostgreSQL Flexible Server accepts a short-lived Entra access</w:t>
      </w:r>
      <w:r>
        <w:t xml:space="preserve"> </w:t>
      </w:r>
      <w:r>
        <w:t xml:space="preserve">token</w:t>
      </w:r>
      <w:r>
        <w:t xml:space="preserve"> </w:t>
      </w:r>
      <w:r>
        <w:rPr>
          <w:i/>
          <w:iCs/>
        </w:rPr>
        <w:t xml:space="preserve">as the connection password</w:t>
      </w:r>
      <w:r>
        <w:t xml:space="preserve">. The service’s managed identity is bound as</w:t>
      </w:r>
      <w:r>
        <w:t xml:space="preserve"> </w:t>
      </w:r>
      <w:r>
        <w:t xml:space="preserve">the database’s Entra administrator, so the application connects with</w:t>
      </w:r>
      <w:r>
        <w:t xml:space="preserve"> </w:t>
      </w: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b/>
          <w:bCs/>
        </w:rPr>
        <w:t xml:space="preserve">long-lived database password at all.</w:t>
      </w:r>
    </w:p>
    <w:bookmarkEnd w:id="46"/>
    <w:bookmarkEnd w:id="47"/>
    <w:bookmarkStart w:id="48" w:name="X7c859e58356e5d8b1f3010e6b27e375cda4d6da"/>
    <w:p>
      <w:pPr>
        <w:pStyle w:val="Heading2"/>
      </w:pPr>
      <w:r>
        <w:t xml:space="preserve">The highest-value secret is removed, not protected</w:t>
      </w:r>
    </w:p>
    <w:p>
      <w:pPr>
        <w:pStyle w:val="FirstParagraph"/>
      </w:pPr>
      <w:r>
        <w:t xml:space="preserve">A stored database password is the single most valuable secret in a typical</w:t>
      </w:r>
      <w:r>
        <w:t xml:space="preserve"> </w:t>
      </w:r>
      <w:r>
        <w:t xml:space="preserve">deployment — steal it once and the central store is exposed. Token-based auth</w:t>
      </w:r>
      <w:r>
        <w:t xml:space="preserve"> </w:t>
      </w:r>
      <w:r>
        <w:t xml:space="preserve">does not guard that secret better; it</w:t>
      </w:r>
      <w:r>
        <w:t xml:space="preserve"> </w:t>
      </w:r>
      <w:r>
        <w:rPr>
          <w:b/>
          <w:bCs/>
        </w:rPr>
        <w:t xml:space="preserve">eliminates it.</w:t>
      </w:r>
      <w:r>
        <w:t xml:space="preserve"> </w:t>
      </w:r>
      <w:r>
        <w:t xml:space="preserve">The connection is</w:t>
      </w:r>
      <w:r>
        <w:t xml:space="preserve"> </w:t>
      </w:r>
      <w:r>
        <w:t xml:space="preserve">authorized by a token that is minted on demand, scoped to the database</w:t>
      </w:r>
      <w:r>
        <w:t xml:space="preserve"> </w:t>
      </w:r>
      <w:r>
        <w:t xml:space="preserve">audience, cached only briefly, and refreshed before expiry. There is nothing</w:t>
      </w:r>
      <w:r>
        <w:t xml:space="preserve"> </w:t>
      </w:r>
      <w:r>
        <w:t xml:space="preserve">durable to steal. (The Federal Modernization Program:</w:t>
      </w:r>
      <w:r>
        <w:t xml:space="preserve"> </w:t>
      </w:r>
      <w:r>
        <w:rPr>
          <w:rStyle w:val="VerbatimChar"/>
        </w:rPr>
        <w:t xml:space="preserve">fmp.saas.pg_auth</w:t>
      </w:r>
      <w:r>
        <w:t xml:space="preserve">, the program decision.)</w:t>
      </w:r>
    </w:p>
    <w:bookmarkEnd w:id="48"/>
    <w:p>
      <w:pPr>
        <w:pStyle w:val="BodyText"/>
      </w:pPr>
      <w:r>
        <w:t xml:space="preserve">Mechanically, a token provider acquires an access token scoped to the</w:t>
      </w:r>
      <w:r>
        <w:t xml:space="preserve"> </w:t>
      </w:r>
      <w:r>
        <w:t xml:space="preserve">OSSRDBMS audience for the correct sovereign cloud, caches it, and refreshes it</w:t>
      </w:r>
      <w:r>
        <w:t xml:space="preserve"> </w:t>
      </w:r>
      <w:r>
        <w:t xml:space="preserve">shortly before expiry so token acquisition stays off the hot path of every</w:t>
      </w:r>
      <w:r>
        <w:t xml:space="preserve"> </w:t>
      </w:r>
      <w:r>
        <w:t xml:space="preserve">connection while a near-expired token is never presented. The same connection</w:t>
      </w:r>
      <w:r>
        <w:t xml:space="preserve"> </w:t>
      </w:r>
      <w:r>
        <w:t xml:space="preserve">seam is provider-agnostic: an Entra token provider on Azure and an RDS-IAM</w:t>
      </w:r>
      <w:r>
        <w:t xml:space="preserve"> </w:t>
      </w:r>
      <w:r>
        <w:t xml:space="preserve">token provider on AWS both satisfy it, so passwordless auth works identically</w:t>
      </w:r>
      <w:r>
        <w:t xml:space="preserve"> </w:t>
      </w:r>
      <w:r>
        <w:t xml:space="preserve">across clouds.</w:t>
      </w:r>
    </w:p>
    <w:bookmarkStart w:id="49" w:name="Xd640292ed49296ee25ab26dbe8cda2e94902c12"/>
    <w:p>
      <w:pPr>
        <w:pStyle w:val="Heading2"/>
      </w:pPr>
      <w:r>
        <w:t xml:space="preserve">Why this makes centralization</w:t>
      </w:r>
      <w:r>
        <w:t xml:space="preserve"> </w:t>
      </w:r>
      <w:r>
        <w:rPr>
          <w:i/>
          <w:iCs/>
        </w:rPr>
        <w:t xml:space="preserve">safe</w:t>
      </w:r>
      <w:r>
        <w:t xml:space="preserve">, not merely possible</w:t>
      </w:r>
    </w:p>
    <w:p>
      <w:pPr>
        <w:pStyle w:val="FirstParagraph"/>
      </w:pPr>
      <w:r>
        <w:t xml:space="preserve">The combination of inbound token verification and outbound passwordless auth</w:t>
      </w:r>
      <w:r>
        <w:t xml:space="preserve"> </w:t>
      </w:r>
      <w:r>
        <w:t xml:space="preserve">changes the risk calculus that originally justified fragmentation: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No perimeter to breach into a shared trust zone.</w:t>
      </w:r>
      <w:r>
        <w:t xml:space="preserve"> </w:t>
      </w:r>
      <w:r>
        <w:t xml:space="preserve">Every request re-proves</w:t>
      </w:r>
      <w:r>
        <w:t xml:space="preserve"> </w:t>
      </w:r>
      <w:r>
        <w:t xml:space="preserve">identity; there is no</w:t>
      </w:r>
      <w:r>
        <w:t xml:space="preserve"> </w:t>
      </w:r>
      <w:r>
        <w:t xml:space="preserve">“inside the firewall”</w:t>
      </w:r>
      <w:r>
        <w:t xml:space="preserve"> </w:t>
      </w:r>
      <w:r>
        <w:t xml:space="preserve">where a single foothold yields</w:t>
      </w:r>
      <w:r>
        <w:t xml:space="preserve"> </w:t>
      </w:r>
      <w:r>
        <w:t xml:space="preserve">ambient access to all tenants’ data.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No long-lived database credential to exfiltrate.</w:t>
      </w:r>
      <w:r>
        <w:t xml:space="preserve"> </w:t>
      </w:r>
      <w:r>
        <w:t xml:space="preserve">The classic</w:t>
      </w:r>
      <w:r>
        <w:t xml:space="preserve"> </w:t>
      </w:r>
      <w:r>
        <w:t xml:space="preserve">“one leaked connection string compromises everything”</w:t>
      </w:r>
      <w:r>
        <w:t xml:space="preserve"> </w:t>
      </w:r>
      <w:r>
        <w:t xml:space="preserve">failure mode is</w:t>
      </w:r>
      <w:r>
        <w:t xml:space="preserve"> </w:t>
      </w:r>
      <w:r>
        <w:t xml:space="preserve">designed out.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Per-request scoping replaces per-store isolation.</w:t>
      </w:r>
      <w:r>
        <w:t xml:space="preserve"> </w:t>
      </w:r>
      <w:r>
        <w:t xml:space="preserve">A tenant’s reach is</w:t>
      </w:r>
      <w:r>
        <w:t xml:space="preserve"> </w:t>
      </w:r>
      <w:r>
        <w:t xml:space="preserve">bounded by its verified identity on each call, so one store can hold many</w:t>
      </w:r>
      <w:r>
        <w:t xml:space="preserve"> </w:t>
      </w:r>
      <w:r>
        <w:t xml:space="preserve">tenants without that being a security downgrade relative to many stores.</w:t>
      </w:r>
    </w:p>
    <w:p>
      <w:pPr>
        <w:pStyle w:val="FirstParagraph"/>
      </w:pPr>
      <w:r>
        <w:t xml:space="preserve">This is the precise sense in which token security</w:t>
      </w:r>
      <w:r>
        <w:t xml:space="preserve"> </w:t>
      </w:r>
      <w:r>
        <w:rPr>
          <w:i/>
          <w:iCs/>
        </w:rPr>
        <w:t xml:space="preserve">earns the right to</w:t>
      </w:r>
      <w:r>
        <w:rPr>
          <w:i/>
          <w:iCs/>
        </w:rPr>
        <w:t xml:space="preserve"> </w:t>
      </w:r>
      <w:r>
        <w:rPr>
          <w:i/>
          <w:iCs/>
        </w:rPr>
        <w:t xml:space="preserve">centralize</w:t>
      </w:r>
      <w:r>
        <w:t xml:space="preserve">. The shared source of truth is not safe</w:t>
      </w:r>
      <w:r>
        <w:t xml:space="preserve"> </w:t>
      </w:r>
      <w:r>
        <w:rPr>
          <w:i/>
          <w:iCs/>
        </w:rPr>
        <w:t xml:space="preserve">despite</w:t>
      </w:r>
      <w:r>
        <w:t xml:space="preserve"> </w:t>
      </w:r>
      <w:r>
        <w:t xml:space="preserve">being shared; it</w:t>
      </w:r>
      <w:r>
        <w:t xml:space="preserve"> </w:t>
      </w:r>
      <w:r>
        <w:t xml:space="preserve">is safe</w:t>
      </w:r>
      <w:r>
        <w:t xml:space="preserve"> </w:t>
      </w:r>
      <w:r>
        <w:rPr>
          <w:i/>
          <w:iCs/>
        </w:rPr>
        <w:t xml:space="preserve">because</w:t>
      </w:r>
      <w:r>
        <w:t xml:space="preserve"> </w:t>
      </w:r>
      <w:r>
        <w:t xml:space="preserve">the security model moved from the network to the identity.</w:t>
      </w:r>
    </w:p>
    <w:p>
      <w:pPr>
        <w:pStyle w:val="BodyText"/>
      </w:pPr>
      <w:r>
        <w:t xml:space="preserve">That same move — a credential minted per event rather than a durable secret or a</w:t>
      </w:r>
      <w:r>
        <w:t xml:space="preserve"> </w:t>
      </w:r>
      <w:r>
        <w:t xml:space="preserve">standing session — applies one layer down, to the network</w:t>
      </w:r>
      <w:r>
        <w:t xml:space="preserve"> </w:t>
      </w:r>
      <w:r>
        <w:rPr>
          <w:i/>
          <w:iCs/>
        </w:rPr>
        <w:t xml:space="preserve">path</w:t>
      </w:r>
      <w:r>
        <w:t xml:space="preserve"> </w:t>
      </w:r>
      <w:r>
        <w:t xml:space="preserve">the request</w:t>
      </w:r>
      <w:r>
        <w:t xml:space="preserve"> </w:t>
      </w:r>
      <w:r>
        <w:t xml:space="preserve">rides on. Chapter 5 (forward-looking, on the proposed the program decision transport plane)</w:t>
      </w:r>
      <w:r>
        <w:t xml:space="preserve"> </w:t>
      </w:r>
      <w:r>
        <w:t xml:space="preserve">carries token-based security from data</w:t>
      </w:r>
      <w:r>
        <w:t xml:space="preserve"> </w:t>
      </w:r>
      <w:r>
        <w:rPr>
          <w:i/>
          <w:iCs/>
        </w:rPr>
        <w:t xml:space="preserve">access</w:t>
      </w:r>
      <w:r>
        <w:t xml:space="preserve"> </w:t>
      </w:r>
      <w:r>
        <w:t xml:space="preserve">onto the transport plane, so</w:t>
      </w:r>
      <w:r>
        <w:t xml:space="preserve"> </w:t>
      </w:r>
      <w:r>
        <w:t xml:space="preserve">“identity is the new boundary”</w:t>
      </w:r>
      <w:r>
        <w:t xml:space="preserve"> </w:t>
      </w:r>
      <w:r>
        <w:t xml:space="preserve">holds end to end rather than only at the store.</w:t>
      </w:r>
    </w:p>
    <w:bookmarkEnd w:id="49"/>
    <w:bookmarkStart w:id="50" w:name="X4b12b0810475c0c86f9c08041a94253963c9ebd"/>
    <w:p>
      <w:pPr>
        <w:pStyle w:val="Heading2"/>
      </w:pPr>
      <w:r>
        <w:t xml:space="preserve">The friction it removes — and the drift that follows</w:t>
      </w:r>
    </w:p>
    <w:p>
      <w:pPr>
        <w:pStyle w:val="FirstParagraph"/>
      </w:pPr>
      <w:r>
        <w:t xml:space="preserve">Chapter 1 argued that drift is born when teams create unofficial local copies</w:t>
      </w:r>
      <w:r>
        <w:t xml:space="preserve"> </w:t>
      </w:r>
      <w:r>
        <w:t xml:space="preserve">because the central store is too hard to reach. Token-based security attacks the</w:t>
      </w:r>
      <w:r>
        <w:t xml:space="preserve"> </w:t>
      </w:r>
      <w:r>
        <w:t xml:space="preserve">“too restricted to reach”</w:t>
      </w:r>
      <w:r>
        <w:t xml:space="preserve"> </w:t>
      </w:r>
      <w:r>
        <w:t xml:space="preserve">half of that friction directly. When access is a</w:t>
      </w:r>
      <w:r>
        <w:t xml:space="preserve"> </w:t>
      </w:r>
      <w:r>
        <w:t xml:space="preserve">matter of presenting the right scoped identity — rather than being granted a</w:t>
      </w:r>
      <w:r>
        <w:t xml:space="preserve"> </w:t>
      </w:r>
      <w:r>
        <w:t xml:space="preserve">network path, a firewall exception, and a shared secret — the central store</w:t>
      </w:r>
      <w:r>
        <w:t xml:space="preserve"> </w:t>
      </w:r>
      <w:r>
        <w:t xml:space="preserve">becomes</w:t>
      </w:r>
      <w:r>
        <w:t xml:space="preserve"> </w:t>
      </w:r>
      <w:r>
        <w:rPr>
          <w:i/>
          <w:iCs/>
        </w:rPr>
        <w:t xml:space="preserve">easier</w:t>
      </w:r>
      <w:r>
        <w:t xml:space="preserve"> </w:t>
      </w:r>
      <w:r>
        <w:t xml:space="preserve">to reach than standing up a private copy. Removing access</w:t>
      </w:r>
      <w:r>
        <w:t xml:space="preserve"> </w:t>
      </w:r>
      <w:r>
        <w:t xml:space="preserve">friction removes the incentive to fork, which removes the drift at its source.</w:t>
      </w:r>
      <w:r>
        <w:t xml:space="preserve"> </w:t>
      </w:r>
      <w:r>
        <w:t xml:space="preserve">Security, counter-intuitively, becomes a centralization</w:t>
      </w:r>
      <w:r>
        <w:t xml:space="preserve"> </w:t>
      </w:r>
      <w:r>
        <w:rPr>
          <w:i/>
          <w:iCs/>
        </w:rPr>
        <w:t xml:space="preserve">enabler</w:t>
      </w:r>
      <w:r>
        <w:t xml:space="preserve"> </w:t>
      </w:r>
      <w:r>
        <w:t xml:space="preserve">rather than a</w:t>
      </w:r>
      <w:r>
        <w:t xml:space="preserve"> </w:t>
      </w:r>
      <w:r>
        <w:t xml:space="preserve">fragmentation</w:t>
      </w:r>
      <w:r>
        <w:t xml:space="preserve"> </w:t>
      </w:r>
      <w:r>
        <w:rPr>
          <w:i/>
          <w:iCs/>
        </w:rPr>
        <w:t xml:space="preserve">driver</w:t>
      </w:r>
      <w:r>
        <w:t xml:space="preserve">.</w:t>
      </w:r>
    </w:p>
    <w:bookmarkEnd w:id="50"/>
    <w:bookmarkStart w:id="51" w:name="the-residual-constraint"/>
    <w:p>
      <w:pPr>
        <w:pStyle w:val="Heading2"/>
      </w:pPr>
      <w:r>
        <w:t xml:space="preserve">The residual constraint</w:t>
      </w:r>
    </w:p>
    <w:p>
      <w:pPr>
        <w:pStyle w:val="FirstParagraph"/>
      </w:pPr>
      <w:r>
        <w:t xml:space="preserve">Token security removes the</w:t>
      </w:r>
      <w:r>
        <w:t xml:space="preserve"> </w:t>
      </w:r>
      <w:r>
        <w:rPr>
          <w:i/>
          <w:iCs/>
        </w:rPr>
        <w:t xml:space="preserve">security</w:t>
      </w:r>
      <w:r>
        <w:t xml:space="preserve"> </w:t>
      </w:r>
      <w:r>
        <w:t xml:space="preserve">reason to fragment. It does not remove the</w:t>
      </w:r>
      <w:r>
        <w:t xml:space="preserve"> </w:t>
      </w:r>
      <w:r>
        <w:rPr>
          <w:i/>
          <w:iCs/>
        </w:rPr>
        <w:t xml:space="preserve">legal</w:t>
      </w:r>
      <w:r>
        <w:t xml:space="preserve"> </w:t>
      </w:r>
      <w:r>
        <w:t xml:space="preserve">one. Data-residency and sovereignty rules can still require that certain</w:t>
      </w:r>
      <w:r>
        <w:t xml:space="preserve"> </w:t>
      </w:r>
      <w:r>
        <w:t xml:space="preserve">data physically reside in a certain place or boundary, and no identity model</w:t>
      </w:r>
      <w:r>
        <w:t xml:space="preserve"> </w:t>
      </w:r>
      <w:r>
        <w:t xml:space="preserve">overrides a regulator. The Federal Modernization Program handles this not by fragmenting the default plane</w:t>
      </w:r>
      <w:r>
        <w:t xml:space="preserve"> </w:t>
      </w:r>
      <w:r>
        <w:t xml:space="preserve">but by provisioning a dedicated, physically-isolated</w:t>
      </w:r>
      <w:r>
        <w:t xml:space="preserve"> </w:t>
      </w:r>
      <w:r>
        <w:rPr>
          <w:b/>
          <w:bCs/>
        </w:rPr>
        <w:t xml:space="preserve">stamp</w:t>
      </w:r>
      <w:r>
        <w:t xml:space="preserve"> </w:t>
      </w:r>
      <w:r>
        <w:t xml:space="preserve">for the</w:t>
      </w:r>
      <w:r>
        <w:t xml:space="preserve"> </w:t>
      </w:r>
      <w:r>
        <w:t xml:space="preserve">customers who require it (Chapter 7, the program decision), and by carrying sovereign-cloud</w:t>
      </w:r>
      <w:r>
        <w:t xml:space="preserve"> </w:t>
      </w:r>
      <w:r>
        <w:t xml:space="preserve">token audiences explicitly in the auth layer (the OSSRDBMS scope differs for US</w:t>
      </w:r>
      <w:r>
        <w:t xml:space="preserve"> </w:t>
      </w:r>
      <w:r>
        <w:t xml:space="preserve">Government clouds; the program decision, the program decision). The default stays centralized and safe;</w:t>
      </w:r>
      <w:r>
        <w:t xml:space="preserve"> </w:t>
      </w:r>
      <w:r>
        <w:t xml:space="preserve">the exception is provisioned deliberately, with its own boundary.</w:t>
      </w:r>
    </w:p>
    <w:bookmarkEnd w:id="51"/>
    <w:bookmarkStart w:id="52" w:name="summary-1"/>
    <w:p>
      <w:pPr>
        <w:pStyle w:val="Heading2"/>
      </w:pPr>
      <w:r>
        <w:t xml:space="preserve">Summary</w:t>
      </w:r>
    </w:p>
    <w:p>
      <w:pPr>
        <w:pStyle w:val="Compact"/>
        <w:numPr>
          <w:ilvl w:val="0"/>
          <w:numId w:val="1017"/>
        </w:numPr>
      </w:pPr>
      <w:r>
        <w:t xml:space="preserve">Much historical data fragmentation was driven by</w:t>
      </w:r>
      <w:r>
        <w:t xml:space="preserve"> </w:t>
      </w:r>
      <w:r>
        <w:rPr>
          <w:i/>
          <w:iCs/>
        </w:rPr>
        <w:t xml:space="preserve">security through</w:t>
      </w:r>
      <w:r>
        <w:rPr>
          <w:i/>
          <w:iCs/>
        </w:rPr>
        <w:t xml:space="preserve"> </w:t>
      </w:r>
      <w:r>
        <w:rPr>
          <w:i/>
          <w:iCs/>
        </w:rPr>
        <w:t xml:space="preserve">perimeter</w:t>
      </w:r>
      <w:r>
        <w:t xml:space="preserve">, which no hardware advance addresses.</w:t>
      </w:r>
    </w:p>
    <w:p>
      <w:pPr>
        <w:pStyle w:val="Compact"/>
        <w:numPr>
          <w:ilvl w:val="0"/>
          <w:numId w:val="1017"/>
        </w:numPr>
      </w:pPr>
      <w:r>
        <w:t xml:space="preserve">Token-based, zero-trust security moves the trust boundary from the network</w:t>
      </w:r>
      <w:r>
        <w:t xml:space="preserve"> </w:t>
      </w:r>
      <w:r>
        <w:t xml:space="preserve">into a verifiable, per-request identity, so one store can serve many trust</w:t>
      </w:r>
      <w:r>
        <w:t xml:space="preserve"> </w:t>
      </w:r>
      <w:r>
        <w:t xml:space="preserve">domains.</w:t>
      </w:r>
    </w:p>
    <w:p>
      <w:pPr>
        <w:pStyle w:val="Compact"/>
        <w:numPr>
          <w:ilvl w:val="0"/>
          <w:numId w:val="1017"/>
        </w:numPr>
      </w:pPr>
      <w:r>
        <w:t xml:space="preserve">The Federal Modernization Program realizes this on both sides: inbound</w:t>
      </w:r>
      <w:r>
        <w:t xml:space="preserve"> </w:t>
      </w:r>
      <w:r>
        <w:rPr>
          <w:rStyle w:val="VerbatimChar"/>
        </w:rPr>
        <w:t xml:space="preserve">tid</w:t>
      </w:r>
      <w:r>
        <w:t xml:space="preserve">-claim verification per</w:t>
      </w:r>
      <w:r>
        <w:t xml:space="preserve"> </w:t>
      </w:r>
      <w:r>
        <w:t xml:space="preserve">request (the program decision) and outbound passwordless Postgres auth that removes the</w:t>
      </w:r>
      <w:r>
        <w:t xml:space="preserve"> </w:t>
      </w:r>
      <w:r>
        <w:t xml:space="preserve">highest-value secret entirely (the program decision).</w:t>
      </w:r>
    </w:p>
    <w:p>
      <w:pPr>
        <w:pStyle w:val="Compact"/>
        <w:numPr>
          <w:ilvl w:val="0"/>
          <w:numId w:val="1017"/>
        </w:numPr>
      </w:pPr>
      <w:r>
        <w:t xml:space="preserve">This makes centralization</w:t>
      </w:r>
      <w:r>
        <w:t xml:space="preserve"> </w:t>
      </w:r>
      <w:r>
        <w:rPr>
          <w:i/>
          <w:iCs/>
        </w:rPr>
        <w:t xml:space="preserve">safe</w:t>
      </w:r>
      <w:r>
        <w:t xml:space="preserve">, not merely possible — and it removes the</w:t>
      </w:r>
      <w:r>
        <w:t xml:space="preserve"> </w:t>
      </w:r>
      <w:r>
        <w:t xml:space="preserve">access friction that drives teams to create drift-prone shadow copies.</w:t>
      </w:r>
    </w:p>
    <w:p>
      <w:pPr>
        <w:pStyle w:val="Compact"/>
        <w:numPr>
          <w:ilvl w:val="0"/>
          <w:numId w:val="1017"/>
        </w:numPr>
      </w:pPr>
      <w:r>
        <w:t xml:space="preserve">The one reason to fragment that survives is legal residency, handled as a</w:t>
      </w:r>
      <w:r>
        <w:t xml:space="preserve"> </w:t>
      </w:r>
      <w:r>
        <w:t xml:space="preserve">deliberate stamped exception rather than as the default.</w:t>
      </w:r>
    </w:p>
    <w:bookmarkEnd w:id="52"/>
    <w:bookmarkEnd w:id="53"/>
    <w:bookmarkStart w:id="65" w:name="the-speed-of-light-tax"/>
    <w:p>
      <w:pPr>
        <w:pStyle w:val="Heading1"/>
      </w:pPr>
      <w:r>
        <w:t xml:space="preserve">The Speed-of-Light Tax</w:t>
      </w:r>
    </w:p>
    <w:bookmarkStart w:id="54" w:name="the-wall-that-does-not-move"/>
    <w:p>
      <w:pPr>
        <w:pStyle w:val="Heading2"/>
      </w:pPr>
      <w:r>
        <w:t xml:space="preserve">The wall that does not move</w:t>
      </w:r>
    </w:p>
    <w:p>
      <w:pPr>
        <w:pStyle w:val="FirstParagraph"/>
      </w:pPr>
      <w:r>
        <w:t xml:space="preserve">Everything in the preceding chapters pushes toward consolidation, and within a</w:t>
      </w:r>
      <w:r>
        <w:t xml:space="preserve"> </w:t>
      </w:r>
      <w:r>
        <w:t xml:space="preserve">single region the case is close to unanswerable. Stretch the same store across</w:t>
      </w:r>
      <w:r>
        <w:t xml:space="preserve"> </w:t>
      </w:r>
      <w:r>
        <w:t xml:space="preserve">continents to keep a globally-synchronous source of truth, and you hit a wall</w:t>
      </w:r>
      <w:r>
        <w:t xml:space="preserve"> </w:t>
      </w:r>
      <w:r>
        <w:t xml:space="preserve">that no networking technology, present or future, moves:</w:t>
      </w:r>
      <w:r>
        <w:t xml:space="preserve"> </w:t>
      </w:r>
      <w:r>
        <w:rPr>
          <w:b/>
          <w:bCs/>
        </w:rPr>
        <w:t xml:space="preserve">the speed of</w:t>
      </w:r>
      <w:r>
        <w:rPr>
          <w:b/>
          <w:bCs/>
        </w:rPr>
        <w:t xml:space="preserve"> </w:t>
      </w:r>
      <w:r>
        <w:rPr>
          <w:b/>
          <w:bCs/>
        </w:rPr>
        <w:t xml:space="preserve">light.</w:t>
      </w:r>
    </w:p>
    <w:p>
      <w:pPr>
        <w:pStyle w:val="BodyText"/>
      </w:pPr>
      <w:r>
        <w:t xml:space="preserve">This chapter establishes that floor precisely, because the rest of the paper —</w:t>
      </w:r>
      <w:r>
        <w:t xml:space="preserve"> </w:t>
      </w:r>
      <w:r>
        <w:t xml:space="preserve">and any honest claim about what SD-WAN can do — depends on separating the part</w:t>
      </w:r>
      <w:r>
        <w:t xml:space="preserve"> </w:t>
      </w:r>
      <w:r>
        <w:t xml:space="preserve">of latency that is negotiable from the part that is not.</w:t>
      </w:r>
    </w:p>
    <w:bookmarkEnd w:id="54"/>
    <w:bookmarkStart w:id="55" w:name="two-latencies-added-together"/>
    <w:p>
      <w:pPr>
        <w:pStyle w:val="Heading2"/>
      </w:pPr>
      <w:r>
        <w:t xml:space="preserve">Two latencies, added together</w:t>
      </w:r>
    </w:p>
    <w:p>
      <w:pPr>
        <w:pStyle w:val="FirstParagraph"/>
      </w:pPr>
      <w:r>
        <w:t xml:space="preserve">Wide-area round-trip time is the sum of two components with completely</w:t>
      </w:r>
      <w:r>
        <w:t xml:space="preserve"> </w:t>
      </w:r>
      <w:r>
        <w:t xml:space="preserve">different physics: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Component</w:t>
            </w:r>
          </w:p>
        </w:tc>
        <w:tc>
          <w:tcPr/>
          <w:p>
            <w:pPr>
              <w:pStyle w:val="Compact"/>
            </w:pPr>
            <w:r>
              <w:t xml:space="preserve">What it is</w:t>
            </w:r>
          </w:p>
        </w:tc>
        <w:tc>
          <w:tcPr/>
          <w:p>
            <w:pPr>
              <w:pStyle w:val="Compact"/>
            </w:pPr>
            <w:r>
              <w:t xml:space="preserve">Can engineering reduce it?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Propagation delay</w:t>
            </w:r>
          </w:p>
        </w:tc>
        <w:tc>
          <w:tcPr/>
          <w:p>
            <w:pPr>
              <w:pStyle w:val="Compact"/>
            </w:pPr>
            <w:r>
              <w:t xml:space="preserve">Time for the signal to physically travel the distance, at the speed of light in fiber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No.</w:t>
            </w:r>
            <w:r>
              <w:t xml:space="preserve"> </w:t>
            </w:r>
            <w:r>
              <w:t xml:space="preserve">Fixed by distance on the chosen path.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Everything else</w:t>
            </w:r>
          </w:p>
        </w:tc>
        <w:tc>
          <w:tcPr/>
          <w:p>
            <w:pPr>
              <w:pStyle w:val="Compact"/>
            </w:pPr>
            <w:r>
              <w:t xml:space="preserve">Queueing, congestion, jitter, packet loss → retransmits, and circuitous (non-geodesic) routing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Yes — often dramatically.</w:t>
            </w:r>
            <w:r>
              <w:t xml:space="preserve"> </w:t>
            </w:r>
            <w:r>
              <w:t xml:space="preserve">This is the entire addressable surface.</w:t>
            </w:r>
          </w:p>
        </w:tc>
      </w:tr>
    </w:tbl>
    <w:p>
      <w:pPr>
        <w:pStyle w:val="BodyText"/>
      </w:pPr>
      <w:r>
        <w:t xml:space="preserve">The first component is a tax levied by physics. The second is the gap between</w:t>
      </w:r>
      <w:r>
        <w:t xml:space="preserve"> </w:t>
      </w:r>
      <w:r>
        <w:t xml:space="preserve">the latency you</w:t>
      </w:r>
      <w:r>
        <w:t xml:space="preserve"> </w:t>
      </w:r>
      <w:r>
        <w:rPr>
          <w:i/>
          <w:iCs/>
        </w:rPr>
        <w:t xml:space="preserve">observe</w:t>
      </w:r>
      <w:r>
        <w:t xml:space="preserve"> </w:t>
      </w:r>
      <w:r>
        <w:t xml:space="preserve">and that physical floor — and on a congested or</w:t>
      </w:r>
      <w:r>
        <w:t xml:space="preserve"> </w:t>
      </w:r>
      <w:r>
        <w:t xml:space="preserve">badly-routed path that gap is frequently</w:t>
      </w:r>
      <w:r>
        <w:t xml:space="preserve"> </w:t>
      </w:r>
      <w:r>
        <w:rPr>
          <w:b/>
          <w:bCs/>
        </w:rPr>
        <w:t xml:space="preserve">2× to 10× the floor itself.</w:t>
      </w:r>
      <w:r>
        <w:t xml:space="preserve"> </w:t>
      </w:r>
      <w:r>
        <w:t xml:space="preserve">The</w:t>
      </w:r>
      <w:r>
        <w:t xml:space="preserve"> </w:t>
      </w:r>
      <w:r>
        <w:t xml:space="preserve">single most important framing in this paper is:</w:t>
      </w:r>
    </w:p>
    <w:bookmarkEnd w:id="55"/>
    <w:bookmarkStart w:id="56" w:name="X04c797e6c6306082185f667ad596e245ff6a59d"/>
    <w:p>
      <w:pPr>
        <w:pStyle w:val="Heading2"/>
      </w:pPr>
      <w:r>
        <w:t xml:space="preserve">Optimization attacks the gap, never the floor.</w:t>
      </w:r>
    </w:p>
    <w:p>
      <w:pPr>
        <w:pStyle w:val="FirstParagraph"/>
      </w:pPr>
      <w:r>
        <w:t xml:space="preserve">Every networking technique discussed in Chapter 4 — SD-WAN path selection,</w:t>
      </w:r>
      <w:r>
        <w:t xml:space="preserve"> </w:t>
      </w:r>
      <w:r>
        <w:t xml:space="preserve">forward error correction, jitter smoothing, clock distribution — operates on</w:t>
      </w:r>
      <w:r>
        <w:t xml:space="preserve"> </w:t>
      </w:r>
      <w:r>
        <w:t xml:space="preserve">the</w:t>
      </w:r>
      <w:r>
        <w:t xml:space="preserve"> </w:t>
      </w:r>
      <w:r>
        <w:rPr>
          <w:i/>
          <w:iCs/>
        </w:rPr>
        <w:t xml:space="preserve">“everything else”</w:t>
      </w:r>
      <w:r>
        <w:t xml:space="preserve"> </w:t>
      </w:r>
      <w:r>
        <w:t xml:space="preserve">component. None of them reduces propagation delay by a</w:t>
      </w:r>
      <w:r>
        <w:t xml:space="preserve"> </w:t>
      </w:r>
      <w:r>
        <w:t xml:space="preserve">single microsecond. The wins are real</w:t>
      </w:r>
      <w:r>
        <w:t xml:space="preserve"> </w:t>
      </w:r>
      <w:r>
        <w:rPr>
          <w:i/>
          <w:iCs/>
        </w:rPr>
        <w:t xml:space="preserve">because the gap is usually large</w:t>
      </w:r>
      <w:r>
        <w:t xml:space="preserve">, but</w:t>
      </w:r>
      <w:r>
        <w:t xml:space="preserve"> </w:t>
      </w:r>
      <w:r>
        <w:t xml:space="preserve">the floor stays exactly where distance puts it.</w:t>
      </w:r>
    </w:p>
    <w:bookmarkEnd w:id="56"/>
    <w:bookmarkStart w:id="60" w:name="the-numbers"/>
    <w:p>
      <w:pPr>
        <w:pStyle w:val="Heading2"/>
      </w:pPr>
      <w:r>
        <w:t xml:space="preserve">The numbers</w:t>
      </w:r>
    </w:p>
    <w:p>
      <w:pPr>
        <w:pStyle w:val="FirstParagraph"/>
      </w:pPr>
      <w:r>
        <w:t xml:space="preserve">Light in optical fiber travels at roughly two-thirds of its vacuum speed —</w:t>
      </w:r>
      <w:r>
        <w:t xml:space="preserve"> </w:t>
      </w:r>
      <w:r>
        <w:t xml:space="preserve">about</w:t>
      </w:r>
      <w:r>
        <w:t xml:space="preserve"> </w:t>
      </w:r>
      <w:r>
        <w:rPr>
          <w:b/>
          <w:bCs/>
        </w:rPr>
        <w:t xml:space="preserve">200,000 km/s</w:t>
      </w:r>
      <w:r>
        <w:t xml:space="preserve">, or</w:t>
      </w:r>
      <w:r>
        <w:t xml:space="preserve"> </w:t>
      </w:r>
      <w:r>
        <w:rPr>
          <w:b/>
          <w:bCs/>
        </w:rPr>
        <w:t xml:space="preserve">≈ 5 microseconds per kilometer</w:t>
      </w:r>
      <w:r>
        <w:t xml:space="preserve">, or roughly</w:t>
      </w:r>
      <w:r>
        <w:t xml:space="preserve"> </w:t>
      </w:r>
      <w:r>
        <w:rPr>
          <w:b/>
          <w:bCs/>
        </w:rPr>
        <w:t xml:space="preserve">1 millisecond per 200 km, one way.</w:t>
      </w:r>
      <w:r>
        <w:t xml:space="preserve"> </w:t>
      </w:r>
      <w:r>
        <w:t xml:space="preserve">That yields hard floors that no</w:t>
      </w:r>
      <w:r>
        <w:t xml:space="preserve"> </w:t>
      </w:r>
      <w:r>
        <w:t xml:space="preserve">optimization can beat: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Path (approx. great-circle)</w:t>
            </w:r>
          </w:p>
        </w:tc>
        <w:tc>
          <w:tcPr/>
          <w:p>
            <w:pPr>
              <w:pStyle w:val="Compact"/>
            </w:pPr>
            <w:r>
              <w:t xml:space="preserve">One-way propagation floor</w:t>
            </w:r>
          </w:p>
        </w:tc>
        <w:tc>
          <w:tcPr/>
          <w:p>
            <w:pPr>
              <w:pStyle w:val="Compact"/>
            </w:pPr>
            <w:r>
              <w:t xml:space="preserve">Round-trip floor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Within a metro (~50 km)</w:t>
            </w:r>
          </w:p>
        </w:tc>
        <w:tc>
          <w:tcPr/>
          <w:p>
            <w:pPr>
              <w:pStyle w:val="Compact"/>
            </w:pPr>
            <w:r>
              <w:t xml:space="preserve">~0.25 ms</w:t>
            </w:r>
          </w:p>
        </w:tc>
        <w:tc>
          <w:tcPr/>
          <w:p>
            <w:pPr>
              <w:pStyle w:val="Compact"/>
            </w:pPr>
            <w:r>
              <w:t xml:space="preserve">~0.5 ms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Cross-region, same continent (~1,000 km)</w:t>
            </w:r>
          </w:p>
        </w:tc>
        <w:tc>
          <w:tcPr/>
          <w:p>
            <w:pPr>
              <w:pStyle w:val="Compact"/>
            </w:pPr>
            <w:r>
              <w:t xml:space="preserve">~5 ms</w:t>
            </w:r>
          </w:p>
        </w:tc>
        <w:tc>
          <w:tcPr/>
          <w:p>
            <w:pPr>
              <w:pStyle w:val="Compact"/>
            </w:pPr>
            <w:r>
              <w:t xml:space="preserve">~10 ms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New York ↔ London (~5,600 km)</w:t>
            </w:r>
          </w:p>
        </w:tc>
        <w:tc>
          <w:tcPr/>
          <w:p>
            <w:pPr>
              <w:pStyle w:val="Compact"/>
            </w:pPr>
            <w:r>
              <w:t xml:space="preserve">~28 ms</w:t>
            </w:r>
          </w:p>
        </w:tc>
        <w:tc>
          <w:tcPr/>
          <w:p>
            <w:pPr>
              <w:pStyle w:val="Compact"/>
            </w:pPr>
            <w:r>
              <w:t xml:space="preserve">~56 ms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New York ↔ Singapore (~15,300 km)</w:t>
            </w:r>
          </w:p>
        </w:tc>
        <w:tc>
          <w:tcPr/>
          <w:p>
            <w:pPr>
              <w:pStyle w:val="Compact"/>
            </w:pPr>
            <w:r>
              <w:t xml:space="preserve">~77 ms</w:t>
            </w:r>
          </w:p>
        </w:tc>
        <w:tc>
          <w:tcPr/>
          <w:p>
            <w:pPr>
              <w:pStyle w:val="Compact"/>
            </w:pPr>
            <w:r>
              <w:t xml:space="preserve">~153 ms</w:t>
            </w:r>
          </w:p>
        </w:tc>
      </w:tr>
    </w:tbl>
    <w:p>
      <w:pPr>
        <w:pStyle w:val="BodyText"/>
      </w:pPr>
      <w:r>
        <w:t xml:space="preserve">These are</w:t>
      </w:r>
      <w:r>
        <w:t xml:space="preserve"> </w:t>
      </w:r>
      <w:r>
        <w:rPr>
          <w:i/>
          <w:iCs/>
        </w:rPr>
        <w:t xml:space="preserve">minimums assuming a perfectly straight fiber path.</w:t>
      </w:r>
      <w:r>
        <w:t xml:space="preserve"> </w:t>
      </w:r>
      <w:r>
        <w:t xml:space="preserve">Real paths are</w:t>
      </w:r>
      <w:r>
        <w:t xml:space="preserve"> </w:t>
      </w:r>
      <w:r>
        <w:t xml:space="preserve">longer — internet routes commonly run 1.5× to 3× the great-circle distance —</w:t>
      </w:r>
      <w:r>
        <w:t xml:space="preserve"> </w:t>
      </w:r>
      <w:r>
        <w:t xml:space="preserve">so observed propagation alone is typically well above these figures before any</w:t>
      </w:r>
      <w:r>
        <w:t xml:space="preserve"> </w:t>
      </w:r>
      <w:r>
        <w:t xml:space="preserve">congestion is added. Optimization can claw back the routing excess (Chapter 4);</w:t>
      </w:r>
      <w:r>
        <w:t xml:space="preserve"> </w:t>
      </w:r>
      <w:r>
        <w:t xml:space="preserve">it cannot go below the straight-line floor.</w:t>
      </w:r>
    </w:p>
    <w:p>
      <w:pPr>
        <w:pStyle w:val="CaptionedFigure"/>
      </w:pPr>
      <w:r>
        <w:drawing>
          <wp:inline>
            <wp:extent cx="5334000" cy="3940515"/>
            <wp:effectExtent b="0" l="0" r="0" t="0"/>
            <wp:docPr descr="Observed latency is an immovable propagation floor plus an addressable gap; the floors for four paths." title="" id="58" name="Picture"/>
            <a:graphic>
              <a:graphicData uri="http://schemas.openxmlformats.org/drawingml/2006/picture">
                <pic:pic>
                  <pic:nvPicPr>
                    <pic:cNvPr descr="/home/runner/work/modernization-workbook/modernization-workbook/docs/images/diagrams/ssot-network-physics/png/ch03-propagation-floor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405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Observed latency is an immovable propagation floor plus an addressable gap; the floors for four paths.</w:t>
      </w:r>
    </w:p>
    <w:bookmarkEnd w:id="60"/>
    <w:bookmarkStart w:id="61" w:name="X506e21c9f490eebc9e3c8822cfcffad0e52db2d"/>
    <w:p>
      <w:pPr>
        <w:pStyle w:val="Heading2"/>
      </w:pPr>
      <w:r>
        <w:t xml:space="preserve">Why strong consistency is a latency problem, not a bandwidth one</w:t>
      </w:r>
    </w:p>
    <w:p>
      <w:pPr>
        <w:pStyle w:val="FirstParagraph"/>
      </w:pPr>
      <w:r>
        <w:t xml:space="preserve">The crucial insight for database architecture is that</w:t>
      </w:r>
      <w:r>
        <w:t xml:space="preserve"> </w:t>
      </w:r>
      <w:r>
        <w:rPr>
          <w:b/>
          <w:bCs/>
        </w:rPr>
        <w:t xml:space="preserve">strong consistency</w:t>
      </w:r>
      <w:r>
        <w:rPr>
          <w:b/>
          <w:bCs/>
        </w:rPr>
        <w:t xml:space="preserve"> </w:t>
      </w:r>
      <w:r>
        <w:rPr>
          <w:b/>
          <w:bCs/>
        </w:rPr>
        <w:t xml:space="preserve">spends round trips, and round trips are priced in latency, not bandwidth.</w:t>
      </w:r>
    </w:p>
    <w:p>
      <w:pPr>
        <w:pStyle w:val="BodyText"/>
      </w:pPr>
      <w:r>
        <w:t xml:space="preserve">WAN bandwidth has grown enormously — moving terabytes between continents is</w:t>
      </w:r>
      <w:r>
        <w:t xml:space="preserve"> </w:t>
      </w:r>
      <w:r>
        <w:t xml:space="preserve">routine. But a strongly-consistent, synchronous commit does not need</w:t>
      </w:r>
      <w:r>
        <w:t xml:space="preserve"> </w:t>
      </w:r>
      <w:r>
        <w:t xml:space="preserve">bandwidth; it needs</w:t>
      </w:r>
      <w:r>
        <w:t xml:space="preserve"> </w:t>
      </w:r>
      <w:r>
        <w:rPr>
          <w:i/>
          <w:iCs/>
        </w:rPr>
        <w:t xml:space="preserve">agreement</w:t>
      </w:r>
      <w:r>
        <w:t xml:space="preserve">, and agreement requires messages to travel to</w:t>
      </w:r>
      <w:r>
        <w:t xml:space="preserve"> </w:t>
      </w:r>
      <w:r>
        <w:t xml:space="preserve">other nodes and back:</w:t>
      </w:r>
    </w:p>
    <w:p>
      <w:pPr>
        <w:pStyle w:val="Compact"/>
        <w:numPr>
          <w:ilvl w:val="0"/>
          <w:numId w:val="1018"/>
        </w:numPr>
      </w:pPr>
      <w:r>
        <w:t xml:space="preserve">A synchronous commit that must be durable on a remote replica pays</w:t>
      </w:r>
      <w:r>
        <w:t xml:space="preserve"> </w:t>
      </w:r>
      <w:r>
        <w:rPr>
          <w:b/>
          <w:bCs/>
        </w:rPr>
        <w:t xml:space="preserve">at least</w:t>
      </w:r>
      <w:r>
        <w:rPr>
          <w:b/>
          <w:bCs/>
        </w:rPr>
        <w:t xml:space="preserve"> </w:t>
      </w:r>
      <w:r>
        <w:rPr>
          <w:b/>
          <w:bCs/>
        </w:rPr>
        <w:t xml:space="preserve">one round trip</w:t>
      </w:r>
      <w:r>
        <w:t xml:space="preserve"> </w:t>
      </w:r>
      <w:r>
        <w:t xml:space="preserve">before it can acknowledge — every time.</w:t>
      </w:r>
    </w:p>
    <w:p>
      <w:pPr>
        <w:pStyle w:val="Compact"/>
        <w:numPr>
          <w:ilvl w:val="0"/>
          <w:numId w:val="1018"/>
        </w:numPr>
      </w:pPr>
      <w:r>
        <w:t xml:space="preserve">A consensus protocol (Paxos, Raft) committing through a quorum typically pays</w:t>
      </w:r>
      <w:r>
        <w:t xml:space="preserve"> </w:t>
      </w:r>
      <w:r>
        <w:rPr>
          <w:b/>
          <w:bCs/>
        </w:rPr>
        <w:t xml:space="preserve">one to two round trips</w:t>
      </w:r>
      <w:r>
        <w:t xml:space="preserve"> </w:t>
      </w:r>
      <w:r>
        <w:t xml:space="preserve">to the quorum members, and is gated by the</w:t>
      </w:r>
      <w:r>
        <w:t xml:space="preserve"> </w:t>
      </w:r>
      <w:r>
        <w:rPr>
          <w:i/>
          <w:iCs/>
        </w:rPr>
        <w:t xml:space="preserve">slowest</w:t>
      </w:r>
      <w:r>
        <w:t xml:space="preserve"> </w:t>
      </w:r>
      <w:r>
        <w:t xml:space="preserve">member it must hear from.</w:t>
      </w:r>
    </w:p>
    <w:p>
      <w:pPr>
        <w:pStyle w:val="FirstParagraph"/>
      </w:pPr>
      <w:r>
        <w:t xml:space="preserve">Across New York and London, that is a floor of ~56 ms</w:t>
      </w:r>
      <w:r>
        <w:t xml:space="preserve"> </w:t>
      </w:r>
      <w:r>
        <w:rPr>
          <w:i/>
          <w:iCs/>
        </w:rPr>
        <w:t xml:space="preserve">per synchronous commit</w:t>
      </w:r>
      <w:r>
        <w:t xml:space="preserve">,</w:t>
      </w:r>
      <w:r>
        <w:t xml:space="preserve"> </w:t>
      </w:r>
      <w:r>
        <w:t xml:space="preserve">multiplied by every dependent operation in a transaction. No amount of fat pipe</w:t>
      </w:r>
      <w:r>
        <w:t xml:space="preserve"> </w:t>
      </w:r>
      <w:r>
        <w:t xml:space="preserve">changes it, because the limiting resource is the time for light to make the</w:t>
      </w:r>
      <w:r>
        <w:t xml:space="preserve"> </w:t>
      </w:r>
      <w:r>
        <w:t xml:space="preserve">trip, not the volume of data in flight.</w:t>
      </w:r>
    </w:p>
    <w:bookmarkEnd w:id="61"/>
    <w:bookmarkStart w:id="62" w:name="X379c8a1cfe2a671cc9915244e6eadcdea07f759"/>
    <w:p>
      <w:pPr>
        <w:pStyle w:val="Heading2"/>
      </w:pPr>
      <w:r>
        <w:t xml:space="preserve">Tail latency: the part that actually hurts</w:t>
      </w:r>
    </w:p>
    <w:p>
      <w:pPr>
        <w:pStyle w:val="FirstParagraph"/>
      </w:pPr>
      <w:r>
        <w:t xml:space="preserve">There is a subtler reason distributed consistency suffers, and it sharpens what</w:t>
      </w:r>
      <w:r>
        <w:t xml:space="preserve"> </w:t>
      </w:r>
      <w:r>
        <w:t xml:space="preserve">Chapter 4 must target. Because a quorum commit waits for the</w:t>
      </w:r>
      <w:r>
        <w:t xml:space="preserve"> </w:t>
      </w:r>
      <w:r>
        <w:rPr>
          <w:i/>
          <w:iCs/>
        </w:rPr>
        <w:t xml:space="preserve">slowest</w:t>
      </w:r>
      <w:r>
        <w:t xml:space="preserve"> </w:t>
      </w:r>
      <w:r>
        <w:t xml:space="preserve">response</w:t>
      </w:r>
      <w:r>
        <w:t xml:space="preserve"> </w:t>
      </w:r>
      <w:r>
        <w:t xml:space="preserve">it needs, commit latency is governed by a</w:t>
      </w:r>
      <w:r>
        <w:t xml:space="preserve"> </w:t>
      </w:r>
      <w:r>
        <w:rPr>
          <w:b/>
          <w:bCs/>
        </w:rPr>
        <w:t xml:space="preserve">tail</w:t>
      </w:r>
      <w:r>
        <w:t xml:space="preserve"> </w:t>
      </w:r>
      <w:r>
        <w:t xml:space="preserve">statistic — the p99, not the</w:t>
      </w:r>
      <w:r>
        <w:t xml:space="preserve"> </w:t>
      </w:r>
      <w:r>
        <w:t xml:space="preserve">average. A path can have an excellent mean and still inflict terrible commit</w:t>
      </w:r>
      <w:r>
        <w:t xml:space="preserve"> </w:t>
      </w:r>
      <w:r>
        <w:t xml:space="preserve">latency if its tail is ugly, because every so often the one packet the quorum is</w:t>
      </w:r>
      <w:r>
        <w:t xml:space="preserve"> </w:t>
      </w:r>
      <w:r>
        <w:t xml:space="preserve">waiting on is the one that got queued, dropped, and retransmitted.</w:t>
      </w:r>
    </w:p>
    <w:p>
      <w:pPr>
        <w:pStyle w:val="BodyText"/>
      </w:pPr>
      <w:r>
        <w:t xml:space="preserve">This matters because the</w:t>
      </w:r>
      <w:r>
        <w:t xml:space="preserve"> </w:t>
      </w:r>
      <w:r>
        <w:t xml:space="preserve">“everything else”</w:t>
      </w:r>
      <w:r>
        <w:t xml:space="preserve"> </w:t>
      </w:r>
      <w:r>
        <w:t xml:space="preserve">component — congestion, loss,</w:t>
      </w:r>
      <w:r>
        <w:t xml:space="preserve"> </w:t>
      </w:r>
      <w:r>
        <w:t xml:space="preserve">jitter — is precisely what</w:t>
      </w:r>
      <w:r>
        <w:t xml:space="preserve"> </w:t>
      </w:r>
      <w:r>
        <w:rPr>
          <w:i/>
          <w:iCs/>
        </w:rPr>
        <w:t xml:space="preserve">inflates the tail</w:t>
      </w:r>
      <w:r>
        <w:t xml:space="preserve">, while propagation delay is</w:t>
      </w:r>
      <w:r>
        <w:t xml:space="preserve"> </w:t>
      </w:r>
      <w:r>
        <w:t xml:space="preserve">constant and therefore tail-neutral. So the addressable part of WAN latency is</w:t>
      </w:r>
      <w:r>
        <w:t xml:space="preserve"> </w:t>
      </w:r>
      <w:r>
        <w:t xml:space="preserve">also the part that disproportionately damages distributed databases. That is the</w:t>
      </w:r>
      <w:r>
        <w:t xml:space="preserve"> </w:t>
      </w:r>
      <w:r>
        <w:t xml:space="preserve">opening Chapter 4 exploits.</w:t>
      </w:r>
    </w:p>
    <w:bookmarkEnd w:id="62"/>
    <w:bookmarkStart w:id="63" w:name="what-follows-for-architecture"/>
    <w:p>
      <w:pPr>
        <w:pStyle w:val="Heading2"/>
      </w:pPr>
      <w:r>
        <w:t xml:space="preserve">What follows for architecture</w:t>
      </w:r>
    </w:p>
    <w:p>
      <w:pPr>
        <w:pStyle w:val="FirstParagraph"/>
      </w:pPr>
      <w:r>
        <w:t xml:space="preserve">Two conclusions fall directly out of the physics, and the rest of the paper</w:t>
      </w:r>
      <w:r>
        <w:t xml:space="preserve"> </w:t>
      </w:r>
      <w:r>
        <w:t xml:space="preserve">builds on them: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Keep strong consistency inside a region.</w:t>
      </w:r>
      <w:r>
        <w:t xml:space="preserve"> </w:t>
      </w:r>
      <w:r>
        <w:t xml:space="preserve">At metro and intra-continental</w:t>
      </w:r>
      <w:r>
        <w:t xml:space="preserve"> </w:t>
      </w:r>
      <w:r>
        <w:t xml:space="preserve">distances the propagation floor is sub-millisecond to a few milliseconds —</w:t>
      </w:r>
      <w:r>
        <w:t xml:space="preserve"> </w:t>
      </w:r>
      <w:r>
        <w:t xml:space="preserve">synchronous consistency is effectively free there. This is why the Federal Modernization Program’s</w:t>
      </w:r>
      <w:r>
        <w:t xml:space="preserve"> </w:t>
      </w:r>
      <w:r>
        <w:t xml:space="preserve">single-region writer (Chapter 7) is not a limitation but a deliberate</w:t>
      </w:r>
      <w:r>
        <w:t xml:space="preserve"> </w:t>
      </w:r>
      <w:r>
        <w:t xml:space="preserve">exploitation of the physics.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Across regions, stop spending round trips.</w:t>
      </w:r>
      <w:r>
        <w:t xml:space="preserve"> </w:t>
      </w:r>
      <w:r>
        <w:t xml:space="preserve">The win is not a faster</w:t>
      </w:r>
      <w:r>
        <w:t xml:space="preserve"> </w:t>
      </w:r>
      <w:r>
        <w:t xml:space="preserve">synchronous path — physics caps that — but an architecture that requires</w:t>
      </w:r>
      <w:r>
        <w:t xml:space="preserve"> </w:t>
      </w:r>
      <w:r>
        <w:t xml:space="preserve">fewer synchronous crossings: asynchronous replication, bounded staleness,</w:t>
      </w:r>
      <w:r>
        <w:t xml:space="preserve"> </w:t>
      </w:r>
      <w:r>
        <w:t xml:space="preserve">and merge-friendly data types (Chapter 6).</w:t>
      </w:r>
    </w:p>
    <w:p>
      <w:pPr>
        <w:pStyle w:val="FirstParagraph"/>
      </w:pPr>
      <w:r>
        <w:t xml:space="preserve">SD-WAN, the subject of the next chapter, lives entirely inside the gap between</w:t>
      </w:r>
      <w:r>
        <w:t xml:space="preserve"> </w:t>
      </w:r>
      <w:r>
        <w:t xml:space="preserve">observed latency and the floor. Understanding that it operates</w:t>
      </w:r>
      <w:r>
        <w:t xml:space="preserve"> </w:t>
      </w:r>
      <w:r>
        <w:rPr>
          <w:i/>
          <w:iCs/>
        </w:rPr>
        <w:t xml:space="preserve">there</w:t>
      </w:r>
      <w:r>
        <w:t xml:space="preserve"> </w:t>
      </w:r>
      <w:r>
        <w:t xml:space="preserve">— and</w:t>
      </w:r>
      <w:r>
        <w:t xml:space="preserve"> </w:t>
      </w:r>
      <w:r>
        <w:t xml:space="preserve">only there — is what lets us state precisely what it can and cannot do for</w:t>
      </w:r>
      <w:r>
        <w:t xml:space="preserve"> </w:t>
      </w:r>
      <w:r>
        <w:t xml:space="preserve">keeping large databases in sync.</w:t>
      </w:r>
    </w:p>
    <w:bookmarkEnd w:id="63"/>
    <w:bookmarkStart w:id="64" w:name="summary-2"/>
    <w:p>
      <w:pPr>
        <w:pStyle w:val="Heading2"/>
      </w:pPr>
      <w:r>
        <w:t xml:space="preserve">Summary</w:t>
      </w:r>
    </w:p>
    <w:p>
      <w:pPr>
        <w:pStyle w:val="Compact"/>
        <w:numPr>
          <w:ilvl w:val="0"/>
          <w:numId w:val="1020"/>
        </w:numPr>
      </w:pPr>
      <w:r>
        <w:t xml:space="preserve">WAN latency is propagation delay (fixed by distance, ~5 µs/km) plus</w:t>
      </w:r>
      <w:r>
        <w:t xml:space="preserve"> </w:t>
      </w:r>
      <w:r>
        <w:t xml:space="preserve">everything else (congestion, loss, jitter, routing excess).</w:t>
      </w:r>
    </w:p>
    <w:p>
      <w:pPr>
        <w:pStyle w:val="Compact"/>
        <w:numPr>
          <w:ilvl w:val="0"/>
          <w:numId w:val="1020"/>
        </w:numPr>
      </w:pPr>
      <w:r>
        <w:t xml:space="preserve">Optimization addresses only the second component; the propagation floor is</w:t>
      </w:r>
      <w:r>
        <w:t xml:space="preserve"> </w:t>
      </w:r>
      <w:r>
        <w:t xml:space="preserve">immovable. NY↔London is ~56 ms round-trip, minimum, forever.</w:t>
      </w:r>
    </w:p>
    <w:p>
      <w:pPr>
        <w:pStyle w:val="Compact"/>
        <w:numPr>
          <w:ilvl w:val="0"/>
          <w:numId w:val="1020"/>
        </w:numPr>
      </w:pPr>
      <w:r>
        <w:t xml:space="preserve">Strong consistency spends round trips, so it is a</w:t>
      </w:r>
      <w:r>
        <w:t xml:space="preserve"> </w:t>
      </w:r>
      <w:r>
        <w:rPr>
          <w:i/>
          <w:iCs/>
        </w:rPr>
        <w:t xml:space="preserve">latency</w:t>
      </w:r>
      <w:r>
        <w:t xml:space="preserve"> </w:t>
      </w:r>
      <w:r>
        <w:t xml:space="preserve">problem; fat</w:t>
      </w:r>
      <w:r>
        <w:t xml:space="preserve"> </w:t>
      </w:r>
      <w:r>
        <w:t xml:space="preserve">bandwidth does not help it.</w:t>
      </w:r>
    </w:p>
    <w:p>
      <w:pPr>
        <w:pStyle w:val="Compact"/>
        <w:numPr>
          <w:ilvl w:val="0"/>
          <w:numId w:val="1020"/>
        </w:numPr>
      </w:pPr>
      <w:r>
        <w:t xml:space="preserve">Commit latency in a quorum is a</w:t>
      </w:r>
      <w:r>
        <w:t xml:space="preserve"> </w:t>
      </w:r>
      <w:r>
        <w:rPr>
          <w:i/>
          <w:iCs/>
        </w:rPr>
        <w:t xml:space="preserve">tail</w:t>
      </w:r>
      <w:r>
        <w:t xml:space="preserve"> </w:t>
      </w:r>
      <w:r>
        <w:t xml:space="preserve">statistic, and the tail is inflated by</w:t>
      </w:r>
      <w:r>
        <w:t xml:space="preserve"> </w:t>
      </w:r>
      <w:r>
        <w:t xml:space="preserve">exactly the addressable (non-propagation) component — which is why network</w:t>
      </w:r>
      <w:r>
        <w:t xml:space="preserve"> </w:t>
      </w:r>
      <w:r>
        <w:t xml:space="preserve">optimization can still help meaningfully.</w:t>
      </w:r>
    </w:p>
    <w:p>
      <w:pPr>
        <w:pStyle w:val="Compact"/>
        <w:numPr>
          <w:ilvl w:val="0"/>
          <w:numId w:val="1020"/>
        </w:numPr>
      </w:pPr>
      <w:r>
        <w:t xml:space="preserve">The architectural response: keep strong consistency intra-region; minimize</w:t>
      </w:r>
      <w:r>
        <w:t xml:space="preserve"> </w:t>
      </w:r>
      <w:r>
        <w:t xml:space="preserve">synchronous crossings between regions.</w:t>
      </w:r>
    </w:p>
    <w:bookmarkEnd w:id="64"/>
    <w:bookmarkEnd w:id="65"/>
    <w:bookmarkStart w:id="81" w:name="sd-wan-and-differentiated-transport"/>
    <w:p>
      <w:pPr>
        <w:pStyle w:val="Heading1"/>
      </w:pPr>
      <w:r>
        <w:t xml:space="preserve">SD-WAN and Differentiated Transport</w:t>
      </w:r>
    </w:p>
    <w:bookmarkStart w:id="66" w:name="the-question-stated-precisely"/>
    <w:p>
      <w:pPr>
        <w:pStyle w:val="Heading2"/>
      </w:pPr>
      <w:r>
        <w:t xml:space="preserve">The question, stated precisely</w:t>
      </w:r>
    </w:p>
    <w:p>
      <w:pPr>
        <w:pStyle w:val="FirstParagraph"/>
      </w:pPr>
      <w:r>
        <w:t xml:space="preserve">Software-defined WAN can select among multiple underlay paths per traffic</w:t>
      </w:r>
      <w:r>
        <w:t xml:space="preserve"> </w:t>
      </w:r>
      <w:r>
        <w:t xml:space="preserve">class: it can steer latency-sensitive traffic onto a lean, low-latency,</w:t>
      </w:r>
      <w:r>
        <w:t xml:space="preserve"> </w:t>
      </w:r>
      <w:r>
        <w:t xml:space="preserve">low-jitter path while pushing bulk traffic onto a fatter but slower or cheaper</w:t>
      </w:r>
      <w:r>
        <w:t xml:space="preserve"> </w:t>
      </w:r>
      <w:r>
        <w:t xml:space="preserve">one.</w:t>
      </w:r>
      <w:r>
        <w:t xml:space="preserve"> </w:t>
      </w:r>
      <w:r>
        <w:rPr>
          <w:b/>
          <w:bCs/>
        </w:rPr>
        <w:t xml:space="preserve">Can this help large databases stay in sync, and can it assist with the</w:t>
      </w:r>
      <w:r>
        <w:rPr>
          <w:b/>
          <w:bCs/>
        </w:rPr>
        <w:t xml:space="preserve"> </w:t>
      </w:r>
      <w:r>
        <w:rPr>
          <w:b/>
          <w:bCs/>
        </w:rPr>
        <w:t xml:space="preserve">speed-of-light problem through optimization?</w:t>
      </w:r>
    </w:p>
    <w:p>
      <w:pPr>
        <w:pStyle w:val="BodyText"/>
      </w:pPr>
      <w:r>
        <w:t xml:space="preserve">The answer, grounded in Chapter 3:</w:t>
      </w:r>
      <w:r>
        <w:t xml:space="preserve"> </w:t>
      </w:r>
      <w:r>
        <w:rPr>
          <w:b/>
          <w:bCs/>
        </w:rPr>
        <w:t xml:space="preserve">yes, meaningfully — but only inside the</w:t>
      </w:r>
      <w:r>
        <w:rPr>
          <w:b/>
          <w:bCs/>
        </w:rPr>
        <w:t xml:space="preserve"> </w:t>
      </w:r>
      <w:r>
        <w:rPr>
          <w:b/>
          <w:bCs/>
        </w:rPr>
        <w:t xml:space="preserve">gap between observed latency and the physical floor.</w:t>
      </w:r>
      <w:r>
        <w:t xml:space="preserve"> </w:t>
      </w:r>
      <w:r>
        <w:t xml:space="preserve">SD-WAN never moves the</w:t>
      </w:r>
      <w:r>
        <w:t xml:space="preserve"> </w:t>
      </w:r>
      <w:r>
        <w:t xml:space="preserve">floor. Because the gap is usually large and disproportionately damages</w:t>
      </w:r>
      <w:r>
        <w:t xml:space="preserve"> </w:t>
      </w:r>
      <w:r>
        <w:t xml:space="preserve">distributed databases (it inflates the commit-latency tail), operating there is</w:t>
      </w:r>
      <w:r>
        <w:t xml:space="preserve"> </w:t>
      </w:r>
      <w:r>
        <w:t xml:space="preserve">high-value. Overstating it as</w:t>
      </w:r>
      <w:r>
        <w:t xml:space="preserve"> </w:t>
      </w:r>
      <w:r>
        <w:t xml:space="preserve">“beating the speed of light”</w:t>
      </w:r>
      <w:r>
        <w:t xml:space="preserve"> </w:t>
      </w:r>
      <w:r>
        <w:t xml:space="preserve">is the error to</w:t>
      </w:r>
      <w:r>
        <w:t xml:space="preserve"> </w:t>
      </w:r>
      <w:r>
        <w:t xml:space="preserve">avoid.</w:t>
      </w:r>
    </w:p>
    <w:bookmarkEnd w:id="66"/>
    <w:bookmarkStart w:id="70" w:name="X6e9934ee71a11b8a7449bc93945d4825c1d9eac"/>
    <w:p>
      <w:pPr>
        <w:pStyle w:val="Heading2"/>
      </w:pPr>
      <w:r>
        <w:t xml:space="preserve">SD-WAN as the network mirror of consistency classes</w:t>
      </w:r>
    </w:p>
    <w:p>
      <w:pPr>
        <w:pStyle w:val="FirstParagraph"/>
      </w:pPr>
      <w:r>
        <w:t xml:space="preserve">The instinct to split traffic into a low-latency class and a bulk class is</w:t>
      </w:r>
      <w:r>
        <w:t xml:space="preserve"> </w:t>
      </w:r>
      <w:r>
        <w:t xml:space="preserve">exactly right, because it maps one-to-one onto what a database actually emits: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Traffic class</w:t>
            </w:r>
          </w:p>
        </w:tc>
        <w:tc>
          <w:tcPr/>
          <w:p>
            <w:pPr>
              <w:pStyle w:val="Compact"/>
            </w:pPr>
            <w:r>
              <w:t xml:space="preserve">Database traffic it carries</w:t>
            </w:r>
          </w:p>
        </w:tc>
        <w:tc>
          <w:tcPr/>
          <w:p>
            <w:pPr>
              <w:pStyle w:val="Compact"/>
            </w:pPr>
            <w:r>
              <w:t xml:space="preserve">Wants</w:t>
            </w:r>
          </w:p>
        </w:tc>
        <w:tc>
          <w:tcPr/>
          <w:p>
            <w:pPr>
              <w:pStyle w:val="Compact"/>
            </w:pPr>
            <w:r>
              <w:t xml:space="preserve">Best path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Lean / low-latency</w:t>
            </w:r>
          </w:p>
        </w:tc>
        <w:tc>
          <w:tcPr/>
          <w:p>
            <w:pPr>
              <w:pStyle w:val="Compact"/>
            </w:pPr>
            <w:r>
              <w:t xml:space="preserve">Consensus heartbeats, leader election, synchronous-commit quorum acknowledgements, clock synchronization</w:t>
            </w:r>
          </w:p>
        </w:tc>
        <w:tc>
          <w:tcPr/>
          <w:p>
            <w:pPr>
              <w:pStyle w:val="Compact"/>
            </w:pPr>
            <w:r>
              <w:t xml:space="preserve">Minimum RTT, minimum jitter</w:t>
            </w:r>
          </w:p>
        </w:tc>
        <w:tc>
          <w:tcPr/>
          <w:p>
            <w:pPr>
              <w:pStyle w:val="Compact"/>
            </w:pPr>
            <w:r>
              <w:t xml:space="preserve">Shortest, least-congested path; small packets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Fat / bulk</w:t>
            </w:r>
          </w:p>
        </w:tc>
        <w:tc>
          <w:tcPr/>
          <w:p>
            <w:pPr>
              <w:pStyle w:val="Compact"/>
            </w:pPr>
            <w:r>
              <w:t xml:space="preserve">Base snapshots, backups, re-sync after a partition, analytics replication, asynchronous log shipping</w:t>
            </w:r>
          </w:p>
        </w:tc>
        <w:tc>
          <w:tcPr/>
          <w:p>
            <w:pPr>
              <w:pStyle w:val="Compact"/>
            </w:pPr>
            <w:r>
              <w:t xml:space="preserve">Maximum throughput, cost efficiency</w:t>
            </w:r>
          </w:p>
        </w:tc>
        <w:tc>
          <w:tcPr/>
          <w:p>
            <w:pPr>
              <w:pStyle w:val="Compact"/>
            </w:pPr>
            <w:r>
              <w:t xml:space="preserve">High-bandwidth path; latency-tolerant</w:t>
            </w:r>
          </w:p>
        </w:tc>
      </w:tr>
    </w:tbl>
    <w:p>
      <w:pPr>
        <w:pStyle w:val="BodyText"/>
      </w:pPr>
      <w:r>
        <w:t xml:space="preserve">This is</w:t>
      </w:r>
      <w:r>
        <w:t xml:space="preserve"> </w:t>
      </w:r>
      <w:r>
        <w:rPr>
          <w:b/>
          <w:bCs/>
        </w:rPr>
        <w:t xml:space="preserve">differentiated transport per traffic class</w:t>
      </w:r>
      <w:r>
        <w:t xml:space="preserve">, and it is the network</w:t>
      </w:r>
      <w:r>
        <w:t xml:space="preserve"> </w:t>
      </w:r>
      <w:r>
        <w:t xml:space="preserve">layer’s reflection of a decision the data layer is already making —</w:t>
      </w:r>
      <w:r>
        <w:t xml:space="preserve"> </w:t>
      </w:r>
      <w:r>
        <w:rPr>
          <w:i/>
          <w:iCs/>
        </w:rPr>
        <w:t xml:space="preserve">what must</w:t>
      </w:r>
      <w:r>
        <w:rPr>
          <w:i/>
          <w:iCs/>
        </w:rPr>
        <w:t xml:space="preserve"> </w:t>
      </w:r>
      <w:r>
        <w:rPr>
          <w:i/>
          <w:iCs/>
        </w:rPr>
        <w:t xml:space="preserve">be strongly consistent versus what can be eventually consistent</w:t>
      </w:r>
      <w:r>
        <w:t xml:space="preserve"> </w:t>
      </w:r>
      <w:r>
        <w:t xml:space="preserve">(Chapter 6).</w:t>
      </w:r>
      <w:r>
        <w:t xml:space="preserve"> </w:t>
      </w:r>
      <w:r>
        <w:t xml:space="preserve">When the two agree, you get the best synchronization physics permits.</w:t>
      </w:r>
    </w:p>
    <w:p>
      <w:pPr>
        <w:pStyle w:val="CaptionedFigure"/>
      </w:pPr>
      <w:r>
        <w:drawing>
          <wp:inline>
            <wp:extent cx="5334000" cy="2525849"/>
            <wp:effectExtent b="0" l="0" r="0" t="0"/>
            <wp:docPr descr="SD-WAN carries each class of database traffic on the path built for it, down to the floor but never below it." title="" id="68" name="Picture"/>
            <a:graphic>
              <a:graphicData uri="http://schemas.openxmlformats.org/drawingml/2006/picture">
                <pic:pic>
                  <pic:nvPicPr>
                    <pic:cNvPr descr="/home/runner/work/modernization-workbook/modernization-workbook/docs/images/diagrams/ssot-network-physics/png/ch04-path-classe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58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SD-WAN carries each class of database traffic on the path built for it, down to the floor but never below it.</w:t>
      </w:r>
    </w:p>
    <w:bookmarkEnd w:id="70"/>
    <w:bookmarkStart w:id="73" w:name="X5e6327c3e0374bf3e98e7a501511b35c8843f32"/>
    <w:p>
      <w:pPr>
        <w:pStyle w:val="Heading2"/>
      </w:pPr>
      <w:r>
        <w:t xml:space="preserve">What SD-WAN genuinely buys a database tier</w:t>
      </w:r>
    </w:p>
    <w:bookmarkStart w:id="71" w:name="steering-and-near-geodesic-routing"/>
    <w:p>
      <w:pPr>
        <w:pStyle w:val="Heading3"/>
      </w:pPr>
      <w:r>
        <w:t xml:space="preserve">1. Steering and near-geodesic routing</w:t>
      </w:r>
    </w:p>
    <w:p>
      <w:pPr>
        <w:pStyle w:val="FirstParagraph"/>
      </w:pPr>
      <w:r>
        <w:t xml:space="preserve">Internet paths routinely run 1.5×–3× the great-circle distance. SD-WAN, by</w:t>
      </w:r>
      <w:r>
        <w:t xml:space="preserve"> </w:t>
      </w:r>
      <w:r>
        <w:t xml:space="preserve">choosing a better underlay (or a premium backbone) and steering the</w:t>
      </w:r>
      <w:r>
        <w:t xml:space="preserve"> </w:t>
      </w:r>
      <w:r>
        <w:t xml:space="preserve">latency-critical class onto it, reclaims much of that routing excess — moving</w:t>
      </w:r>
      <w:r>
        <w:t xml:space="preserve"> </w:t>
      </w:r>
      <w:r>
        <w:t xml:space="preserve">observed propagation from</w:t>
      </w:r>
      <w:r>
        <w:t xml:space="preserve"> </w:t>
      </w:r>
      <w:r>
        <w:t xml:space="preserve">“floor × 3”</w:t>
      </w:r>
      <w:r>
        <w:t xml:space="preserve"> </w:t>
      </w:r>
      <w:r>
        <w:t xml:space="preserve">toward</w:t>
      </w:r>
      <w:r>
        <w:t xml:space="preserve"> </w:t>
      </w:r>
      <w:r>
        <w:t xml:space="preserve">“floor × 1.1.”</w:t>
      </w:r>
      <w:r>
        <w:t xml:space="preserve"> </w:t>
      </w:r>
      <w:r>
        <w:t xml:space="preserve">That is a pure win</w:t>
      </w:r>
      <w:r>
        <w:t xml:space="preserve"> </w:t>
      </w:r>
      <w:r>
        <w:t xml:space="preserve">against the</w:t>
      </w:r>
      <w:r>
        <w:t xml:space="preserve"> </w:t>
      </w:r>
      <w:r>
        <w:rPr>
          <w:i/>
          <w:iCs/>
        </w:rPr>
        <w:t xml:space="preserve">addressable</w:t>
      </w:r>
      <w:r>
        <w:t xml:space="preserve"> </w:t>
      </w:r>
      <w:r>
        <w:t xml:space="preserve">part of latency, with no consistency trade-off.</w:t>
      </w:r>
    </w:p>
    <w:bookmarkEnd w:id="71"/>
    <w:bookmarkStart w:id="72" w:name="crushing-the-tail-not-just-the-average"/>
    <w:p>
      <w:pPr>
        <w:pStyle w:val="Heading3"/>
      </w:pPr>
      <w:r>
        <w:t xml:space="preserve">2. Crushing the tail, not just the average</w:t>
      </w:r>
    </w:p>
    <w:p>
      <w:pPr>
        <w:pStyle w:val="FirstParagraph"/>
      </w:pPr>
      <w:r>
        <w:t xml:space="preserve">This is the underrated, highest-leverage effect. Recall from Chapter 3 that a</w:t>
      </w:r>
      <w:r>
        <w:t xml:space="preserve"> </w:t>
      </w:r>
      <w:r>
        <w:t xml:space="preserve">quorum commit waits for the</w:t>
      </w:r>
      <w:r>
        <w:t xml:space="preserve"> </w:t>
      </w:r>
      <w:r>
        <w:rPr>
          <w:i/>
          <w:iCs/>
        </w:rPr>
        <w:t xml:space="preserve">slowest</w:t>
      </w:r>
      <w:r>
        <w:t xml:space="preserve"> </w:t>
      </w:r>
      <w:r>
        <w:t xml:space="preserve">member it must hear from, so commit</w:t>
      </w:r>
      <w:r>
        <w:t xml:space="preserve"> </w:t>
      </w:r>
      <w:r>
        <w:t xml:space="preserve">latency is a</w:t>
      </w:r>
      <w:r>
        <w:t xml:space="preserve"> </w:t>
      </w:r>
      <w:r>
        <w:rPr>
          <w:b/>
          <w:bCs/>
        </w:rPr>
        <w:t xml:space="preserve">tail (p99)</w:t>
      </w:r>
      <w:r>
        <w:t xml:space="preserve"> </w:t>
      </w:r>
      <w:r>
        <w:t xml:space="preserve">statistic — and the tail is inflated by loss,</w:t>
      </w:r>
      <w:r>
        <w:t xml:space="preserve"> </w:t>
      </w:r>
      <w:r>
        <w:t xml:space="preserve">congestion, and jitter, not by propagation. SD-WAN targets the tail directly: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Forward error correction (FEC):</w:t>
      </w:r>
      <w:r>
        <w:t xml:space="preserve"> </w:t>
      </w:r>
      <w:r>
        <w:t xml:space="preserve">send redundant repair data so a lost</w:t>
      </w:r>
      <w:r>
        <w:t xml:space="preserve"> </w:t>
      </w:r>
      <w:r>
        <w:t xml:space="preserve">packet is reconstructed at the receiver without waiting for a retransmit.</w:t>
      </w:r>
      <w:r>
        <w:t xml:space="preserve"> </w:t>
      </w:r>
      <w:r>
        <w:t xml:space="preserve">This trades bandwidth for latency — and for a quorum gated by the unluckiest</w:t>
      </w:r>
      <w:r>
        <w:t xml:space="preserve"> </w:t>
      </w:r>
      <w:r>
        <w:t xml:space="preserve">packet, eliminating retransmit waits can cut p99 commit latency far more than</w:t>
      </w:r>
      <w:r>
        <w:t xml:space="preserve"> </w:t>
      </w:r>
      <w:r>
        <w:t xml:space="preserve">shaving the mean ever could.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Packet duplication across two paths:</w:t>
      </w:r>
      <w:r>
        <w:t xml:space="preserve"> </w:t>
      </w:r>
      <w:r>
        <w:t xml:space="preserve">send the latency-critical packet on</w:t>
      </w:r>
      <w:r>
        <w:t xml:space="preserve"> </w:t>
      </w:r>
      <w:r>
        <w:t xml:space="preserve">two diverse paths and take whichever arrives first; the slow or lossy path no</w:t>
      </w:r>
      <w:r>
        <w:t xml:space="preserve"> </w:t>
      </w:r>
      <w:r>
        <w:t xml:space="preserve">longer determines the tail.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Jitter smoothing and sub-second path failover:</w:t>
      </w:r>
      <w:r>
        <w:t xml:space="preserve"> </w:t>
      </w:r>
      <w:r>
        <w:t xml:space="preserve">move traffic off a</w:t>
      </w:r>
      <w:r>
        <w:t xml:space="preserve"> </w:t>
      </w:r>
      <w:r>
        <w:t xml:space="preserve">browning-out path before TCP’s own loss detection reacts.</w:t>
      </w:r>
    </w:p>
    <w:bookmarkEnd w:id="72"/>
    <w:bookmarkEnd w:id="73"/>
    <w:bookmarkStart w:id="74" w:name="the-leverage-point"/>
    <w:p>
      <w:pPr>
        <w:pStyle w:val="Heading2"/>
      </w:pPr>
      <w:r>
        <w:t xml:space="preserve">The leverage point</w:t>
      </w:r>
    </w:p>
    <w:p>
      <w:pPr>
        <w:pStyle w:val="FirstParagraph"/>
      </w:pPr>
      <w:r>
        <w:t xml:space="preserve">Distributed-database performance is a tail problem; SD-WAN’s loss/jitter</w:t>
      </w:r>
      <w:r>
        <w:t xml:space="preserve"> </w:t>
      </w:r>
      <w:r>
        <w:t xml:space="preserve">mitigations are tail tools. The match is exact. A path can go from</w:t>
      </w:r>
      <w:r>
        <w:t xml:space="preserve"> </w:t>
      </w:r>
      <w:r>
        <w:t xml:space="preserve">“floor × 3</w:t>
      </w:r>
      <w:r>
        <w:t xml:space="preserve"> </w:t>
      </w:r>
      <w:r>
        <w:t xml:space="preserve">with an ugly tail”</w:t>
      </w:r>
      <w:r>
        <w:t xml:space="preserve"> </w:t>
      </w:r>
      <w:r>
        <w:t xml:space="preserve">to</w:t>
      </w:r>
      <w:r>
        <w:t xml:space="preserve"> </w:t>
      </w:r>
      <w:r>
        <w:t xml:space="preserve">“floor × 1.1 with a tight tail”</w:t>
      </w:r>
      <w:r>
        <w:t xml:space="preserve"> </w:t>
      </w:r>
      <w:r>
        <w:t xml:space="preserve">— a large, real</w:t>
      </w:r>
      <w:r>
        <w:t xml:space="preserve"> </w:t>
      </w:r>
      <w:r>
        <w:t xml:space="preserve">improvement in how well replicas stay in sync — without anyone violating</w:t>
      </w:r>
      <w:r>
        <w:t xml:space="preserve"> </w:t>
      </w:r>
      <w:r>
        <w:t xml:space="preserve">physics.</w:t>
      </w:r>
    </w:p>
    <w:bookmarkEnd w:id="74"/>
    <w:bookmarkStart w:id="75" w:name="Xe92054768ed5e18ccf90e1ddf680fea27b5748b"/>
    <w:p>
      <w:pPr>
        <w:pStyle w:val="Heading3"/>
      </w:pPr>
      <w:r>
        <w:t xml:space="preserve">3. Protecting sync traffic from bulk traffic</w:t>
      </w:r>
    </w:p>
    <w:p>
      <w:pPr>
        <w:pStyle w:val="FirstParagraph"/>
      </w:pPr>
      <w:r>
        <w:t xml:space="preserve">A re-sync or a backup can saturate a link and inflict queueing delay on the</w:t>
      </w:r>
      <w:r>
        <w:t xml:space="preserve"> </w:t>
      </w:r>
      <w:r>
        <w:t xml:space="preserve">small, latency-critical consensus packets sharing it — self-inflicted tail</w:t>
      </w:r>
      <w:r>
        <w:t xml:space="preserve"> </w:t>
      </w:r>
      <w:r>
        <w:t xml:space="preserve">latency. Class separation ensures the bulk transfer cannot starve or delay the</w:t>
      </w:r>
      <w:r>
        <w:t xml:space="preserve"> </w:t>
      </w:r>
      <w:r>
        <w:t xml:space="preserve">heartbeats and commit acks. The database stays in sync</w:t>
      </w:r>
      <w:r>
        <w:t xml:space="preserve"> </w:t>
      </w:r>
      <w:r>
        <w:rPr>
          <w:i/>
          <w:iCs/>
        </w:rPr>
        <w:t xml:space="preserve">during</w:t>
      </w:r>
      <w:r>
        <w:t xml:space="preserve"> </w:t>
      </w:r>
      <w:r>
        <w:t xml:space="preserve">exactly the</w:t>
      </w:r>
      <w:r>
        <w:t xml:space="preserve"> </w:t>
      </w:r>
      <w:r>
        <w:t xml:space="preserve">heavy-transfer events that would otherwise destabilize it.</w:t>
      </w:r>
    </w:p>
    <w:bookmarkEnd w:id="75"/>
    <w:bookmarkStart w:id="76" w:name="X19e7d9586ed6891c648dacf6eef69586bcf7b27"/>
    <w:p>
      <w:pPr>
        <w:pStyle w:val="Heading2"/>
      </w:pPr>
      <w:r>
        <w:t xml:space="preserve">The clock angle: optimization that assists physics directly</w:t>
      </w:r>
    </w:p>
    <w:p>
      <w:pPr>
        <w:pStyle w:val="FirstParagraph"/>
      </w:pPr>
      <w:r>
        <w:t xml:space="preserve">There is a second, independent way networking helps — and it is the closest</w:t>
      </w:r>
      <w:r>
        <w:t xml:space="preserve"> </w:t>
      </w:r>
      <w:r>
        <w:t xml:space="preserve">thing to genuinely</w:t>
      </w:r>
      <w:r>
        <w:t xml:space="preserve"> </w:t>
      </w:r>
      <w:r>
        <w:rPr>
          <w:i/>
          <w:iCs/>
        </w:rPr>
        <w:t xml:space="preserve">assisting</w:t>
      </w:r>
      <w:r>
        <w:t xml:space="preserve"> </w:t>
      </w:r>
      <w:r>
        <w:t xml:space="preserve">the speed-of-light problem rather than merely</w:t>
      </w:r>
      <w:r>
        <w:t xml:space="preserve"> </w:t>
      </w:r>
      <w:r>
        <w:t xml:space="preserve">approaching the floor. It runs through</w:t>
      </w:r>
      <w:r>
        <w:t xml:space="preserve"> </w:t>
      </w:r>
      <w:r>
        <w:rPr>
          <w:b/>
          <w:bCs/>
        </w:rPr>
        <w:t xml:space="preserve">time</w:t>
      </w:r>
      <w:r>
        <w:t xml:space="preserve">, not distance.</w:t>
      </w:r>
    </w:p>
    <w:p>
      <w:pPr>
        <w:pStyle w:val="BodyText"/>
      </w:pPr>
      <w:r>
        <w:t xml:space="preserve">A low-latency, low-jitter path is also the best path to</w:t>
      </w:r>
      <w:r>
        <w:t xml:space="preserve"> </w:t>
      </w:r>
      <w:r>
        <w:rPr>
          <w:b/>
          <w:bCs/>
        </w:rPr>
        <w:t xml:space="preserve">distribute a clock.</w:t>
      </w:r>
      <w:r>
        <w:t xml:space="preserve"> </w:t>
      </w:r>
      <w:r>
        <w:t xml:space="preserve">Precision time protocols degrade with path asymmetry and jitter, not with raw</w:t>
      </w:r>
      <w:r>
        <w:t xml:space="preserve"> </w:t>
      </w:r>
      <w:r>
        <w:t xml:space="preserve">distance, so the same lean class that carries consensus traffic also carries</w:t>
      </w:r>
      <w:r>
        <w:t xml:space="preserve"> </w:t>
      </w:r>
      <w:r>
        <w:t xml:space="preserve">high-quality clock synchronization. And tight clock sync enables an architecture</w:t>
      </w:r>
      <w:r>
        <w:t xml:space="preserve"> </w:t>
      </w:r>
      <w:r>
        <w:t xml:space="preserve">that</w:t>
      </w:r>
      <w:r>
        <w:t xml:space="preserve"> </w:t>
      </w:r>
      <w:r>
        <w:rPr>
          <w:i/>
          <w:iCs/>
        </w:rPr>
        <w:t xml:space="preserve">replaces</w:t>
      </w:r>
      <w:r>
        <w:t xml:space="preserve"> </w:t>
      </w:r>
      <w:r>
        <w:t xml:space="preserve">network round trips:</w:t>
      </w:r>
    </w:p>
    <w:bookmarkEnd w:id="76"/>
    <w:bookmarkStart w:id="77" w:name="X598048467323f58eff74ad0ed2f60942a8032dc"/>
    <w:p>
      <w:pPr>
        <w:pStyle w:val="Heading2"/>
      </w:pPr>
      <w:r>
        <w:t xml:space="preserve">Trading network coordination for bounded clock uncertainty</w:t>
      </w:r>
    </w:p>
    <w:p>
      <w:pPr>
        <w:pStyle w:val="FirstParagraph"/>
      </w:pPr>
      <w:r>
        <w:t xml:space="preserve">Google</w:t>
      </w:r>
      <w:r>
        <w:t xml:space="preserve"> </w:t>
      </w:r>
      <w:r>
        <w:rPr>
          <w:b/>
          <w:bCs/>
        </w:rPr>
        <w:t xml:space="preserve">Spanner</w:t>
      </w:r>
      <w:r>
        <w:t xml:space="preserve">’s</w:t>
      </w:r>
      <w:r>
        <w:t xml:space="preserve"> </w:t>
      </w:r>
      <w:r>
        <w:rPr>
          <w:b/>
          <w:bCs/>
        </w:rPr>
        <w:t xml:space="preserve">TrueTime</w:t>
      </w:r>
      <w:r>
        <w:t xml:space="preserve"> </w:t>
      </w:r>
      <w:r>
        <w:t xml:space="preserve">orders transactions using globally</w:t>
      </w:r>
      <w:r>
        <w:t xml:space="preserve"> </w:t>
      </w:r>
      <w:r>
        <w:t xml:space="preserve">synchronized clocks (GPS and atomic references) with a small,</w:t>
      </w:r>
      <w:r>
        <w:t xml:space="preserve"> </w:t>
      </w:r>
      <w:r>
        <w:rPr>
          <w:i/>
          <w:iCs/>
        </w:rPr>
        <w:t xml:space="preserve">bounded</w:t>
      </w:r>
      <w:r>
        <w:t xml:space="preserve"> </w:t>
      </w:r>
      <w:r>
        <w:t xml:space="preserve">uncertainty. Instead of an extra cross-continent round trip to agree on</w:t>
      </w:r>
      <w:r>
        <w:t xml:space="preserve"> </w:t>
      </w:r>
      <w:r>
        <w:t xml:space="preserve">transaction order, Spanner waits out a short</w:t>
      </w:r>
      <w:r>
        <w:t xml:space="preserve"> </w:t>
      </w:r>
      <w:r>
        <w:t xml:space="preserve">“commit-wait”</w:t>
      </w:r>
      <w:r>
        <w:t xml:space="preserve"> </w:t>
      </w:r>
      <w:r>
        <w:t xml:space="preserve">interval sized to its</w:t>
      </w:r>
      <w:r>
        <w:t xml:space="preserve"> </w:t>
      </w:r>
      <w:r>
        <w:t xml:space="preserve">clock uncertainty. The latency bound becomes</w:t>
      </w:r>
      <w:r>
        <w:t xml:space="preserve"> </w:t>
      </w:r>
      <w:r>
        <w:rPr>
          <w:b/>
          <w:bCs/>
        </w:rPr>
        <w:t xml:space="preserve">clock error, not network RTT</w:t>
      </w:r>
      <w:r>
        <w:t xml:space="preserve"> </w:t>
      </w:r>
      <w:r>
        <w:t xml:space="preserve">—</w:t>
      </w:r>
      <w:r>
        <w:t xml:space="preserve"> </w:t>
      </w:r>
      <w:r>
        <w:t xml:space="preserve">and clock error is kept tiny. (Source: Corbett et al.,</w:t>
      </w:r>
      <w:r>
        <w:t xml:space="preserve"> </w:t>
      </w:r>
      <w:r>
        <w:t xml:space="preserve">“Spanner: Google’s</w:t>
      </w:r>
      <w:r>
        <w:t xml:space="preserve"> </w:t>
      </w:r>
      <w:r>
        <w:t xml:space="preserve">Globally-Distributed Database,”</w:t>
      </w:r>
      <w:r>
        <w:t xml:space="preserve"> </w:t>
      </w:r>
      <w:r>
        <w:t xml:space="preserve">OSDI 2012.)</w:t>
      </w:r>
    </w:p>
    <w:bookmarkEnd w:id="77"/>
    <w:p>
      <w:pPr>
        <w:pStyle w:val="BodyText"/>
      </w:pPr>
      <w:r>
        <w:t xml:space="preserve">This is the deepest version of the user’s question. You cannot make light</w:t>
      </w:r>
      <w:r>
        <w:t xml:space="preserve"> </w:t>
      </w:r>
      <w:r>
        <w:t xml:space="preserve">faster, but you can make the database</w:t>
      </w:r>
      <w:r>
        <w:t xml:space="preserve"> </w:t>
      </w:r>
      <w:r>
        <w:rPr>
          <w:i/>
          <w:iCs/>
        </w:rPr>
        <w:t xml:space="preserve">need fewer trips through it</w:t>
      </w:r>
      <w:r>
        <w:t xml:space="preserve"> </w:t>
      </w:r>
      <w:r>
        <w:t xml:space="preserve">by spending</w:t>
      </w:r>
      <w:r>
        <w:t xml:space="preserve"> </w:t>
      </w:r>
      <w:r>
        <w:t xml:space="preserve">clock certainty instead of network round trips. The lean SD-WAN class is what</w:t>
      </w:r>
      <w:r>
        <w:t xml:space="preserve"> </w:t>
      </w:r>
      <w:r>
        <w:t xml:space="preserve">makes the clock certain enough to do so — so SD-WAN assists the speed-of-light</w:t>
      </w:r>
      <w:r>
        <w:t xml:space="preserve"> </w:t>
      </w:r>
      <w:r>
        <w:t xml:space="preserve">problem not by reducing propagation, but by enabling a design that propagates</w:t>
      </w:r>
      <w:r>
        <w:t xml:space="preserve"> </w:t>
      </w:r>
      <w:r>
        <w:t xml:space="preserve">less often.</w:t>
      </w:r>
    </w:p>
    <w:bookmarkStart w:id="78" w:name="the-hard-ceiling-restated"/>
    <w:p>
      <w:pPr>
        <w:pStyle w:val="Heading2"/>
      </w:pPr>
      <w:r>
        <w:t xml:space="preserve">The hard ceiling, restated</w:t>
      </w:r>
    </w:p>
    <w:p>
      <w:pPr>
        <w:pStyle w:val="FirstParagraph"/>
      </w:pPr>
      <w:r>
        <w:t xml:space="preserve">For all of that, one boundary is immovable and must be stated plainly:</w:t>
      </w:r>
    </w:p>
    <w:bookmarkEnd w:id="78"/>
    <w:bookmarkStart w:id="79" w:name="X98d2e8157215aed948f333aa2458ab8f372bc29"/>
    <w:p>
      <w:pPr>
        <w:pStyle w:val="Heading2"/>
      </w:pPr>
      <w:r>
        <w:t xml:space="preserve">SD-WAN gets you to the floor with a tight tail. It never gets you below it.</w:t>
      </w:r>
    </w:p>
    <w:p>
      <w:pPr>
        <w:pStyle w:val="FirstParagraph"/>
      </w:pPr>
      <w:r>
        <w:t xml:space="preserve">A synchronous, strongly-consistent commit across continents pays</w:t>
      </w:r>
      <w:r>
        <w:t xml:space="preserve"> </w:t>
      </w:r>
      <w:r>
        <w:rPr>
          <w:b/>
          <w:bCs/>
        </w:rPr>
        <w:t xml:space="preserve">at least one</w:t>
      </w:r>
      <w:r>
        <w:rPr>
          <w:b/>
          <w:bCs/>
        </w:rPr>
        <w:t xml:space="preserve"> </w:t>
      </w:r>
      <w:r>
        <w:rPr>
          <w:b/>
          <w:bCs/>
        </w:rPr>
        <w:t xml:space="preserve">round trip, every time</w:t>
      </w:r>
      <w:r>
        <w:t xml:space="preserve"> </w:t>
      </w:r>
      <w:r>
        <w:t xml:space="preserve">— ~56 ms for New York ↔ London, no matter how clever</w:t>
      </w:r>
      <w:r>
        <w:t xml:space="preserve"> </w:t>
      </w:r>
      <w:r>
        <w:t xml:space="preserve">the network. SD-WAN removes the</w:t>
      </w:r>
      <w:r>
        <w:t xml:space="preserve"> </w:t>
      </w:r>
      <w:r>
        <w:rPr>
          <w:i/>
          <w:iCs/>
        </w:rPr>
        <w:t xml:space="preserve">excess</w:t>
      </w:r>
      <w:r>
        <w:t xml:space="preserve"> </w:t>
      </w:r>
      <w:r>
        <w:t xml:space="preserve">over that floor and tames the tail; the</w:t>
      </w:r>
      <w:r>
        <w:t xml:space="preserve"> </w:t>
      </w:r>
      <w:r>
        <w:t xml:space="preserve">floor itself is the speed-of-light tax on strong consistency, and it is</w:t>
      </w:r>
      <w:r>
        <w:t xml:space="preserve"> </w:t>
      </w:r>
      <w:r>
        <w:t xml:space="preserve">non-negotiable.</w:t>
      </w:r>
    </w:p>
    <w:bookmarkEnd w:id="79"/>
    <w:p>
      <w:pPr>
        <w:pStyle w:val="BodyText"/>
      </w:pPr>
      <w:r>
        <w:t xml:space="preserve">Therefore SD-WAN does not change the correct architectural conclusion from</w:t>
      </w:r>
      <w:r>
        <w:t xml:space="preserve"> </w:t>
      </w:r>
      <w:r>
        <w:t xml:space="preserve">Chapter 3 — it</w:t>
      </w:r>
      <w:r>
        <w:t xml:space="preserve"> </w:t>
      </w:r>
      <w:r>
        <w:rPr>
          <w:i/>
          <w:iCs/>
        </w:rPr>
        <w:t xml:space="preserve">enables</w:t>
      </w:r>
      <w:r>
        <w:t xml:space="preserve"> </w:t>
      </w:r>
      <w:r>
        <w:t xml:space="preserve">it. The right move remains</w:t>
      </w:r>
      <w:r>
        <w:t xml:space="preserve"> </w:t>
      </w:r>
      <w:r>
        <w:rPr>
          <w:b/>
          <w:bCs/>
        </w:rPr>
        <w:t xml:space="preserve">“need less global</w:t>
      </w:r>
      <w:r>
        <w:rPr>
          <w:b/>
          <w:bCs/>
        </w:rPr>
        <w:t xml:space="preserve"> </w:t>
      </w:r>
      <w:r>
        <w:rPr>
          <w:b/>
          <w:bCs/>
        </w:rPr>
        <w:t xml:space="preserve">sync,”</w:t>
      </w:r>
      <w:r>
        <w:t xml:space="preserve"> </w:t>
      </w:r>
      <w:r>
        <w:t xml:space="preserve">and SD-WAN’s contribution is to make the synchronization you</w:t>
      </w:r>
      <w:r>
        <w:t xml:space="preserve"> </w:t>
      </w:r>
      <w:r>
        <w:rPr>
          <w:i/>
          <w:iCs/>
        </w:rPr>
        <w:t xml:space="preserve">do</w:t>
      </w:r>
      <w:r>
        <w:t xml:space="preserve"> </w:t>
      </w:r>
      <w:r>
        <w:t xml:space="preserve">keep cheaper, more reliable, and tighter in the tail, while making</w:t>
      </w:r>
      <w:r>
        <w:t xml:space="preserve"> </w:t>
      </w:r>
      <w:r>
        <w:t xml:space="preserve">asynchronous bulk replication efficient on its own dedicated path.</w:t>
      </w:r>
    </w:p>
    <w:p>
      <w:pPr>
        <w:pStyle w:val="BodyText"/>
      </w:pPr>
      <w:r>
        <w:t xml:space="preserve">SD-WAN supplies the path; it does not, by itself,</w:t>
      </w:r>
      <w:r>
        <w:t xml:space="preserve"> </w:t>
      </w:r>
      <w:r>
        <w:rPr>
          <w:i/>
          <w:iCs/>
        </w:rPr>
        <w:t xml:space="preserve">govern</w:t>
      </w:r>
      <w:r>
        <w:t xml:space="preserve"> </w:t>
      </w:r>
      <w:r>
        <w:t xml:space="preserve">the path. Chapter 5</w:t>
      </w:r>
      <w:r>
        <w:t xml:space="preserve"> </w:t>
      </w:r>
      <w:r>
        <w:t xml:space="preserve">(forward-looking) takes the next step — making the chosen path identity-anchored</w:t>
      </w:r>
      <w:r>
        <w:t xml:space="preserve"> </w:t>
      </w:r>
      <w:r>
        <w:t xml:space="preserve">and token-bound, so the network carrying the data is held to the same per-call</w:t>
      </w:r>
      <w:r>
        <w:t xml:space="preserve"> </w:t>
      </w:r>
      <w:r>
        <w:t xml:space="preserve">standard as access to the data itself.</w:t>
      </w:r>
    </w:p>
    <w:bookmarkStart w:id="80" w:name="summary-3"/>
    <w:p>
      <w:pPr>
        <w:pStyle w:val="Heading2"/>
      </w:pPr>
      <w:r>
        <w:t xml:space="preserve">Summary</w:t>
      </w:r>
    </w:p>
    <w:p>
      <w:pPr>
        <w:pStyle w:val="Compact"/>
        <w:numPr>
          <w:ilvl w:val="0"/>
          <w:numId w:val="1022"/>
        </w:numPr>
      </w:pPr>
      <w:r>
        <w:t xml:space="preserve">SD-WAN’s low-latency / bulk path split is the network-layer mirror of the</w:t>
      </w:r>
      <w:r>
        <w:t xml:space="preserve"> </w:t>
      </w:r>
      <w:r>
        <w:t xml:space="preserve">data layer’s strong-vs-eventual consistency split; align them.</w:t>
      </w:r>
    </w:p>
    <w:p>
      <w:pPr>
        <w:pStyle w:val="Compact"/>
        <w:numPr>
          <w:ilvl w:val="0"/>
          <w:numId w:val="1022"/>
        </w:numPr>
      </w:pPr>
      <w:r>
        <w:t xml:space="preserve">It buys three things: near-geodesic routing, tail-latency reduction (FEC,</w:t>
      </w:r>
      <w:r>
        <w:t xml:space="preserve"> </w:t>
      </w:r>
      <w:r>
        <w:t xml:space="preserve">packet duplication, jitter smoothing — which match the database’s tail-gated</w:t>
      </w:r>
      <w:r>
        <w:t xml:space="preserve"> </w:t>
      </w:r>
      <w:r>
        <w:t xml:space="preserve">commit behavior), and protection of sync traffic from bulk transfers.</w:t>
      </w:r>
    </w:p>
    <w:p>
      <w:pPr>
        <w:pStyle w:val="Compact"/>
        <w:numPr>
          <w:ilvl w:val="0"/>
          <w:numId w:val="1022"/>
        </w:numPr>
      </w:pPr>
      <w:r>
        <w:t xml:space="preserve">The lean path also distributes high-quality time, enabling clock-based</w:t>
      </w:r>
      <w:r>
        <w:t xml:space="preserve"> </w:t>
      </w:r>
      <w:r>
        <w:t xml:space="preserve">concurrency (Spanner/TrueTime) that</w:t>
      </w:r>
      <w:r>
        <w:t xml:space="preserve"> </w:t>
      </w:r>
      <w:r>
        <w:rPr>
          <w:i/>
          <w:iCs/>
        </w:rPr>
        <w:t xml:space="preserve">replaces</w:t>
      </w:r>
      <w:r>
        <w:t xml:space="preserve"> </w:t>
      </w:r>
      <w:r>
        <w:t xml:space="preserve">network round trips with</w:t>
      </w:r>
      <w:r>
        <w:t xml:space="preserve"> </w:t>
      </w:r>
      <w:r>
        <w:t xml:space="preserve">bounded clock-wait — the one technique that genuinely sidesteps propagation.</w:t>
      </w:r>
    </w:p>
    <w:p>
      <w:pPr>
        <w:pStyle w:val="Compact"/>
        <w:numPr>
          <w:ilvl w:val="0"/>
          <w:numId w:val="1022"/>
        </w:numPr>
      </w:pPr>
      <w:r>
        <w:t xml:space="preserve">It cannot move the floor: a cross-continent synchronous commit still pays at</w:t>
      </w:r>
      <w:r>
        <w:t xml:space="preserve"> </w:t>
      </w:r>
      <w:r>
        <w:t xml:space="preserve">least one RTT. SD-WAN takes you</w:t>
      </w:r>
      <w:r>
        <w:t xml:space="preserve"> </w:t>
      </w:r>
      <w:r>
        <w:rPr>
          <w:i/>
          <w:iCs/>
        </w:rPr>
        <w:t xml:space="preserve">to</w:t>
      </w:r>
      <w:r>
        <w:t xml:space="preserve"> </w:t>
      </w:r>
      <w:r>
        <w:t xml:space="preserve">the floor with a tight tail, never below.</w:t>
      </w:r>
    </w:p>
    <w:p>
      <w:pPr>
        <w:pStyle w:val="Compact"/>
        <w:numPr>
          <w:ilvl w:val="0"/>
          <w:numId w:val="1022"/>
        </w:numPr>
      </w:pPr>
      <w:r>
        <w:t xml:space="preserve">Net: it enables the</w:t>
      </w:r>
      <w:r>
        <w:t xml:space="preserve"> </w:t>
      </w:r>
      <w:r>
        <w:t xml:space="preserve">“need less global sync”</w:t>
      </w:r>
      <w:r>
        <w:t xml:space="preserve"> </w:t>
      </w:r>
      <w:r>
        <w:t xml:space="preserve">architecture rather than</w:t>
      </w:r>
      <w:r>
        <w:t xml:space="preserve"> </w:t>
      </w:r>
      <w:r>
        <w:t xml:space="preserve">overturning it.</w:t>
      </w:r>
    </w:p>
    <w:bookmarkEnd w:id="80"/>
    <w:bookmarkEnd w:id="81"/>
    <w:bookmarkStart w:id="94" w:name="Xdd0e069dc3a9208108a9c8a36db3e8cf90fc1c3"/>
    <w:p>
      <w:pPr>
        <w:pStyle w:val="Heading1"/>
      </w:pPr>
      <w:r>
        <w:t xml:space="preserve">The Governed Path — Token-Bound Transport and the Application-Aware Overlay</w:t>
      </w:r>
    </w:p>
    <w:bookmarkStart w:id="82" w:name="Xefc801e34a74b36a61a65e86b3a65b057079ae6"/>
    <w:p>
      <w:pPr>
        <w:pStyle w:val="Heading2"/>
      </w:pPr>
      <w:r>
        <w:t xml:space="preserve">Forward-looking chapter — proposed direction, not yet ratified</w:t>
      </w:r>
    </w:p>
    <w:p>
      <w:pPr>
        <w:pStyle w:val="FirstParagraph"/>
      </w:pPr>
      <w:r>
        <w:t xml:space="preserve">This chapter rests on</w:t>
      </w:r>
      <w:r>
        <w:t xml:space="preserve"> </w:t>
      </w:r>
      <w:r>
        <w:rPr>
          <w:b/>
          <w:bCs/>
        </w:rPr>
        <w:t xml:space="preserve">the program decision (Application-Aware Networking and Token-Bound</w:t>
      </w:r>
      <w:r>
        <w:rPr>
          <w:b/>
          <w:bCs/>
        </w:rPr>
        <w:t xml:space="preserve"> </w:t>
      </w:r>
      <w:r>
        <w:rPr>
          <w:b/>
          <w:bCs/>
        </w:rPr>
        <w:t xml:space="preserve">Transport Plane)</w:t>
      </w:r>
      <w:r>
        <w:t xml:space="preserve">, whose status is</w:t>
      </w:r>
      <w:r>
        <w:t xml:space="preserve"> </w:t>
      </w:r>
      <w:r>
        <w:rPr>
          <w:b/>
          <w:bCs/>
        </w:rPr>
        <w:t xml:space="preserve">Proposed</w:t>
      </w:r>
      <w:r>
        <w:t xml:space="preserve">. Unlike the Accepted decisions</w:t>
      </w:r>
      <w:r>
        <w:t xml:space="preserve"> </w:t>
      </w:r>
      <w:r>
        <w:t xml:space="preserve">that anchor the rest of this paper (the program decision, the program decision), the transport-plane model</w:t>
      </w:r>
      <w:r>
        <w:t xml:space="preserve"> </w:t>
      </w:r>
      <w:r>
        <w:t xml:space="preserve">here is canon</w:t>
      </w:r>
      <w:r>
        <w:t xml:space="preserve"> </w:t>
      </w:r>
      <w:r>
        <w:rPr>
          <w:i/>
          <w:iCs/>
        </w:rPr>
        <w:t xml:space="preserve">direction</w:t>
      </w:r>
      <w:r>
        <w:t xml:space="preserve"> </w:t>
      </w:r>
      <w:r>
        <w:t xml:space="preserve">with implementing specifications —</w:t>
      </w:r>
      <w:r>
        <w:t xml:space="preserve"> </w:t>
      </w:r>
      <w:r>
        <w:rPr>
          <w:b/>
          <w:bCs/>
        </w:rPr>
        <w:t xml:space="preserve">FMP_122</w:t>
      </w:r>
      <w:r>
        <w:t xml:space="preserve"> </w:t>
      </w:r>
      <w:r>
        <w:t xml:space="preserve">(Token-Based Transport Authorization),</w:t>
      </w:r>
      <w:r>
        <w:t xml:space="preserve"> </w:t>
      </w:r>
      <w:r>
        <w:rPr>
          <w:b/>
          <w:bCs/>
        </w:rPr>
        <w:t xml:space="preserve">FMP_123</w:t>
      </w:r>
      <w:r>
        <w:t xml:space="preserve"> </w:t>
      </w:r>
      <w:r>
        <w:t xml:space="preserve">(Application-Aware Overlay</w:t>
      </w:r>
      <w:r>
        <w:t xml:space="preserve"> </w:t>
      </w:r>
      <w:r>
        <w:t xml:space="preserve">Fabric Model),</w:t>
      </w:r>
      <w:r>
        <w:t xml:space="preserve"> </w:t>
      </w:r>
      <w:r>
        <w:rPr>
          <w:b/>
          <w:bCs/>
        </w:rPr>
        <w:t xml:space="preserve">FMP_124</w:t>
      </w:r>
      <w:r>
        <w:t xml:space="preserve"> </w:t>
      </w:r>
      <w:r>
        <w:t xml:space="preserve">(Transport Plane Telemetry Contract) — still open.</w:t>
      </w:r>
      <w:r>
        <w:t xml:space="preserve"> </w:t>
      </w:r>
      <w:r>
        <w:t xml:space="preserve">Read it as where the architecture is going, not where it has arrived.</w:t>
      </w:r>
    </w:p>
    <w:bookmarkEnd w:id="82"/>
    <w:bookmarkStart w:id="83" w:name="X87a3e0271ea8347c28cef491eae584b8329571a"/>
    <w:p>
      <w:pPr>
        <w:pStyle w:val="Heading2"/>
      </w:pPr>
      <w:r>
        <w:t xml:space="preserve">The other half of</w:t>
      </w:r>
      <w:r>
        <w:t xml:space="preserve"> </w:t>
      </w:r>
      <w:r>
        <w:t xml:space="preserve">“identity is the new boundary”</w:t>
      </w:r>
    </w:p>
    <w:p>
      <w:pPr>
        <w:pStyle w:val="FirstParagraph"/>
      </w:pPr>
      <w:r>
        <w:t xml:space="preserve">Chapter 2 established the keystone of consolidation: token-based security lets</w:t>
      </w:r>
      <w:r>
        <w:t xml:space="preserve"> </w:t>
      </w:r>
      <w:r>
        <w:t xml:space="preserve">one logical store serve many trust domains because the trust boundary travels</w:t>
      </w:r>
      <w:r>
        <w:t xml:space="preserve"> </w:t>
      </w:r>
      <w:r>
        <w:rPr>
          <w:i/>
          <w:iCs/>
        </w:rPr>
        <w:t xml:space="preserve">with the request</w:t>
      </w:r>
      <w:r>
        <w:t xml:space="preserve">. That argument was about the</w:t>
      </w:r>
      <w:r>
        <w:t xml:space="preserve"> </w:t>
      </w:r>
      <w:r>
        <w:rPr>
          <w:b/>
          <w:bCs/>
        </w:rPr>
        <w:t xml:space="preserve">data plane</w:t>
      </w:r>
      <w:r>
        <w:t xml:space="preserve"> </w:t>
      </w:r>
      <w:r>
        <w:t xml:space="preserve">— who may touch</w:t>
      </w:r>
      <w:r>
        <w:t xml:space="preserve"> </w:t>
      </w:r>
      <w:r>
        <w:t xml:space="preserve">the data. This chapter applies the identical principle to the</w:t>
      </w:r>
      <w:r>
        <w:t xml:space="preserve"> </w:t>
      </w:r>
      <w:r>
        <w:rPr>
          <w:b/>
          <w:bCs/>
        </w:rPr>
        <w:t xml:space="preserve">transport</w:t>
      </w:r>
      <w:r>
        <w:rPr>
          <w:b/>
          <w:bCs/>
        </w:rPr>
        <w:t xml:space="preserve"> </w:t>
      </w:r>
      <w:r>
        <w:rPr>
          <w:b/>
          <w:bCs/>
        </w:rPr>
        <w:t xml:space="preserve">plane</w:t>
      </w:r>
      <w:r>
        <w:t xml:space="preserve"> </w:t>
      </w:r>
      <w:r>
        <w:t xml:space="preserve">— the network path the request rides on — and shows that the two are</w:t>
      </w:r>
      <w:r>
        <w:t xml:space="preserve"> </w:t>
      </w:r>
      <w:r>
        <w:t xml:space="preserve">the same idea wearing different clothes.</w:t>
      </w:r>
    </w:p>
    <w:p>
      <w:pPr>
        <w:pStyle w:val="BodyText"/>
      </w:pPr>
      <w:r>
        <w:t xml:space="preserve">The Federal Modernization Program’s own doctrine names the gap precisely. Identity has become the root of</w:t>
      </w:r>
      <w:r>
        <w:t xml:space="preserve"> </w:t>
      </w:r>
      <w:r>
        <w:t xml:space="preserve">trust and the addressing model, but, in the program decision’s words,</w:t>
      </w:r>
      <w:r>
        <w:t xml:space="preserve"> </w:t>
      </w:r>
      <w:r>
        <w:rPr>
          <w:i/>
          <w:iCs/>
        </w:rPr>
        <w:t xml:space="preserve">“identity is the new</w:t>
      </w:r>
      <w:r>
        <w:rPr>
          <w:i/>
          <w:iCs/>
        </w:rPr>
        <w:t xml:space="preserve"> </w:t>
      </w:r>
      <w:r>
        <w:rPr>
          <w:i/>
          <w:iCs/>
        </w:rPr>
        <w:t xml:space="preserve">boundary, but only halfway”</w:t>
      </w:r>
      <w:r>
        <w:t xml:space="preserve">: the transport that carries identity-derived claims</w:t>
      </w:r>
      <w:r>
        <w:t xml:space="preserve"> </w:t>
      </w:r>
      <w:r>
        <w:t xml:space="preserve">is still session-based —</w:t>
      </w:r>
      <w:r>
        <w:t xml:space="preserve"> </w:t>
      </w:r>
      <w:r>
        <w:rPr>
          <w:i/>
          <w:iCs/>
        </w:rPr>
        <w:t xml:space="preserve">“a TLS connection establishes once, then rides for</w:t>
      </w:r>
      <w:r>
        <w:rPr>
          <w:i/>
          <w:iCs/>
        </w:rPr>
        <w:t xml:space="preserve"> </w:t>
      </w:r>
      <w:r>
        <w:rPr>
          <w:i/>
          <w:iCs/>
        </w:rPr>
        <w:t xml:space="preserve">minutes-to-hours carrying intent the issuer can no longer attest to”</w:t>
      </w:r>
      <w:r>
        <w:t xml:space="preserve"> </w:t>
      </w:r>
      <w:r>
        <w:t xml:space="preserve">(the program decision</w:t>
      </w:r>
      <w:r>
        <w:t xml:space="preserve"> </w:t>
      </w:r>
      <w:r>
        <w:t xml:space="preserve">§Context #2). The data plane re-proves identity on every call; the transport</w:t>
      </w:r>
      <w:r>
        <w:t xml:space="preserve"> </w:t>
      </w:r>
      <w:r>
        <w:t xml:space="preserve">plane proves it once and coasts. That asymmetry is the subject of this chapter.</w:t>
      </w:r>
    </w:p>
    <w:bookmarkEnd w:id="83"/>
    <w:bookmarkStart w:id="84" w:name="the-unified-thesis"/>
    <w:p>
      <w:pPr>
        <w:pStyle w:val="Heading2"/>
      </w:pPr>
      <w:r>
        <w:t xml:space="preserve">The unified thesis</w:t>
      </w:r>
    </w:p>
    <w:p>
      <w:pPr>
        <w:pStyle w:val="FirstParagraph"/>
      </w:pPr>
      <w:r>
        <w:t xml:space="preserve">“Identity is the new boundary”</w:t>
      </w:r>
      <w:r>
        <w:t xml:space="preserve"> </w:t>
      </w:r>
      <w:r>
        <w:t xml:space="preserve">must hold on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planes. Chapter 2 anchored</w:t>
      </w:r>
      <w:r>
        <w:t xml:space="preserve"> </w:t>
      </w:r>
      <w:r>
        <w:t xml:space="preserve">the</w:t>
      </w:r>
      <w:r>
        <w:t xml:space="preserve"> </w:t>
      </w:r>
      <w:r>
        <w:rPr>
          <w:i/>
          <w:iCs/>
        </w:rPr>
        <w:t xml:space="preserve">data plane</w:t>
      </w:r>
      <w:r>
        <w:t xml:space="preserve"> </w:t>
      </w:r>
      <w:r>
        <w:t xml:space="preserve">with token-bound access — a fresh, scoped credential per call.</w:t>
      </w:r>
      <w:r>
        <w:t xml:space="preserve"> </w:t>
      </w:r>
      <w:r>
        <w:t xml:space="preserve">This chapter anchors the</w:t>
      </w:r>
      <w:r>
        <w:t xml:space="preserve"> </w:t>
      </w:r>
      <w:r>
        <w:rPr>
          <w:i/>
          <w:iCs/>
        </w:rPr>
        <w:t xml:space="preserve">transport plane</w:t>
      </w:r>
      <w:r>
        <w:t xml:space="preserve"> </w:t>
      </w:r>
      <w:r>
        <w:t xml:space="preserve">with token-bound transport — a</w:t>
      </w:r>
      <w:r>
        <w:t xml:space="preserve"> </w:t>
      </w:r>
      <w:r>
        <w:t xml:space="preserve">fresh, scoped credential per</w:t>
      </w:r>
      <w:r>
        <w:t xml:space="preserve"> </w:t>
      </w:r>
      <w:r>
        <w:rPr>
          <w:i/>
          <w:iCs/>
        </w:rPr>
        <w:t xml:space="preserve">path</w:t>
      </w:r>
      <w:r>
        <w:t xml:space="preserve">. A centralized source of truth reached over</w:t>
      </w:r>
      <w:r>
        <w:t xml:space="preserve"> </w:t>
      </w:r>
      <w:r>
        <w:t xml:space="preserve">an ungoverned, session-trusted network is only half-secured: the front door is</w:t>
      </w:r>
      <w:r>
        <w:t xml:space="preserve"> </w:t>
      </w:r>
      <w:r>
        <w:t xml:space="preserve">identity-checked while the hallway is not.</w:t>
      </w:r>
    </w:p>
    <w:bookmarkEnd w:id="84"/>
    <w:bookmarkStart w:id="88" w:name="X308f24b71b5c9cc2e57ec6e5649641535b27128"/>
    <w:p>
      <w:pPr>
        <w:pStyle w:val="Heading2"/>
      </w:pPr>
      <w:r>
        <w:t xml:space="preserve">The efficient edge device is necessary but not sufficient</w:t>
      </w:r>
    </w:p>
    <w:p>
      <w:pPr>
        <w:pStyle w:val="FirstParagraph"/>
      </w:pPr>
      <w:r>
        <w:t xml:space="preserve">Consider a perfectly tuned edge device: identity-anchored, telemetry-emitting,</w:t>
      </w:r>
      <w:r>
        <w:t xml:space="preserve"> </w:t>
      </w:r>
      <w:r>
        <w:t xml:space="preserve">policy-compliant — everything the endpoint control plane asks for</w:t>
      </w:r>
      <w:r>
        <w:t xml:space="preserve"> </w:t>
      </w:r>
      <w:r>
        <w:t xml:space="preserve">(</w:t>
      </w:r>
      <w:r>
        <w:rPr>
          <w:rStyle w:val="VerbatimChar"/>
        </w:rPr>
        <w:t xml:space="preserve">control-planes.yml</w:t>
      </w:r>
      <w:r>
        <w:t xml:space="preserve">, Endpoint plane). Land it on a flat, non–application-aware</w:t>
      </w:r>
      <w:r>
        <w:t xml:space="preserve"> </w:t>
      </w:r>
      <w:r>
        <w:t xml:space="preserve">datacenter LAN and its efficiency is</w:t>
      </w:r>
      <w:r>
        <w:t xml:space="preserve"> </w:t>
      </w:r>
      <w:r>
        <w:rPr>
          <w:i/>
          <w:iCs/>
        </w:rPr>
        <w:t xml:space="preserve">bounded by the fabric it lands on</w:t>
      </w:r>
      <w:r>
        <w:t xml:space="preserve">. The</w:t>
      </w:r>
      <w:r>
        <w:t xml:space="preserve"> </w:t>
      </w:r>
      <w:r>
        <w:t xml:space="preserve">device is optimized in isolation while its traffic is undermined in three</w:t>
      </w:r>
      <w:r>
        <w:t xml:space="preserve"> </w:t>
      </w:r>
      <w:r>
        <w:t xml:space="preserve">concrete ways.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What the flat LAN lacks</w:t>
            </w:r>
          </w:p>
        </w:tc>
        <w:tc>
          <w:tcPr/>
          <w:p>
            <w:pPr>
              <w:pStyle w:val="Compact"/>
            </w:pPr>
            <w:r>
              <w:t xml:space="preserve">Canon</w:t>
            </w:r>
          </w:p>
        </w:tc>
        <w:tc>
          <w:tcPr/>
          <w:p>
            <w:pPr>
              <w:pStyle w:val="Compact"/>
            </w:pPr>
            <w:r>
              <w:t xml:space="preserve">Consequence for the edge device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Local breakout / Cloud OnRamp</w:t>
            </w:r>
            <w:r>
              <w:t xml:space="preserve"> </w:t>
            </w:r>
            <w:r>
              <w:t xml:space="preserve">— app-aware path selection,</w:t>
            </w:r>
            <w:r>
              <w:t xml:space="preserve"> </w:t>
            </w:r>
            <w:r>
              <w:rPr>
                <w:rStyle w:val="VerbatimChar"/>
              </w:rPr>
              <w:t xml:space="preserve">local_breakout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optimal_path_selection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control-planes.yml</w:t>
            </w:r>
            <w:r>
              <w:t xml:space="preserve"> </w:t>
            </w:r>
            <w:r>
              <w:t xml:space="preserve">(Network plane,</w:t>
            </w:r>
            <w:r>
              <w:t xml:space="preserve"> </w:t>
            </w:r>
            <w:r>
              <w:rPr>
                <w:rStyle w:val="VerbatimChar"/>
              </w:rPr>
              <w:t xml:space="preserve">cloud_onramp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Traffic is backhauled/hairpinned through a central perimeter — the TIC3 / F5 choke-point being retired. The device’s efficiency is spent on the detour.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INR — Identity-aware Routing</w:t>
            </w:r>
            <w:r>
              <w:t xml:space="preserve"> </w:t>
            </w:r>
            <w:r>
              <w:t xml:space="preserve">— the convergence point where identity, telemetry, and routing unify;</w:t>
            </w:r>
            <w:r>
              <w:t xml:space="preserve"> </w:t>
            </w:r>
            <w:r>
              <w:rPr>
                <w:rStyle w:val="VerbatimChar"/>
              </w:rPr>
              <w:t xml:space="preserve">requires: [telemetry_plane, ipam_plane]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control-planes.yml</w:t>
            </w:r>
            <w:r>
              <w:t xml:space="preserve"> </w:t>
            </w:r>
            <w:r>
              <w:t xml:space="preserve">(INR)</w:t>
            </w:r>
          </w:p>
        </w:tc>
        <w:tc>
          <w:tcPr/>
          <w:p>
            <w:pPr>
              <w:pStyle w:val="Compact"/>
            </w:pPr>
            <w:r>
              <w:t xml:space="preserve">A flat LAN treats every flow identically. It cannot do per-user / per-app path selection or zero-trust segmentation, so the device’s identity signals have nowhere to land.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Per-call authorization</w:t>
            </w:r>
            <w:r>
              <w:t xml:space="preserve"> </w:t>
            </w:r>
            <w:r>
              <w:t xml:space="preserve">— trust scoped to a single intent</w:t>
            </w:r>
          </w:p>
        </w:tc>
        <w:tc>
          <w:tcPr/>
          <w:p>
            <w:pPr>
              <w:pStyle w:val="Compact"/>
            </w:pPr>
            <w:r>
              <w:t xml:space="preserve">the program decision §Context #2</w:t>
            </w:r>
          </w:p>
        </w:tc>
        <w:tc>
          <w:tcPr/>
          <w:p>
            <w:pPr>
              <w:pStyle w:val="Compact"/>
            </w:pPr>
            <w:r>
              <w:t xml:space="preserve">Trust collapses into a long-lived session: authorize once, ride for hours. Hijacking the session inherits its trust — exactly the antipattern the program decision exists to retire.</w:t>
            </w:r>
          </w:p>
        </w:tc>
      </w:tr>
    </w:tbl>
    <w:p>
      <w:pPr>
        <w:pStyle w:val="BodyText"/>
      </w:pPr>
      <w:r>
        <w:t xml:space="preserve">The pattern is the same each time: the edge device emits high-quality identity,</w:t>
      </w:r>
      <w:r>
        <w:t xml:space="preserve"> </w:t>
      </w:r>
      <w:r>
        <w:t xml:space="preserve">posture, and application context, and a flat Layer-3/4 LAN throws it all away.</w:t>
      </w:r>
      <w:r>
        <w:t xml:space="preserve"> </w:t>
      </w:r>
      <w:r>
        <w:t xml:space="preserve">The substrate is left able to govern</w:t>
      </w:r>
      <w:r>
        <w:t xml:space="preserve"> </w:t>
      </w:r>
      <w:r>
        <w:rPr>
          <w:i/>
          <w:iCs/>
        </w:rPr>
        <w:t xml:space="preserve">what</w:t>
      </w:r>
      <w:r>
        <w:t xml:space="preserve"> </w:t>
      </w:r>
      <w:r>
        <w:t xml:space="preserve">runs and</w:t>
      </w:r>
      <w:r>
        <w:t xml:space="preserve"> </w:t>
      </w:r>
      <w:r>
        <w:rPr>
          <w:i/>
          <w:iCs/>
        </w:rPr>
        <w:t xml:space="preserve">who</w:t>
      </w:r>
      <w:r>
        <w:t xml:space="preserve"> </w:t>
      </w:r>
      <w:r>
        <w:t xml:space="preserve">runs it, but not</w:t>
      </w:r>
      <w:r>
        <w:t xml:space="preserve"> </w:t>
      </w:r>
      <w:r>
        <w:rPr>
          <w:i/>
          <w:iCs/>
        </w:rPr>
        <w:t xml:space="preserve">how it gets there</w:t>
      </w:r>
      <w:r>
        <w:t xml:space="preserve"> </w:t>
      </w:r>
      <w:r>
        <w:t xml:space="preserve">— and that blind spot surfaces as</w:t>
      </w:r>
      <w:r>
        <w:t xml:space="preserve"> </w:t>
      </w:r>
      <w:r>
        <w:rPr>
          <w:rStyle w:val="VerbatimChar"/>
        </w:rPr>
        <w:t xml:space="preserve">DRIFT-AUTHZ</w:t>
      </w:r>
      <w:r>
        <w:t xml:space="preserve"> </w:t>
      </w:r>
      <w:r>
        <w:t xml:space="preserve">findings the</w:t>
      </w:r>
      <w:r>
        <w:t xml:space="preserve"> </w:t>
      </w:r>
      <w:r>
        <w:t xml:space="preserve">substrate cannot explain, because the transport context is invisible (the program decision</w:t>
      </w:r>
      <w:r>
        <w:t xml:space="preserve"> </w:t>
      </w:r>
      <w:r>
        <w:t xml:space="preserve">§Context).</w:t>
      </w:r>
    </w:p>
    <w:p>
      <w:pPr>
        <w:pStyle w:val="CaptionedFigure"/>
      </w:pPr>
      <w:r>
        <w:drawing>
          <wp:inline>
            <wp:extent cx="5334000" cy="3832684"/>
            <wp:effectExtent b="0" l="0" r="0" t="0"/>
            <wp:docPr descr="A flat LAN discards the edge device’s context; the proposed application-aware overlay turns it into a governed path." title="" id="86" name="Picture"/>
            <a:graphic>
              <a:graphicData uri="http://schemas.openxmlformats.org/drawingml/2006/picture">
                <pic:pic>
                  <pic:nvPicPr>
                    <pic:cNvPr descr="/home/runner/work/modernization-workbook/modernization-workbook/docs/images/diagrams/ssot-network-physics/png/ch05-overlay-tunnel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326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 flat LAN discards the edge device’s context; the proposed application-aware overlay turns it into a governed path.</w:t>
      </w:r>
    </w:p>
    <w:bookmarkEnd w:id="88"/>
    <w:bookmarkStart w:id="89" w:name="Xf4e29acc07ea77be6d0acacc43b3bb84375b48c"/>
    <w:p>
      <w:pPr>
        <w:pStyle w:val="Heading2"/>
      </w:pPr>
      <w:r>
        <w:t xml:space="preserve">What the device actually needs: an application-aware overlay</w:t>
      </w:r>
    </w:p>
    <w:p>
      <w:pPr>
        <w:pStyle w:val="FirstParagraph"/>
      </w:pPr>
      <w:r>
        <w:t xml:space="preserve">The requirement is not</w:t>
      </w:r>
      <w:r>
        <w:t xml:space="preserve"> </w:t>
      </w:r>
      <w:r>
        <w:t xml:space="preserve">“a faster LAN.”</w:t>
      </w:r>
      <w:r>
        <w:t xml:space="preserve"> </w:t>
      </w:r>
      <w:r>
        <w:t xml:space="preserve">It is an</w:t>
      </w:r>
      <w:r>
        <w:t xml:space="preserve"> </w:t>
      </w:r>
      <w:r>
        <w:rPr>
          <w:b/>
          <w:bCs/>
        </w:rPr>
        <w:t xml:space="preserve">application-aware overlay</w:t>
      </w:r>
      <w:r>
        <w:rPr>
          <w:b/>
          <w:bCs/>
        </w:rPr>
        <w:t xml:space="preserve"> </w:t>
      </w:r>
      <w:r>
        <w:rPr>
          <w:b/>
          <w:bCs/>
        </w:rPr>
        <w:t xml:space="preserve">fabric</w:t>
      </w:r>
      <w:r>
        <w:t xml:space="preserve"> </w:t>
      </w:r>
      <w:r>
        <w:t xml:space="preserve">in which the path is a typed, identity-anchored, governed object.</w:t>
      </w:r>
      <w:r>
        <w:t xml:space="preserve"> </w:t>
      </w:r>
      <w:r>
        <w:t xml:space="preserve">the program decision promotes FMP_001’s tunnel abstraction from concept to schema as the</w:t>
      </w:r>
      <w:r>
        <w:t xml:space="preserve"> </w:t>
      </w:r>
      <w:r>
        <w:rPr>
          <w:rStyle w:val="VerbatimChar"/>
        </w:rPr>
        <w:t xml:space="preserve">OverlayTunnel</w:t>
      </w:r>
      <w:r>
        <w:t xml:space="preserve">:</w:t>
      </w:r>
    </w:p>
    <w:bookmarkEnd w:id="89"/>
    <w:bookmarkStart w:id="90" w:name="X0f7acfa424ad072383e6108551506e6b81ae39d"/>
    <w:p>
      <w:pPr>
        <w:pStyle w:val="Heading2"/>
      </w:pPr>
      <w:r>
        <w:t xml:space="preserve">The</w:t>
      </w:r>
      <w:r>
        <w:t xml:space="preserve"> </w:t>
      </w:r>
      <w:r>
        <w:rPr>
          <w:rStyle w:val="VerbatimChar"/>
        </w:rPr>
        <w:t xml:space="preserve">OverlayTunnel</w:t>
      </w:r>
      <w:r>
        <w:t xml:space="preserve"> </w:t>
      </w:r>
      <w:r>
        <w:t xml:space="preserve">(the program decision §Decision #3)</w:t>
      </w:r>
    </w:p>
    <w:p>
      <w:pPr>
        <w:pStyle w:val="FirstParagraph"/>
      </w:pPr>
      <w:r>
        <w:t xml:space="preserve">An</w:t>
      </w:r>
      <w:r>
        <w:t xml:space="preserve"> </w:t>
      </w:r>
      <w:r>
        <w:rPr>
          <w:rStyle w:val="VerbatimChar"/>
        </w:rPr>
        <w:t xml:space="preserve">OverlayTunnel</w:t>
      </w:r>
      <w:r>
        <w:t xml:space="preserve"> </w:t>
      </w:r>
      <w:r>
        <w:t xml:space="preserve">carries</w:t>
      </w:r>
      <w:r>
        <w:t xml:space="preserve"> </w:t>
      </w:r>
      <w:r>
        <w:rPr>
          <w:rStyle w:val="VerbatimChar"/>
        </w:rPr>
        <w:t xml:space="preserve">{identity, application, posture, location, token, lease, certificate-chain}</w:t>
      </w:r>
      <w:r>
        <w:t xml:space="preserve">.</w:t>
      </w:r>
      <w:r>
        <w:t xml:space="preserve"> </w:t>
      </w:r>
      <w:r>
        <w:rPr>
          <w:b/>
          <w:bCs/>
        </w:rPr>
        <w:t xml:space="preserve">Tunnels are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leased</w:t>
      </w:r>
      <w:r>
        <w:rPr>
          <w:b/>
          <w:bCs/>
        </w:rPr>
        <w:t xml:space="preserve">, not opened</w:t>
      </w:r>
      <w:r>
        <w:t xml:space="preserve"> </w:t>
      </w:r>
      <w:r>
        <w:t xml:space="preserve">— the lease is bounded by token lifetime,</w:t>
      </w:r>
      <w:r>
        <w:t xml:space="preserve"> </w:t>
      </w:r>
      <w:r>
        <w:t xml:space="preserve">and the canonical record is provenance-anchored to SSOT. The authorizing token</w:t>
      </w:r>
      <w:r>
        <w:t xml:space="preserve"> </w:t>
      </w:r>
      <w:r>
        <w:t xml:space="preserve">is short-lived and audience-scoped, bound to</w:t>
      </w:r>
      <w:r>
        <w:t xml:space="preserve"> </w:t>
      </w:r>
      <w:r>
        <w:rPr>
          <w:b/>
          <w:bCs/>
        </w:rPr>
        <w:t xml:space="preserve">caller identity + target</w:t>
      </w:r>
      <w:r>
        <w:rPr>
          <w:b/>
          <w:bCs/>
        </w:rPr>
        <w:t xml:space="preserve"> </w:t>
      </w:r>
      <w:r>
        <w:rPr>
          <w:b/>
          <w:bCs/>
        </w:rPr>
        <w:t xml:space="preserve">application + device posture + organizationally derived location</w:t>
      </w:r>
      <w:r>
        <w:t xml:space="preserve"> </w:t>
      </w:r>
      <w:r>
        <w:t xml:space="preserve">(the program decision §Decision</w:t>
      </w:r>
      <w:r>
        <w:t xml:space="preserve"> </w:t>
      </w:r>
      <w:r>
        <w:t xml:space="preserve">#2). A</w:t>
      </w:r>
      <w:r>
        <w:t xml:space="preserve"> </w:t>
      </w:r>
      <w:r>
        <w:t xml:space="preserve">“session”</w:t>
      </w:r>
      <w:r>
        <w:t xml:space="preserve"> </w:t>
      </w:r>
      <w:r>
        <w:t xml:space="preserve">— any long-lived authorization context that survives a single</w:t>
      </w:r>
      <w:r>
        <w:t xml:space="preserve"> </w:t>
      </w:r>
      <w:r>
        <w:t xml:space="preserve">authorized intent — ceases to be a canonical concept.</w:t>
      </w:r>
    </w:p>
    <w:bookmarkEnd w:id="90"/>
    <w:p>
      <w:pPr>
        <w:pStyle w:val="BodyText"/>
      </w:pPr>
      <w:r>
        <w:t xml:space="preserve">This is precisely the data-plane move of Chapter 2, transposed onto the network.</w:t>
      </w:r>
      <w:r>
        <w:t xml:space="preserve"> </w:t>
      </w:r>
      <w:r>
        <w:t xml:space="preserve">There, the database password was replaced by a freshly-minted, audience-scoped</w:t>
      </w:r>
      <w:r>
        <w:t xml:space="preserve"> </w:t>
      </w:r>
      <w:r>
        <w:t xml:space="preserve">token per connection. Here, the open session is replaced by a freshly-leased,</w:t>
      </w:r>
      <w:r>
        <w:t xml:space="preserve"> </w:t>
      </w:r>
      <w:r>
        <w:t xml:space="preserve">audience-scoped tunnel per path. In both cases the durable, hijackable artifact</w:t>
      </w:r>
      <w:r>
        <w:t xml:space="preserve"> </w:t>
      </w:r>
      <w:r>
        <w:t xml:space="preserve">— the stored password, the long-lived session — is</w:t>
      </w:r>
      <w:r>
        <w:t xml:space="preserve"> </w:t>
      </w:r>
      <w:r>
        <w:rPr>
          <w:i/>
          <w:iCs/>
        </w:rPr>
        <w:t xml:space="preserve">removed</w:t>
      </w:r>
      <w:r>
        <w:t xml:space="preserve">, and authorization</w:t>
      </w:r>
      <w:r>
        <w:t xml:space="preserve"> </w:t>
      </w:r>
      <w:r>
        <w:t xml:space="preserve">becomes a per-event, identity-bound act.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“SD-WAN / SDN”</w:t>
      </w:r>
      <w:r>
        <w:t xml:space="preserve"> </w:t>
      </w:r>
      <w:r>
        <w:t xml:space="preserve">part is only the</w:t>
      </w:r>
      <w:r>
        <w:t xml:space="preserve"> </w:t>
      </w:r>
      <w:r>
        <w:rPr>
          <w:b/>
          <w:bCs/>
        </w:rPr>
        <w:t xml:space="preserve">mechanism</w:t>
      </w:r>
      <w:r>
        <w:t xml:space="preserve"> </w:t>
      </w:r>
      <w:r>
        <w:t xml:space="preserve">— vManage/vSmart/vBond and WAN</w:t>
      </w:r>
      <w:r>
        <w:t xml:space="preserve"> </w:t>
      </w:r>
      <w:r>
        <w:t xml:space="preserve">edges (</w:t>
      </w:r>
      <w:r>
        <w:rPr>
          <w:rStyle w:val="VerbatimChar"/>
        </w:rPr>
        <w:t xml:space="preserve">overlays/cisco/sd-wan.yml</w:t>
      </w:r>
      <w:r>
        <w:t xml:space="preserve">), SASE/ZTNA from the TIC3 retirement roadmap.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requirement</w:t>
      </w:r>
      <w:r>
        <w:t xml:space="preserve"> </w:t>
      </w:r>
      <w:r>
        <w:t xml:space="preserve">is application-awareness plus token-bound transport. On that</w:t>
      </w:r>
      <w:r>
        <w:t xml:space="preserve"> </w:t>
      </w:r>
      <w:r>
        <w:t xml:space="preserve">fabric the edge device’s efficiency is finally realized, and the path itself</w:t>
      </w:r>
      <w:r>
        <w:t xml:space="preserve"> </w:t>
      </w:r>
      <w:r>
        <w:t xml:space="preserve">becomes governed evidence rather than an invisible Layer-3/4 detail.</w:t>
      </w:r>
    </w:p>
    <w:bookmarkStart w:id="91" w:name="X69463721e2e8ba18f9ad293dc67fff4e464810a"/>
    <w:p>
      <w:pPr>
        <w:pStyle w:val="Heading2"/>
      </w:pPr>
      <w:r>
        <w:t xml:space="preserve">A flat LAN is a drift generator, not neutral ground</w:t>
      </w:r>
    </w:p>
    <w:p>
      <w:pPr>
        <w:pStyle w:val="FirstParagraph"/>
      </w:pPr>
      <w:r>
        <w:t xml:space="preserve">The sharpest consequence for a governance substrate: a non-optimized LAN that</w:t>
      </w:r>
      <w:r>
        <w:t xml:space="preserve"> </w:t>
      </w:r>
      <w:r>
        <w:t xml:space="preserve">stays flat does not merely run slower — it manufactures drift. the program decision proposes</w:t>
      </w:r>
      <w:r>
        <w:t xml:space="preserve"> </w:t>
      </w:r>
      <w:r>
        <w:t xml:space="preserve">a sixth drift class,</w:t>
      </w:r>
      <w:r>
        <w:t xml:space="preserve"> </w:t>
      </w:r>
      <w:r>
        <w:rPr>
          <w:rStyle w:val="VerbatimChar"/>
          <w:b/>
          <w:bCs/>
        </w:rPr>
        <w:t xml:space="preserve">DRIFT-TRANSPORT</w:t>
      </w:r>
      <w:r>
        <w:t xml:space="preserve">, joining the substrate’s existing</w:t>
      </w:r>
      <w:r>
        <w:t xml:space="preserve"> </w:t>
      </w:r>
      <w:r>
        <w:t xml:space="preserve">five (</w:t>
      </w:r>
      <w:r>
        <w:rPr>
          <w:rStyle w:val="VerbatimChar"/>
        </w:rPr>
        <w:t xml:space="preserve">DRIFT-SCHEMA</w:t>
      </w:r>
      <w:r>
        <w:t xml:space="preserve">,</w:t>
      </w:r>
      <w:r>
        <w:t xml:space="preserve"> </w:t>
      </w:r>
      <w:r>
        <w:rPr>
          <w:rStyle w:val="VerbatimChar"/>
        </w:rPr>
        <w:t xml:space="preserve">DRIFT-SEMANTIC</w:t>
      </w:r>
      <w:r>
        <w:t xml:space="preserve">,</w:t>
      </w:r>
      <w:r>
        <w:t xml:space="preserve"> </w:t>
      </w:r>
      <w:r>
        <w:rPr>
          <w:rStyle w:val="VerbatimChar"/>
        </w:rPr>
        <w:t xml:space="preserve">DRIFT-PROVENANCE</w:t>
      </w:r>
      <w:r>
        <w:t xml:space="preserve">,</w:t>
      </w:r>
      <w:r>
        <w:t xml:space="preserve"> </w:t>
      </w:r>
      <w:r>
        <w:rPr>
          <w:rStyle w:val="VerbatimChar"/>
        </w:rPr>
        <w:t xml:space="preserve">DRIFT-AUTHZ</w:t>
      </w:r>
      <w:r>
        <w:t xml:space="preserve">,</w:t>
      </w:r>
      <w:r>
        <w:t xml:space="preserve"> </w:t>
      </w:r>
      <w:r>
        <w:rPr>
          <w:rStyle w:val="VerbatimChar"/>
        </w:rPr>
        <w:t xml:space="preserve">DRIFT-IDENTITY</w:t>
      </w:r>
      <w:r>
        <w:t xml:space="preserve">). Under it, an</w:t>
      </w:r>
      <w:r>
        <w:t xml:space="preserve"> </w:t>
      </w:r>
      <w:r>
        <w:rPr>
          <w:rStyle w:val="VerbatimChar"/>
        </w:rPr>
        <w:t xml:space="preserve">OverlayTunnel</w:t>
      </w:r>
      <w:r>
        <w:t xml:space="preserve"> </w:t>
      </w:r>
      <w:r>
        <w:t xml:space="preserve">or flow observed</w:t>
      </w:r>
      <w:r>
        <w:t xml:space="preserve"> </w:t>
      </w:r>
      <w:r>
        <w:rPr>
          <w:i/>
          <w:iCs/>
        </w:rPr>
        <w:t xml:space="preserve">without</w:t>
      </w:r>
      <w:r>
        <w:t xml:space="preserve"> </w:t>
      </w:r>
      <w:r>
        <w:t xml:space="preserve">an</w:t>
      </w:r>
      <w:r>
        <w:t xml:space="preserve"> </w:t>
      </w:r>
      <w:r>
        <w:t xml:space="preserve">issuing token is a finding (P2), as is path-policy variance between the</w:t>
      </w:r>
      <w:r>
        <w:t xml:space="preserve"> </w:t>
      </w:r>
      <w:r>
        <w:t xml:space="preserve">canonical organizational/location binding and the observed flow (P4). The flat LAN is</w:t>
      </w:r>
      <w:r>
        <w:t xml:space="preserve"> </w:t>
      </w:r>
      <w:r>
        <w:t xml:space="preserve">therefore not a neutral substrate the edge device merely fails to exploit — from</w:t>
      </w:r>
      <w:r>
        <w:t xml:space="preserve"> </w:t>
      </w:r>
      <w:r>
        <w:t xml:space="preserve">the substrate’s point of view it is an active source of transport drift.</w:t>
      </w:r>
    </w:p>
    <w:p>
      <w:pPr>
        <w:pStyle w:val="BodyText"/>
      </w:pPr>
      <w:r>
        <w:t xml:space="preserve">This closes the loop with Chapter 1’s deepest claim: drift is born where the</w:t>
      </w:r>
      <w:r>
        <w:t xml:space="preserve"> </w:t>
      </w:r>
      <w:r>
        <w:t xml:space="preserve">governed path is the path of</w:t>
      </w:r>
      <w:r>
        <w:t xml:space="preserve"> </w:t>
      </w:r>
      <w:r>
        <w:rPr>
          <w:i/>
          <w:iCs/>
        </w:rPr>
        <w:t xml:space="preserve">most</w:t>
      </w:r>
      <w:r>
        <w:t xml:space="preserve"> </w:t>
      </w:r>
      <w:r>
        <w:t xml:space="preserve">resistance and an ungoverned shortcut</w:t>
      </w:r>
      <w:r>
        <w:t xml:space="preserve"> </w:t>
      </w:r>
      <w:r>
        <w:t xml:space="preserve">exists. A flat, session-trusted LAN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that ungoverned shortcut, one layer</w:t>
      </w:r>
      <w:r>
        <w:t xml:space="preserve"> </w:t>
      </w:r>
      <w:r>
        <w:t xml:space="preserve">down from the shadow-copy problem — the network equivalent of an unofficial</w:t>
      </w:r>
      <w:r>
        <w:t xml:space="preserve"> </w:t>
      </w:r>
      <w:r>
        <w:t xml:space="preserve">local database nobody blessed.</w:t>
      </w:r>
    </w:p>
    <w:bookmarkEnd w:id="91"/>
    <w:bookmarkStart w:id="92" w:name="X8ee8fdcb6642331cf4283ebca5cb37276f875a3"/>
    <w:p>
      <w:pPr>
        <w:pStyle w:val="Heading2"/>
      </w:pPr>
      <w:r>
        <w:t xml:space="preserve">Lane discipline: The Federal Modernization Program governs the fabric, it does not become it</w:t>
      </w:r>
    </w:p>
    <w:p>
      <w:pPr>
        <w:pStyle w:val="FirstParagraph"/>
      </w:pPr>
      <w:r>
        <w:t xml:space="preserve">One boundary must be stated as plainly here as the speed-of-light floor was in</w:t>
      </w:r>
      <w:r>
        <w:t xml:space="preserve"> </w:t>
      </w:r>
      <w:r>
        <w:t xml:space="preserve">Chapter 3. The Federal Modernization Program’s stake in</w:t>
      </w:r>
      <w:r>
        <w:t xml:space="preserve"> </w:t>
      </w:r>
      <w:r>
        <w:t xml:space="preserve">“land the device on an application-aware overlay”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governance</w:t>
      </w:r>
      <w:r>
        <w:t xml:space="preserve">, not packet-forwarding. Per the program decision’s lane discipline</w:t>
      </w:r>
      <w:r>
        <w:t xml:space="preserve"> </w:t>
      </w:r>
      <w:r>
        <w:t xml:space="preserve">(§</w:t>
      </w:r>
      <w:r>
        <w:t xml:space="preserve">“what the Federal Modernization Program does NOT become”</w:t>
      </w:r>
      <w:r>
        <w:t xml:space="preserve">), transport adapters</w:t>
      </w:r>
      <w:r>
        <w:t xml:space="preserve"> </w:t>
      </w:r>
      <w:r>
        <w:rPr>
          <w:b/>
          <w:bCs/>
        </w:rPr>
        <w:t xml:space="preserve">observe, reconcile, and</w:t>
      </w:r>
      <w:r>
        <w:rPr>
          <w:b/>
          <w:bCs/>
        </w:rPr>
        <w:t xml:space="preserve"> </w:t>
      </w:r>
      <w:r>
        <w:rPr>
          <w:b/>
          <w:bCs/>
        </w:rPr>
        <w:t xml:space="preserve">emit evidence — they do not route packets or terminate tunnels.</w:t>
      </w:r>
      <w:r>
        <w:t xml:space="preserve"> </w:t>
      </w:r>
      <w:r>
        <w:t xml:space="preserve">The decision</w:t>
      </w:r>
      <w:r>
        <w:t xml:space="preserve"> </w:t>
      </w:r>
      <w:r>
        <w:t xml:space="preserve">is explicitly doctrinal, not implementation-prescriptive: it picks no token</w:t>
      </w:r>
      <w:r>
        <w:t xml:space="preserve"> </w:t>
      </w:r>
      <w:r>
        <w:t xml:space="preserve">format (SPIFFE vs PASETO), no SD-WAN vendor, and does not put the Federal Modernization Program in the data</w:t>
      </w:r>
      <w:r>
        <w:t xml:space="preserve"> </w:t>
      </w:r>
      <w:r>
        <w:t xml:space="preserve">plane. The agency operates whatever SASE/SD-WAN fabric it likes; the Federal Modernization Program requires</w:t>
      </w:r>
      <w:r>
        <w:t xml:space="preserve"> </w:t>
      </w:r>
      <w:r>
        <w:t xml:space="preserve">only that the fabric be application-aware and token-bound, so the edge device’s</w:t>
      </w:r>
      <w:r>
        <w:t xml:space="preserve"> </w:t>
      </w:r>
      <w:r>
        <w:t xml:space="preserve">identity / application / posture / location can drive routing and per-call</w:t>
      </w:r>
      <w:r>
        <w:t xml:space="preserve"> </w:t>
      </w:r>
      <w:r>
        <w:t xml:space="preserve">authorization — and so the path becomes auditable evidence.</w:t>
      </w:r>
    </w:p>
    <w:p>
      <w:pPr>
        <w:pStyle w:val="BodyText"/>
      </w:pPr>
      <w:r>
        <w:t xml:space="preserve">The relationship is exactly that of an identity to Conditional Access. Without</w:t>
      </w:r>
      <w:r>
        <w:t xml:space="preserve"> </w:t>
      </w:r>
      <w:r>
        <w:t xml:space="preserve">the governed overlay, the efficient edge device is optimized in isolation, its</w:t>
      </w:r>
      <w:r>
        <w:t xml:space="preserve"> </w:t>
      </w:r>
      <w:r>
        <w:t xml:space="preserve">traffic backhauled through a perimeter being retired, and its trust riding a</w:t>
      </w:r>
      <w:r>
        <w:t xml:space="preserve"> </w:t>
      </w:r>
      <w:r>
        <w:t xml:space="preserve">long-lived session the substrate cannot see.</w:t>
      </w:r>
    </w:p>
    <w:bookmarkEnd w:id="92"/>
    <w:bookmarkStart w:id="93" w:name="summary-4"/>
    <w:p>
      <w:pPr>
        <w:pStyle w:val="Heading2"/>
      </w:pPr>
      <w:r>
        <w:t xml:space="preserve">Summary</w:t>
      </w:r>
    </w:p>
    <w:p>
      <w:pPr>
        <w:pStyle w:val="Compact"/>
        <w:numPr>
          <w:ilvl w:val="0"/>
          <w:numId w:val="1023"/>
        </w:numPr>
      </w:pPr>
      <w:r>
        <w:t xml:space="preserve">“Identity is the new boundary”</w:t>
      </w:r>
      <w:r>
        <w:t xml:space="preserve"> </w:t>
      </w:r>
      <w:r>
        <w:t xml:space="preserve">must hold on the transport plane as well as the</w:t>
      </w:r>
      <w:r>
        <w:t xml:space="preserve"> </w:t>
      </w:r>
      <w:r>
        <w:t xml:space="preserve">data plane; today it holds</w:t>
      </w:r>
      <w:r>
        <w:t xml:space="preserve"> </w:t>
      </w:r>
      <w:r>
        <w:t xml:space="preserve">“only halfway”</w:t>
      </w:r>
      <w:r>
        <w:t xml:space="preserve"> </w:t>
      </w:r>
      <w:r>
        <w:t xml:space="preserve">(the program decision §Context #2).</w:t>
      </w:r>
    </w:p>
    <w:p>
      <w:pPr>
        <w:pStyle w:val="Compact"/>
        <w:numPr>
          <w:ilvl w:val="0"/>
          <w:numId w:val="1023"/>
        </w:numPr>
      </w:pPr>
      <w:r>
        <w:t xml:space="preserve">An efficient edge device is necessary but not sufficient — its efficiency is</w:t>
      </w:r>
      <w:r>
        <w:t xml:space="preserve"> </w:t>
      </w:r>
      <w:r>
        <w:t xml:space="preserve">bounded by the fabric it lands on. A flat LAN undermines it three ways: no</w:t>
      </w:r>
      <w:r>
        <w:t xml:space="preserve"> </w:t>
      </w:r>
      <w:r>
        <w:t xml:space="preserve">local breakout / Cloud OnRamp, no identity-aware routing (INR), and trust that</w:t>
      </w:r>
      <w:r>
        <w:t xml:space="preserve"> </w:t>
      </w:r>
      <w:r>
        <w:t xml:space="preserve">collapses into a long-lived session.</w:t>
      </w:r>
    </w:p>
    <w:p>
      <w:pPr>
        <w:pStyle w:val="Compact"/>
        <w:numPr>
          <w:ilvl w:val="0"/>
          <w:numId w:val="1023"/>
        </w:numPr>
      </w:pPr>
      <w:r>
        <w:t xml:space="preserve">The requirement is an application-aware overlay where the path is a typed</w:t>
      </w:r>
      <w:r>
        <w:t xml:space="preserve"> </w:t>
      </w:r>
      <w:r>
        <w:rPr>
          <w:rStyle w:val="VerbatimChar"/>
        </w:rPr>
        <w:t xml:space="preserve">OverlayTunnel</w:t>
      </w:r>
      <w:r>
        <w:t xml:space="preserve"> </w:t>
      </w:r>
      <w:r>
        <w:t xml:space="preserve">—</w:t>
      </w:r>
      <w:r>
        <w:t xml:space="preserve"> </w:t>
      </w:r>
      <w:r>
        <w:rPr>
          <w:i/>
          <w:iCs/>
        </w:rPr>
        <w:t xml:space="preserve">leased, not opened</w:t>
      </w:r>
      <w:r>
        <w:t xml:space="preserve">, bounded by a short-lived,</w:t>
      </w:r>
      <w:r>
        <w:t xml:space="preserve"> </w:t>
      </w:r>
      <w:r>
        <w:t xml:space="preserve">audience-scoped token (the program decision §Decision #2–3). SD-WAN/SASE is the mechanism;</w:t>
      </w:r>
      <w:r>
        <w:t xml:space="preserve"> </w:t>
      </w:r>
      <w:r>
        <w:t xml:space="preserve">application-awareness + token-bound transport is the requirement.</w:t>
      </w:r>
    </w:p>
    <w:p>
      <w:pPr>
        <w:pStyle w:val="Compact"/>
        <w:numPr>
          <w:ilvl w:val="0"/>
          <w:numId w:val="1023"/>
        </w:numPr>
      </w:pPr>
      <w:r>
        <w:t xml:space="preserve">A flat LAN is a</w:t>
      </w:r>
      <w:r>
        <w:t xml:space="preserve"> </w:t>
      </w:r>
      <w:r>
        <w:rPr>
          <w:rStyle w:val="VerbatimChar"/>
        </w:rPr>
        <w:t xml:space="preserve">DRIFT-TRANSPORT</w:t>
      </w:r>
      <w:r>
        <w:t xml:space="preserve"> </w:t>
      </w:r>
      <w:r>
        <w:t xml:space="preserve">generator (P2/P4), not neutral ground.</w:t>
      </w:r>
    </w:p>
    <w:p>
      <w:pPr>
        <w:pStyle w:val="Compact"/>
        <w:numPr>
          <w:ilvl w:val="0"/>
          <w:numId w:val="1023"/>
        </w:numPr>
      </w:pPr>
      <w:r>
        <w:t xml:space="preserve">The Federal Modernization Program governs the fabric and emits evidence; it does not route packets. The</w:t>
      </w:r>
      <w:r>
        <w:t xml:space="preserve"> </w:t>
      </w:r>
      <w:r>
        <w:t xml:space="preserve">whole model is</w:t>
      </w:r>
      <w:r>
        <w:t xml:space="preserve"> </w:t>
      </w:r>
      <w:r>
        <w:rPr>
          <w:b/>
          <w:bCs/>
        </w:rPr>
        <w:t xml:space="preserve">Proposed</w:t>
      </w:r>
      <w:r>
        <w:t xml:space="preserve"> </w:t>
      </w:r>
      <w:r>
        <w:t xml:space="preserve">(the program decision), with FMP_122/123/124 as the open</w:t>
      </w:r>
      <w:r>
        <w:t xml:space="preserve"> </w:t>
      </w:r>
      <w:r>
        <w:t xml:space="preserve">verification items.</w:t>
      </w:r>
    </w:p>
    <w:bookmarkEnd w:id="93"/>
    <w:bookmarkEnd w:id="94"/>
    <w:bookmarkStart w:id="105" w:name="Xf495392626e96157a7785591365012b92e890b9"/>
    <w:p>
      <w:pPr>
        <w:pStyle w:val="Heading1"/>
      </w:pPr>
      <w:r>
        <w:t xml:space="preserve">Matching Consistency Classes to Network Classes</w:t>
      </w:r>
    </w:p>
    <w:bookmarkStart w:id="95" w:name="the-single-design-rule"/>
    <w:p>
      <w:pPr>
        <w:pStyle w:val="Heading2"/>
      </w:pPr>
      <w:r>
        <w:t xml:space="preserve">The single design rule</w:t>
      </w:r>
    </w:p>
    <w:p>
      <w:pPr>
        <w:pStyle w:val="FirstParagraph"/>
      </w:pPr>
      <w:r>
        <w:t xml:space="preserve">The previous chapters converge on one rule that ties the data layer and the</w:t>
      </w:r>
      <w:r>
        <w:t xml:space="preserve"> </w:t>
      </w:r>
      <w:r>
        <w:t xml:space="preserve">network layer together:</w:t>
      </w:r>
    </w:p>
    <w:bookmarkEnd w:id="95"/>
    <w:bookmarkStart w:id="96" w:name="X9f03caf41e4895c9a7f889b60ea5ae95ef720a0"/>
    <w:p>
      <w:pPr>
        <w:pStyle w:val="Heading2"/>
      </w:pPr>
      <w:r>
        <w:t xml:space="preserve">Align consistency class with transport class.</w:t>
      </w:r>
    </w:p>
    <w:p>
      <w:pPr>
        <w:pStyle w:val="FirstParagraph"/>
      </w:pPr>
      <w:r>
        <w:t xml:space="preserve">The data layer’s question —</w:t>
      </w:r>
      <w:r>
        <w:t xml:space="preserve"> </w:t>
      </w:r>
      <w:r>
        <w:rPr>
          <w:i/>
          <w:iCs/>
        </w:rPr>
        <w:t xml:space="preserve">what must be strongly consistent versus what can</w:t>
      </w:r>
      <w:r>
        <w:rPr>
          <w:i/>
          <w:iCs/>
        </w:rPr>
        <w:t xml:space="preserve"> </w:t>
      </w:r>
      <w:r>
        <w:rPr>
          <w:i/>
          <w:iCs/>
        </w:rPr>
        <w:t xml:space="preserve">be eventually consistent</w:t>
      </w:r>
      <w:r>
        <w:t xml:space="preserve"> </w:t>
      </w:r>
      <w:r>
        <w:t xml:space="preserve">— is the same question, viewed from the other side,</w:t>
      </w:r>
      <w:r>
        <w:t xml:space="preserve"> </w:t>
      </w:r>
      <w:r>
        <w:t xml:space="preserve">as the network layer’s —</w:t>
      </w:r>
      <w:r>
        <w:t xml:space="preserve"> </w:t>
      </w:r>
      <w:r>
        <w:rPr>
          <w:i/>
          <w:iCs/>
        </w:rPr>
        <w:t xml:space="preserve">what rides the lean low-latency path versus the fat</w:t>
      </w:r>
      <w:r>
        <w:rPr>
          <w:i/>
          <w:iCs/>
        </w:rPr>
        <w:t xml:space="preserve"> </w:t>
      </w:r>
      <w:r>
        <w:rPr>
          <w:i/>
          <w:iCs/>
        </w:rPr>
        <w:t xml:space="preserve">bulk path.</w:t>
      </w:r>
      <w:r>
        <w:t xml:space="preserve"> </w:t>
      </w:r>
      <w:r>
        <w:t xml:space="preserve">When those two decisions agree, you get the best synchronization</w:t>
      </w:r>
      <w:r>
        <w:t xml:space="preserve"> </w:t>
      </w:r>
      <w:r>
        <w:t xml:space="preserve">physics permits. When they disagree, you pay for it.</w:t>
      </w:r>
    </w:p>
    <w:bookmarkEnd w:id="96"/>
    <w:p>
      <w:pPr>
        <w:pStyle w:val="BodyText"/>
      </w:pPr>
      <w:r>
        <w:t xml:space="preserve">A mismatch is expensive in both directions. Putting strong-consistency traffic</w:t>
      </w:r>
      <w:r>
        <w:t xml:space="preserve"> </w:t>
      </w:r>
      <w:r>
        <w:t xml:space="preserve">on the bulk path inflicts the bulk path’s latency and tail on your commits.</w:t>
      </w:r>
      <w:r>
        <w:t xml:space="preserve"> </w:t>
      </w:r>
      <w:r>
        <w:t xml:space="preserve">Putting trivial asynchronous replication on the premium low-latency path wastes</w:t>
      </w:r>
      <w:r>
        <w:t xml:space="preserve"> </w:t>
      </w:r>
      <w:r>
        <w:t xml:space="preserve">the scarce resource that your consensus quorum actually needs. The architecture</w:t>
      </w:r>
      <w:r>
        <w:t xml:space="preserve"> </w:t>
      </w:r>
      <w:r>
        <w:t xml:space="preserve">works when each class of data rides the class of transport built for it.</w:t>
      </w:r>
    </w:p>
    <w:bookmarkStart w:id="100" w:name="the-mapping"/>
    <w:p>
      <w:pPr>
        <w:pStyle w:val="Heading2"/>
      </w:pPr>
      <w:r>
        <w:t xml:space="preserve">The mapping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Data need</w:t>
            </w:r>
          </w:p>
        </w:tc>
        <w:tc>
          <w:tcPr/>
          <w:p>
            <w:pPr>
              <w:pStyle w:val="Compact"/>
            </w:pPr>
            <w:r>
              <w:t xml:space="preserve">Consistency model</w:t>
            </w:r>
          </w:p>
        </w:tc>
        <w:tc>
          <w:tcPr/>
          <w:p>
            <w:pPr>
              <w:pStyle w:val="Compact"/>
            </w:pPr>
            <w:r>
              <w:t xml:space="preserve">Network class</w:t>
            </w:r>
          </w:p>
        </w:tc>
        <w:tc>
          <w:tcPr/>
          <w:p>
            <w:pPr>
              <w:pStyle w:val="Compact"/>
            </w:pPr>
            <w:r>
              <w:t xml:space="preserve">Crosses regions synchronously?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Authoritative writes to the source of truth</w:t>
            </w:r>
          </w:p>
        </w:tc>
        <w:tc>
          <w:tcPr/>
          <w:p>
            <w:pPr>
              <w:pStyle w:val="Compact"/>
            </w:pPr>
            <w:r>
              <w:t xml:space="preserve">Strong / serializable</w:t>
            </w:r>
          </w:p>
        </w:tc>
        <w:tc>
          <w:tcPr/>
          <w:p>
            <w:pPr>
              <w:pStyle w:val="Compact"/>
            </w:pPr>
            <w:r>
              <w:t xml:space="preserve">Lean, low-latency</w:t>
            </w:r>
          </w:p>
        </w:tc>
        <w:tc>
          <w:tcPr/>
          <w:p>
            <w:pPr>
              <w:pStyle w:val="Compact"/>
            </w:pPr>
            <w:r>
              <w:t xml:space="preserve">No — kept intra-region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Quorum durability across nearby zones</w:t>
            </w:r>
          </w:p>
        </w:tc>
        <w:tc>
          <w:tcPr/>
          <w:p>
            <w:pPr>
              <w:pStyle w:val="Compact"/>
            </w:pPr>
            <w:r>
              <w:t xml:space="preserve">Synchronous replication</w:t>
            </w:r>
          </w:p>
        </w:tc>
        <w:tc>
          <w:tcPr/>
          <w:p>
            <w:pPr>
              <w:pStyle w:val="Compact"/>
            </w:pPr>
            <w:r>
              <w:t xml:space="preserve">Lean, low-latency</w:t>
            </w:r>
          </w:p>
        </w:tc>
        <w:tc>
          <w:tcPr/>
          <w:p>
            <w:pPr>
              <w:pStyle w:val="Compact"/>
            </w:pPr>
            <w:r>
              <w:t xml:space="preserve">Within a region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Cross-region durability / disaster recovery</w:t>
            </w:r>
          </w:p>
        </w:tc>
        <w:tc>
          <w:tcPr/>
          <w:p>
            <w:pPr>
              <w:pStyle w:val="Compact"/>
            </w:pPr>
            <w:r>
              <w:t xml:space="preserve">Asynchronous replication</w:t>
            </w:r>
          </w:p>
        </w:tc>
        <w:tc>
          <w:tcPr/>
          <w:p>
            <w:pPr>
              <w:pStyle w:val="Compact"/>
            </w:pPr>
            <w:r>
              <w:t xml:space="preserve">Fat, bulk</w:t>
            </w:r>
          </w:p>
        </w:tc>
        <w:tc>
          <w:tcPr/>
          <w:p>
            <w:pPr>
              <w:pStyle w:val="Compact"/>
            </w:pPr>
            <w:r>
              <w:t xml:space="preserve">No — async by design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Read-mostly access far from the writer</w:t>
            </w:r>
          </w:p>
        </w:tc>
        <w:tc>
          <w:tcPr/>
          <w:p>
            <w:pPr>
              <w:pStyle w:val="Compact"/>
            </w:pPr>
            <w:r>
              <w:t xml:space="preserve">Bounded staleness / read replica</w:t>
            </w:r>
          </w:p>
        </w:tc>
        <w:tc>
          <w:tcPr/>
          <w:p>
            <w:pPr>
              <w:pStyle w:val="Compact"/>
            </w:pPr>
            <w:r>
              <w:t xml:space="preserve">Fat, bulk (refresh)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Multi-writer collaborative data</w:t>
            </w:r>
          </w:p>
        </w:tc>
        <w:tc>
          <w:tcPr/>
          <w:p>
            <w:pPr>
              <w:pStyle w:val="Compact"/>
            </w:pPr>
            <w:r>
              <w:t xml:space="preserve">Causal / CRDT merge</w:t>
            </w:r>
          </w:p>
        </w:tc>
        <w:tc>
          <w:tcPr/>
          <w:p>
            <w:pPr>
              <w:pStyle w:val="Compact"/>
            </w:pPr>
            <w:r>
              <w:t xml:space="preserve">Fat, bulk</w:t>
            </w:r>
          </w:p>
        </w:tc>
        <w:tc>
          <w:tcPr/>
          <w:p>
            <w:pPr>
              <w:pStyle w:val="Compact"/>
            </w:pPr>
            <w:r>
              <w:t xml:space="preserve">No — merges, not round trips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Analytics / reporting</w:t>
            </w:r>
          </w:p>
        </w:tc>
        <w:tc>
          <w:tcPr/>
          <w:p>
            <w:pPr>
              <w:pStyle w:val="Compact"/>
            </w:pPr>
            <w:r>
              <w:t xml:space="preserve">Eventual</w:t>
            </w:r>
          </w:p>
        </w:tc>
        <w:tc>
          <w:tcPr/>
          <w:p>
            <w:pPr>
              <w:pStyle w:val="Compact"/>
            </w:pPr>
            <w:r>
              <w:t xml:space="preserve">Fat, bulk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p>
      <w:pPr>
        <w:pStyle w:val="BodyText"/>
      </w:pPr>
      <w:r>
        <w:t xml:space="preserve">The pattern is stark:</w:t>
      </w:r>
      <w:r>
        <w:t xml:space="preserve"> </w:t>
      </w:r>
      <w:r>
        <w:rPr>
          <w:b/>
          <w:bCs/>
        </w:rPr>
        <w:t xml:space="preserve">only the top two rows ride the lean path, and neither</w:t>
      </w:r>
      <w:r>
        <w:rPr>
          <w:b/>
          <w:bCs/>
        </w:rPr>
        <w:t xml:space="preserve"> </w:t>
      </w:r>
      <w:r>
        <w:rPr>
          <w:b/>
          <w:bCs/>
        </w:rPr>
        <w:t xml:space="preserve">of them crosses a region synchronously.</w:t>
      </w:r>
      <w:r>
        <w:t xml:space="preserve"> </w:t>
      </w:r>
      <w:r>
        <w:t xml:space="preserve">Everything that spans distance is</w:t>
      </w:r>
      <w:r>
        <w:t xml:space="preserve"> </w:t>
      </w:r>
      <w:r>
        <w:t xml:space="preserve">asynchronous and rides the bulk path. That is the physics of Chapter 3 made</w:t>
      </w:r>
      <w:r>
        <w:t xml:space="preserve"> </w:t>
      </w:r>
      <w:r>
        <w:t xml:space="preserve">into a layout.</w:t>
      </w:r>
    </w:p>
    <w:p>
      <w:pPr>
        <w:pStyle w:val="CaptionedFigure"/>
      </w:pPr>
      <w:r>
        <w:drawing>
          <wp:inline>
            <wp:extent cx="5334000" cy="2735776"/>
            <wp:effectExtent b="0" l="0" r="0" t="0"/>
            <wp:docPr descr="Only intra-region flows need the lean path; everything that crosses regions is asynchronous on the bulk path." title="" id="98" name="Picture"/>
            <a:graphic>
              <a:graphicData uri="http://schemas.openxmlformats.org/drawingml/2006/picture">
                <pic:pic>
                  <pic:nvPicPr>
                    <pic:cNvPr descr="/home/runner/work/modernization-workbook/modernization-workbook/docs/images/diagrams/ssot-network-physics/png/ch06-consistency-alignment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5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Only intra-region flows need the lean path; everything that crosses regions is asynchronous on the bulk path.</w:t>
      </w:r>
    </w:p>
    <w:bookmarkEnd w:id="100"/>
    <w:bookmarkStart w:id="101" w:name="Xb03f755ca9a8685fda46ec7f42945131babc86e"/>
    <w:p>
      <w:pPr>
        <w:pStyle w:val="Heading2"/>
      </w:pPr>
      <w:r>
        <w:t xml:space="preserve">Techniques for needing less global synchronization</w:t>
      </w:r>
    </w:p>
    <w:p>
      <w:pPr>
        <w:pStyle w:val="FirstParagraph"/>
      </w:pPr>
      <w:r>
        <w:t xml:space="preserve">Chapter 3 concluded that the architectural goal across regions is to</w:t>
      </w:r>
      <w:r>
        <w:t xml:space="preserve"> </w:t>
      </w:r>
      <w:r>
        <w:rPr>
          <w:i/>
          <w:iCs/>
        </w:rPr>
        <w:t xml:space="preserve">need</w:t>
      </w:r>
      <w:r>
        <w:rPr>
          <w:i/>
          <w:iCs/>
        </w:rPr>
        <w:t xml:space="preserve"> </w:t>
      </w:r>
      <w:r>
        <w:rPr>
          <w:i/>
          <w:iCs/>
        </w:rPr>
        <w:t xml:space="preserve">fewer synchronous crossings</w:t>
      </w:r>
      <w:r>
        <w:t xml:space="preserve">. These are the concrete techniques, each of which</w:t>
      </w:r>
      <w:r>
        <w:t xml:space="preserve"> </w:t>
      </w:r>
      <w:r>
        <w:t xml:space="preserve">moves a workload off the lean cross-region path it cannot afford: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Strong within a region, asynchronous across regions.</w:t>
      </w:r>
      <w:r>
        <w:t xml:space="preserve"> </w:t>
      </w:r>
      <w:r>
        <w:t xml:space="preserve">At metro and</w:t>
      </w:r>
      <w:r>
        <w:t xml:space="preserve"> </w:t>
      </w:r>
      <w:r>
        <w:t xml:space="preserve">intra-continental distances the propagation floor is sub-millisecond to a few</w:t>
      </w:r>
      <w:r>
        <w:t xml:space="preserve"> </w:t>
      </w:r>
      <w:r>
        <w:t xml:space="preserve">milliseconds, so synchronous consistency is effectively free. Confine the</w:t>
      </w:r>
      <w:r>
        <w:t xml:space="preserve"> </w:t>
      </w:r>
      <w:r>
        <w:t xml:space="preserve">single-writer source of truth and its quorum to one region; replicate to other</w:t>
      </w:r>
      <w:r>
        <w:t xml:space="preserve"> </w:t>
      </w:r>
      <w:r>
        <w:t xml:space="preserve">regions asynchronously. This is the default for the overwhelming majority of</w:t>
      </w:r>
      <w:r>
        <w:t xml:space="preserve"> </w:t>
      </w:r>
      <w:r>
        <w:t xml:space="preserve">systems, and it is the Federal Modernization Program’s choice (Chapter 7).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Bounded staleness instead of strict global serializability.</w:t>
      </w:r>
      <w:r>
        <w:t xml:space="preserve"> </w:t>
      </w:r>
      <w:r>
        <w:t xml:space="preserve">Where the</w:t>
      </w:r>
      <w:r>
        <w:t xml:space="preserve"> </w:t>
      </w:r>
      <w:r>
        <w:t xml:space="preserve">business tolerates reads that are a known, small interval behind, you replace</w:t>
      </w:r>
      <w:r>
        <w:t xml:space="preserve"> </w:t>
      </w:r>
      <w:r>
        <w:t xml:space="preserve">a cross-region read round trip with a local read from a slightly-stale</w:t>
      </w:r>
      <w:r>
        <w:t xml:space="preserve"> </w:t>
      </w:r>
      <w:r>
        <w:t xml:space="preserve">replica. The staleness bound is a contract, not an accident.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Causal consistency.</w:t>
      </w:r>
      <w:r>
        <w:t xml:space="preserve"> </w:t>
      </w:r>
      <w:r>
        <w:t xml:space="preserve">Preserve cause-and-effect ordering without paying for</w:t>
      </w:r>
      <w:r>
        <w:t xml:space="preserve"> </w:t>
      </w:r>
      <w:r>
        <w:t xml:space="preserve">total global ordering — far cheaper across distance, and sufficient for a</w:t>
      </w:r>
      <w:r>
        <w:t xml:space="preserve"> </w:t>
      </w:r>
      <w:r>
        <w:t xml:space="preserve">large class of application semantics.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Conflict-free replicated data types (CRDTs).</w:t>
      </w:r>
      <w:r>
        <w:t xml:space="preserve"> </w:t>
      </w:r>
      <w:r>
        <w:t xml:space="preserve">For genuinely multi-writer</w:t>
      </w:r>
      <w:r>
        <w:t xml:space="preserve"> </w:t>
      </w:r>
      <w:r>
        <w:t xml:space="preserve">data, CRDTs let independent replicas accept writes locally and</w:t>
      </w:r>
      <w:r>
        <w:t xml:space="preserve"> </w:t>
      </w:r>
      <w:r>
        <w:rPr>
          <w:i/>
          <w:iCs/>
        </w:rPr>
        <w:t xml:space="preserve">merge</w:t>
      </w:r>
      <w:r>
        <w:t xml:space="preserve"> </w:t>
      </w:r>
      <w:r>
        <w:t xml:space="preserve">deterministically, so cross-region traffic becomes a mergeable bulk-path</w:t>
      </w:r>
      <w:r>
        <w:t xml:space="preserve"> </w:t>
      </w:r>
      <w:r>
        <w:t xml:space="preserve">update rather than a coordination round trip. (Source: Shapiro et al.,</w:t>
      </w:r>
      <w:r>
        <w:t xml:space="preserve"> </w:t>
      </w:r>
      <w:r>
        <w:t xml:space="preserve">“Conflict-free Replicated Data Types,”</w:t>
      </w:r>
      <w:r>
        <w:t xml:space="preserve"> </w:t>
      </w:r>
      <w:r>
        <w:t xml:space="preserve">2011.) Distance stops being a</w:t>
      </w:r>
      <w:r>
        <w:t xml:space="preserve"> </w:t>
      </w:r>
      <w:r>
        <w:t xml:space="preserve">per-operation latency tax.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Witness / learner replicas placed by path.</w:t>
      </w:r>
      <w:r>
        <w:t xml:space="preserve"> </w:t>
      </w:r>
      <w:r>
        <w:t xml:space="preserve">Put voting quorum members on</w:t>
      </w:r>
      <w:r>
        <w:t xml:space="preserve"> </w:t>
      </w:r>
      <w:r>
        <w:t xml:space="preserve">the lean, low-latency links so quorum is decided by your fastest paths, while</w:t>
      </w:r>
      <w:r>
        <w:t xml:space="preserve"> </w:t>
      </w:r>
      <w:r>
        <w:t xml:space="preserve">non-voting learner replicas on the bulk path provide cross-region durability</w:t>
      </w:r>
      <w:r>
        <w:t xml:space="preserve"> </w:t>
      </w:r>
      <w:r>
        <w:t xml:space="preserve">and read scale without dragging the quorum across a continent.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Clock-based concurrency (Spanner/TrueTime).</w:t>
      </w:r>
      <w:r>
        <w:t xml:space="preserve"> </w:t>
      </w:r>
      <w:r>
        <w:t xml:space="preserve">Where strong cross-region</w:t>
      </w:r>
      <w:r>
        <w:t xml:space="preserve"> </w:t>
      </w:r>
      <w:r>
        <w:t xml:space="preserve">semantics are genuinely required, spend bounded clock uncertainty instead of</w:t>
      </w:r>
      <w:r>
        <w:t xml:space="preserve"> </w:t>
      </w:r>
      <w:r>
        <w:t xml:space="preserve">network round trips (Chapter 4), and carry the clock on the lean class.</w:t>
      </w:r>
    </w:p>
    <w:bookmarkEnd w:id="101"/>
    <w:bookmarkStart w:id="102" w:name="a-decision-procedure"/>
    <w:p>
      <w:pPr>
        <w:pStyle w:val="Heading2"/>
      </w:pPr>
      <w:r>
        <w:t xml:space="preserve">A decision procedure</w:t>
      </w:r>
    </w:p>
    <w:p>
      <w:pPr>
        <w:pStyle w:val="FirstParagraph"/>
      </w:pPr>
      <w:r>
        <w:t xml:space="preserve">For any given dataset, the layout falls out of three questions answered in</w:t>
      </w:r>
      <w:r>
        <w:t xml:space="preserve"> </w:t>
      </w:r>
      <w:r>
        <w:t xml:space="preserve">order: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Does this data have one source of truth?</w:t>
      </w:r>
      <w:r>
        <w:t xml:space="preserve"> </w:t>
      </w:r>
      <w:r>
        <w:t xml:space="preserve">It should (Chapter 1). Identify</w:t>
      </w:r>
      <w:r>
        <w:t xml:space="preserve"> </w:t>
      </w:r>
      <w:r>
        <w:t xml:space="preserve">the single authoritative writer. Everything else is a derived copy.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What is the weakest consistency the business actually tolerates for each</w:t>
      </w:r>
      <w:r>
        <w:rPr>
          <w:b/>
          <w:bCs/>
        </w:rPr>
        <w:t xml:space="preserve"> </w:t>
      </w:r>
      <w:r>
        <w:rPr>
          <w:b/>
          <w:bCs/>
        </w:rPr>
        <w:t xml:space="preserve">reader and writer?</w:t>
      </w:r>
      <w:r>
        <w:t xml:space="preserve"> </w:t>
      </w:r>
      <w:r>
        <w:t xml:space="preserve">Not the strongest you can imagine needing — the weakest</w:t>
      </w:r>
      <w:r>
        <w:t xml:space="preserve"> </w:t>
      </w:r>
      <w:r>
        <w:t xml:space="preserve">that is still correct. Strong only where required; bounded-stale, causal, or</w:t>
      </w:r>
      <w:r>
        <w:t xml:space="preserve"> </w:t>
      </w:r>
      <w:r>
        <w:t xml:space="preserve">eventual everywhere it suffices.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For each flow, which transport class matches?</w:t>
      </w:r>
      <w:r>
        <w:t xml:space="preserve"> </w:t>
      </w:r>
      <w:r>
        <w:t xml:space="preserve">Strong/synchronous flows</w:t>
      </w:r>
      <w:r>
        <w:t xml:space="preserve"> </w:t>
      </w:r>
      <w:r>
        <w:t xml:space="preserve">take the lean path and stay intra-region. Everything that crosses a region</w:t>
      </w:r>
      <w:r>
        <w:t xml:space="preserve"> </w:t>
      </w:r>
      <w:r>
        <w:t xml:space="preserve">takes the bulk path and is asynchronous or merge-based.</w:t>
      </w:r>
    </w:p>
    <w:p>
      <w:pPr>
        <w:pStyle w:val="FirstParagraph"/>
      </w:pPr>
      <w:r>
        <w:t xml:space="preserve">The output is a data-and-network layout in which the lean path carries a small</w:t>
      </w:r>
      <w:r>
        <w:t xml:space="preserve"> </w:t>
      </w:r>
      <w:r>
        <w:t xml:space="preserve">volume of latency-critical, intra-region consensus and clock traffic, and the</w:t>
      </w:r>
      <w:r>
        <w:t xml:space="preserve"> </w:t>
      </w:r>
      <w:r>
        <w:t xml:space="preserve">bulk path carries everything that spans distance — which is, by design,</w:t>
      </w:r>
      <w:r>
        <w:t xml:space="preserve"> </w:t>
      </w:r>
      <w:r>
        <w:t xml:space="preserve">latency-tolerant.</w:t>
      </w:r>
    </w:p>
    <w:bookmarkEnd w:id="102"/>
    <w:bookmarkStart w:id="103" w:name="the-risk-this-synthesis-imports"/>
    <w:p>
      <w:pPr>
        <w:pStyle w:val="Heading2"/>
      </w:pPr>
      <w:r>
        <w:t xml:space="preserve">The risk this synthesis imports</w:t>
      </w:r>
    </w:p>
    <w:p>
      <w:pPr>
        <w:pStyle w:val="FirstParagraph"/>
      </w:pPr>
      <w:r>
        <w:t xml:space="preserve">Aligning the layers this way concentrates correctness into a small number of</w:t>
      </w:r>
      <w:r>
        <w:t xml:space="preserve"> </w:t>
      </w:r>
      <w:r>
        <w:t xml:space="preserve">places, and honesty requires naming the cost. When you centralize the source of</w:t>
      </w:r>
      <w:r>
        <w:t xml:space="preserve"> </w:t>
      </w:r>
      <w:r>
        <w:t xml:space="preserve">truth and enforce tenant or domain isolation</w:t>
      </w:r>
      <w:r>
        <w:t xml:space="preserve"> </w:t>
      </w:r>
      <w:r>
        <w:rPr>
          <w:i/>
          <w:iCs/>
        </w:rPr>
        <w:t xml:space="preserve">in code</w:t>
      </w:r>
      <w:r>
        <w:t xml:space="preserve"> </w:t>
      </w:r>
      <w:r>
        <w:t xml:space="preserve">(per-request identity</w:t>
      </w:r>
      <w:r>
        <w:t xml:space="preserve"> </w:t>
      </w:r>
      <w:r>
        <w:t xml:space="preserve">scoping, Chapter 2) rather than by physical separation, the</w:t>
      </w:r>
      <w:r>
        <w:t xml:space="preserve"> </w:t>
      </w:r>
      <w:r>
        <w:rPr>
          <w:b/>
          <w:bCs/>
        </w:rPr>
        <w:t xml:space="preserve">blast radius moves</w:t>
      </w:r>
      <w:r>
        <w:rPr>
          <w:b/>
          <w:bCs/>
        </w:rPr>
        <w:t xml:space="preserve"> </w:t>
      </w:r>
      <w:r>
        <w:rPr>
          <w:b/>
          <w:bCs/>
        </w:rPr>
        <w:t xml:space="preserve">into that code path.</w:t>
      </w:r>
      <w:r>
        <w:t xml:space="preserve"> </w:t>
      </w:r>
      <w:r>
        <w:t xml:space="preserve">A bug in tenant resolution or namespace scoping is no</w:t>
      </w:r>
      <w:r>
        <w:t xml:space="preserve"> </w:t>
      </w:r>
      <w:r>
        <w:t xml:space="preserve">longer a contained, single-tenant fault — it is a potential cross-tenant data</w:t>
      </w:r>
      <w:r>
        <w:t xml:space="preserve"> </w:t>
      </w:r>
      <w:r>
        <w:t xml:space="preserve">exposure. This is the unavoidable trade of the whole consolidation bet: you</w:t>
      </w:r>
      <w:r>
        <w:t xml:space="preserve"> </w:t>
      </w:r>
      <w:r>
        <w:t xml:space="preserve">exchange the failure-domain isolation of many physical stores for the</w:t>
      </w:r>
      <w:r>
        <w:t xml:space="preserve"> </w:t>
      </w:r>
      <w:r>
        <w:t xml:space="preserve">simplicity and drift-resistance of one logical store, and in return you owe that</w:t>
      </w:r>
      <w:r>
        <w:t xml:space="preserve"> </w:t>
      </w:r>
      <w:r>
        <w:t xml:space="preserve">shared correctness path disproportionate engineering rigor — small, heavily</w:t>
      </w:r>
      <w:r>
        <w:t xml:space="preserve"> </w:t>
      </w:r>
      <w:r>
        <w:t xml:space="preserve">tested, and fail-closed. Chapter 7 shows where exactly that path lives in the Federal Modernization Program.</w:t>
      </w:r>
    </w:p>
    <w:p>
      <w:pPr>
        <w:pStyle w:val="BodyText"/>
      </w:pPr>
      <w:r>
        <w:t xml:space="preserve">A parallel obligation applies to the network classes themselves: the lean and</w:t>
      </w:r>
      <w:r>
        <w:t xml:space="preserve"> </w:t>
      </w:r>
      <w:r>
        <w:t xml:space="preserve">bulk paths are not merely</w:t>
      </w:r>
      <w:r>
        <w:t xml:space="preserve"> </w:t>
      </w:r>
      <w:r>
        <w:rPr>
          <w:i/>
          <w:iCs/>
        </w:rPr>
        <w:t xml:space="preserve">selected</w:t>
      </w:r>
      <w:r>
        <w:t xml:space="preserve"> </w:t>
      </w:r>
      <w:r>
        <w:t xml:space="preserve">but must be</w:t>
      </w:r>
      <w:r>
        <w:t xml:space="preserve"> </w:t>
      </w:r>
      <w:r>
        <w:rPr>
          <w:i/>
          <w:iCs/>
        </w:rPr>
        <w:t xml:space="preserve">governed</w:t>
      </w:r>
      <w:r>
        <w:t xml:space="preserve"> </w:t>
      </w:r>
      <w:r>
        <w:t xml:space="preserve">— token-bound and</w:t>
      </w:r>
      <w:r>
        <w:t xml:space="preserve"> </w:t>
      </w:r>
      <w:r>
        <w:t xml:space="preserve">auditable — or the transport layer becomes its own drift surface. Chapter 5</w:t>
      </w:r>
      <w:r>
        <w:t xml:space="preserve"> </w:t>
      </w:r>
      <w:r>
        <w:t xml:space="preserve">(forward-looking) develops that requirement.</w:t>
      </w:r>
    </w:p>
    <w:bookmarkEnd w:id="103"/>
    <w:bookmarkStart w:id="104" w:name="summary-5"/>
    <w:p>
      <w:pPr>
        <w:pStyle w:val="Heading2"/>
      </w:pPr>
      <w:r>
        <w:t xml:space="preserve">Summary</w:t>
      </w:r>
    </w:p>
    <w:p>
      <w:pPr>
        <w:pStyle w:val="Compact"/>
        <w:numPr>
          <w:ilvl w:val="0"/>
          <w:numId w:val="1026"/>
        </w:numPr>
      </w:pPr>
      <w:r>
        <w:t xml:space="preserve">One rule unifies the paper: align the data layer’s consistency class with the</w:t>
      </w:r>
      <w:r>
        <w:t xml:space="preserve"> </w:t>
      </w:r>
      <w:r>
        <w:t xml:space="preserve">network layer’s transport class.</w:t>
      </w:r>
    </w:p>
    <w:p>
      <w:pPr>
        <w:pStyle w:val="Compact"/>
        <w:numPr>
          <w:ilvl w:val="0"/>
          <w:numId w:val="1026"/>
        </w:numPr>
      </w:pPr>
      <w:r>
        <w:t xml:space="preserve">Only authoritative writes and intra-region quorum durability ride the lean</w:t>
      </w:r>
      <w:r>
        <w:t xml:space="preserve"> </w:t>
      </w:r>
      <w:r>
        <w:t xml:space="preserve">path; everything that crosses a region is asynchronous on the bulk path.</w:t>
      </w:r>
    </w:p>
    <w:p>
      <w:pPr>
        <w:pStyle w:val="Compact"/>
        <w:numPr>
          <w:ilvl w:val="0"/>
          <w:numId w:val="1026"/>
        </w:numPr>
      </w:pPr>
      <w:r>
        <w:t xml:space="preserve">The toolkit for</w:t>
      </w:r>
      <w:r>
        <w:t xml:space="preserve"> </w:t>
      </w:r>
      <w:r>
        <w:t xml:space="preserve">“needing less global sync”</w:t>
      </w:r>
      <w:r>
        <w:t xml:space="preserve"> </w:t>
      </w:r>
      <w:r>
        <w:t xml:space="preserve">is concrete: strong-local/</w:t>
      </w:r>
      <w:r>
        <w:t xml:space="preserve"> </w:t>
      </w:r>
      <w:r>
        <w:t xml:space="preserve">async-remote, bounded staleness, causal consistency, CRDTs, path-placed</w:t>
      </w:r>
      <w:r>
        <w:t xml:space="preserve"> </w:t>
      </w:r>
      <w:r>
        <w:t xml:space="preserve">witnesses, and clock-based concurrency.</w:t>
      </w:r>
    </w:p>
    <w:p>
      <w:pPr>
        <w:pStyle w:val="Compact"/>
        <w:numPr>
          <w:ilvl w:val="0"/>
          <w:numId w:val="1026"/>
        </w:numPr>
      </w:pPr>
      <w:r>
        <w:t xml:space="preserve">A three-question decision procedure (one source of truth → weakest tolerable</w:t>
      </w:r>
      <w:r>
        <w:t xml:space="preserve"> </w:t>
      </w:r>
      <w:r>
        <w:t xml:space="preserve">consistency → matching transport) produces the layout.</w:t>
      </w:r>
    </w:p>
    <w:p>
      <w:pPr>
        <w:pStyle w:val="Compact"/>
        <w:numPr>
          <w:ilvl w:val="0"/>
          <w:numId w:val="1026"/>
        </w:numPr>
      </w:pPr>
      <w:r>
        <w:t xml:space="preserve">The bet concentrates correctness into the shared isolation path; that path</w:t>
      </w:r>
      <w:r>
        <w:t xml:space="preserve"> </w:t>
      </w:r>
      <w:r>
        <w:t xml:space="preserve">must be small, tested, and fail-closed — examined next in the Federal Modernization Program.</w:t>
      </w:r>
    </w:p>
    <w:bookmarkEnd w:id="104"/>
    <w:bookmarkEnd w:id="105"/>
    <w:bookmarkStart w:id="121" w:name="X149338bd73ae0f981116fed1b2432329ad81b46"/>
    <w:p>
      <w:pPr>
        <w:pStyle w:val="Heading1"/>
      </w:pPr>
      <w:r>
        <w:t xml:space="preserve">Reference Architecture — the Federal Modernization Program SaaS Data Plane</w:t>
      </w:r>
    </w:p>
    <w:bookmarkStart w:id="106" w:name="Xd6f58a5bb9f6ecd6b0f751eaf86da4fd7fe150b"/>
    <w:p>
      <w:pPr>
        <w:pStyle w:val="Heading2"/>
      </w:pPr>
      <w:r>
        <w:t xml:space="preserve">Why the Federal Modernization Program is the worked example</w:t>
      </w:r>
    </w:p>
    <w:p>
      <w:pPr>
        <w:pStyle w:val="FirstParagraph"/>
      </w:pPr>
      <w:r>
        <w:t xml:space="preserve">The preceding chapters argued a doctrine: centralize the truth, distribute the</w:t>
      </w:r>
      <w:r>
        <w:t xml:space="preserve"> </w:t>
      </w:r>
      <w:r>
        <w:t xml:space="preserve">copies, let token security make centralization safe, and refuse to span the</w:t>
      </w:r>
      <w:r>
        <w:t xml:space="preserve"> </w:t>
      </w:r>
      <w:r>
        <w:t xml:space="preserve">speed of light synchronously. The Federal Modernization Program’s multi-tenant SaaS data plane was designed</w:t>
      </w:r>
      <w:r>
        <w:t xml:space="preserve"> </w:t>
      </w:r>
      <w:r>
        <w:t xml:space="preserve">to that doctrine before this paper named it. Reading the decision record back</w:t>
      </w:r>
      <w:r>
        <w:t xml:space="preserve"> </w:t>
      </w:r>
      <w:r>
        <w:t xml:space="preserve">through the framework shows the abstractions landing as concrete components —</w:t>
      </w:r>
      <w:r>
        <w:t xml:space="preserve"> </w:t>
      </w:r>
      <w:r>
        <w:t xml:space="preserve">and, importantly, shows where the one residual risk lives.</w:t>
      </w:r>
    </w:p>
    <w:p>
      <w:pPr>
        <w:pStyle w:val="BodyText"/>
      </w:pPr>
      <w:r>
        <w:t xml:space="preserve">The authoritative sources for everything in this chapter are</w:t>
      </w:r>
      <w:r>
        <w:t xml:space="preserve"> </w:t>
      </w:r>
      <w:r>
        <w:rPr>
          <w:b/>
          <w:bCs/>
        </w:rPr>
        <w:t xml:space="preserve">the program decision</w:t>
      </w:r>
      <w:r>
        <w:t xml:space="preserve"> </w:t>
      </w:r>
      <w:r>
        <w:t xml:space="preserve">(Azure</w:t>
      </w:r>
      <w:r>
        <w:t xml:space="preserve"> </w:t>
      </w:r>
      <w:r>
        <w:t xml:space="preserve">SaaS architecture),</w:t>
      </w:r>
      <w:r>
        <w:t xml:space="preserve"> </w:t>
      </w:r>
      <w:r>
        <w:rPr>
          <w:b/>
          <w:bCs/>
        </w:rPr>
        <w:t xml:space="preserve">the program decision</w:t>
      </w:r>
      <w:r>
        <w:t xml:space="preserve"> </w:t>
      </w:r>
      <w:r>
        <w:t xml:space="preserve">(passwordless Entra Postgres auth), and</w:t>
      </w:r>
      <w:r>
        <w:t xml:space="preserve"> </w:t>
      </w:r>
      <w:r>
        <w:rPr>
          <w:b/>
          <w:bCs/>
        </w:rPr>
        <w:t xml:space="preserve">the program decision</w:t>
      </w:r>
      <w:r>
        <w:t xml:space="preserve"> </w:t>
      </w:r>
      <w:r>
        <w:t xml:space="preserve">(the GCC-Moderate boundary) under</w:t>
      </w:r>
      <w:r>
        <w:t xml:space="preserve"> </w:t>
      </w:r>
      <w:r>
        <w:rPr>
          <w:rStyle w:val="VerbatimChar"/>
        </w:rPr>
        <w:t xml:space="preserve">src/fmp/canon/adr/</w:t>
      </w:r>
      <w:r>
        <w:t xml:space="preserve">.</w:t>
      </w:r>
    </w:p>
    <w:bookmarkEnd w:id="106"/>
    <w:bookmarkStart w:id="107" w:name="the-decision-in-the-papers-terms"/>
    <w:p>
      <w:pPr>
        <w:pStyle w:val="Heading2"/>
      </w:pPr>
      <w:r>
        <w:t xml:space="preserve">The decision, in the paper’s terms</w:t>
      </w:r>
    </w:p>
    <w:p>
      <w:pPr>
        <w:pStyle w:val="FirstParagraph"/>
      </w:pPr>
      <w:r>
        <w:t xml:space="preserve">The Federal Modernization Program offers governance-as-a-service: many customer Microsoft Entra tenants are</w:t>
      </w:r>
      <w:r>
        <w:t xml:space="preserve"> </w:t>
      </w:r>
      <w:r>
        <w:t xml:space="preserve">governed by one operated service. the program decision had to answer the central question of</w:t>
      </w:r>
      <w:r>
        <w:t xml:space="preserve"> </w:t>
      </w:r>
      <w:r>
        <w:t xml:space="preserve">this paper — one shared store or many — and chose, deliberately:</w:t>
      </w:r>
    </w:p>
    <w:bookmarkEnd w:id="107"/>
    <w:bookmarkStart w:id="108" w:name="Xfdcebca135fd041b648db1fdcea757d88423d80"/>
    <w:p>
      <w:pPr>
        <w:pStyle w:val="Heading2"/>
      </w:pPr>
      <w:r>
        <w:t xml:space="preserve">the program decision, Decision 2–3 (paraphrased)</w:t>
      </w:r>
    </w:p>
    <w:p>
      <w:pPr>
        <w:pStyle w:val="FirstParagraph"/>
      </w:pPr>
      <w:r>
        <w:rPr>
          <w:i/>
          <w:iCs/>
        </w:rPr>
        <w:t xml:space="preserve">One shared, elastically-scaled data plane with strong per-tenant</w:t>
      </w:r>
      <w:r>
        <w:rPr>
          <w:i/>
          <w:iCs/>
        </w:rPr>
        <w:t xml:space="preserve"> </w:t>
      </w:r>
      <w:r>
        <w:rPr>
          <w:i/>
          <w:iCs/>
        </w:rPr>
        <w:t xml:space="preserve">data-namespace isolation, plus a control plane that can stamp dedicated</w:t>
      </w:r>
      <w:r>
        <w:rPr>
          <w:i/>
          <w:iCs/>
        </w:rPr>
        <w:t xml:space="preserve"> </w:t>
      </w:r>
      <w:r>
        <w:rPr>
          <w:i/>
          <w:iCs/>
        </w:rPr>
        <w:t xml:space="preserve">resources where a customer’s compliance posture requires it.</w:t>
      </w:r>
      <w:r>
        <w:t xml:space="preserve"> </w:t>
      </w:r>
      <w:r>
        <w:t xml:space="preserve">The durable</w:t>
      </w:r>
      <w:r>
        <w:t xml:space="preserve"> </w:t>
      </w:r>
      <w:r>
        <w:t xml:space="preserve">tenant registry and per-tenant state live in</w:t>
      </w:r>
      <w:r>
        <w:t xml:space="preserve"> </w:t>
      </w:r>
      <w:r>
        <w:rPr>
          <w:b/>
          <w:bCs/>
        </w:rPr>
        <w:t xml:space="preserve">a single PostgreSQL Flexible</w:t>
      </w:r>
      <w:r>
        <w:rPr>
          <w:b/>
          <w:bCs/>
        </w:rPr>
        <w:t xml:space="preserve"> </w:t>
      </w:r>
      <w:r>
        <w:rPr>
          <w:b/>
          <w:bCs/>
        </w:rPr>
        <w:t xml:space="preserve">Server</w:t>
      </w:r>
      <w:r>
        <w:t xml:space="preserve">; the</w:t>
      </w:r>
      <w:r>
        <w:t xml:space="preserve"> </w:t>
      </w:r>
      <w:r>
        <w:rPr>
          <w:rStyle w:val="VerbatimChar"/>
        </w:rPr>
        <w:t xml:space="preserve">data_namespace</w:t>
      </w:r>
      <w:r>
        <w:t xml:space="preserve"> </w:t>
      </w:r>
      <w:r>
        <w:t xml:space="preserve">derived from each tenant’s GUID is the isolation</w:t>
      </w:r>
      <w:r>
        <w:t xml:space="preserve"> </w:t>
      </w:r>
      <w:r>
        <w:t xml:space="preserve">handle.</w:t>
      </w:r>
    </w:p>
    <w:bookmarkEnd w:id="108"/>
    <w:p>
      <w:pPr>
        <w:pStyle w:val="BodyText"/>
      </w:pPr>
      <w:r>
        <w:t xml:space="preserve">That is logical centralization (Chapter 1) with a deliberate physical-isolation</w:t>
      </w:r>
      <w:r>
        <w:t xml:space="preserve"> </w:t>
      </w:r>
      <w:r>
        <w:t xml:space="preserve">escape hatch (Chapters 1 and 2), expressed as an accepted decision.</w:t>
      </w:r>
    </w:p>
    <w:bookmarkStart w:id="112" w:name="mapping-the-architecture-to-the-doctrine"/>
    <w:p>
      <w:pPr>
        <w:pStyle w:val="Heading2"/>
      </w:pPr>
      <w:r>
        <w:t xml:space="preserve">Mapping the architecture to the doctrine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Paper concept</w:t>
            </w:r>
          </w:p>
        </w:tc>
        <w:tc>
          <w:tcPr/>
          <w:p>
            <w:pPr>
              <w:pStyle w:val="Compact"/>
            </w:pPr>
            <w:r>
              <w:t xml:space="preserve">the Federal Modernization Program realization</w:t>
            </w:r>
          </w:p>
        </w:tc>
        <w:tc>
          <w:tcPr/>
          <w:p>
            <w:pPr>
              <w:pStyle w:val="Compact"/>
            </w:pPr>
            <w:r>
              <w:t xml:space="preserve">Source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logical source of truth</w:t>
            </w:r>
          </w:p>
        </w:tc>
        <w:tc>
          <w:tcPr/>
          <w:p>
            <w:pPr>
              <w:pStyle w:val="Compact"/>
            </w:pPr>
            <w:r>
              <w:t xml:space="preserve">Single PostgreSQL Flexible Server holds the</w:t>
            </w:r>
            <w:r>
              <w:t xml:space="preserve"> </w:t>
            </w:r>
            <w:r>
              <w:rPr>
                <w:rStyle w:val="VerbatimChar"/>
              </w:rPr>
              <w:t xml:space="preserve">saas_tenants</w:t>
            </w:r>
            <w:r>
              <w:t xml:space="preserve"> </w:t>
            </w:r>
            <w:r>
              <w:t xml:space="preserve">registry and per-tenant state</w:t>
            </w:r>
          </w:p>
        </w:tc>
        <w:tc>
          <w:tcPr/>
          <w:p>
            <w:pPr>
              <w:pStyle w:val="Compact"/>
            </w:pPr>
            <w:r>
              <w:t xml:space="preserve">the program decision, Decision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Token security, inbound</w:t>
            </w:r>
          </w:p>
        </w:tc>
        <w:tc>
          <w:tcPr/>
          <w:p>
            <w:pPr>
              <w:pStyle w:val="Compact"/>
            </w:pPr>
            <w:r>
              <w:t xml:space="preserve">Per-request</w:t>
            </w:r>
            <w:r>
              <w:t xml:space="preserve"> </w:t>
            </w:r>
            <w:r>
              <w:rPr>
                <w:rStyle w:val="VerbatimChar"/>
              </w:rPr>
              <w:t xml:space="preserve">tid</w:t>
            </w:r>
            <w:r>
              <w:t xml:space="preserve">-claim verification against the issuing tenant’s JWKS (RS256); non-onboarded / non-active tenants rejected with 403</w:t>
            </w:r>
          </w:p>
        </w:tc>
        <w:tc>
          <w:tcPr/>
          <w:p>
            <w:pPr>
              <w:pStyle w:val="Compact"/>
            </w:pPr>
            <w:r>
              <w:t xml:space="preserve">the program decision, Security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Token security, outbound</w:t>
            </w:r>
          </w:p>
        </w:tc>
        <w:tc>
          <w:tcPr/>
          <w:p>
            <w:pPr>
              <w:pStyle w:val="Compact"/>
            </w:pPr>
            <w:r>
              <w:t xml:space="preserve">Passwordless auth — a short-lived Entra token used</w:t>
            </w:r>
            <w:r>
              <w:t xml:space="preserve"> </w:t>
            </w:r>
            <w:r>
              <w:rPr>
                <w:i/>
                <w:iCs/>
              </w:rPr>
              <w:t xml:space="preserve">as</w:t>
            </w:r>
            <w:r>
              <w:t xml:space="preserve"> </w:t>
            </w:r>
            <w:r>
              <w:t xml:space="preserve">the Postgres password; no long-lived DB secret exists</w:t>
            </w:r>
          </w:p>
        </w:tc>
        <w:tc>
          <w:tcPr/>
          <w:p>
            <w:pPr>
              <w:pStyle w:val="Compact"/>
            </w:pPr>
            <w:r>
              <w:t xml:space="preserve">the program decision;</w:t>
            </w:r>
            <w:r>
              <w:t xml:space="preserve"> </w:t>
            </w:r>
            <w:r>
              <w:rPr>
                <w:rStyle w:val="VerbatimChar"/>
              </w:rPr>
              <w:t xml:space="preserve">fmp.saas.pg_auth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Distribute the copies</w:t>
            </w:r>
          </w:p>
        </w:tc>
        <w:tc>
          <w:tcPr/>
          <w:p>
            <w:pPr>
              <w:pStyle w:val="Compact"/>
            </w:pPr>
            <w:r>
              <w:t xml:space="preserve">Evidence bundles in Blob Storage; per-tenant secrets in Key Vault — derived, subordinate stores keyed by the same namespace</w:t>
            </w:r>
          </w:p>
        </w:tc>
        <w:tc>
          <w:tcPr/>
          <w:p>
            <w:pPr>
              <w:pStyle w:val="Compact"/>
            </w:pPr>
            <w:r>
              <w:t xml:space="preserve">the program decision, Decision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Compliance-stamped exception</w:t>
            </w:r>
          </w:p>
        </w:tc>
        <w:tc>
          <w:tcPr/>
          <w:p>
            <w:pPr>
              <w:pStyle w:val="Compact"/>
            </w:pPr>
            <w:r>
              <w:t xml:space="preserve">Control-plane</w:t>
            </w:r>
            <w:r>
              <w:t xml:space="preserve"> </w:t>
            </w:r>
            <w:r>
              <w:rPr>
                <w:rStyle w:val="VerbatimChar"/>
              </w:rPr>
              <w:t xml:space="preserve">ProvisioningService</w:t>
            </w:r>
            <w:r>
              <w:t xml:space="preserve"> </w:t>
            </w:r>
            <w:r>
              <w:t xml:space="preserve">stamps dedicated DB schema / Blob prefix / Key Vault scope for hard-isolation customers</w:t>
            </w:r>
          </w:p>
        </w:tc>
        <w:tc>
          <w:tcPr/>
          <w:p>
            <w:pPr>
              <w:pStyle w:val="Compact"/>
            </w:pPr>
            <w:r>
              <w:t xml:space="preserve">the program decision, Decision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Refuse to span light synchronously</w:t>
            </w:r>
          </w:p>
        </w:tc>
        <w:tc>
          <w:tcPr/>
          <w:p>
            <w:pPr>
              <w:pStyle w:val="Compact"/>
            </w:pPr>
            <w:r>
              <w:t xml:space="preserve">Single-region writer; no global synchronous multi-master commit path exists</w:t>
            </w:r>
          </w:p>
        </w:tc>
        <w:tc>
          <w:tcPr/>
          <w:p>
            <w:pPr>
              <w:pStyle w:val="Compact"/>
            </w:pPr>
            <w:r>
              <w:t xml:space="preserve">the program decision (single Flexible Server)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Sovereign-cloud readiness</w:t>
            </w:r>
          </w:p>
        </w:tc>
        <w:tc>
          <w:tcPr/>
          <w:p>
            <w:pPr>
              <w:pStyle w:val="Compact"/>
            </w:pPr>
            <w:r>
              <w:t xml:space="preserve">OSSRDBMS token audience and issuer/Graph/ARM resolution already branch per cloud (US Gov vs. commercial)</w:t>
            </w:r>
          </w:p>
        </w:tc>
        <w:tc>
          <w:tcPr/>
          <w:p>
            <w:pPr>
              <w:pStyle w:val="Compact"/>
            </w:pPr>
            <w:r>
              <w:t xml:space="preserve">the program decision, the program decision</w:t>
            </w:r>
          </w:p>
        </w:tc>
      </w:tr>
    </w:tbl>
    <w:p>
      <w:pPr>
        <w:pStyle w:val="CaptionedFigure"/>
      </w:pPr>
      <w:r>
        <w:drawing>
          <wp:inline>
            <wp:extent cx="5334000" cy="4445000"/>
            <wp:effectExtent b="0" l="0" r="0" t="0"/>
            <wp:docPr descr="The SaaS data plane: one shared registry, token security on both sides, derived stores, and a provisioned exception." title="" id="110" name="Picture"/>
            <a:graphic>
              <a:graphicData uri="http://schemas.openxmlformats.org/drawingml/2006/picture">
                <pic:pic>
                  <pic:nvPicPr>
                    <pic:cNvPr descr="/home/runner/work/modernization-workbook/modernization-workbook/docs/images/diagrams/ssot-network-physics/png/ch07-saas-data-plane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4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SaaS data plane: one shared registry, token security on both sides, derived stores, and a provisioned exception.</w:t>
      </w:r>
    </w:p>
    <w:bookmarkEnd w:id="112"/>
    <w:bookmarkStart w:id="113" w:name="X03e0d059d41e2abddb73b7ff0a2a156ee36342b"/>
    <w:p>
      <w:pPr>
        <w:pStyle w:val="Heading2"/>
      </w:pPr>
      <w:r>
        <w:t xml:space="preserve">The source of truth: one registry, one writer</w:t>
      </w:r>
    </w:p>
    <w:p>
      <w:pPr>
        <w:pStyle w:val="FirstParagraph"/>
      </w:pPr>
      <w:r>
        <w:t xml:space="preserve">The tenant registry is the system of record for</w:t>
      </w:r>
      <w:r>
        <w:t xml:space="preserve"> </w:t>
      </w:r>
      <w:r>
        <w:rPr>
          <w:i/>
          <w:iCs/>
        </w:rPr>
        <w:t xml:space="preserve">who is onboarded and in what</w:t>
      </w:r>
      <w:r>
        <w:rPr>
          <w:i/>
          <w:iCs/>
        </w:rPr>
        <w:t xml:space="preserve"> </w:t>
      </w:r>
      <w:r>
        <w:rPr>
          <w:i/>
          <w:iCs/>
        </w:rPr>
        <w:t xml:space="preserve">state.</w:t>
      </w:r>
      <w:r>
        <w:t xml:space="preserve"> </w:t>
      </w:r>
      <w:r>
        <w:t xml:space="preserve">A tenant is identified by its Entra directory GUID and carries an</w:t>
      </w:r>
      <w:r>
        <w:t xml:space="preserve"> </w:t>
      </w:r>
      <w:r>
        <w:t xml:space="preserve">explicit lifecycle state machine —</w:t>
      </w:r>
      <w:r>
        <w:t xml:space="preserve"> </w:t>
      </w:r>
      <w:r>
        <w:rPr>
          <w:rStyle w:val="VerbatimChar"/>
        </w:rPr>
        <w:t xml:space="preserve">PENDING → ACTIVE → SUSPENDED → ACTIVE / → DEPROVISIONED</w:t>
      </w:r>
      <w:r>
        <w:t xml:space="preserve"> </w:t>
      </w:r>
      <w:r>
        <w:t xml:space="preserve">— with illegal</w:t>
      </w:r>
      <w:r>
        <w:t xml:space="preserve"> </w:t>
      </w:r>
      <w:r>
        <w:t xml:space="preserve">transitions rejected at the model boundary (</w:t>
      </w:r>
      <w:r>
        <w:rPr>
          <w:rStyle w:val="VerbatimChar"/>
        </w:rPr>
        <w:t xml:space="preserve">fmp.saas.tenant</w:t>
      </w:r>
      <w:r>
        <w:t xml:space="preserve">). There is</w:t>
      </w:r>
      <w:r>
        <w:t xml:space="preserve"> </w:t>
      </w:r>
      <w:r>
        <w:t xml:space="preserve">exactly one authoritative copy of this truth. Every other representation —</w:t>
      </w:r>
      <w:r>
        <w:t xml:space="preserve"> </w:t>
      </w:r>
      <w:r>
        <w:t xml:space="preserve">evidence in Blob, secrets in Key Vault — is keyed by the</w:t>
      </w:r>
      <w:r>
        <w:t xml:space="preserve"> </w:t>
      </w:r>
      <w:r>
        <w:rPr>
          <w:rStyle w:val="VerbatimChar"/>
        </w:rPr>
        <w:t xml:space="preserve">data_namespace</w:t>
      </w:r>
      <w:r>
        <w:t xml:space="preserve"> </w:t>
      </w:r>
      <w:r>
        <w:t xml:space="preserve">derived deterministically from the tenant GUID (</w:t>
      </w:r>
      <w:r>
        <w:rPr>
          <w:rStyle w:val="VerbatimChar"/>
        </w:rPr>
        <w:t xml:space="preserve">t-&lt;guid&gt;</w:t>
      </w:r>
      <w:r>
        <w:t xml:space="preserve">), so the derived</w:t>
      </w:r>
      <w:r>
        <w:t xml:space="preserve"> </w:t>
      </w:r>
      <w:r>
        <w:t xml:space="preserve">stores are subordinate pointers to the registry’s truth, never independent</w:t>
      </w:r>
      <w:r>
        <w:t xml:space="preserve"> </w:t>
      </w:r>
      <w:r>
        <w:t xml:space="preserve">sources of it. This is Chapter 1’s SSOT discipline as running code.</w:t>
      </w:r>
    </w:p>
    <w:p>
      <w:pPr>
        <w:pStyle w:val="BodyText"/>
      </w:pPr>
      <w:r>
        <w:t xml:space="preserve">Because the writer is single-region, the strong-consistency path never crosses</w:t>
      </w:r>
      <w:r>
        <w:t xml:space="preserve"> </w:t>
      </w:r>
      <w:r>
        <w:t xml:space="preserve">a continent. Per Chapter 3, that is not a limitation to be engineered away — it</w:t>
      </w:r>
      <w:r>
        <w:t xml:space="preserve"> </w:t>
      </w:r>
      <w:r>
        <w:t xml:space="preserve">is the deliberate exploitation of the physics: at single-region distances,</w:t>
      </w:r>
      <w:r>
        <w:t xml:space="preserve"> </w:t>
      </w:r>
      <w:r>
        <w:t xml:space="preserve">strong consistency is nearly free, so the Federal Modernization Program takes it.</w:t>
      </w:r>
    </w:p>
    <w:bookmarkEnd w:id="113"/>
    <w:bookmarkStart w:id="114" w:name="X5bd00d7ca08c72d0b2bd07b7b4527911db42f87"/>
    <w:p>
      <w:pPr>
        <w:pStyle w:val="Heading2"/>
      </w:pPr>
      <w:r>
        <w:t xml:space="preserve">Token security: the secret that does not exist</w:t>
      </w:r>
    </w:p>
    <w:p>
      <w:pPr>
        <w:pStyle w:val="FirstParagraph"/>
      </w:pPr>
      <w:r>
        <w:t xml:space="preserve">Chapter 2’s keystone is visible on both sides of every connection: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Inbound</w:t>
      </w:r>
      <w:r>
        <w:t xml:space="preserve">, the trust boundary travels in the request. The data plane does</w:t>
      </w:r>
      <w:r>
        <w:t xml:space="preserve"> </w:t>
      </w:r>
      <w:r>
        <w:t xml:space="preserve">not assume a caller is trustworthy because of where it connects from; it</w:t>
      </w:r>
      <w:r>
        <w:t xml:space="preserve"> </w:t>
      </w:r>
      <w:r>
        <w:t xml:space="preserve">verifies the Entra token’s signature against the issuing tenant’s published</w:t>
      </w:r>
      <w:r>
        <w:t xml:space="preserve"> </w:t>
      </w:r>
      <w:r>
        <w:t xml:space="preserve">keys and binds the tenant context from the</w:t>
      </w:r>
      <w:r>
        <w:t xml:space="preserve"> </w:t>
      </w:r>
      <w:r>
        <w:rPr>
          <w:rStyle w:val="VerbatimChar"/>
        </w:rPr>
        <w:t xml:space="preserve">tid</w:t>
      </w:r>
      <w:r>
        <w:t xml:space="preserve"> </w:t>
      </w:r>
      <w:r>
        <w:t xml:space="preserve">claim, per request. One</w:t>
      </w:r>
      <w:r>
        <w:t xml:space="preserve"> </w:t>
      </w:r>
      <w:r>
        <w:t xml:space="preserve">shared plane safely serves all tenants because identity is proven every time.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Outbound</w:t>
      </w:r>
      <w:r>
        <w:t xml:space="preserve">, under the program decision, the application authenticates to PostgreSQL with</w:t>
      </w:r>
      <w:r>
        <w:t xml:space="preserve"> </w:t>
      </w:r>
      <w:r>
        <w:t xml:space="preserve">a freshly-minted Entra access token used as the connection password — its</w:t>
      </w:r>
      <w:r>
        <w:t xml:space="preserve"> </w:t>
      </w:r>
      <w:r>
        <w:t xml:space="preserve">managed identity is the database’s Entra administrator. The token provider</w:t>
      </w:r>
      <w:r>
        <w:t xml:space="preserve"> </w:t>
      </w:r>
      <w:r>
        <w:t xml:space="preserve">caches and refreshes the token off the connection hot path and never presents</w:t>
      </w:r>
      <w:r>
        <w:t xml:space="preserve"> </w:t>
      </w:r>
      <w:r>
        <w:t xml:space="preserve">a near-expired one. There is</w:t>
      </w:r>
      <w:r>
        <w:t xml:space="preserve"> </w:t>
      </w:r>
      <w:r>
        <w:rPr>
          <w:b/>
          <w:bCs/>
        </w:rPr>
        <w:t xml:space="preserve">no long-lived database password anywhere in</w:t>
      </w:r>
      <w:r>
        <w:rPr>
          <w:b/>
          <w:bCs/>
        </w:rPr>
        <w:t xml:space="preserve"> </w:t>
      </w:r>
      <w:r>
        <w:rPr>
          <w:b/>
          <w:bCs/>
        </w:rPr>
        <w:t xml:space="preserve">the deployment</w:t>
      </w:r>
      <w:r>
        <w:t xml:space="preserve"> </w:t>
      </w:r>
      <w:r>
        <w:t xml:space="preserve">— the single highest-value secret is removed, not guarded.</w:t>
      </w:r>
      <w:r>
        <w:t xml:space="preserve"> </w:t>
      </w:r>
      <w:r>
        <w:t xml:space="preserve">The same connection seam serves an AWS RDS-IAM token provider, so passwordless</w:t>
      </w:r>
      <w:r>
        <w:t xml:space="preserve"> </w:t>
      </w:r>
      <w:r>
        <w:t xml:space="preserve">auth is cloud-portable.</w:t>
      </w:r>
    </w:p>
    <w:p>
      <w:pPr>
        <w:pStyle w:val="FirstParagraph"/>
      </w:pPr>
      <w:r>
        <w:t xml:space="preserve">This is precisely why the shared store is safe to centralize: the security</w:t>
      </w:r>
      <w:r>
        <w:t xml:space="preserve"> </w:t>
      </w:r>
      <w:r>
        <w:t xml:space="preserve">model lives in identity, not in a perimeter or a stored credential.</w:t>
      </w:r>
    </w:p>
    <w:bookmarkEnd w:id="114"/>
    <w:bookmarkStart w:id="115" w:name="X51fbb4689b3d00bbbc408c4f68a02a07563a8c4"/>
    <w:p>
      <w:pPr>
        <w:pStyle w:val="Heading2"/>
      </w:pPr>
      <w:r>
        <w:t xml:space="preserve">The escape hatch: distribute only where compliance demands it</w:t>
      </w:r>
    </w:p>
    <w:p>
      <w:pPr>
        <w:pStyle w:val="FirstParagraph"/>
      </w:pPr>
      <w:r>
        <w:t xml:space="preserve">The Federal Modernization Program does not pretend physical centralization is universally acceptable. the program decision</w:t>
      </w:r>
      <w:r>
        <w:t xml:space="preserve"> </w:t>
      </w:r>
      <w:r>
        <w:t xml:space="preserve">keeps the option to fragment as a</w:t>
      </w:r>
      <w:r>
        <w:t xml:space="preserve"> </w:t>
      </w:r>
      <w:r>
        <w:rPr>
          <w:i/>
          <w:iCs/>
        </w:rPr>
        <w:t xml:space="preserve">deliberate, provisioned exception</w:t>
      </w:r>
      <w:r>
        <w:t xml:space="preserve"> </w:t>
      </w:r>
      <w:r>
        <w:t xml:space="preserve">rather</w:t>
      </w:r>
      <w:r>
        <w:t xml:space="preserve"> </w:t>
      </w:r>
      <w:r>
        <w:t xml:space="preserve">than the default:</w:t>
      </w:r>
    </w:p>
    <w:p>
      <w:pPr>
        <w:pStyle w:val="Compact"/>
        <w:numPr>
          <w:ilvl w:val="0"/>
          <w:numId w:val="1028"/>
        </w:numPr>
      </w:pPr>
      <w:r>
        <w:t xml:space="preserve">The control plane’s</w:t>
      </w:r>
      <w:r>
        <w:t xml:space="preserve"> </w:t>
      </w:r>
      <w:r>
        <w:rPr>
          <w:rStyle w:val="VerbatimChar"/>
        </w:rPr>
        <w:t xml:space="preserve">ProvisioningService</w:t>
      </w:r>
      <w:r>
        <w:t xml:space="preserve"> </w:t>
      </w:r>
      <w:r>
        <w:t xml:space="preserve">can</w:t>
      </w:r>
      <w:r>
        <w:t xml:space="preserve"> </w:t>
      </w:r>
      <w:r>
        <w:rPr>
          <w:b/>
          <w:bCs/>
        </w:rPr>
        <w:t xml:space="preserve">stamp</w:t>
      </w:r>
      <w:r>
        <w:t xml:space="preserve"> </w:t>
      </w:r>
      <w:r>
        <w:t xml:space="preserve">dedicated resources</w:t>
      </w:r>
      <w:r>
        <w:t xml:space="preserve"> </w:t>
      </w:r>
      <w:r>
        <w:t xml:space="preserve">— a dedicated DB schema, Blob prefix, and Key Vault scope — for a customer</w:t>
      </w:r>
      <w:r>
        <w:t xml:space="preserve"> </w:t>
      </w:r>
      <w:r>
        <w:t xml:space="preserve">whose compliance posture cannot accept shared-plane, in-code isolation.</w:t>
      </w:r>
    </w:p>
    <w:p>
      <w:pPr>
        <w:pStyle w:val="Compact"/>
        <w:numPr>
          <w:ilvl w:val="0"/>
          <w:numId w:val="1028"/>
        </w:numPr>
      </w:pPr>
      <w:r>
        <w:t xml:space="preserve">Provisioning is</w:t>
      </w:r>
      <w:r>
        <w:t xml:space="preserve"> </w:t>
      </w:r>
      <w:r>
        <w:rPr>
          <w:b/>
          <w:bCs/>
        </w:rPr>
        <w:t xml:space="preserve">dry-run by default</w:t>
      </w:r>
      <w:r>
        <w:t xml:space="preserve"> </w:t>
      </w:r>
      <w:r>
        <w:t xml:space="preserve">(a no-op stamp executor only</w:t>
      </w:r>
      <w:r>
        <w:t xml:space="preserve"> </w:t>
      </w:r>
      <w:r>
        <w:rPr>
          <w:i/>
          <w:iCs/>
        </w:rPr>
        <w:t xml:space="preserve">plans</w:t>
      </w:r>
      <w:r>
        <w:t xml:space="preserve">),</w:t>
      </w:r>
      <w:r>
        <w:t xml:space="preserve"> </w:t>
      </w:r>
      <w:r>
        <w:t xml:space="preserve">so the control plane is safe to exercise in CI and locally; a concrete</w:t>
      </w:r>
      <w:r>
        <w:t xml:space="preserve"> </w:t>
      </w:r>
      <w:r>
        <w:t xml:space="preserve">executor is injected only in production.</w:t>
      </w:r>
    </w:p>
    <w:p>
      <w:pPr>
        <w:pStyle w:val="Compact"/>
        <w:numPr>
          <w:ilvl w:val="0"/>
          <w:numId w:val="1028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GOV</w:t>
      </w:r>
      <w:r>
        <w:t xml:space="preserve"> </w:t>
      </w:r>
      <w:r>
        <w:t xml:space="preserve">tenant plan and the sovereign-cloud token audiences exist for</w:t>
      </w:r>
      <w:r>
        <w:t xml:space="preserve"> </w:t>
      </w:r>
      <w:r>
        <w:t xml:space="preserve">customers under stricter boundaries, with sovereign SaaS itself listed as a</w:t>
      </w:r>
      <w:r>
        <w:t xml:space="preserve"> </w:t>
      </w:r>
      <w:r>
        <w:t xml:space="preserve">future decision and explicit review trigger.</w:t>
      </w:r>
    </w:p>
    <w:p>
      <w:pPr>
        <w:pStyle w:val="FirstParagraph"/>
      </w:pPr>
      <w:r>
        <w:t xml:space="preserve">This is Chapter 1’s</w:t>
      </w:r>
      <w:r>
        <w:t xml:space="preserve"> </w:t>
      </w:r>
      <w:r>
        <w:t xml:space="preserve">“small databases survive as compliance-stamped exceptions”</w:t>
      </w:r>
      <w:r>
        <w:t xml:space="preserve"> </w:t>
      </w:r>
      <w:r>
        <w:t xml:space="preserve">realized exactly: the default is one shared source of truth; the dedicated</w:t>
      </w:r>
      <w:r>
        <w:t xml:space="preserve"> </w:t>
      </w:r>
      <w:r>
        <w:t xml:space="preserve">small store is the exception, requested by compliance, not the architecture’s</w:t>
      </w:r>
      <w:r>
        <w:t xml:space="preserve"> </w:t>
      </w:r>
      <w:r>
        <w:t xml:space="preserve">resting state.</w:t>
      </w:r>
    </w:p>
    <w:bookmarkEnd w:id="115"/>
    <w:bookmarkStart w:id="116" w:name="centralize-until-you-measurably-cannot"/>
    <w:p>
      <w:pPr>
        <w:pStyle w:val="Heading2"/>
      </w:pPr>
      <w:r>
        <w:t xml:space="preserve">Centralize until you measurably cannot</w:t>
      </w:r>
    </w:p>
    <w:p>
      <w:pPr>
        <w:pStyle w:val="FirstParagraph"/>
      </w:pPr>
      <w:r>
        <w:t xml:space="preserve">the program decision even encodes the discipline of Chapter 1 — scale up before you scale out</w:t>
      </w:r>
      <w:r>
        <w:t xml:space="preserve"> </w:t>
      </w:r>
      <w:r>
        <w:t xml:space="preserve">— into its own expiry conditions. Among the decision’s stated review triggers is</w:t>
      </w:r>
      <w:r>
        <w:t xml:space="preserve"> </w:t>
      </w:r>
      <w:r>
        <w:rPr>
          <w:i/>
          <w:iCs/>
        </w:rPr>
        <w:t xml:space="preserve">“the tenant registry outgrows a single PostgreSQL Flexible Server.”</w:t>
      </w:r>
      <w:r>
        <w:t xml:space="preserve"> </w:t>
      </w:r>
      <w:r>
        <w:t xml:space="preserve">The</w:t>
      </w:r>
      <w:r>
        <w:t xml:space="preserve"> </w:t>
      </w:r>
      <w:r>
        <w:t xml:space="preserve">architecture is centralized-until-evidence: it stays on one node until a</w:t>
      </w:r>
      <w:r>
        <w:t xml:space="preserve"> </w:t>
      </w:r>
      <w:r>
        <w:t xml:space="preserve">measured limit forces a change, rather than pre-emptively sharding against a</w:t>
      </w:r>
      <w:r>
        <w:t xml:space="preserve"> </w:t>
      </w:r>
      <w:r>
        <w:t xml:space="preserve">hypothetical. That is the correct posture this paper has argued for throughout.</w:t>
      </w:r>
    </w:p>
    <w:bookmarkEnd w:id="116"/>
    <w:bookmarkStart w:id="117" w:name="X85d82e7bde9f8f03dc63cbaa1a90829867316bf"/>
    <w:p>
      <w:pPr>
        <w:pStyle w:val="Heading2"/>
      </w:pPr>
      <w:r>
        <w:t xml:space="preserve">Where SD-WAN would enter — and where it would not</w:t>
      </w:r>
    </w:p>
    <w:p>
      <w:pPr>
        <w:pStyle w:val="FirstParagraph"/>
      </w:pPr>
      <w:r>
        <w:t xml:space="preserve">Applying Chapters 3–4 to the Federal Modernization Program sharpens what networking does and does not buy</w:t>
      </w:r>
      <w:r>
        <w:t xml:space="preserve"> </w:t>
      </w:r>
      <w:r>
        <w:t xml:space="preserve">here. Because the data plane is single-region with one writer,</w:t>
      </w:r>
      <w:r>
        <w:t xml:space="preserve"> </w:t>
      </w:r>
      <w:r>
        <w:rPr>
          <w:b/>
          <w:bCs/>
        </w:rPr>
        <w:t xml:space="preserve">there is no</w:t>
      </w:r>
      <w:r>
        <w:rPr>
          <w:b/>
          <w:bCs/>
        </w:rPr>
        <w:t xml:space="preserve"> </w:t>
      </w:r>
      <w:r>
        <w:rPr>
          <w:b/>
          <w:bCs/>
        </w:rPr>
        <w:t xml:space="preserve">global synchronous commit path for SD-WAN to optimize</w:t>
      </w:r>
      <w:r>
        <w:t xml:space="preserve"> </w:t>
      </w:r>
      <w:r>
        <w:t xml:space="preserve">— the Federal Modernization Program has already</w:t>
      </w:r>
      <w:r>
        <w:t xml:space="preserve"> </w:t>
      </w:r>
      <w:r>
        <w:t xml:space="preserve">removed the workload that would need it. Differentiated transport would matter</w:t>
      </w:r>
      <w:r>
        <w:t xml:space="preserve"> </w:t>
      </w:r>
      <w:r>
        <w:t xml:space="preserve">in exactly two latency-tolerant, bulk-class places: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Cross-region disaster-recovery replication</w:t>
      </w:r>
      <w:r>
        <w:t xml:space="preserve"> </w:t>
      </w:r>
      <w:r>
        <w:t xml:space="preserve">of the Postgres registry —</w:t>
      </w:r>
      <w:r>
        <w:t xml:space="preserve"> </w:t>
      </w:r>
      <w:r>
        <w:t xml:space="preserve">asynchronous by design, riding the fat bulk path; SD-WAN would improve its</w:t>
      </w:r>
      <w:r>
        <w:t xml:space="preserve"> </w:t>
      </w:r>
      <w:r>
        <w:t xml:space="preserve">lag and resilience, not its correctness.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Read-replica and evidence-bundle freshness</w:t>
      </w:r>
      <w:r>
        <w:t xml:space="preserve"> </w:t>
      </w:r>
      <w:r>
        <w:t xml:space="preserve">for tenants far from the home</w:t>
      </w:r>
      <w:r>
        <w:t xml:space="preserve"> </w:t>
      </w:r>
      <w:r>
        <w:t xml:space="preserve">region — bounded-staleness reads on the bulk path.</w:t>
      </w:r>
    </w:p>
    <w:p>
      <w:pPr>
        <w:pStyle w:val="FirstParagraph"/>
      </w:pPr>
      <w:r>
        <w:t xml:space="preserve">The day a sovereign-cloud stamp (a listed review trigger) requires a second</w:t>
      </w:r>
      <w:r>
        <w:t xml:space="preserve"> </w:t>
      </w:r>
      <w:r>
        <w:t xml:space="preserve">region that must stay in sync, the full Chapter 4 toolkit — path classes, FEC</w:t>
      </w:r>
      <w:r>
        <w:t xml:space="preserve"> </w:t>
      </w:r>
      <w:r>
        <w:t xml:space="preserve">for the commit tail, clock distribution for TrueTime-style coordination —</w:t>
      </w:r>
      <w:r>
        <w:t xml:space="preserve"> </w:t>
      </w:r>
      <w:r>
        <w:t xml:space="preserve">becomes load-bearing. Until then, the Federal Modernization Program’s answer to the speed-of-light tax is the</w:t>
      </w:r>
      <w:r>
        <w:t xml:space="preserve"> </w:t>
      </w:r>
      <w:r>
        <w:t xml:space="preserve">cheapest one available:</w:t>
      </w:r>
      <w:r>
        <w:t xml:space="preserve"> </w:t>
      </w:r>
      <w:r>
        <w:rPr>
          <w:b/>
          <w:bCs/>
        </w:rPr>
        <w:t xml:space="preserve">do not span it synchronously in the first place.</w:t>
      </w:r>
    </w:p>
    <w:p>
      <w:pPr>
        <w:pStyle w:val="BodyText"/>
      </w:pPr>
      <w:r>
        <w:t xml:space="preserve">The proposed next frontier is orthogonal to the data topology: governing the</w:t>
      </w:r>
      <w:r>
        <w:t xml:space="preserve"> </w:t>
      </w:r>
      <w:r>
        <w:rPr>
          <w:i/>
          <w:iCs/>
        </w:rPr>
        <w:t xml:space="preserve">path</w:t>
      </w:r>
      <w:r>
        <w:t xml:space="preserve"> </w:t>
      </w:r>
      <w:r>
        <w:t xml:space="preserve">itself. the program decision (Proposed) would promote the transport plane to a</w:t>
      </w:r>
      <w:r>
        <w:t xml:space="preserve"> </w:t>
      </w:r>
      <w:r>
        <w:t xml:space="preserve">first-class governed concern — token-bound</w:t>
      </w:r>
      <w:r>
        <w:t xml:space="preserve"> </w:t>
      </w:r>
      <w:r>
        <w:rPr>
          <w:rStyle w:val="VerbatimChar"/>
        </w:rPr>
        <w:t xml:space="preserve">OverlayTunnel</w:t>
      </w:r>
      <w:r>
        <w:t xml:space="preserve">s and a</w:t>
      </w:r>
      <w:r>
        <w:t xml:space="preserve"> </w:t>
      </w:r>
      <w:r>
        <w:rPr>
          <w:rStyle w:val="VerbatimChar"/>
        </w:rPr>
        <w:t xml:space="preserve">DRIFT-TRANSPORT</w:t>
      </w:r>
      <w:r>
        <w:t xml:space="preserve"> </w:t>
      </w:r>
      <w:r>
        <w:t xml:space="preserve">class — holding the network that carries the Federal Modernization Program’s claims to the</w:t>
      </w:r>
      <w:r>
        <w:t xml:space="preserve"> </w:t>
      </w:r>
      <w:r>
        <w:t xml:space="preserve">same per-call, identity-anchored standard as the data plane (Chapter 5).</w:t>
      </w:r>
    </w:p>
    <w:bookmarkEnd w:id="117"/>
    <w:bookmarkStart w:id="118" w:name="the-one-risk-named-plainly"/>
    <w:p>
      <w:pPr>
        <w:pStyle w:val="Heading2"/>
      </w:pPr>
      <w:r>
        <w:t xml:space="preserve">The one risk, named plainly</w:t>
      </w:r>
    </w:p>
    <w:p>
      <w:pPr>
        <w:pStyle w:val="FirstParagraph"/>
      </w:pPr>
      <w:r>
        <w:t xml:space="preserve">The whole bet has a cost, and the decision record states it without flinching.</w:t>
      </w:r>
      <w:r>
        <w:t xml:space="preserve"> </w:t>
      </w:r>
      <w:r>
        <w:t xml:space="preserve">Because tenant isolation on the shared plane is</w:t>
      </w:r>
      <w:r>
        <w:t xml:space="preserve"> </w:t>
      </w:r>
      <w:r>
        <w:rPr>
          <w:i/>
          <w:iCs/>
        </w:rPr>
        <w:t xml:space="preserve">enforced in code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TenantResolutionMiddleware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data_namespace</w:t>
      </w:r>
      <w:r>
        <w:t xml:space="preserve"> </w:t>
      </w:r>
      <w:r>
        <w:t xml:space="preserve">scoping — rather than by</w:t>
      </w:r>
      <w:r>
        <w:t xml:space="preserve"> </w:t>
      </w:r>
      <w:r>
        <w:t xml:space="preserve">physical separation,</w:t>
      </w:r>
      <w:r>
        <w:t xml:space="preserve"> </w:t>
      </w:r>
      <w:r>
        <w:rPr>
          <w:b/>
          <w:bCs/>
        </w:rPr>
        <w:t xml:space="preserve">the blast radius lives in that code path.</w:t>
      </w:r>
      <w:r>
        <w:t xml:space="preserve"> </w:t>
      </w:r>
      <w:r>
        <w:t xml:space="preserve">A defect in</w:t>
      </w:r>
      <w:r>
        <w:t xml:space="preserve"> </w:t>
      </w:r>
      <w:r>
        <w:t xml:space="preserve">tenant resolution or namespace scoping is not a contained single-tenant fault;</w:t>
      </w:r>
      <w:r>
        <w:t xml:space="preserve"> </w:t>
      </w:r>
      <w:r>
        <w:t xml:space="preserve">it is a potential cross-tenant data exposure. the program decision lists this explicitly as a</w:t>
      </w:r>
      <w:r>
        <w:t xml:space="preserve"> </w:t>
      </w:r>
      <w:r>
        <w:t xml:space="preserve">negative trade-off.</w:t>
      </w:r>
    </w:p>
    <w:bookmarkEnd w:id="118"/>
    <w:bookmarkStart w:id="119" w:name="Xde5329966c2dbcf54d8b86ea6abd5d8a895a730"/>
    <w:p>
      <w:pPr>
        <w:pStyle w:val="Heading2"/>
      </w:pPr>
      <w:r>
        <w:t xml:space="preserve">Where the engineering rigor must concentrate</w:t>
      </w:r>
    </w:p>
    <w:p>
      <w:pPr>
        <w:pStyle w:val="FirstParagraph"/>
      </w:pPr>
      <w:r>
        <w:t xml:space="preserve">The database topology is not where this architecture can quietly fail — the</w:t>
      </w:r>
      <w:r>
        <w:t xml:space="preserve"> </w:t>
      </w:r>
      <w:r>
        <w:rPr>
          <w:b/>
          <w:bCs/>
        </w:rPr>
        <w:t xml:space="preserve">tenant-resolution and namespace-scoping path</w:t>
      </w:r>
      <w:r>
        <w:t xml:space="preserve"> </w:t>
      </w:r>
      <w:r>
        <w:t xml:space="preserve">is. That path must be small,</w:t>
      </w:r>
      <w:r>
        <w:t xml:space="preserve"> </w:t>
      </w:r>
      <w:r>
        <w:t xml:space="preserve">exhaustively tested, and fail-closed (the auth layer already rejects unsigned,</w:t>
      </w:r>
      <w:r>
        <w:t xml:space="preserve"> </w:t>
      </w:r>
      <w:r>
        <w:t xml:space="preserve">non-onboarded, and non-active tenants by default). The single highest-value</w:t>
      </w:r>
      <w:r>
        <w:t xml:space="preserve"> </w:t>
      </w:r>
      <w:r>
        <w:t xml:space="preserve">verification for this whole design is to confirm there is no code path by which</w:t>
      </w:r>
      <w:r>
        <w:t xml:space="preserve"> </w:t>
      </w:r>
      <w:r>
        <w:t xml:space="preserve">a validated</w:t>
      </w:r>
      <w:r>
        <w:t xml:space="preserve"> </w:t>
      </w:r>
      <w:r>
        <w:rPr>
          <w:rStyle w:val="VerbatimChar"/>
        </w:rPr>
        <w:t xml:space="preserve">tid</w:t>
      </w:r>
      <w:r>
        <w:t xml:space="preserve"> </w:t>
      </w:r>
      <w:r>
        <w:t xml:space="preserve">for tenant A can address tenant B’s</w:t>
      </w:r>
      <w:r>
        <w:t xml:space="preserve"> </w:t>
      </w:r>
      <w:r>
        <w:rPr>
          <w:rStyle w:val="VerbatimChar"/>
        </w:rPr>
        <w:t xml:space="preserve">data_namespace</w:t>
      </w:r>
      <w:r>
        <w:t xml:space="preserve">. That is</w:t>
      </w:r>
      <w:r>
        <w:t xml:space="preserve"> </w:t>
      </w:r>
      <w:r>
        <w:t xml:space="preserve">the concentrated correctness obligation you accept in exchange for one shared</w:t>
      </w:r>
      <w:r>
        <w:t xml:space="preserve"> </w:t>
      </w:r>
      <w:r>
        <w:t xml:space="preserve">source of truth.</w:t>
      </w:r>
    </w:p>
    <w:bookmarkEnd w:id="119"/>
    <w:bookmarkStart w:id="120" w:name="summary-6"/>
    <w:p>
      <w:pPr>
        <w:pStyle w:val="Heading2"/>
      </w:pPr>
      <w:r>
        <w:t xml:space="preserve">Summary</w:t>
      </w:r>
    </w:p>
    <w:p>
      <w:pPr>
        <w:pStyle w:val="Compact"/>
        <w:numPr>
          <w:ilvl w:val="0"/>
          <w:numId w:val="1030"/>
        </w:numPr>
      </w:pPr>
      <w:r>
        <w:t xml:space="preserve">the program decision chose one shared, single-region PostgreSQL source of truth with</w:t>
      </w:r>
      <w:r>
        <w:t xml:space="preserve"> </w:t>
      </w:r>
      <w:r>
        <w:t xml:space="preserve">per-tenant in-code isolation, plus a stamped escape hatch — the paper’s</w:t>
      </w:r>
      <w:r>
        <w:t xml:space="preserve"> </w:t>
      </w:r>
      <w:r>
        <w:t xml:space="preserve">doctrine as an accepted decision.</w:t>
      </w:r>
    </w:p>
    <w:p>
      <w:pPr>
        <w:pStyle w:val="Compact"/>
        <w:numPr>
          <w:ilvl w:val="0"/>
          <w:numId w:val="1030"/>
        </w:numPr>
      </w:pPr>
      <w:r>
        <w:t xml:space="preserve">Token security appears on both sides: inbound per-request</w:t>
      </w:r>
      <w:r>
        <w:t xml:space="preserve"> </w:t>
      </w:r>
      <w:r>
        <w:rPr>
          <w:rStyle w:val="VerbatimChar"/>
        </w:rPr>
        <w:t xml:space="preserve">tid</w:t>
      </w:r>
      <w:r>
        <w:t xml:space="preserve"> </w:t>
      </w:r>
      <w:r>
        <w:t xml:space="preserve">verification,</w:t>
      </w:r>
      <w:r>
        <w:t xml:space="preserve"> </w:t>
      </w:r>
      <w:r>
        <w:t xml:space="preserve">outbound passwordless Postgres auth (the program decision) that removes the highest-value</w:t>
      </w:r>
      <w:r>
        <w:t xml:space="preserve"> </w:t>
      </w:r>
      <w:r>
        <w:t xml:space="preserve">secret entirely.</w:t>
      </w:r>
    </w:p>
    <w:p>
      <w:pPr>
        <w:pStyle w:val="Compact"/>
        <w:numPr>
          <w:ilvl w:val="0"/>
          <w:numId w:val="1030"/>
        </w:numPr>
      </w:pPr>
      <w:r>
        <w:t xml:space="preserve">Derived stores (Blob, Key Vault) are subordinate, namespace-keyed pointers to</w:t>
      </w:r>
      <w:r>
        <w:t xml:space="preserve"> </w:t>
      </w:r>
      <w:r>
        <w:t xml:space="preserve">the registry’s truth — never independent sources.</w:t>
      </w:r>
    </w:p>
    <w:p>
      <w:pPr>
        <w:pStyle w:val="Compact"/>
        <w:numPr>
          <w:ilvl w:val="0"/>
          <w:numId w:val="1030"/>
        </w:numPr>
      </w:pPr>
      <w:r>
        <w:t xml:space="preserve">The single-region writer is a deliberate refusal to span the speed of light</w:t>
      </w:r>
      <w:r>
        <w:t xml:space="preserve"> </w:t>
      </w:r>
      <w:r>
        <w:t xml:space="preserve">synchronously; SD-WAN would help only the async DR and read-replica paths</w:t>
      </w:r>
      <w:r>
        <w:t xml:space="preserve"> </w:t>
      </w:r>
      <w:r>
        <w:t xml:space="preserve">until a second region is required.</w:t>
      </w:r>
    </w:p>
    <w:p>
      <w:pPr>
        <w:pStyle w:val="Compact"/>
        <w:numPr>
          <w:ilvl w:val="0"/>
          <w:numId w:val="1030"/>
        </w:numPr>
      </w:pPr>
      <w:r>
        <w:t xml:space="preserve">The architecture concentrates correctness into the tenant-resolution path;</w:t>
      </w:r>
      <w:r>
        <w:t xml:space="preserve"> </w:t>
      </w:r>
      <w:r>
        <w:t xml:space="preserve">that path — not the database topology — is where rigor and verification must</w:t>
      </w:r>
      <w:r>
        <w:t xml:space="preserve"> </w:t>
      </w:r>
      <w:r>
        <w:t xml:space="preserve">go.</w:t>
      </w:r>
    </w:p>
    <w:bookmarkEnd w:id="120"/>
    <w:bookmarkEnd w:id="1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41" Target="media/rId41.png" /><Relationship Type="http://schemas.openxmlformats.org/officeDocument/2006/relationships/image" Id="rId57" Target="media/rId57.png" /><Relationship Type="http://schemas.openxmlformats.org/officeDocument/2006/relationships/image" Id="rId67" Target="media/rId67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109" Target="media/rId109.png" /><Relationship Type="http://schemas.openxmlformats.org/officeDocument/2006/relationships/image" Id="rId11" Target="media/rId1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Physics of a Single Source of Truth</dc:title>
  <dc:creator/>
  <cp:keywords/>
  <dcterms:created xsi:type="dcterms:W3CDTF">2026-10-19T10:17:38Z</dcterms:created>
  <dcterms:modified xsi:type="dcterms:W3CDTF">2026-10-19T10:17:38Z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Modernization Workbook — Word edition</vt:lpwstr>
  </property>
</Properties>
</file>