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Customer Documents Roadmap</w:t>
      </w:r>
    </w:p>
    <w:p>
      <w:pPr>
        <w:pStyle w:val="Subtitle"/>
      </w:pPr>
      <w:r>
        <w:t xml:space="preserve">Delivery plan for the empty customer-document stubs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roadmap tracks the empty customer-document stubs in</w:t>
            </w:r>
            <w:r>
              <w:t xml:space="preserve"> </w:t>
            </w:r>
            <w:r>
              <w:rPr>
                <w:rStyle w:val="VerbatimChar"/>
              </w:rPr>
              <w:t xml:space="preserve">docs/customer-documents/</w:t>
            </w:r>
            <w:r>
              <w:t xml:space="preserve">. It is an authoring backlog, not a commitment.</w:t>
            </w:r>
            <w:r>
              <w:t xml:space="preserve"> </w:t>
            </w:r>
            <w:r>
              <w:t xml:space="preserve">Priorities reflect the order in which stubs are most useful to surface for</w:t>
            </w:r>
            <w:r>
              <w:t xml:space="preserve"> </w:t>
            </w:r>
            <w:r>
              <w:t xml:space="preserve">customer-facing review.</w:t>
            </w:r>
          </w:p>
          <w:p/>
        </w:tc>
      </w:tr>
    </w:tbl>
    <w:bookmarkStart w:id="12" w:name="snapshot-as-of-2026-04-23"/>
    <w:p>
      <w:pPr>
        <w:pStyle w:val="Heading2"/>
      </w:pPr>
      <w:r>
        <w:t xml:space="preserve">Snapshot (as of 2026-04-23)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Stubs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Nav live?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adapter-specs/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Authored, canon-synced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validation-suites/adapters/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Authored, canon-synced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architecture-series/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scaffolded</w:t>
            </w:r>
          </w:p>
        </w:tc>
        <w:tc>
          <w:tcPr/>
          <w:p>
            <w:pPr>
              <w:pStyle w:val="Compact"/>
            </w:pPr>
            <w:r>
              <w:t xml:space="preserve">✅ (index only)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case-studies/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scaffolded</w:t>
            </w:r>
          </w:p>
        </w:tc>
        <w:tc>
          <w:tcPr/>
          <w:p>
            <w:pPr>
              <w:pStyle w:val="Compact"/>
            </w:pPr>
            <w:r>
              <w:t xml:space="preserve">✅ (index only)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executive-briefs/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scaffolded</w:t>
            </w:r>
          </w:p>
        </w:tc>
        <w:tc>
          <w:tcPr/>
          <w:p>
            <w:pPr>
              <w:pStyle w:val="Compact"/>
            </w:pPr>
            <w:r>
              <w:t xml:space="preserve">✅ (index only)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executive-governance-series/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scaffolded</w:t>
            </w:r>
          </w:p>
        </w:tc>
        <w:tc>
          <w:tcPr/>
          <w:p>
            <w:pPr>
              <w:pStyle w:val="Compact"/>
            </w:pPr>
            <w:r>
              <w:t xml:space="preserve">✅ (index only)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modernization-specs/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scaffolded</w:t>
            </w:r>
          </w:p>
        </w:tc>
        <w:tc>
          <w:tcPr/>
          <w:p>
            <w:pPr>
              <w:pStyle w:val="Compact"/>
            </w:pPr>
            <w:r>
              <w:t xml:space="preserve">✅ (index only)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validation-suites/domains/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scaffolded</w:t>
            </w:r>
          </w:p>
        </w:tc>
        <w:tc>
          <w:tcPr/>
          <w:p>
            <w:pPr>
              <w:pStyle w:val="Compact"/>
            </w:pPr>
            <w:r>
              <w:t xml:space="preserve">✅ (index only)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whitepapers/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scaffolded</w:t>
            </w:r>
          </w:p>
        </w:tc>
        <w:tc>
          <w:tcPr/>
          <w:p>
            <w:pPr>
              <w:pStyle w:val="Compact"/>
            </w:pPr>
            <w:r>
              <w:t xml:space="preserve">✅ (index only)</w:t>
            </w:r>
          </w:p>
        </w:tc>
      </w:tr>
    </w:tbl>
    <w:p>
      <w:pPr>
        <w:pStyle w:val="BodyText"/>
      </w:pPr>
      <w:r>
        <w:rPr>
          <w:b/>
          <w:bCs/>
        </w:rPr>
        <w:t xml:space="preserve">Total empty stubs: 40</w:t>
      </w:r>
      <w:r>
        <w:t xml:space="preserve"> </w:t>
      </w:r>
      <w:r>
        <w:t xml:space="preserve">across 7 sections. The two adapter sections are</w:t>
      </w:r>
      <w:r>
        <w:t xml:space="preserve"> </w:t>
      </w:r>
      <w:r>
        <w:t xml:space="preserve">fully authored and canon-synced — they are the reference pattern for how</w:t>
      </w:r>
      <w:r>
        <w:t xml:space="preserve"> </w:t>
      </w:r>
      <w:r>
        <w:t xml:space="preserve">derived customer documents should look.</w:t>
      </w:r>
    </w:p>
    <w:bookmarkEnd w:id="12"/>
    <w:bookmarkStart w:id="20" w:name="phased-delivery-plan"/>
    <w:p>
      <w:pPr>
        <w:pStyle w:val="Heading2"/>
      </w:pPr>
      <w:r>
        <w:t xml:space="preserve">Phased delivery plan</w:t>
      </w:r>
    </w:p>
    <w:bookmarkStart w:id="13" w:name="phase-1-executive-briefs-5-pages"/>
    <w:p>
      <w:pPr>
        <w:pStyle w:val="Heading3"/>
      </w:pPr>
      <w:r>
        <w:t xml:space="preserve">Phase 1 — Executive Briefs (5 pages)</w:t>
      </w:r>
    </w:p>
    <w:p>
      <w:pPr>
        <w:pStyle w:val="FirstParagraph"/>
      </w:pPr>
      <w:r>
        <w:rPr>
          <w:b/>
          <w:bCs/>
        </w:rPr>
        <w:t xml:space="preserve">Why first:</w:t>
      </w:r>
      <w:r>
        <w:t xml:space="preserve"> </w:t>
      </w:r>
      <w:r>
        <w:t xml:space="preserve">single-page summaries are the shortest path from canon to</w:t>
      </w:r>
      <w:r>
        <w:t xml:space="preserve"> </w:t>
      </w:r>
      <w:r>
        <w:t xml:space="preserve">customer-visible content. Each brief reads from one well-defined canon</w:t>
      </w:r>
      <w:r>
        <w:t xml:space="preserve"> </w:t>
      </w:r>
      <w:r>
        <w:t xml:space="preserve">anchor and produces ~1 page of prose. They are the first surface a federal</w:t>
      </w:r>
      <w:r>
        <w:t xml:space="preserve"> </w:t>
      </w:r>
      <w:r>
        <w:t xml:space="preserve">CIO/CISO would consume.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36"/>
        <w:gridCol w:w="1827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Order</w:t>
            </w:r>
          </w:p>
        </w:tc>
        <w:tc>
          <w:tcPr/>
          <w:p>
            <w:pPr>
              <w:pStyle w:val="Compact"/>
            </w:pPr>
            <w:r>
              <w:t xml:space="preserve">Brief</w:t>
            </w:r>
          </w:p>
        </w:tc>
        <w:tc>
          <w:tcPr/>
          <w:p>
            <w:pPr>
              <w:pStyle w:val="Compact"/>
            </w:pPr>
            <w:r>
              <w:t xml:space="preserve">Canon anchor</w:t>
            </w:r>
          </w:p>
        </w:tc>
        <w:tc>
          <w:tcPr/>
          <w:p>
            <w:pPr>
              <w:pStyle w:val="Compact"/>
            </w:pPr>
            <w:r>
              <w:t xml:space="preserve">Est. effort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governance-os-overview.md</w:t>
            </w:r>
            <w:r>
              <w:t xml:space="preserve"> </w:t>
            </w:r>
            <w:r>
              <w:t xml:space="preserve">(</w:t>
            </w:r>
            <w:r>
              <w:rPr>
                <w:b/>
                <w:bCs/>
              </w:rPr>
              <w:t xml:space="preserve">completed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src/uiao/canon/substrate-manifest.yaml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drift-engine-overview.md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docs/docs/16_DriftDetectionStandard.qmd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evidence-fabric-overview.md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docs/docs/15_ProvenanceProfile.qmd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zero-trust-overview.md</w:t>
            </w:r>
            <w:r>
              <w:t xml:space="preserve"> </w:t>
            </w: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src/uiao/canon/adr/adr-008-zero-trust-identity.md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modernization-overview.md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docs/docs/06_ProgramVision.qmd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08_ModernizationTimeline.qmd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</w:tbl>
    <w:p>
      <w:pPr>
        <w:pStyle w:val="BodyText"/>
      </w:pPr>
      <w:r>
        <w:rPr>
          <w:b/>
          <w:bCs/>
        </w:rPr>
        <w:t xml:space="preserve">Exit criteria:</w:t>
      </w:r>
      <w:r>
        <w:t xml:space="preserve"> </w:t>
      </w:r>
      <w:r>
        <w:t xml:space="preserve">all 5 briefs pass</w:t>
      </w:r>
      <w:r>
        <w:t xml:space="preserve"> </w:t>
      </w:r>
      <w:r>
        <w:rPr>
          <w:rStyle w:val="VerbatimChar"/>
        </w:rPr>
        <w:t xml:space="preserve">metadata-validator</w:t>
      </w:r>
      <w:r>
        <w:t xml:space="preserve">; each cites its</w:t>
      </w:r>
      <w:r>
        <w:t xml:space="preserve"> </w:t>
      </w:r>
      <w:r>
        <w:t xml:space="preserve">canon anchor in frontmatter; link-check clean.</w:t>
      </w:r>
    </w:p>
    <w:bookmarkEnd w:id="13"/>
    <w:bookmarkStart w:id="14" w:name="phase-2-architecture-series-5-pages"/>
    <w:p>
      <w:pPr>
        <w:pStyle w:val="Heading3"/>
      </w:pPr>
      <w:r>
        <w:t xml:space="preserve">Phase 2 — Architecture Series (5 pages)</w:t>
      </w:r>
    </w:p>
    <w:p>
      <w:pPr>
        <w:pStyle w:val="FirstParagraph"/>
      </w:pPr>
      <w:r>
        <w:rPr>
          <w:b/>
          <w:bCs/>
        </w:rPr>
        <w:t xml:space="preserve">Why second:</w:t>
      </w:r>
      <w:r>
        <w:t xml:space="preserve"> </w:t>
      </w:r>
      <w:r>
        <w:t xml:space="preserve">explainers for the conceptual model. Customers who read an</w:t>
      </w:r>
      <w:r>
        <w:t xml:space="preserve"> </w:t>
      </w:r>
      <w:r>
        <w:t xml:space="preserve">Executive Brief and want depth will click through to the Architecture Series</w:t>
      </w:r>
      <w:r>
        <w:t xml:space="preserve"> </w:t>
      </w:r>
      <w:r>
        <w:t xml:space="preserve">next. Each explainer is ~2–4 pages.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36"/>
        <w:gridCol w:w="1827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Order</w:t>
            </w:r>
          </w:p>
        </w:tc>
        <w:tc>
          <w:tcPr/>
          <w:p>
            <w:pPr>
              <w:pStyle w:val="Compact"/>
            </w:pPr>
            <w:r>
              <w:t xml:space="preserve">Page</w:t>
            </w:r>
          </w:p>
        </w:tc>
        <w:tc>
          <w:tcPr/>
          <w:p>
            <w:pPr>
              <w:pStyle w:val="Compact"/>
            </w:pPr>
            <w:r>
              <w:t xml:space="preserve">Canon anchor</w:t>
            </w:r>
          </w:p>
        </w:tc>
        <w:tc>
          <w:tcPr/>
          <w:p>
            <w:pPr>
              <w:pStyle w:val="Compact"/>
            </w:pPr>
            <w:r>
              <w:t xml:space="preserve">Est. effort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six-plane-architecture.md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docs/docs/01_UnifiedArchitecture.qmd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drift-engine.md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docs/docs/16_DriftDetectionStandard.qmd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evidence-chain.md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docs/docs/15_ProvenanceProfile.qmd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three-layer-rule-model.md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src/uiao/rules/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boundary-impact-model.md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docs/docs/authorization-boundary.qmd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</w:tr>
    </w:tbl>
    <w:bookmarkEnd w:id="14"/>
    <w:bookmarkStart w:id="15" w:name="phase-3-whitepapers-4-pages"/>
    <w:p>
      <w:pPr>
        <w:pStyle w:val="Heading3"/>
      </w:pPr>
      <w:r>
        <w:t xml:space="preserve">Phase 3 — Whitepapers (4 pages)</w:t>
      </w:r>
    </w:p>
    <w:p>
      <w:pPr>
        <w:pStyle w:val="FirstParagraph"/>
      </w:pPr>
      <w:r>
        <w:rPr>
          <w:b/>
          <w:bCs/>
        </w:rPr>
        <w:t xml:space="preserve">Why third:</w:t>
      </w:r>
      <w:r>
        <w:t xml:space="preserve"> </w:t>
      </w:r>
      <w:r>
        <w:t xml:space="preserve">long-form synthesis — requires the Executive Briefs and</w:t>
      </w:r>
      <w:r>
        <w:t xml:space="preserve"> </w:t>
      </w:r>
      <w:r>
        <w:t xml:space="preserve">Architecture Series to be in place so whitepapers can cite them rather than</w:t>
      </w:r>
      <w:r>
        <w:t xml:space="preserve"> </w:t>
      </w:r>
      <w:r>
        <w:t xml:space="preserve">repeat foundational material.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36"/>
        <w:gridCol w:w="1827"/>
        <w:gridCol w:w="1827"/>
        <w:gridCol w:w="1827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Order</w:t>
            </w:r>
          </w:p>
        </w:tc>
        <w:tc>
          <w:tcPr/>
          <w:p>
            <w:pPr>
              <w:pStyle w:val="Compact"/>
            </w:pPr>
            <w:r>
              <w:t xml:space="preserve">Paper</w:t>
            </w:r>
          </w:p>
        </w:tc>
        <w:tc>
          <w:tcPr/>
          <w:p>
            <w:pPr>
              <w:pStyle w:val="Compact"/>
            </w:pPr>
            <w:r>
              <w:t xml:space="preserve">Canon anchor</w:t>
            </w:r>
          </w:p>
        </w:tc>
        <w:tc>
          <w:tcPr/>
          <w:p>
            <w:pPr>
              <w:pStyle w:val="Compact"/>
            </w:pPr>
            <w:r>
              <w:t xml:space="preserve">Est. effort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uiao-governance-os-whitepaper.md</w:t>
            </w:r>
          </w:p>
        </w:tc>
        <w:tc>
          <w:tcPr/>
          <w:p>
            <w:pPr>
              <w:pStyle w:val="Compact"/>
            </w:pPr>
            <w:r>
              <w:t xml:space="preserve">substrate manifest + unified architecture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zero-trust-governance-whitepaper.md</w:t>
            </w:r>
          </w:p>
        </w:tc>
        <w:tc>
          <w:tcPr/>
          <w:p>
            <w:pPr>
              <w:pStyle w:val="Compact"/>
            </w:pPr>
            <w:r>
              <w:t xml:space="preserve">ADR-008 + ZT overview brief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modernization-governance-whitepaper.md</w:t>
            </w:r>
          </w:p>
        </w:tc>
        <w:tc>
          <w:tcPr/>
          <w:p>
            <w:pPr>
              <w:pStyle w:val="Compact"/>
            </w:pPr>
            <w:r>
              <w:t xml:space="preserve">Program Vision + Modernization Timeline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scubagear-integration-whitepaper.md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src/uiao/canon/adapter-registry.yaml</w:t>
            </w:r>
            <w:r>
              <w:t xml:space="preserve"> </w:t>
            </w:r>
            <w:r>
              <w:t xml:space="preserve">(ScubaGear)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</w:tbl>
    <w:bookmarkEnd w:id="15"/>
    <w:bookmarkStart w:id="16" w:name="Xe2069f54f0be3539dd685d394e535f5523beab8"/>
    <w:p>
      <w:pPr>
        <w:pStyle w:val="Heading3"/>
      </w:pPr>
      <w:r>
        <w:t xml:space="preserve">Phase 4 — Executive Governance Series (9 chapters)</w:t>
      </w:r>
    </w:p>
    <w:p>
      <w:pPr>
        <w:pStyle w:val="FirstParagraph"/>
      </w:pPr>
      <w:r>
        <w:rPr>
          <w:b/>
          <w:bCs/>
        </w:rPr>
        <w:t xml:space="preserve">Why fourth:</w:t>
      </w:r>
      <w:r>
        <w:t xml:space="preserve"> </w:t>
      </w:r>
      <w:r>
        <w:t xml:space="preserve">book-length narrative is the most expensive authoring. It</w:t>
      </w:r>
      <w:r>
        <w:t xml:space="preserve"> </w:t>
      </w:r>
      <w:r>
        <w:t xml:space="preserve">should pull from all prior phases. Deliver in chapter order; publish</w:t>
      </w:r>
      <w:r>
        <w:t xml:space="preserve"> </w:t>
      </w:r>
      <w:r>
        <w:t xml:space="preserve">incrementally rather than big-bang.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68"/>
        <w:gridCol w:w="2376"/>
        <w:gridCol w:w="2376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Order</w:t>
            </w:r>
          </w:p>
        </w:tc>
        <w:tc>
          <w:tcPr/>
          <w:p>
            <w:pPr>
              <w:pStyle w:val="Compact"/>
            </w:pPr>
            <w:r>
              <w:t xml:space="preserve">Chapter</w:t>
            </w:r>
          </w:p>
        </w:tc>
        <w:tc>
          <w:tcPr/>
          <w:p>
            <w:pPr>
              <w:pStyle w:val="Compact"/>
            </w:pPr>
            <w:r>
              <w:t xml:space="preserve">Est. effort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15–23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00-introduction/</w:t>
            </w:r>
            <w:r>
              <w:t xml:space="preserve"> </w:t>
            </w:r>
            <w:r>
              <w:t xml:space="preserve">→</w:t>
            </w:r>
            <w:r>
              <w:t xml:space="preserve"> </w:t>
            </w:r>
            <w:r>
              <w:rPr>
                <w:rStyle w:val="VerbatimChar"/>
              </w:rPr>
              <w:t xml:space="preserve">08-executive-summary/</w:t>
            </w:r>
            <w:r>
              <w:t xml:space="preserve"> </w:t>
            </w:r>
            <w:r>
              <w:t xml:space="preserve">in sequence</w:t>
            </w:r>
          </w:p>
        </w:tc>
        <w:tc>
          <w:tcPr/>
          <w:p>
            <w:pPr>
              <w:pStyle w:val="Compact"/>
            </w:pPr>
            <w:r>
              <w:t xml:space="preserve">L each; ~9L total</w:t>
            </w:r>
          </w:p>
        </w:tc>
      </w:tr>
    </w:tbl>
    <w:bookmarkEnd w:id="16"/>
    <w:bookmarkStart w:id="17" w:name="X8928fec6e1c2837ea44e3db182858f0c0920b1b"/>
    <w:p>
      <w:pPr>
        <w:pStyle w:val="Heading3"/>
      </w:pPr>
      <w:r>
        <w:t xml:space="preserve">Phase 5 — Modernization Technical Specifications (7 pages)</w:t>
      </w:r>
    </w:p>
    <w:p>
      <w:pPr>
        <w:pStyle w:val="FirstParagraph"/>
      </w:pPr>
      <w:r>
        <w:rPr>
          <w:b/>
          <w:bCs/>
        </w:rPr>
        <w:t xml:space="preserve">Why fifth:</w:t>
      </w:r>
      <w:r>
        <w:t xml:space="preserve"> </w:t>
      </w:r>
      <w:r>
        <w:t xml:space="preserve">cross-adapter domain specs. Each MTS is derived from the</w:t>
      </w:r>
      <w:r>
        <w:t xml:space="preserve"> </w:t>
      </w:r>
      <w:r>
        <w:t xml:space="preserve">adapter registry plus domain-specific canon. Deliver alongside Phase 6</w:t>
      </w:r>
      <w:r>
        <w:t xml:space="preserve"> </w:t>
      </w:r>
      <w:r>
        <w:t xml:space="preserve">(validation suites) so every MTS has a paired MVS.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Order</w:t>
            </w:r>
          </w:p>
        </w:tc>
        <w:tc>
          <w:tcPr/>
          <w:p>
            <w:pPr>
              <w:pStyle w:val="Compact"/>
            </w:pPr>
            <w:r>
              <w:t xml:space="preserve">Domain</w:t>
            </w:r>
          </w:p>
        </w:tc>
        <w:tc>
          <w:tcPr/>
          <w:p>
            <w:pPr>
              <w:pStyle w:val="Compact"/>
            </w:pPr>
            <w:r>
              <w:t xml:space="preserve">Est. effort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_template/mts-generic-template.md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identity/mts-identity.md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cloud/mts-cloud.md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zero-trust/mts-zero-trust.md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telemetry/mts-telemetry.md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sase/mts-sase.md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sdwan/mts-sdwan.md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</w:tbl>
    <w:bookmarkEnd w:id="17"/>
    <w:bookmarkStart w:id="18" w:name="X51e9a606b143e0985a77aa24e35d26dbe7eaf1e"/>
    <w:p>
      <w:pPr>
        <w:pStyle w:val="Heading3"/>
      </w:pPr>
      <w:r>
        <w:t xml:space="preserve">Phase 6 — Modernization Validation Suites (7 pages)</w:t>
      </w:r>
    </w:p>
    <w:p>
      <w:pPr>
        <w:pStyle w:val="FirstParagraph"/>
      </w:pPr>
      <w:r>
        <w:t xml:space="preserve">Paired with Phase 5. Order matches: template → identity → cloud →</w:t>
      </w:r>
      <w:r>
        <w:t xml:space="preserve"> </w:t>
      </w:r>
      <w:r>
        <w:t xml:space="preserve">zero-trust → telemetry → sase → sdwan.</w:t>
      </w:r>
    </w:p>
    <w:bookmarkEnd w:id="18"/>
    <w:bookmarkStart w:id="19" w:name="phase-7-case-studies-3-pages"/>
    <w:p>
      <w:pPr>
        <w:pStyle w:val="Heading3"/>
      </w:pPr>
      <w:r>
        <w:t xml:space="preserve">Phase 7 — Case Studies (3 pages)</w:t>
      </w:r>
    </w:p>
    <w:p>
      <w:pPr>
        <w:pStyle w:val="FirstParagraph"/>
      </w:pPr>
      <w:r>
        <w:rPr>
          <w:b/>
          <w:bCs/>
        </w:rPr>
        <w:t xml:space="preserve">Why last:</w:t>
      </w:r>
      <w:r>
        <w:t xml:space="preserve"> </w:t>
      </w:r>
      <w:r>
        <w:t xml:space="preserve">require shipped or late-stage-TARGET capability to make</w:t>
      </w:r>
      <w:r>
        <w:t xml:space="preserve"> </w:t>
      </w:r>
      <w:r>
        <w:t xml:space="preserve">credible claims. Draft from real engagement material when available.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Order</w:t>
            </w:r>
          </w:p>
        </w:tc>
        <w:tc>
          <w:tcPr/>
          <w:p>
            <w:pPr>
              <w:pStyle w:val="Compact"/>
            </w:pPr>
            <w:r>
              <w:t xml:space="preserve">Study</w:t>
            </w:r>
          </w:p>
        </w:tc>
        <w:tc>
          <w:tcPr/>
          <w:p>
            <w:pPr>
              <w:pStyle w:val="Compact"/>
            </w:pPr>
            <w:r>
              <w:t xml:space="preserve">Est. effort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identity-modernization-case-study.md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cloud-boundary-case-study.md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federal-modernization-case-study.md</w:t>
            </w:r>
          </w:p>
        </w:tc>
        <w:tc>
          <w:tcPr/>
          <w:p>
            <w:pPr>
              <w:pStyle w:val="Compact"/>
            </w:pPr>
            <w:r>
              <w:t xml:space="preserve">L</w:t>
            </w:r>
          </w:p>
        </w:tc>
      </w:tr>
    </w:tbl>
    <w:bookmarkEnd w:id="19"/>
    <w:bookmarkEnd w:id="20"/>
    <w:bookmarkStart w:id="22" w:name="authoring-contract"/>
    <w:p>
      <w:pPr>
        <w:pStyle w:val="Heading2"/>
      </w:pPr>
      <w:r>
        <w:t xml:space="preserve">Authoring contract</w:t>
      </w:r>
    </w:p>
    <w:p>
      <w:pPr>
        <w:pStyle w:val="FirstParagraph"/>
      </w:pPr>
      <w:r>
        <w:t xml:space="preserve">Every new customer-document page must:</w:t>
      </w:r>
    </w:p>
    <w:p>
      <w:pPr>
        <w:pStyle w:val="Compact"/>
        <w:numPr>
          <w:ilvl w:val="0"/>
          <w:numId w:val="1001"/>
        </w:numPr>
      </w:pPr>
      <w:r>
        <w:t xml:space="preserve">Carry canonical YAML frontmatter (</w:t>
      </w:r>
      <w:r>
        <w:rPr>
          <w:rStyle w:val="VerbatimChar"/>
        </w:rPr>
        <w:t xml:space="preserve">metadata-validator</w:t>
      </w:r>
      <w:r>
        <w:t xml:space="preserve"> </w:t>
      </w:r>
      <w:r>
        <w:t xml:space="preserve">CI gate).</w:t>
      </w:r>
    </w:p>
    <w:p>
      <w:pPr>
        <w:pStyle w:val="Compact"/>
        <w:numPr>
          <w:ilvl w:val="0"/>
          <w:numId w:val="1001"/>
        </w:numPr>
      </w:pPr>
      <w:r>
        <w:t xml:space="preserve">Cite its</w:t>
      </w:r>
      <w:r>
        <w:t xml:space="preserve"> </w:t>
      </w:r>
      <w:r>
        <w:rPr>
          <w:rStyle w:val="VerbatimChar"/>
        </w:rPr>
        <w:t xml:space="preserve">canon-source</w:t>
      </w:r>
      <w:r>
        <w:t xml:space="preserve"> </w:t>
      </w:r>
      <w:r>
        <w:t xml:space="preserve">in frontmatter.</w:t>
      </w:r>
    </w:p>
    <w:p>
      <w:pPr>
        <w:pStyle w:val="Compact"/>
        <w:numPr>
          <w:ilvl w:val="0"/>
          <w:numId w:val="1001"/>
        </w:numPr>
      </w:pPr>
      <w:r>
        <w:t xml:space="preserve">Include an</w:t>
      </w:r>
      <w:r>
        <w:t xml:space="preserve"> </w:t>
      </w:r>
      <w:r>
        <w:rPr>
          <w:rStyle w:val="VerbatimChar"/>
        </w:rPr>
        <w:t xml:space="preserve">aspirational: true</w:t>
      </w:r>
      <w:r>
        <w:t xml:space="preserve"> </w:t>
      </w:r>
      <w:r>
        <w:t xml:space="preserve">flag if the described capability is</w:t>
      </w:r>
      <w:r>
        <w:t xml:space="preserve"> </w:t>
      </w:r>
      <w:r>
        <w:t xml:space="preserve">TARGET or DESIGN-ONLY per</w:t>
      </w:r>
      <w:r>
        <w:t xml:space="preserve"> </w:t>
      </w:r>
      <w:hyperlink r:id="rId21">
        <w:r>
          <w:rPr>
            <w:rStyle w:val="Hyperlink"/>
          </w:rPr>
          <w:t xml:space="preserve">Substrate Status</w:t>
        </w:r>
      </w:hyperlink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Pass</w:t>
      </w:r>
      <w:r>
        <w:t xml:space="preserve"> </w:t>
      </w:r>
      <w:r>
        <w:rPr>
          <w:rStyle w:val="VerbatimChar"/>
        </w:rPr>
        <w:t xml:space="preserve">link-check</w:t>
      </w:r>
      <w:r>
        <w:t xml:space="preserve"> </w:t>
      </w:r>
      <w:r>
        <w:t xml:space="preserve">(no broken internal or external references).</w:t>
      </w:r>
    </w:p>
    <w:p>
      <w:pPr>
        <w:pStyle w:val="Compact"/>
        <w:numPr>
          <w:ilvl w:val="0"/>
          <w:numId w:val="1001"/>
        </w:numPr>
      </w:pPr>
      <w:r>
        <w:t xml:space="preserve">Land in the same PR as any required updates to the parent section’s</w:t>
      </w:r>
      <w:r>
        <w:t xml:space="preserve"> </w:t>
      </w:r>
      <w:r>
        <w:rPr>
          <w:rStyle w:val="VerbatimChar"/>
        </w:rPr>
        <w:t xml:space="preserve">index.qmd</w:t>
      </w:r>
      <w:r>
        <w:t xml:space="preserve"> </w:t>
      </w:r>
      <w:r>
        <w:t xml:space="preserve">(remove slug from</w:t>
      </w:r>
      <w:r>
        <w:t xml:space="preserve"> </w:t>
      </w:r>
      <w:r>
        <w:t xml:space="preserve">“Planned pages”</w:t>
      </w:r>
      <w:r>
        <w:t xml:space="preserve"> </w:t>
      </w:r>
      <w:r>
        <w:t xml:space="preserve">table once authored).</w:t>
      </w:r>
    </w:p>
    <w:bookmarkEnd w:id="22"/>
    <w:bookmarkStart w:id="23" w:name="effort-key"/>
    <w:p>
      <w:pPr>
        <w:pStyle w:val="Heading2"/>
      </w:pPr>
      <w:r>
        <w:t xml:space="preserve">Effort key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</w:t>
      </w:r>
      <w:r>
        <w:t xml:space="preserve"> </w:t>
      </w:r>
      <w:r>
        <w:t xml:space="preserve">— ≤ 1 page of prose; ~half a day.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</w:t>
      </w:r>
      <w:r>
        <w:t xml:space="preserve"> </w:t>
      </w:r>
      <w:r>
        <w:t xml:space="preserve">— 2–4 pages; 1–2 days.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</w:t>
      </w:r>
      <w:r>
        <w:t xml:space="preserve"> </w:t>
      </w:r>
      <w:r>
        <w:t xml:space="preserve">— ≥ 5 pages or requires new diagrams / canon crosswalk; ≥ 3 days.</w:t>
      </w:r>
    </w:p>
    <w:bookmarkEnd w:id="23"/>
    <w:bookmarkStart w:id="24" w:name="tracking"/>
    <w:p>
      <w:pPr>
        <w:pStyle w:val="Heading2"/>
      </w:pPr>
      <w:r>
        <w:t xml:space="preserve">Tracking</w:t>
      </w:r>
    </w:p>
    <w:p>
      <w:pPr>
        <w:pStyle w:val="FirstParagraph"/>
      </w:pPr>
      <w:r>
        <w:t xml:space="preserve">File individual GitHub issues per page under label</w:t>
      </w:r>
      <w:r>
        <w:t xml:space="preserve"> </w:t>
      </w:r>
      <w:r>
        <w:rPr>
          <w:rStyle w:val="VerbatimChar"/>
        </w:rPr>
        <w:t xml:space="preserve">customer-docs-authoring</w:t>
      </w:r>
      <w:r>
        <w:t xml:space="preserve">, one phase at a time. Close when the page is</w:t>
      </w:r>
      <w:r>
        <w:t xml:space="preserve"> </w:t>
      </w:r>
      <w:r>
        <w:t xml:space="preserve">merged into</w:t>
      </w:r>
      <w:r>
        <w:t xml:space="preserve"> </w:t>
      </w:r>
      <w:r>
        <w:rPr>
          <w:rStyle w:val="VerbatimChar"/>
        </w:rPr>
        <w:t xml:space="preserve">main</w:t>
      </w:r>
      <w:r>
        <w:t xml:space="preserve"> </w:t>
      </w:r>
      <w:r>
        <w:t xml:space="preserve">and the corresponding</w:t>
      </w:r>
      <w:r>
        <w:t xml:space="preserve"> </w:t>
      </w:r>
      <w:r>
        <w:rPr>
          <w:rStyle w:val="VerbatimChar"/>
        </w:rPr>
        <w:t xml:space="preserve">Planned pages</w:t>
      </w:r>
      <w:r>
        <w:t xml:space="preserve"> </w:t>
      </w:r>
      <w:r>
        <w:t xml:space="preserve">row is removed</w:t>
      </w:r>
      <w:r>
        <w:t xml:space="preserve"> </w:t>
      </w:r>
      <w:r>
        <w:t xml:space="preserve">from the section index.</w:t>
      </w:r>
      <w:r>
        <w:t xml:space="preserve"> </w:t>
      </w:r>
      <w:r>
        <w:rPr>
          <w:i/>
          <w:iCs/>
        </w:rPr>
        <w:t xml:space="preserve">(Last reviewed 2026-04-23)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21" Target="../substrate-statu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substrate-statu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Documents Roadmap</dc:title>
  <dc:creator/>
  <cp:keywords/>
  <dcterms:created xsi:type="dcterms:W3CDTF">2026-05-06T19:44:19Z</dcterms:created>
  <dcterms:modified xsi:type="dcterms:W3CDTF">2026-05-06T19:44:19Z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canon-source">
    <vt:lpwstr>src/uiao/canon/</vt:lpwstr>
  </property>
  <property fmtid="{D5CDD505-2E9C-101B-9397-08002B2CF9AE}" pid="5" name="derived-from">
    <vt:lpwstr>uiao canon</vt:lpwstr>
  </property>
  <property fmtid="{D5CDD505-2E9C-101B-9397-08002B2CF9AE}" pid="6" name="doc-type">
    <vt:lpwstr>planning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subtitle">
    <vt:lpwstr>Delivery plan for the empty customer-document stubs</vt:lpwstr>
  </property>
  <property fmtid="{D5CDD505-2E9C-101B-9397-08002B2CF9AE}" pid="13" name="toc-title">
    <vt:lpwstr>Table of contents</vt:lpwstr>
  </property>
</Properties>
</file>