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1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Microsoft Entra ID — Adapter Technical Specification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0985ca0bfc4d8bdbeef77cfe50df8ff84ec4740"/>
    <w:p>
      <w:pPr>
        <w:pStyle w:val="Heading1"/>
      </w:pPr>
      <w:r>
        <w:t xml:space="preserve">Microsoft Entra ID — Adapter Technical Specification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opt/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Canon-derived document</w:t>
            </w:r>
          </w:p>
        </w:tc>
      </w:tr>
      <w:tr>
        <w:trPr>
          <w:cantSplit/>
        </w:trPr>
        <w:tc>
          <w:tcPr>
            <w:tcMar>
              <w:top w:w="108" w:type="dxa"/>
              <w:bottom w:w="108" w:type="dxa"/>
            </w:tcMar>
          </w:tcPr>
          <w:p>
            <w:pPr>
              <w:pStyle w:val="BodyText"/>
            </w:pPr>
            <w:pPr>
              <w:spacing w:before="16"/>
            </w:pPr>
            <w:r>
              <w:rPr>
                <w:b/>
                <w:bCs/>
              </w:rPr>
              <w:t xml:space="preserve">Status:</w:t>
            </w:r>
            <w:r>
              <w:t xml:space="preserve"> </w:t>
            </w:r>
            <w:r>
              <w:rPr>
                <w:rStyle w:val="VerbatimChar"/>
              </w:rPr>
              <w:t xml:space="preserve">active</w:t>
            </w:r>
            <w:r>
              <w:t xml:space="preserve"> </w:t>
            </w:r>
            <w:r>
              <w:t xml:space="preserve">·</w:t>
            </w:r>
            <w:r>
              <w:t xml:space="preserve"> </w:t>
            </w:r>
            <w:r>
              <w:rPr>
                <w:b/>
                <w:bCs/>
              </w:rPr>
              <w:t xml:space="preserve">Class:</w:t>
            </w:r>
            <w:r>
              <w:t xml:space="preserve"> </w:t>
            </w:r>
            <w:r>
              <w:rPr>
                <w:rStyle w:val="VerbatimChar"/>
              </w:rPr>
              <w:t xml:space="preserve">modernization</w:t>
            </w:r>
            <w:r>
              <w:t xml:space="preserve"> </w:t>
            </w:r>
            <w:r>
              <w:t xml:space="preserve">·</w:t>
            </w:r>
            <w:r>
              <w:t xml:space="preserve"> </w:t>
            </w:r>
            <w:r>
              <w:rPr>
                <w:b/>
                <w:bCs/>
              </w:rPr>
              <w:t xml:space="preserve">Mission:</w:t>
            </w:r>
            <w:r>
              <w:t xml:space="preserve"> </w:t>
            </w:r>
            <w:r>
              <w:rPr>
                <w:rStyle w:val="VerbatimChar"/>
              </w:rPr>
              <w:t xml:space="preserve">integration</w:t>
            </w:r>
            <w:r>
              <w:t xml:space="preserve"> </w:t>
            </w:r>
            <w:r>
              <w:t xml:space="preserve">·</w:t>
            </w:r>
            <w:r>
              <w:t xml:space="preserve"> </w:t>
            </w:r>
            <w:r>
              <w:rPr>
                <w:b/>
                <w:bCs/>
              </w:rPr>
              <w:t xml:space="preserve">Phase:</w:t>
            </w:r>
            <w:r>
              <w:t xml:space="preserve"> </w:t>
            </w:r>
            <w:r>
              <w:rPr>
                <w:rStyle w:val="VerbatimChar"/>
              </w:rPr>
              <w:t xml:space="preserve">phase-1</w:t>
            </w:r>
          </w:p>
          <w:p>
            <w:pPr>
              <w:pStyle w:val="BodyText"/>
            </w:pPr>
            <w:r>
              <w:rPr>
                <w:b/>
                <w:bCs/>
              </w:rPr>
              <w:t xml:space="preserve">Canon source:</w:t>
            </w:r>
            <w:r>
              <w:t xml:space="preserve"> </w:t>
            </w:r>
            <w:r>
              <w:rPr>
                <w:rStyle w:val="VerbatimChar"/>
              </w:rPr>
              <w:t xml:space="preserve">canon/modernization-registry.yaml</w:t>
            </w:r>
            <w:r>
              <w:t xml:space="preserve"> </w:t>
            </w:r>
            <w:r>
              <w:t xml:space="preserve">(propagated by</w:t>
            </w:r>
            <w:r>
              <w:t xml:space="preserve"> </w:t>
            </w:r>
            <w:r>
              <w:rPr>
                <w:rStyle w:val="VerbatimChar"/>
              </w:rPr>
              <w:t xml:space="preserve">uiao/tools/sync_canon.py</w:t>
            </w:r>
            <w:r>
              <w:t xml:space="preserve">).</w:t>
            </w:r>
          </w:p>
          <w:p>
            <w:pPr>
              <w:pStyle w:val="BodyText"/>
            </w:pPr>
            <w:pPr>
              <w:spacing w:after="16"/>
            </w:pPr>
            <w:r>
              <w:t xml:space="preserve">The YAML frontmatter and this banner are regenerated from canon on every sync.</w:t>
            </w:r>
            <w:r>
              <w:t xml:space="preserve"> </w:t>
            </w:r>
            <w:r>
              <w:rPr>
                <w:b/>
                <w:bCs/>
              </w:rPr>
              <w:t xml:space="preserve">Do not hand-edit.</w:t>
            </w:r>
            <w:r>
              <w:t xml:space="preserve"> </w:t>
            </w:r>
            <w:r>
              <w:t xml:space="preserve">Author new material only below the</w:t>
            </w:r>
            <w:r>
              <w:t xml:space="preserve"> </w:t>
            </w:r>
            <w:r>
              <w:rPr>
                <w:rStyle w:val="VerbatimChar"/>
              </w:rPr>
              <w:t xml:space="preserve">## Overview</w:t>
            </w:r>
            <w:r>
              <w:t xml:space="preserve"> </w:t>
            </w:r>
            <w:r>
              <w:t xml:space="preserve">heading.</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13" name="Picture"/>
                  <a:graphic>
                    <a:graphicData uri="http://schemas.openxmlformats.org/drawingml/2006/picture">
                      <pic:pic>
                        <pic:nvPicPr>
                          <pic:cNvPr descr="/opt/quarto/share/formats/docx/warning.png" id="14"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Scaffold — awaiting authored content</w:t>
            </w:r>
          </w:p>
        </w:tc>
      </w:tr>
      <w:tr>
        <w:trPr>
          <w:cantSplit/>
        </w:trPr>
        <w:tc>
          <w:tcPr>
            <w:tcMar>
              <w:top w:w="108" w:type="dxa"/>
              <w:bottom w:w="108" w:type="dxa"/>
            </w:tcMar>
          </w:tcPr>
          <w:p>
            <w:pPr>
              <w:pStyle w:val="BodyText"/>
            </w:pPr>
            <w:pPr>
              <w:spacing w:before="16" w:after="16"/>
            </w:pPr>
            <w:r>
              <w:t xml:space="preserve">This document is a stub. Replace every</w:t>
            </w:r>
            <w:r>
              <w:t xml:space="preserve"> </w:t>
            </w:r>
            <w:r>
              <w:rPr>
                <w:rStyle w:val="VerbatimChar"/>
              </w:rPr>
              <w:t xml:space="preserve">_TODO — ..._</w:t>
            </w:r>
            <w:r>
              <w:t xml:space="preserve"> </w:t>
            </w:r>
            <w:r>
              <w:t xml:space="preserve">block with authored content that is consistent with UIAO canon. Canon invariants (</w:t>
            </w:r>
            <w:r>
              <w:rPr>
                <w:rStyle w:val="VerbatimChar"/>
              </w:rPr>
              <w:t xml:space="preserve">gcc-boundary</w:t>
            </w:r>
            <w:r>
              <w:t xml:space="preserve">,</w:t>
            </w:r>
            <w:r>
              <w:t xml:space="preserve"> </w:t>
            </w:r>
            <w:r>
              <w:rPr>
                <w:rStyle w:val="VerbatimChar"/>
              </w:rPr>
              <w:t xml:space="preserve">ssot-mutation: never</w:t>
            </w:r>
            <w:r>
              <w:t xml:space="preserve">, etc.) must never be contradicted.</w:t>
            </w:r>
          </w:p>
          <w:p/>
        </w:tc>
      </w:tr>
    </w:tbl>
    <w:bookmarkStart w:id="15" w:name="overview"/>
    <w:p>
      <w:pPr>
        <w:pStyle w:val="Heading2"/>
      </w:pPr>
      <w:r>
        <w:t xml:space="preserve">Overview</w:t>
      </w:r>
    </w:p>
    <w:p>
      <w:pPr>
        <w:pStyle w:val="FirstParagraph"/>
      </w:pPr>
      <w:r>
        <w:t xml:space="preserve">The Microsoft Entra ID Adapter is the</w:t>
      </w:r>
      <w:r>
        <w:t xml:space="preserve"> </w:t>
      </w:r>
      <w:r>
        <w:rPr>
          <w:b/>
          <w:bCs/>
        </w:rPr>
        <w:t xml:space="preserve">identity-fabric foundation</w:t>
      </w:r>
      <w:r>
        <w:t xml:space="preserve"> </w:t>
      </w:r>
      <w:r>
        <w:t xml:space="preserve">of the UIAO adapter ecosystem. As an integration-class modernization adapter, it consumes Entra ID (formerly Azure AD) data via the Microsoft Graph API to establish and maintain canonical object identity for every tenant, policy, control, and evidence artifact.</w:t>
      </w:r>
    </w:p>
    <w:p>
      <w:pPr>
        <w:pStyle w:val="BodyText"/>
      </w:pPr>
      <w:r>
        <w:t xml:space="preserve">This is the adapter that satisfies the UIAO Adapter Doctrine’s core mandate:</w:t>
      </w:r>
      <w:r>
        <w:t xml:space="preserve"> </w:t>
      </w:r>
      <w:r>
        <w:t xml:space="preserve">“Identity ensures every transaction is certificate-anchored.”</w:t>
      </w:r>
      <w:r>
        <w:t xml:space="preserve"> </w:t>
      </w:r>
      <w:r>
        <w:t xml:space="preserve">All other adapters depend on the identity graph that this adapter produces.</w:t>
      </w:r>
    </w:p>
    <w:p>
      <w:pPr>
        <w:pStyle w:val="BodyText"/>
      </w:pPr>
      <w:r>
        <w:t xml:space="preserve">Key capabilities: user/group/service-principal enumeration, conditional access policy assessment, sign-in activity analysis, authentication methods inventory, and directory role mapping. Uses the</w:t>
      </w:r>
      <w:r>
        <w:t xml:space="preserve"> </w:t>
      </w:r>
      <w:r>
        <w:rPr>
          <w:rStyle w:val="VerbatimChar"/>
        </w:rPr>
        <w:t xml:space="preserve">EntraCollector</w:t>
      </w:r>
      <w:r>
        <w:t xml:space="preserve"> </w:t>
      </w:r>
      <w:r>
        <w:t xml:space="preserve">(real Graph API collector with httpx) for data retrieval.</w:t>
      </w:r>
    </w:p>
    <w:p>
      <w:pPr>
        <w:pStyle w:val="BodyText"/>
      </w:pPr>
      <w:r>
        <w:rPr>
          <w:b/>
          <w:bCs/>
        </w:rPr>
        <w:t xml:space="preserve">Implementation:</w:t>
      </w:r>
      <w:r>
        <w:t xml:space="preserve"> </w:t>
      </w:r>
      <w:r>
        <w:rPr>
          <w:rStyle w:val="VerbatimChar"/>
        </w:rPr>
        <w:t xml:space="preserve">uiao/src/uiao/adapters/entra_adapter.py</w:t>
      </w:r>
      <w:r>
        <w:t xml:space="preserve"> </w:t>
      </w:r>
      <w:r>
        <w:t xml:space="preserve">+</w:t>
      </w:r>
      <w:r>
        <w:t xml:space="preserve"> </w:t>
      </w:r>
      <w:r>
        <w:rPr>
          <w:rStyle w:val="VerbatimChar"/>
        </w:rPr>
        <w:t xml:space="preserve">collectors/entra/entra_collector.py</w:t>
      </w:r>
      <w:r>
        <w:t xml:space="preserve">. Conformance: 30/30 PASS.</w:t>
      </w:r>
    </w:p>
    <w:bookmarkEnd w:id="15"/>
    <w:bookmarkStart w:id="16" w:name="scope"/>
    <w:p>
      <w:pPr>
        <w:pStyle w:val="Heading2"/>
      </w:pPr>
      <w:r>
        <w:t xml:space="preserve">Scope</w:t>
      </w:r>
    </w:p>
    <w:p>
      <w:pPr>
        <w:pStyle w:val="FirstParagraph"/>
      </w:pPr>
      <w:r>
        <w:t xml:space="preserve">Target surfaces / subsystems:</w:t>
      </w:r>
      <w:r>
        <w:t xml:space="preserve"> </w:t>
      </w:r>
      <w:r>
        <w:rPr>
          <w:rStyle w:val="VerbatimChar"/>
        </w:rPr>
        <w:t xml:space="preserve">user-objects</w:t>
      </w:r>
      <w:r>
        <w:t xml:space="preserve">,</w:t>
      </w:r>
      <w:r>
        <w:t xml:space="preserve"> </w:t>
      </w:r>
      <w:r>
        <w:rPr>
          <w:rStyle w:val="VerbatimChar"/>
        </w:rPr>
        <w:t xml:space="preserve">group-objects</w:t>
      </w:r>
      <w:r>
        <w:t xml:space="preserve">,</w:t>
      </w:r>
      <w:r>
        <w:t xml:space="preserve"> </w:t>
      </w:r>
      <w:r>
        <w:rPr>
          <w:rStyle w:val="VerbatimChar"/>
        </w:rPr>
        <w:t xml:space="preserve">service-principals</w:t>
      </w:r>
      <w:r>
        <w:t xml:space="preserve">,</w:t>
      </w:r>
      <w:r>
        <w:t xml:space="preserve"> </w:t>
      </w:r>
      <w:r>
        <w:rPr>
          <w:rStyle w:val="VerbatimChar"/>
        </w:rPr>
        <w:t xml:space="preserve">conditional-access-policies</w:t>
      </w:r>
    </w:p>
    <w:p>
      <w:pPr>
        <w:pStyle w:val="BodyText"/>
      </w:pPr>
      <w:r>
        <w:rPr>
          <w:b/>
          <w:bCs/>
        </w:rPr>
        <w:t xml:space="preserve">Reads:</w:t>
      </w:r>
      <w:r>
        <w:t xml:space="preserve"> </w:t>
      </w:r>
      <w:r>
        <w:t xml:space="preserve">Graph API endpoints for users, groups, service principals, conditional access policies, named locations, directory roles, authentication methods policy, organization metadata.</w:t>
      </w:r>
      <w:r>
        <w:t xml:space="preserve"> </w:t>
      </w:r>
      <w:r>
        <w:rPr>
          <w:b/>
          <w:bCs/>
        </w:rPr>
        <w:t xml:space="preserve">Emits:</w:t>
      </w:r>
      <w:r>
        <w:t xml:space="preserve"> </w:t>
      </w:r>
      <w:r>
        <w:rPr>
          <w:rStyle w:val="VerbatimChar"/>
        </w:rPr>
        <w:t xml:space="preserve">ClaimSet</w:t>
      </w:r>
      <w:r>
        <w:t xml:space="preserve"> </w:t>
      </w:r>
      <w:r>
        <w:t xml:space="preserve">with identity-rooted claims,</w:t>
      </w:r>
      <w:r>
        <w:t xml:space="preserve"> </w:t>
      </w:r>
      <w:r>
        <w:rPr>
          <w:rStyle w:val="VerbatimChar"/>
        </w:rPr>
        <w:t xml:space="preserve">EvidenceObject</w:t>
      </w:r>
      <w:r>
        <w:t xml:space="preserve"> </w:t>
      </w:r>
      <w:r>
        <w:t xml:space="preserve">with KSI provenance.</w:t>
      </w:r>
      <w:r>
        <w:t xml:space="preserve"> </w:t>
      </w:r>
      <w:r>
        <w:rPr>
          <w:b/>
          <w:bCs/>
        </w:rPr>
        <w:t xml:space="preserve">Does NOT:</w:t>
      </w:r>
      <w:r>
        <w:t xml:space="preserve"> </w:t>
      </w:r>
      <w:r>
        <w:t xml:space="preserve">modify Entra ID configuration, access user credentials or tokens, process person identity (object identity only per canon invariant).</w:t>
      </w:r>
    </w:p>
    <w:bookmarkEnd w:id="16"/>
    <w:bookmarkStart w:id="17" w:name="controls"/>
    <w:p>
      <w:pPr>
        <w:pStyle w:val="Heading2"/>
      </w:pPr>
      <w:r>
        <w:t xml:space="preserve">Controls</w:t>
      </w:r>
    </w:p>
    <w:p>
      <w:pPr>
        <w:pStyle w:val="FirstParagraph"/>
      </w:pPr>
      <w:r>
        <w:t xml:space="preserve">NIST SP 800-53 Rev 5 controls this adapter supports:</w:t>
      </w:r>
      <w:r>
        <w:t xml:space="preserve"> </w:t>
      </w:r>
      <w:r>
        <w:rPr>
          <w:rStyle w:val="VerbatimChar"/>
        </w:rPr>
        <w:t xml:space="preserve">CM-8</w:t>
      </w:r>
      <w:r>
        <w:t xml:space="preserve">,</w:t>
      </w:r>
      <w:r>
        <w:t xml:space="preserve"> </w:t>
      </w:r>
      <w:r>
        <w:rPr>
          <w:rStyle w:val="VerbatimChar"/>
        </w:rPr>
        <w:t xml:space="preserve">IA-2</w:t>
      </w:r>
      <w:r>
        <w:t xml:space="preserve">,</w:t>
      </w:r>
      <w:r>
        <w:t xml:space="preserve"> </w:t>
      </w:r>
      <w:r>
        <w:rPr>
          <w:rStyle w:val="VerbatimChar"/>
        </w:rPr>
        <w:t xml:space="preserve">IA-4</w:t>
      </w:r>
      <w:r>
        <w:t xml:space="preserve">,</w:t>
      </w:r>
      <w:r>
        <w:t xml:space="preserve"> </w:t>
      </w:r>
      <w:r>
        <w:rPr>
          <w:rStyle w:val="VerbatimChar"/>
        </w:rPr>
        <w:t xml:space="preserve">AC-2</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Control</w:t>
            </w:r>
          </w:p>
        </w:tc>
        <w:tc>
          <w:tcPr/>
          <w:p>
            <w:pPr>
              <w:pStyle w:val="Compact"/>
            </w:pPr>
            <w:r>
              <w:t xml:space="preserve">Role</w:t>
            </w:r>
          </w:p>
        </w:tc>
        <w:tc>
          <w:tcPr/>
          <w:p>
            <w:pPr>
              <w:pStyle w:val="Compact"/>
            </w:pPr>
            <w:r>
              <w:t xml:space="preserve">Adapter capability</w:t>
            </w:r>
          </w:p>
        </w:tc>
      </w:tr>
      <w:tr>
        <w:tc>
          <w:tcPr/>
          <w:p>
            <w:pPr>
              <w:pStyle w:val="Compact"/>
            </w:pPr>
            <w:r>
              <w:rPr>
                <w:b/>
                <w:bCs/>
              </w:rPr>
              <w:t xml:space="preserve">CM-8</w:t>
            </w:r>
            <w:r>
              <w:t xml:space="preserve"> </w:t>
            </w:r>
            <w:r>
              <w:t xml:space="preserve">Component Inventory</w:t>
            </w:r>
          </w:p>
        </w:tc>
        <w:tc>
          <w:tcPr/>
          <w:p>
            <w:pPr>
              <w:pStyle w:val="Compact"/>
            </w:pPr>
            <w:r>
              <w:t xml:space="preserve">Primary</w:t>
            </w:r>
          </w:p>
        </w:tc>
        <w:tc>
          <w:tcPr/>
          <w:p>
            <w:pPr>
              <w:pStyle w:val="Compact"/>
            </w:pPr>
            <w:r>
              <w:t xml:space="preserve">Enumerates all identity objects (users, groups, service principals) as canonical claims.</w:t>
            </w:r>
          </w:p>
        </w:tc>
      </w:tr>
      <w:tr>
        <w:tc>
          <w:tcPr/>
          <w:p>
            <w:pPr>
              <w:pStyle w:val="Compact"/>
            </w:pPr>
            <w:r>
              <w:rPr>
                <w:b/>
                <w:bCs/>
              </w:rPr>
              <w:t xml:space="preserve">IA-2</w:t>
            </w:r>
            <w:r>
              <w:t xml:space="preserve"> </w:t>
            </w:r>
            <w:r>
              <w:t xml:space="preserve">Identification and Authentication</w:t>
            </w:r>
          </w:p>
        </w:tc>
        <w:tc>
          <w:tcPr/>
          <w:p>
            <w:pPr>
              <w:pStyle w:val="Compact"/>
            </w:pPr>
            <w:r>
              <w:t xml:space="preserve">Primary</w:t>
            </w:r>
          </w:p>
        </w:tc>
        <w:tc>
          <w:tcPr/>
          <w:p>
            <w:pPr>
              <w:pStyle w:val="Compact"/>
            </w:pPr>
            <w:r>
              <w:t xml:space="preserve">Conditional access policy assessment verifies MFA enforcement across the tenant.</w:t>
            </w:r>
          </w:p>
        </w:tc>
      </w:tr>
      <w:tr>
        <w:tc>
          <w:tcPr/>
          <w:p>
            <w:pPr>
              <w:pStyle w:val="Compact"/>
            </w:pPr>
            <w:r>
              <w:rPr>
                <w:b/>
                <w:bCs/>
              </w:rPr>
              <w:t xml:space="preserve">IA-4</w:t>
            </w:r>
            <w:r>
              <w:t xml:space="preserve"> </w:t>
            </w:r>
            <w:r>
              <w:t xml:space="preserve">Identifier Management</w:t>
            </w:r>
          </w:p>
        </w:tc>
        <w:tc>
          <w:tcPr/>
          <w:p>
            <w:pPr>
              <w:pStyle w:val="Compact"/>
            </w:pPr>
            <w:r>
              <w:t xml:space="preserve">Primary</w:t>
            </w:r>
          </w:p>
        </w:tc>
        <w:tc>
          <w:tcPr/>
          <w:p>
            <w:pPr>
              <w:pStyle w:val="Compact"/>
            </w:pPr>
            <w:r>
              <w:t xml:space="preserve">Service principal and application registration inventory ensures all identifiers are tracked.</w:t>
            </w:r>
          </w:p>
        </w:tc>
      </w:tr>
      <w:tr>
        <w:tc>
          <w:tcPr/>
          <w:p>
            <w:pPr>
              <w:pStyle w:val="Compact"/>
            </w:pPr>
            <w:r>
              <w:rPr>
                <w:b/>
                <w:bCs/>
              </w:rPr>
              <w:t xml:space="preserve">AC-2</w:t>
            </w:r>
            <w:r>
              <w:t xml:space="preserve"> </w:t>
            </w:r>
            <w:r>
              <w:t xml:space="preserve">Account Management</w:t>
            </w:r>
          </w:p>
        </w:tc>
        <w:tc>
          <w:tcPr/>
          <w:p>
            <w:pPr>
              <w:pStyle w:val="Compact"/>
            </w:pPr>
            <w:r>
              <w:t xml:space="preserve">Supporting</w:t>
            </w:r>
          </w:p>
        </w:tc>
        <w:tc>
          <w:tcPr/>
          <w:p>
            <w:pPr>
              <w:pStyle w:val="Compact"/>
            </w:pPr>
            <w:r>
              <w:t xml:space="preserve">User and group enumeration supports account lifecycle verification.</w:t>
            </w:r>
          </w:p>
        </w:tc>
      </w:tr>
    </w:tbl>
    <w:bookmarkEnd w:id="17"/>
    <w:bookmarkStart w:id="18" w:name="operational-profile"/>
    <w:p>
      <w:pPr>
        <w:pStyle w:val="Heading2"/>
      </w:pPr>
      <w:r>
        <w:t xml:space="preserve">Operational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Runtime</w:t>
            </w:r>
          </w:p>
        </w:tc>
        <w:tc>
          <w:tcPr/>
          <w:p>
            <w:pPr>
              <w:pStyle w:val="Compact"/>
            </w:pPr>
            <w:r>
              <w:rPr>
                <w:rStyle w:val="VerbatimChar"/>
              </w:rPr>
              <w:t xml:space="preserve">powershell-7.4</w:t>
            </w:r>
          </w:p>
        </w:tc>
      </w:tr>
      <w:tr>
        <w:tc>
          <w:tcPr/>
          <w:p>
            <w:pPr>
              <w:pStyle w:val="Compact"/>
            </w:pPr>
            <w:r>
              <w:t xml:space="preserve">Runtime pin</w:t>
            </w:r>
          </w:p>
        </w:tc>
        <w:tc>
          <w:tcPr/>
          <w:p>
            <w:pPr>
              <w:pStyle w:val="Compact"/>
            </w:pPr>
            <w:r>
              <w:rPr>
                <w:rStyle w:val="VerbatimChar"/>
              </w:rPr>
              <w:t xml:space="preserve">TBD</w:t>
            </w:r>
          </w:p>
        </w:tc>
      </w:tr>
      <w:tr>
        <w:tc>
          <w:tcPr/>
          <w:p>
            <w:pPr>
              <w:pStyle w:val="Compact"/>
            </w:pPr>
            <w:r>
              <w:t xml:space="preserve">Runner class</w:t>
            </w:r>
          </w:p>
        </w:tc>
        <w:tc>
          <w:tcPr/>
          <w:p>
            <w:pPr>
              <w:pStyle w:val="Compact"/>
            </w:pPr>
            <w:r>
              <w:rPr>
                <w:rStyle w:val="VerbatimChar"/>
              </w:rPr>
              <w:t xml:space="preserve">github-hosted</w:t>
            </w:r>
          </w:p>
        </w:tc>
      </w:tr>
      <w:tr>
        <w:tc>
          <w:tcPr/>
          <w:p>
            <w:pPr>
              <w:pStyle w:val="Compact"/>
            </w:pPr>
            <w:r>
              <w:t xml:space="preserve">Tenancy</w:t>
            </w:r>
          </w:p>
        </w:tc>
        <w:tc>
          <w:tcPr/>
          <w:p>
            <w:pPr>
              <w:pStyle w:val="Compact"/>
            </w:pPr>
            <w:r>
              <w:rPr>
                <w:rStyle w:val="VerbatimChar"/>
              </w:rPr>
              <w:t xml:space="preserve">per-customer</w:t>
            </w:r>
          </w:p>
        </w:tc>
      </w:tr>
      <w:tr>
        <w:tc>
          <w:tcPr/>
          <w:p>
            <w:pPr>
              <w:pStyle w:val="Compact"/>
            </w:pPr>
            <w:r>
              <w:t xml:space="preserve">Evidence class</w:t>
            </w:r>
          </w:p>
        </w:tc>
        <w:tc>
          <w:tcPr/>
          <w:p>
            <w:pPr>
              <w:pStyle w:val="Compact"/>
            </w:pPr>
            <w:r>
              <w:rPr>
                <w:rStyle w:val="VerbatimChar"/>
              </w:rPr>
              <w:t xml:space="preserve">baseline</w:t>
            </w:r>
          </w:p>
        </w:tc>
      </w:tr>
      <w:tr>
        <w:tc>
          <w:tcPr/>
          <w:p>
            <w:pPr>
              <w:pStyle w:val="Compact"/>
            </w:pPr>
            <w:r>
              <w:t xml:space="preserve">Retention</w:t>
            </w:r>
          </w:p>
        </w:tc>
        <w:tc>
          <w:tcPr/>
          <w:p>
            <w:pPr>
              <w:pStyle w:val="Compact"/>
            </w:pPr>
            <w:r>
              <w:rPr>
                <w:rStyle w:val="VerbatimChar"/>
              </w:rPr>
              <w:t xml:space="preserve">3</w:t>
            </w:r>
            <w:r>
              <w:t xml:space="preserve"> </w:t>
            </w:r>
            <w:r>
              <w:t xml:space="preserve">year(s)</w:t>
            </w:r>
          </w:p>
        </w:tc>
      </w:tr>
    </w:tbl>
    <w:bookmarkEnd w:id="18"/>
    <w:bookmarkStart w:id="19" w:name="canon-invariants"/>
    <w:p>
      <w:pPr>
        <w:pStyle w:val="Heading2"/>
      </w:pPr>
      <w:r>
        <w:t xml:space="preserve">Canon invariants</w:t>
      </w:r>
    </w:p>
    <w:p>
      <w:pPr>
        <w:pStyle w:val="Compact"/>
        <w:numPr>
          <w:ilvl w:val="0"/>
          <w:numId w:val="1001"/>
        </w:numPr>
      </w:pPr>
      <w:r>
        <w:rPr>
          <w:rStyle w:val="VerbatimChar"/>
        </w:rPr>
        <w:t xml:space="preserve">gcc-boundary: gcc-moderate</w:t>
      </w:r>
    </w:p>
    <w:p>
      <w:pPr>
        <w:pStyle w:val="Compact"/>
        <w:numPr>
          <w:ilvl w:val="0"/>
          <w:numId w:val="1001"/>
        </w:numPr>
      </w:pPr>
      <w:r>
        <w:rPr>
          <w:rStyle w:val="VerbatimChar"/>
        </w:rPr>
        <w:t xml:space="preserve">ssot-mutation: never</w:t>
      </w:r>
    </w:p>
    <w:p>
      <w:pPr>
        <w:pStyle w:val="Compact"/>
        <w:numPr>
          <w:ilvl w:val="0"/>
          <w:numId w:val="1001"/>
        </w:numPr>
      </w:pPr>
      <w:r>
        <w:rPr>
          <w:rStyle w:val="VerbatimChar"/>
        </w:rPr>
        <w:t xml:space="preserve">certificate-anchored: true</w:t>
      </w:r>
    </w:p>
    <w:p>
      <w:pPr>
        <w:pStyle w:val="Compact"/>
        <w:numPr>
          <w:ilvl w:val="0"/>
          <w:numId w:val="1001"/>
        </w:numPr>
      </w:pPr>
      <w:r>
        <w:rPr>
          <w:rStyle w:val="VerbatimChar"/>
        </w:rPr>
        <w:t xml:space="preserve">object-identity-only: true</w:t>
      </w:r>
    </w:p>
    <w:bookmarkEnd w:id="19"/>
    <w:bookmarkStart w:id="20" w:name="notes-from-canon"/>
    <w:p>
      <w:pPr>
        <w:pStyle w:val="Heading2"/>
      </w:pPr>
      <w:r>
        <w:t xml:space="preserve">Notes from canon</w:t>
      </w:r>
    </w:p>
    <w:p>
      <w:pPr>
        <w:pStyle w:val="FirstParagraph"/>
      </w:pPr>
      <w:r>
        <w:rPr>
          <w:i/>
          <w:iCs/>
        </w:rPr>
        <w:t xml:space="preserve">(none)</w:t>
      </w:r>
    </w:p>
    <w:bookmarkEnd w:id="20"/>
    <w:bookmarkStart w:id="21" w:name="references"/>
    <w:p>
      <w:pPr>
        <w:pStyle w:val="Heading2"/>
      </w:pPr>
      <w:r>
        <w:t xml:space="preserve">References</w:t>
      </w:r>
    </w:p>
    <w:p>
      <w:pPr>
        <w:pStyle w:val="Compact"/>
        <w:numPr>
          <w:ilvl w:val="0"/>
          <w:numId w:val="1002"/>
        </w:numPr>
      </w:pPr>
      <w:r>
        <w:t xml:space="preserve">UIAO-CANON-002</w:t>
      </w:r>
    </w:p>
    <w:p>
      <w:pPr>
        <w:pStyle w:val="Compact"/>
        <w:numPr>
          <w:ilvl w:val="0"/>
          <w:numId w:val="1002"/>
        </w:numPr>
      </w:pPr>
      <w:r>
        <w:t xml:space="preserve">UIAO-CANON-003</w:t>
      </w:r>
    </w:p>
    <w:p>
      <w:r>
        <w:pict>
          <v:rect style="width:0;height:1.5pt" o:hralign="center" o:hrstd="t" o:hr="t"/>
        </w:pict>
      </w:r>
    </w:p>
    <w:p>
      <w:pPr>
        <w:pStyle w:val="FirstParagraph"/>
      </w:pPr>
      <w:r>
        <w:rPr>
          <w:i/>
          <w:iCs/>
        </w:rPr>
        <w:t xml:space="preserve">Generated by</w:t>
      </w:r>
      <w:r>
        <w:rPr>
          <w:i/>
          <w:iCs/>
        </w:rPr>
        <w:t xml:space="preserve"> </w:t>
      </w:r>
      <w:r>
        <w:rPr>
          <w:rStyle w:val="VerbatimChar"/>
          <w:i/>
          <w:iCs/>
        </w:rPr>
        <w:t xml:space="preserve">uiao/tools/sync_canon.py</w:t>
      </w:r>
      <w:r>
        <w:rPr>
          <w:i/>
          <w:iCs/>
        </w:rPr>
        <w:t xml:space="preserve">. See</w:t>
      </w:r>
      <w:r>
        <w:rPr>
          <w:i/>
          <w:iCs/>
        </w:rPr>
        <w:t xml:space="preserve"> </w:t>
      </w:r>
      <w:r>
        <w:rPr>
          <w:rStyle w:val="VerbatimChar"/>
          <w:i/>
          <w:iCs/>
        </w:rPr>
        <w:t xml:space="preserve">uiao/ARCHITECTURE.md</w:t>
      </w:r>
      <w:r>
        <w:rPr>
          <w:i/>
          <w:iCs/>
        </w:rPr>
        <w:t xml:space="preserve"> </w:t>
      </w:r>
      <w:r>
        <w:rPr>
          <w:i/>
          <w:iCs/>
        </w:rPr>
        <w:t xml:space="preserve">§4 for the cross-repo sync contract. See</w:t>
      </w:r>
      <w:r>
        <w:rPr>
          <w:i/>
          <w:iCs/>
        </w:rPr>
        <w:t xml:space="preserve"> </w:t>
      </w:r>
      <w:r>
        <w:rPr>
          <w:rStyle w:val="VerbatimChar"/>
          <w:i/>
          <w:iCs/>
        </w:rPr>
        <w:t xml:space="preserve">uiao-docs/_quarto.yml</w:t>
      </w:r>
      <w:r>
        <w:rPr>
          <w:i/>
          <w:iCs/>
        </w:rPr>
        <w:t xml:space="preserve"> </w:t>
      </w:r>
      <w:r>
        <w:rPr>
          <w:i/>
          <w:iCs/>
        </w:rPr>
        <w:t xml:space="preserve">for rendering configuration.</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12" Target="media/rId1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Entra ID — Adapter Technical Specification</dc:title>
  <dc:creator/>
  <cp:keywords/>
  <dcterms:created xsi:type="dcterms:W3CDTF">2026-05-06T19:44:20Z</dcterms:created>
  <dcterms:modified xsi:type="dcterms:W3CDTF">2026-05-06T19:44:20Z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apter-class">
    <vt:lpwstr>modernization</vt:lpwstr>
  </property>
  <property fmtid="{D5CDD505-2E9C-101B-9397-08002B2CF9AE}" pid="3" name="adapter-id">
    <vt:lpwstr>entra-id</vt:lpwstr>
  </property>
  <property fmtid="{D5CDD505-2E9C-101B-9397-08002B2CF9AE}" pid="4" name="aspirational">
    <vt:lpwstr>True</vt:lpwstr>
  </property>
  <property fmtid="{D5CDD505-2E9C-101B-9397-08002B2CF9AE}" pid="5" name="biblio-config">
    <vt:lpwstr>True</vt:lpwstr>
  </property>
  <property fmtid="{D5CDD505-2E9C-101B-9397-08002B2CF9AE}" pid="6" name="canon-source">
    <vt:lpwstr>canon/modernization-registry.yaml</vt:lpwstr>
  </property>
  <property fmtid="{D5CDD505-2E9C-101B-9397-08002B2CF9AE}" pid="7" name="derived-from">
    <vt:lpwstr>uiao/canon (sync_canon.py)</vt:lpwstr>
  </property>
  <property fmtid="{D5CDD505-2E9C-101B-9397-08002B2CF9AE}" pid="8" name="doc-type">
    <vt:lpwstr>ats</vt:lpwstr>
  </property>
  <property fmtid="{D5CDD505-2E9C-101B-9397-08002B2CF9AE}" pid="9" name="engines">
    <vt:lpwstr/>
  </property>
  <property fmtid="{D5CDD505-2E9C-101B-9397-08002B2CF9AE}" pid="10" name="gcc-boundary">
    <vt:lpwstr>gcc-moderate</vt:lpwstr>
  </property>
  <property fmtid="{D5CDD505-2E9C-101B-9397-08002B2CF9AE}" pid="11" name="generated">
    <vt:lpwstr>2026-04-15</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mission-class">
    <vt:lpwstr>integration</vt:lpwstr>
  </property>
  <property fmtid="{D5CDD505-2E9C-101B-9397-08002B2CF9AE}" pid="17" name="phase">
    <vt:lpwstr>phase-1</vt:lpwstr>
  </property>
  <property fmtid="{D5CDD505-2E9C-101B-9397-08002B2CF9AE}" pid="18" name="status">
    <vt:lpwstr>active</vt:lpwstr>
  </property>
  <property fmtid="{D5CDD505-2E9C-101B-9397-08002B2CF9AE}" pid="19" name="toc-title">
    <vt:lpwstr>Table of contents</vt:lpwstr>
  </property>
</Properties>
</file>