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9.png" ContentType="image/png"/>
  <Override PartName="/word/media/rId12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Infoblox DNS / IPAM Adapter — Adapter Technical Specification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4efee387ecb47625c12aa1a3ffd8b6373bd9c27"/>
    <w:p>
      <w:pPr>
        <w:pStyle w:val="Heading1"/>
      </w:pPr>
      <w:r>
        <w:t xml:space="preserve">Infoblox DNS / IPAM Adapter — Adapter Technical Specification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0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1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Canon-derived document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/>
            </w:pPr>
            <w:r>
              <w:rPr>
                <w:b/>
                <w:bCs/>
              </w:rPr>
              <w:t xml:space="preserve">Status:</w:t>
            </w:r>
            <w:r>
              <w:t xml:space="preserve"> </w:t>
            </w:r>
            <w:r>
              <w:rPr>
                <w:rStyle w:val="VerbatimChar"/>
              </w:rPr>
              <w:t xml:space="preserve">reserved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Class:</w:t>
            </w:r>
            <w:r>
              <w:t xml:space="preserve"> </w:t>
            </w:r>
            <w:r>
              <w:rPr>
                <w:rStyle w:val="VerbatimChar"/>
              </w:rPr>
              <w:t xml:space="preserve">modernization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Mission:</w:t>
            </w:r>
            <w:r>
              <w:t xml:space="preserve"> </w:t>
            </w:r>
            <w:r>
              <w:rPr>
                <w:rStyle w:val="VerbatimChar"/>
              </w:rPr>
              <w:t xml:space="preserve">integration</w:t>
            </w:r>
            <w:r>
              <w:t xml:space="preserve"> </w:t>
            </w:r>
            <w:r>
              <w:t xml:space="preserve">·</w:t>
            </w:r>
            <w:r>
              <w:t xml:space="preserve"> </w:t>
            </w:r>
            <w:r>
              <w:rPr>
                <w:b/>
                <w:bCs/>
              </w:rPr>
              <w:t xml:space="preserve">Phase:</w:t>
            </w:r>
            <w:r>
              <w:t xml:space="preserve"> </w:t>
            </w:r>
            <w:r>
              <w:rPr>
                <w:rStyle w:val="VerbatimChar"/>
              </w:rPr>
              <w:t xml:space="preserve">phase-planning</w:t>
            </w:r>
          </w:p>
          <w:p>
            <w:pPr>
              <w:pStyle w:val="BodyText"/>
            </w:pPr>
            <w:r>
              <w:rPr>
                <w:b/>
                <w:bCs/>
              </w:rPr>
              <w:t xml:space="preserve">Canon source:</w:t>
            </w:r>
            <w:r>
              <w:t xml:space="preserve"> </w:t>
            </w:r>
            <w:r>
              <w:rPr>
                <w:rStyle w:val="VerbatimChar"/>
              </w:rPr>
              <w:t xml:space="preserve">canon/modernization-registry.yaml</w:t>
            </w:r>
            <w:r>
              <w:t xml:space="preserve"> </w:t>
            </w:r>
            <w:r>
              <w:t xml:space="preserve">(propagated by</w:t>
            </w:r>
            <w:r>
              <w:t xml:space="preserve"> </w:t>
            </w:r>
            <w:r>
              <w:rPr>
                <w:rStyle w:val="VerbatimChar"/>
              </w:rPr>
              <w:t xml:space="preserve">uiao/tools/sync_canon.py</w:t>
            </w:r>
            <w:r>
              <w:t xml:space="preserve">).</w:t>
            </w:r>
          </w:p>
          <w:p>
            <w:pPr>
              <w:pStyle w:val="BodyText"/>
            </w:pPr>
            <w:pPr>
              <w:spacing w:after="16"/>
            </w:pPr>
            <w:r>
              <w:t xml:space="preserve">The YAML frontmatter and this banner are regenerated from canon on every sync.</w:t>
            </w:r>
            <w:r>
              <w:t xml:space="preserve"> </w:t>
            </w:r>
            <w:r>
              <w:rPr>
                <w:b/>
                <w:bCs/>
              </w:rPr>
              <w:t xml:space="preserve">Do not hand-edit.</w:t>
            </w:r>
            <w:r>
              <w:t xml:space="preserve"> </w:t>
            </w:r>
            <w:r>
              <w:t xml:space="preserve">Author new material only below the</w:t>
            </w:r>
            <w:r>
              <w:t xml:space="preserve"> </w:t>
            </w:r>
            <w:r>
              <w:rPr>
                <w:rStyle w:val="VerbatimChar"/>
              </w:rPr>
              <w:t xml:space="preserve">## Overview</w:t>
            </w:r>
            <w:r>
              <w:t xml:space="preserve"> </w:t>
            </w:r>
            <w:r>
              <w:t xml:space="preserve">heading.</w:t>
            </w:r>
          </w:p>
          <w:p/>
        </w:tc>
      </w:tr>
    </w:tbl>
    <w:p>
      <w:pPr>
        <w:pStyle w:val="BodyText"/>
      </w:pPr>
      <w:r>
        <w:t xml:space="preserve"> 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fcefdc" w:val="clear"/>
            <w:tcMar>
              <w:top w:w="92" w:type="dxa"/>
              <w:bottom w:w="92" w:type="dxa"/>
            </w:tcMar>
          </w:tcPr>
          <w:p>
            <w:pPr>
              <w:pStyle w:val="BodyText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13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warning.png" id="1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Scaffold — awaiting authored content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document is a stub. Replace every</w:t>
            </w:r>
            <w:r>
              <w:t xml:space="preserve"> </w:t>
            </w:r>
            <w:r>
              <w:rPr>
                <w:rStyle w:val="VerbatimChar"/>
              </w:rPr>
              <w:t xml:space="preserve">_TODO — ..._</w:t>
            </w:r>
            <w:r>
              <w:t xml:space="preserve"> </w:t>
            </w:r>
            <w:r>
              <w:t xml:space="preserve">block with authored content that is consistent with UIAO canon. Canon invariants (</w:t>
            </w:r>
            <w:r>
              <w:rPr>
                <w:rStyle w:val="VerbatimChar"/>
              </w:rPr>
              <w:t xml:space="preserve">gcc-boundary</w:t>
            </w:r>
            <w:r>
              <w:t xml:space="preserve">,</w:t>
            </w:r>
            <w:r>
              <w:t xml:space="preserve"> </w:t>
            </w:r>
            <w:r>
              <w:rPr>
                <w:rStyle w:val="VerbatimChar"/>
              </w:rPr>
              <w:t xml:space="preserve">ssot-mutation: never</w:t>
            </w:r>
            <w:r>
              <w:t xml:space="preserve">, etc.) must never be contradicted.</w:t>
            </w:r>
          </w:p>
          <w:p/>
        </w:tc>
      </w:tr>
    </w:tbl>
    <w:bookmarkStart w:id="15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The Infoblox Adapter is an</w:t>
      </w:r>
      <w:r>
        <w:t xml:space="preserve"> </w:t>
      </w:r>
      <w:r>
        <w:rPr>
          <w:b/>
          <w:bCs/>
        </w:rPr>
        <w:t xml:space="preserve">integration-class</w:t>
      </w:r>
      <w:r>
        <w:t xml:space="preserve"> </w:t>
      </w:r>
      <w:r>
        <w:t xml:space="preserve">modernization adapter for DNS and IP Address Management. It consumes Infoblox WAPI data to produce canonical claims for DNS records, DHCP scopes, and IP allocations.</w:t>
      </w:r>
    </w:p>
    <w:p>
      <w:pPr>
        <w:pStyle w:val="BodyText"/>
      </w:pPr>
      <w:r>
        <w:t xml:space="preserve">Key capabilities: DNS record enumeration by network view, proposed DNS change reporting (change-making surface), and KSI-anchored evidence generation. Requires on-prem-self-hosted runner with network access to the Infoblox grid master.</w:t>
      </w:r>
    </w:p>
    <w:p>
      <w:pPr>
        <w:pStyle w:val="BodyText"/>
      </w:pPr>
      <w:r>
        <w:rPr>
          <w:b/>
          <w:bCs/>
        </w:rPr>
        <w:t xml:space="preserve">Implementation:</w:t>
      </w:r>
      <w:r>
        <w:t xml:space="preserve"> </w:t>
      </w:r>
      <w:r>
        <w:rPr>
          <w:rStyle w:val="VerbatimChar"/>
        </w:rPr>
        <w:t xml:space="preserve">uiao/src/uiao/adapters/infoblox_adapter.py</w:t>
      </w:r>
      <w:r>
        <w:t xml:space="preserve">. Conformance: 30/30 PASS.</w:t>
      </w:r>
    </w:p>
    <w:bookmarkEnd w:id="15"/>
    <w:bookmarkStart w:id="16" w:name="scope"/>
    <w:p>
      <w:pPr>
        <w:pStyle w:val="Heading2"/>
      </w:pPr>
      <w:r>
        <w:t xml:space="preserve">Scope</w:t>
      </w:r>
    </w:p>
    <w:p>
      <w:pPr>
        <w:pStyle w:val="FirstParagraph"/>
      </w:pPr>
      <w:r>
        <w:t xml:space="preserve">Target surfaces / subsystems:</w:t>
      </w:r>
      <w:r>
        <w:t xml:space="preserve"> </w:t>
      </w:r>
      <w:r>
        <w:rPr>
          <w:rStyle w:val="VerbatimChar"/>
        </w:rPr>
        <w:t xml:space="preserve">dns-records</w:t>
      </w:r>
      <w:r>
        <w:t xml:space="preserve">,</w:t>
      </w:r>
      <w:r>
        <w:t xml:space="preserve"> </w:t>
      </w:r>
      <w:r>
        <w:rPr>
          <w:rStyle w:val="VerbatimChar"/>
        </w:rPr>
        <w:t xml:space="preserve">dhcp-scopes</w:t>
      </w:r>
      <w:r>
        <w:t xml:space="preserve">,</w:t>
      </w:r>
      <w:r>
        <w:t xml:space="preserve"> </w:t>
      </w:r>
      <w:r>
        <w:rPr>
          <w:rStyle w:val="VerbatimChar"/>
        </w:rPr>
        <w:t xml:space="preserve">ip-allocations</w:t>
      </w:r>
      <w:r>
        <w:t xml:space="preserve">,</w:t>
      </w:r>
      <w:r>
        <w:t xml:space="preserve"> </w:t>
      </w:r>
      <w:r>
        <w:rPr>
          <w:rStyle w:val="VerbatimChar"/>
        </w:rPr>
        <w:t xml:space="preserve">network-views</w:t>
      </w:r>
    </w:p>
    <w:p>
      <w:pPr>
        <w:pStyle w:val="BodyText"/>
      </w:pPr>
      <w:r>
        <w:rPr>
          <w:b/>
          <w:bCs/>
        </w:rPr>
        <w:t xml:space="preserve">Reads:</w:t>
      </w:r>
      <w:r>
        <w:t xml:space="preserve"> </w:t>
      </w:r>
      <w:r>
        <w:t xml:space="preserve">Infoblox WAPI v2.12 for DNS records (A, CNAME, etc.), network views, and zones.</w:t>
      </w:r>
      <w:r>
        <w:t xml:space="preserve"> </w:t>
      </w:r>
      <w:r>
        <w:rPr>
          <w:b/>
          <w:bCs/>
        </w:rPr>
        <w:t xml:space="preserve">Emits:</w:t>
      </w:r>
      <w:r>
        <w:t xml:space="preserve"> </w:t>
      </w:r>
      <w:r>
        <w:rPr>
          <w:rStyle w:val="VerbatimChar"/>
        </w:rPr>
        <w:t xml:space="preserve">ClaimSet</w:t>
      </w:r>
      <w:r>
        <w:t xml:space="preserve"> </w:t>
      </w:r>
      <w:r>
        <w:t xml:space="preserve">with one claim per DNS record,</w:t>
      </w:r>
      <w:r>
        <w:t xml:space="preserve"> </w:t>
      </w:r>
      <w:r>
        <w:rPr>
          <w:rStyle w:val="VerbatimChar"/>
        </w:rPr>
        <w:t xml:space="preserve">DriftReport</w:t>
      </w:r>
      <w:r>
        <w:t xml:space="preserve"> </w:t>
      </w:r>
      <w:r>
        <w:t xml:space="preserve">for proposed changes,</w:t>
      </w:r>
      <w:r>
        <w:t xml:space="preserve"> </w:t>
      </w:r>
      <w:r>
        <w:rPr>
          <w:rStyle w:val="VerbatimChar"/>
        </w:rPr>
        <w:t xml:space="preserve">EvidenceObject</w:t>
      </w:r>
      <w:r>
        <w:t xml:space="preserve"> </w:t>
      </w:r>
      <w:r>
        <w:t xml:space="preserve">with record count.</w:t>
      </w:r>
      <w:r>
        <w:t xml:space="preserve"> </w:t>
      </w:r>
      <w:r>
        <w:rPr>
          <w:b/>
          <w:bCs/>
        </w:rPr>
        <w:t xml:space="preserve">Does NOT:</w:t>
      </w:r>
      <w:r>
        <w:t xml:space="preserve"> </w:t>
      </w:r>
      <w:r>
        <w:t xml:space="preserve">modify DNS records without explicit</w:t>
      </w:r>
      <w:r>
        <w:t xml:space="preserve"> </w:t>
      </w:r>
      <w:r>
        <w:rPr>
          <w:rStyle w:val="VerbatimChar"/>
        </w:rPr>
        <w:t xml:space="preserve">push_dns_change()</w:t>
      </w:r>
      <w:r>
        <w:t xml:space="preserve"> </w:t>
      </w:r>
      <w:r>
        <w:t xml:space="preserve">invocation, access DHCP lease data, or operate outside the configured network view.</w:t>
      </w:r>
    </w:p>
    <w:bookmarkEnd w:id="16"/>
    <w:bookmarkStart w:id="17" w:name="controls"/>
    <w:p>
      <w:pPr>
        <w:pStyle w:val="Heading2"/>
      </w:pPr>
      <w:r>
        <w:t xml:space="preserve">Controls</w:t>
      </w:r>
    </w:p>
    <w:p>
      <w:pPr>
        <w:pStyle w:val="FirstParagraph"/>
      </w:pPr>
      <w:r>
        <w:t xml:space="preserve">NIST SP 800-53 Rev 5 controls this adapter supports:</w:t>
      </w:r>
      <w:r>
        <w:t xml:space="preserve"> </w:t>
      </w:r>
      <w:r>
        <w:rPr>
          <w:rStyle w:val="VerbatimChar"/>
        </w:rPr>
        <w:t xml:space="preserve">SC-20</w:t>
      </w:r>
      <w:r>
        <w:t xml:space="preserve">,</w:t>
      </w:r>
      <w:r>
        <w:t xml:space="preserve"> </w:t>
      </w:r>
      <w:r>
        <w:rPr>
          <w:rStyle w:val="VerbatimChar"/>
        </w:rPr>
        <w:t xml:space="preserve">SC-21</w:t>
      </w:r>
      <w:r>
        <w:t xml:space="preserve">,</w:t>
      </w:r>
      <w:r>
        <w:t xml:space="preserve"> </w:t>
      </w:r>
      <w:r>
        <w:rPr>
          <w:rStyle w:val="VerbatimChar"/>
        </w:rPr>
        <w:t xml:space="preserve">CM-8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Control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Adapter capability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SC-20</w:t>
            </w:r>
            <w:r>
              <w:t xml:space="preserve"> </w:t>
            </w:r>
            <w:r>
              <w:t xml:space="preserve">Secure Name/Address Resolution</w:t>
            </w:r>
          </w:p>
        </w:tc>
        <w:tc>
          <w:tcPr/>
          <w:p>
            <w:pPr>
              <w:pStyle w:val="Compact"/>
            </w:pPr>
            <w:r>
              <w:t xml:space="preserve">Primary</w:t>
            </w:r>
          </w:p>
        </w:tc>
        <w:tc>
          <w:tcPr/>
          <w:p>
            <w:pPr>
              <w:pStyle w:val="Compact"/>
            </w:pPr>
            <w:r>
              <w:t xml:space="preserve">DNS record enumeration provides evidence of authoritative name resolution state.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SC-21</w:t>
            </w:r>
            <w:r>
              <w:t xml:space="preserve"> </w:t>
            </w:r>
            <w:r>
              <w:t xml:space="preserve">Secure Name/Address Resolution (Recursive)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Zone configuration tracking supports recursive resolution governance.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CM-8</w:t>
            </w:r>
            <w:r>
              <w:t xml:space="preserve"> </w:t>
            </w:r>
            <w:r>
              <w:t xml:space="preserve">Component Inventory</w:t>
            </w:r>
          </w:p>
        </w:tc>
        <w:tc>
          <w:tcPr/>
          <w:p>
            <w:pPr>
              <w:pStyle w:val="Compact"/>
            </w:pPr>
            <w:r>
              <w:t xml:space="preserve">Supporting</w:t>
            </w:r>
          </w:p>
        </w:tc>
        <w:tc>
          <w:tcPr/>
          <w:p>
            <w:pPr>
              <w:pStyle w:val="Compact"/>
            </w:pPr>
            <w:r>
              <w:t xml:space="preserve">DNS/IP record enumeration supports network component inventory.</w:t>
            </w:r>
          </w:p>
        </w:tc>
      </w:tr>
    </w:tbl>
    <w:bookmarkEnd w:id="17"/>
    <w:bookmarkStart w:id="18" w:name="operational-profile"/>
    <w:p>
      <w:pPr>
        <w:pStyle w:val="Heading2"/>
      </w:pPr>
      <w:r>
        <w:t xml:space="preserve">Operational profile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python-3.12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Runtime pin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TBD</w:t>
            </w:r>
          </w:p>
        </w:tc>
      </w:tr>
      <w:tr>
        <w:tc>
          <w:tcPr/>
          <w:p>
            <w:pPr>
              <w:pStyle w:val="Compact"/>
            </w:pPr>
            <w:r>
              <w:t xml:space="preserve">Runner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on-prem-self-hosted</w:t>
            </w:r>
          </w:p>
        </w:tc>
      </w:tr>
      <w:tr>
        <w:tc>
          <w:tcPr/>
          <w:p>
            <w:pPr>
              <w:pStyle w:val="Compact"/>
            </w:pPr>
            <w:r>
              <w:t xml:space="preserve">Tenancy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per-customer</w:t>
            </w:r>
          </w:p>
        </w:tc>
      </w:tr>
      <w:tr>
        <w:tc>
          <w:tcPr/>
          <w:p>
            <w:pPr>
              <w:pStyle w:val="Compact"/>
            </w:pPr>
            <w:r>
              <w:t xml:space="preserve">Evidence 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baseline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Retention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3</w:t>
            </w:r>
            <w:r>
              <w:t xml:space="preserve"> </w:t>
            </w:r>
            <w:r>
              <w:t xml:space="preserve">year(s)</w:t>
            </w:r>
          </w:p>
        </w:tc>
      </w:tr>
    </w:tbl>
    <w:bookmarkEnd w:id="18"/>
    <w:bookmarkStart w:id="19" w:name="canon-invariants"/>
    <w:p>
      <w:pPr>
        <w:pStyle w:val="Heading2"/>
      </w:pPr>
      <w:r>
        <w:t xml:space="preserve">Canon invariants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gcc-boundary: gcc-moderate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ssot-mutation: never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certificate-anchored: true</w:t>
      </w:r>
    </w:p>
    <w:p>
      <w:pPr>
        <w:pStyle w:val="Compact"/>
        <w:numPr>
          <w:ilvl w:val="0"/>
          <w:numId w:val="1001"/>
        </w:numPr>
      </w:pPr>
      <w:r>
        <w:rPr>
          <w:rStyle w:val="VerbatimChar"/>
        </w:rPr>
        <w:t xml:space="preserve">object-identity-only: true</w:t>
      </w:r>
    </w:p>
    <w:bookmarkEnd w:id="19"/>
    <w:bookmarkStart w:id="20" w:name="notes-from-canon"/>
    <w:p>
      <w:pPr>
        <w:pStyle w:val="Heading2"/>
      </w:pPr>
      <w:r>
        <w:t xml:space="preserve">Notes from canon</w:t>
      </w:r>
    </w:p>
    <w:p>
      <w:pPr>
        <w:pStyle w:val="FirstParagraph"/>
      </w:pPr>
      <w:r>
        <w:t xml:space="preserve">Tier 4 adapter. Requires on-prem-self-hosted runner with network access to Infoblox WAPI.</w:t>
      </w:r>
    </w:p>
    <w:bookmarkEnd w:id="20"/>
    <w:bookmarkStart w:id="21" w:name="references"/>
    <w:p>
      <w:pPr>
        <w:pStyle w:val="Heading2"/>
      </w:pPr>
      <w:r>
        <w:t xml:space="preserve">References</w:t>
      </w:r>
    </w:p>
    <w:p>
      <w:pPr>
        <w:pStyle w:val="Compact"/>
        <w:numPr>
          <w:ilvl w:val="0"/>
          <w:numId w:val="1002"/>
        </w:numPr>
      </w:pPr>
      <w:r>
        <w:t xml:space="preserve">UIAO-CANON-003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Generated by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uiao/tools/sync_canon.py</w:t>
      </w:r>
      <w:r>
        <w:rPr>
          <w:i/>
          <w:iCs/>
        </w:rPr>
        <w:t xml:space="preserve">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uiao/ARCHITECTURE.md</w:t>
      </w:r>
      <w:r>
        <w:rPr>
          <w:i/>
          <w:iCs/>
        </w:rPr>
        <w:t xml:space="preserve"> </w:t>
      </w:r>
      <w:r>
        <w:rPr>
          <w:i/>
          <w:iCs/>
        </w:rPr>
        <w:t xml:space="preserve">§4 for the cross-repo sync contract. See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uiao-docs/_quarto.yml</w:t>
      </w:r>
      <w:r>
        <w:rPr>
          <w:i/>
          <w:iCs/>
        </w:rPr>
        <w:t xml:space="preserve"> </w:t>
      </w:r>
      <w:r>
        <w:rPr>
          <w:i/>
          <w:iCs/>
        </w:rPr>
        <w:t xml:space="preserve">for rendering configuration.</w:t>
      </w:r>
    </w:p>
    <w:bookmarkEnd w:id="21"/>
    <w:bookmarkEnd w:id="2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d73a49"/>
    </w:rPr>
  </w:style>
  <w:style w:type="character" w:customStyle="1" w:styleId="DataTypeTok">
    <w:name w:val="DataTypeTok"/>
    <w:basedOn w:val="VerbatimChar"/>
    <w:rPr>
      <w:color w:val="d73a49"/>
    </w:rPr>
  </w:style>
  <w:style w:type="character" w:customStyle="1" w:styleId="DecValTok">
    <w:name w:val="DecValTok"/>
    <w:basedOn w:val="VerbatimChar"/>
    <w:rPr>
      <w:color w:val="005cc5"/>
    </w:rPr>
  </w:style>
  <w:style w:type="character" w:customStyle="1" w:styleId="BaseNTok">
    <w:name w:val="BaseNTok"/>
    <w:basedOn w:val="VerbatimChar"/>
    <w:rPr>
      <w:color w:val="005cc5"/>
    </w:rPr>
  </w:style>
  <w:style w:type="character" w:customStyle="1" w:styleId="FloatTok">
    <w:name w:val="FloatTok"/>
    <w:basedOn w:val="VerbatimChar"/>
    <w:rPr>
      <w:color w:val="005cc5"/>
    </w:rPr>
  </w:style>
  <w:style w:type="character" w:customStyle="1" w:styleId="ConstantTok">
    <w:name w:val="ConstantTok"/>
    <w:basedOn w:val="VerbatimChar"/>
    <w:rPr>
      <w:color w:val="005cc5"/>
    </w:rPr>
  </w:style>
  <w:style w:type="character" w:customStyle="1" w:styleId="CharTok">
    <w:name w:val="CharTok"/>
    <w:basedOn w:val="VerbatimChar"/>
    <w:rPr>
      <w:color w:val="032f62"/>
    </w:rPr>
  </w:style>
  <w:style w:type="character" w:customStyle="1" w:styleId="SpecialCharTok">
    <w:name w:val="SpecialCharTok"/>
    <w:basedOn w:val="VerbatimChar"/>
    <w:rPr>
      <w:color w:val="005cc5"/>
    </w:rPr>
  </w:style>
  <w:style w:type="character" w:customStyle="1" w:styleId="StringTok">
    <w:name w:val="StringTok"/>
    <w:basedOn w:val="VerbatimChar"/>
    <w:rPr>
      <w:color w:val="032f62"/>
    </w:rPr>
  </w:style>
  <w:style w:type="character" w:customStyle="1" w:styleId="VerbatimStringTok">
    <w:name w:val="VerbatimStringTok"/>
    <w:basedOn w:val="VerbatimChar"/>
    <w:rPr>
      <w:color w:val="032f62"/>
    </w:rPr>
  </w:style>
  <w:style w:type="character" w:customStyle="1" w:styleId="SpecialStringTok">
    <w:name w:val="SpecialStringTok"/>
    <w:basedOn w:val="VerbatimChar"/>
    <w:rPr>
      <w:color w:val="032f62"/>
    </w:rPr>
  </w:style>
  <w:style w:type="character" w:customStyle="1" w:styleId="ImportTok">
    <w:name w:val="ImportTok"/>
    <w:basedOn w:val="VerbatimChar"/>
    <w:rPr>
      <w:color w:val="032f62"/>
    </w:rPr>
  </w:style>
  <w:style w:type="character" w:customStyle="1" w:styleId="CommentTok">
    <w:name w:val="CommentTok"/>
    <w:basedOn w:val="VerbatimChar"/>
    <w:rPr>
      <w:color w:val="6a737d"/>
    </w:rPr>
  </w:style>
  <w:style w:type="character" w:customStyle="1" w:styleId="DocumentationTok">
    <w:name w:val="DocumentationTok"/>
    <w:basedOn w:val="VerbatimChar"/>
    <w:rPr>
      <w:color w:val="6a737d"/>
    </w:rPr>
  </w:style>
  <w:style w:type="character" w:customStyle="1" w:styleId="AnnotationTok">
    <w:name w:val="AnnotationTok"/>
    <w:basedOn w:val="VerbatimChar"/>
    <w:rPr>
      <w:color w:val="6a737d"/>
    </w:rPr>
  </w:style>
  <w:style w:type="character" w:customStyle="1" w:styleId="CommentVarTok">
    <w:name w:val="CommentVarTok"/>
    <w:basedOn w:val="VerbatimChar"/>
    <w:rPr>
      <w:color w:val="6a737d"/>
    </w:rPr>
  </w:style>
  <w:style w:type="character" w:customStyle="1" w:styleId="OtherTok">
    <w:name w:val="OtherTok"/>
    <w:basedOn w:val="VerbatimChar"/>
    <w:rPr>
      <w:color w:val="6f42c1"/>
    </w:rPr>
  </w:style>
  <w:style w:type="character" w:customStyle="1" w:styleId="FunctionTok">
    <w:name w:val="FunctionTok"/>
    <w:basedOn w:val="VerbatimChar"/>
    <w:rPr>
      <w:color w:val="6f42c1"/>
    </w:rPr>
  </w:style>
  <w:style w:type="character" w:customStyle="1" w:styleId="VariableTok">
    <w:name w:val="VariableTok"/>
    <w:basedOn w:val="VerbatimChar"/>
    <w:rPr>
      <w:color w:val="e36209"/>
    </w:rPr>
  </w:style>
  <w:style w:type="character" w:customStyle="1" w:styleId="ControlFlowTok">
    <w:name w:val="ControlFlowTok"/>
    <w:basedOn w:val="VerbatimChar"/>
    <w:rPr>
      <w:color w:val="d73a49"/>
    </w:rPr>
  </w:style>
  <w:style w:type="character" w:customStyle="1" w:styleId="OperatorTok">
    <w:name w:val="OperatorTok"/>
    <w:basedOn w:val="VerbatimChar"/>
    <w:rPr>
      <w:color w:val="24292e"/>
    </w:rPr>
  </w:style>
  <w:style w:type="character" w:customStyle="1" w:styleId="BuiltInTok">
    <w:name w:val="BuiltInTok"/>
    <w:basedOn w:val="VerbatimChar"/>
    <w:rPr>
      <w:color w:val="d73a49"/>
    </w:rPr>
  </w:style>
  <w:style w:type="character" w:customStyle="1" w:styleId="ExtensionTok">
    <w:name w:val="ExtensionTok"/>
    <w:basedOn w:val="VerbatimChar"/>
    <w:rPr>
      <w:b/>
      <w:color w:val="d73a49"/>
    </w:rPr>
  </w:style>
  <w:style w:type="character" w:customStyle="1" w:styleId="PreprocessorTok">
    <w:name w:val="PreprocessorTok"/>
    <w:basedOn w:val="VerbatimChar"/>
    <w:rPr>
      <w:color w:val="d73a49"/>
    </w:rPr>
  </w:style>
  <w:style w:type="character" w:customStyle="1" w:styleId="AttributeTok">
    <w:name w:val="AttributeTok"/>
    <w:basedOn w:val="VerbatimChar"/>
    <w:rPr>
      <w:color w:val="d73a49"/>
    </w:rPr>
  </w:style>
  <w:style w:type="character" w:customStyle="1" w:styleId="RegionMarkerTok">
    <w:name w:val="RegionMarkerTok"/>
    <w:basedOn w:val="VerbatimChar"/>
    <w:rPr>
      <w:color w:val="6a737d"/>
    </w:rPr>
  </w:style>
  <w:style w:type="character" w:customStyle="1" w:styleId="InformationTok">
    <w:name w:val="InformationTok"/>
    <w:basedOn w:val="VerbatimChar"/>
    <w:rPr>
      <w:color w:val="6a737d"/>
    </w:rPr>
  </w:style>
  <w:style w:type="character" w:customStyle="1" w:styleId="WarningTok">
    <w:name w:val="WarningTok"/>
    <w:basedOn w:val="VerbatimChar"/>
    <w:rPr>
      <w:color w:val="ff5555"/>
    </w:rPr>
  </w:style>
  <w:style w:type="character" w:customStyle="1" w:styleId="AlertTok">
    <w:name w:val="AlertTok"/>
    <w:basedOn w:val="VerbatimChar"/>
    <w:rPr>
      <w:b/>
      <w:color w:val="ff5555"/>
    </w:rPr>
  </w:style>
  <w:style w:type="character" w:customStyle="1" w:styleId="ErrorTok">
    <w:name w:val="ErrorTok"/>
    <w:basedOn w:val="VerbatimChar"/>
    <w:rPr>
      <w:color w:val="ff5555"/>
      <w:u/>
    </w:rPr>
  </w:style>
  <w:style w:type="character" w:customStyle="1" w:styleId="NormalTok">
    <w:name w:val="NormalTok"/>
    <w:basedOn w:val="VerbatimChar"/>
    <w:rPr>
      <w:color w:val="24292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9" Target="media/rId9.png" /><Relationship Type="http://schemas.openxmlformats.org/officeDocument/2006/relationships/image" Id="rId12" Target="media/rId12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Infoblox DNS / IPAM Adapter — Adapter Technical Specification</dc:title>
  <dc:creator/>
  <cp:keywords/>
  <dcterms:created xsi:type="dcterms:W3CDTF">2026-05-06T19:44:20Z</dcterms:created>
  <dcterms:modified xsi:type="dcterms:W3CDTF">2026-05-06T19:44:20Z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apter-class">
    <vt:lpwstr>modernization</vt:lpwstr>
  </property>
  <property fmtid="{D5CDD505-2E9C-101B-9397-08002B2CF9AE}" pid="3" name="adapter-id">
    <vt:lpwstr>infoblox</vt:lpwstr>
  </property>
  <property fmtid="{D5CDD505-2E9C-101B-9397-08002B2CF9AE}" pid="4" name="aspirational">
    <vt:lpwstr>True</vt:lpwstr>
  </property>
  <property fmtid="{D5CDD505-2E9C-101B-9397-08002B2CF9AE}" pid="5" name="biblio-config">
    <vt:lpwstr>True</vt:lpwstr>
  </property>
  <property fmtid="{D5CDD505-2E9C-101B-9397-08002B2CF9AE}" pid="6" name="canon-source">
    <vt:lpwstr>canon/modernization-registry.yaml</vt:lpwstr>
  </property>
  <property fmtid="{D5CDD505-2E9C-101B-9397-08002B2CF9AE}" pid="7" name="derived-from">
    <vt:lpwstr>uiao/canon (sync_canon.py)</vt:lpwstr>
  </property>
  <property fmtid="{D5CDD505-2E9C-101B-9397-08002B2CF9AE}" pid="8" name="doc-type">
    <vt:lpwstr>ats</vt:lpwstr>
  </property>
  <property fmtid="{D5CDD505-2E9C-101B-9397-08002B2CF9AE}" pid="9" name="engines">
    <vt:lpwstr/>
  </property>
  <property fmtid="{D5CDD505-2E9C-101B-9397-08002B2CF9AE}" pid="10" name="gcc-boundary">
    <vt:lpwstr>gcc-moderate</vt:lpwstr>
  </property>
  <property fmtid="{D5CDD505-2E9C-101B-9397-08002B2CF9AE}" pid="11" name="generated">
    <vt:lpwstr>2026-04-16</vt:lpwstr>
  </property>
  <property fmtid="{D5CDD505-2E9C-101B-9397-08002B2CF9AE}" pid="12" name="header-includes">
    <vt:lpwstr/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mission-class">
    <vt:lpwstr>integration</vt:lpwstr>
  </property>
  <property fmtid="{D5CDD505-2E9C-101B-9397-08002B2CF9AE}" pid="17" name="phase">
    <vt:lpwstr>phase-planning</vt:lpwstr>
  </property>
  <property fmtid="{D5CDD505-2E9C-101B-9397-08002B2CF9AE}" pid="18" name="status">
    <vt:lpwstr>reserved</vt:lpwstr>
  </property>
  <property fmtid="{D5CDD505-2E9C-101B-9397-08002B2CF9AE}" pid="19" name="toc-title">
    <vt:lpwstr>Table of contents</vt:lpwstr>
  </property>
</Properties>
</file>