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Microsoft 365 Tenant (Graph API) — Adapter Technical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0c500d04d1db005f73157e6e75193dafa131f56"/>
    <w:p>
      <w:pPr>
        <w:pStyle w:val="Heading1"/>
      </w:pPr>
      <w:r>
        <w:t xml:space="preserve">Microsoft 365 Tenant (Graph API) — Adapter Technical Specification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active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modernization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integration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phase-1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canon/modernization-registry.yaml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 — awaiting authored content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document is a stub. Replace every</w:t>
            </w:r>
            <w:r>
              <w:t xml:space="preserve"> </w:t>
            </w:r>
            <w:r>
              <w:rPr>
                <w:rStyle w:val="VerbatimChar"/>
              </w:rPr>
              <w:t xml:space="preserve">_TODO — ..._</w:t>
            </w:r>
            <w:r>
              <w:t xml:space="preserve"> </w:t>
            </w:r>
            <w:r>
              <w:t xml:space="preserve">block with authored content that is consistent with UIAO canon. Canon invariants (</w:t>
            </w:r>
            <w:r>
              <w:rPr>
                <w:rStyle w:val="VerbatimChar"/>
              </w:rPr>
              <w:t xml:space="preserve">gcc-boundary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ssot-mutation: never</w:t>
            </w:r>
            <w:r>
              <w:t xml:space="preserve">, etc.) must never be contradicted.</w:t>
            </w:r>
          </w:p>
          <w:p/>
        </w:tc>
      </w:tr>
    </w:tbl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 Microsoft 365 Tenant Adapter is an</w:t>
      </w:r>
      <w:r>
        <w:t xml:space="preserve"> </w:t>
      </w:r>
      <w:r>
        <w:rPr>
          <w:b/>
          <w:bCs/>
        </w:rPr>
        <w:t xml:space="preserve">integration-class</w:t>
      </w:r>
      <w:r>
        <w:t xml:space="preserve"> </w:t>
      </w:r>
      <w:r>
        <w:t xml:space="preserve">modernization adapter that consumes Microsoft 365 tenant configuration via the Microsoft Graph API to produce object-keyed canonical claims across five core workloads.</w:t>
      </w:r>
    </w:p>
    <w:p>
      <w:pPr>
        <w:pStyle w:val="BodyText"/>
      </w:pPr>
      <w:r>
        <w:t xml:space="preserve">This adapter is the primary interface between UIAO and the M365 SaaS boundary — the GCC-Moderate tenant that hosts the organization’s Exchange Online, SharePoint, Teams, Defender for Office 365, and Purview services. It pairs naturally with:</w:t>
      </w:r>
    </w:p>
    <w:p>
      <w:pPr>
        <w:pStyle w:val="Compact"/>
        <w:numPr>
          <w:ilvl w:val="0"/>
          <w:numId w:val="1001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Entra ID adapter</w:t>
      </w:r>
      <w:r>
        <w:t xml:space="preserve"> </w:t>
      </w:r>
      <w:r>
        <w:t xml:space="preserve">(identity fabric for the same tenant)</w:t>
      </w:r>
    </w:p>
    <w:p>
      <w:pPr>
        <w:pStyle w:val="Compact"/>
        <w:numPr>
          <w:ilvl w:val="0"/>
          <w:numId w:val="1001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ScubaGear conformance adapter</w:t>
      </w:r>
      <w:r>
        <w:t xml:space="preserve"> </w:t>
      </w:r>
      <w:r>
        <w:t xml:space="preserve">(read-only assessment of the same M365 surfaces)</w:t>
      </w:r>
    </w:p>
    <w:p>
      <w:pPr>
        <w:pStyle w:val="Compact"/>
        <w:numPr>
          <w:ilvl w:val="0"/>
          <w:numId w:val="1001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Intune adapter</w:t>
      </w:r>
      <w:r>
        <w:t xml:space="preserve"> </w:t>
      </w:r>
      <w:r>
        <w:t xml:space="preserve">(endpoint compliance telemetry for managed devices)</w:t>
      </w:r>
    </w:p>
    <w:p>
      <w:pPr>
        <w:pStyle w:val="FirstParagraph"/>
      </w:pPr>
      <w:r>
        <w:t xml:space="preserve">Key capabilities: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Tenant configuration retrieval.</w:t>
      </w:r>
      <w:r>
        <w:t xml:space="preserve"> </w:t>
      </w:r>
      <w:r>
        <w:t xml:space="preserve">Queries Graph API to capture current configuration state per workload — mailbox settings, transport rules, site collections, team configurations, security policies, and sensitivity labels.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Baseline comparison.</w:t>
      </w:r>
      <w:r>
        <w:t xml:space="preserve"> </w:t>
      </w:r>
      <w:r>
        <w:t xml:space="preserve">Compares current tenant configuration against a declared security baseline (e.g., CISA SCuBA) and produces a</w:t>
      </w:r>
      <w:r>
        <w:t xml:space="preserve"> </w:t>
      </w:r>
      <w:r>
        <w:rPr>
          <w:rStyle w:val="VerbatimChar"/>
        </w:rPr>
        <w:t xml:space="preserve">DriftReport</w:t>
      </w:r>
      <w:r>
        <w:t xml:space="preserve"> </w:t>
      </w:r>
      <w:r>
        <w:t xml:space="preserve">with compliant/non-compliant/missing breakdowns.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Evidence generation.</w:t>
      </w:r>
      <w:r>
        <w:t xml:space="preserve"> </w:t>
      </w:r>
      <w:r>
        <w:t xml:space="preserve">Bundles connection provenance, normalized claims, and drift analysis into</w:t>
      </w:r>
      <w:r>
        <w:t xml:space="preserve"> </w:t>
      </w:r>
      <w:r>
        <w:rPr>
          <w:rStyle w:val="VerbatimChar"/>
        </w:rPr>
        <w:t xml:space="preserve">EvidenceObject</w:t>
      </w:r>
      <w:r>
        <w:t xml:space="preserve"> </w:t>
      </w:r>
      <w:r>
        <w:t xml:space="preserve">artifacts suitable for OSCAL SAR generation.</w:t>
      </w:r>
    </w:p>
    <w:p>
      <w:pPr>
        <w:pStyle w:val="FirstParagraph"/>
      </w:pPr>
      <w:r>
        <w:rPr>
          <w:b/>
          <w:bCs/>
        </w:rPr>
        <w:t xml:space="preserve">Implementation:</w:t>
      </w:r>
      <w:r>
        <w:t xml:space="preserve"> </w:t>
      </w:r>
      <w:r>
        <w:rPr>
          <w:rStyle w:val="VerbatimChar"/>
        </w:rPr>
        <w:t xml:space="preserve">src/uiao/adapters/m365_adapter.py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m365_parser.py</w:t>
      </w:r>
      <w:r>
        <w:t xml:space="preserve"> </w:t>
      </w:r>
      <w:r>
        <w:t xml:space="preserve">(real Graph API response parsing with entity normalization, security policy parsing, multi-workload tenant config parsing, and baseline comparison). End-to-end OSCAL SAR generation proven via 5 integration tests.</w:t>
      </w:r>
    </w:p>
    <w:bookmarkEnd w:id="15"/>
    <w:bookmarkStart w:id="16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rStyle w:val="VerbatimChar"/>
        </w:rPr>
        <w:t xml:space="preserve">exchange-online</w:t>
      </w:r>
      <w:r>
        <w:t xml:space="preserve">,</w:t>
      </w:r>
      <w:r>
        <w:t xml:space="preserve"> </w:t>
      </w:r>
      <w:r>
        <w:rPr>
          <w:rStyle w:val="VerbatimChar"/>
        </w:rPr>
        <w:t xml:space="preserve">sharepoint-online</w:t>
      </w:r>
      <w:r>
        <w:t xml:space="preserve">,</w:t>
      </w:r>
      <w:r>
        <w:t xml:space="preserve"> </w:t>
      </w:r>
      <w:r>
        <w:rPr>
          <w:rStyle w:val="VerbatimChar"/>
        </w:rPr>
        <w:t xml:space="preserve">teams</w:t>
      </w:r>
      <w:r>
        <w:t xml:space="preserve">,</w:t>
      </w:r>
      <w:r>
        <w:t xml:space="preserve"> </w:t>
      </w:r>
      <w:r>
        <w:rPr>
          <w:rStyle w:val="VerbatimChar"/>
        </w:rPr>
        <w:t xml:space="preserve">defender-o365</w:t>
      </w:r>
      <w:r>
        <w:t xml:space="preserve">,</w:t>
      </w:r>
      <w:r>
        <w:t xml:space="preserve"> </w:t>
      </w:r>
      <w:r>
        <w:rPr>
          <w:rStyle w:val="VerbatimChar"/>
        </w:rPr>
        <w:t xml:space="preserve">purview</w:t>
      </w:r>
    </w:p>
    <w:p>
      <w:pPr>
        <w:pStyle w:val="BodyText"/>
      </w:pPr>
      <w:r>
        <w:rPr>
          <w:b/>
          <w:bCs/>
        </w:rPr>
        <w:t xml:space="preserve">What the adapter reads:</w:t>
      </w:r>
    </w:p>
    <w:p>
      <w:pPr>
        <w:pStyle w:val="Compact"/>
        <w:numPr>
          <w:ilvl w:val="0"/>
          <w:numId w:val="1003"/>
        </w:numPr>
      </w:pPr>
      <w:r>
        <w:t xml:space="preserve">Microsoft Graph API entity responses (</w:t>
      </w:r>
      <w:r>
        <w:rPr>
          <w:rStyle w:val="VerbatimChar"/>
        </w:rPr>
        <w:t xml:space="preserve">/organization</w:t>
      </w:r>
      <w:r>
        <w:t xml:space="preserve">,</w:t>
      </w:r>
      <w:r>
        <w:t xml:space="preserve"> </w:t>
      </w:r>
      <w:r>
        <w:rPr>
          <w:rStyle w:val="VerbatimChar"/>
        </w:rPr>
        <w:t xml:space="preserve">/users</w:t>
      </w:r>
      <w:r>
        <w:t xml:space="preserve">,</w:t>
      </w:r>
      <w:r>
        <w:t xml:space="preserve"> </w:t>
      </w:r>
      <w:r>
        <w:rPr>
          <w:rStyle w:val="VerbatimChar"/>
        </w:rPr>
        <w:t xml:space="preserve">/groups</w:t>
      </w:r>
      <w:r>
        <w:t xml:space="preserve">, etc.)</w:t>
      </w:r>
    </w:p>
    <w:p>
      <w:pPr>
        <w:pStyle w:val="Compact"/>
        <w:numPr>
          <w:ilvl w:val="0"/>
          <w:numId w:val="1003"/>
        </w:numPr>
      </w:pPr>
      <w:r>
        <w:t xml:space="preserve">Conditional access policies (</w:t>
      </w:r>
      <w:r>
        <w:rPr>
          <w:rStyle w:val="VerbatimChar"/>
        </w:rPr>
        <w:t xml:space="preserve">/identity/conditionalAccessPolicies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t xml:space="preserve">Multi-workload tenant configuration (mailbox settings, transport rules, site collections, team configs, safe attachment policies, sensitivity labels)</w:t>
      </w:r>
    </w:p>
    <w:p>
      <w:pPr>
        <w:pStyle w:val="FirstParagraph"/>
      </w:pPr>
      <w:r>
        <w:rPr>
          <w:b/>
          <w:bCs/>
        </w:rPr>
        <w:t xml:space="preserve">What the adapter emits: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ClaimSet</w:t>
      </w:r>
      <w:r>
        <w:t xml:space="preserve"> </w:t>
      </w:r>
      <w:r>
        <w:t xml:space="preserve">with one</w:t>
      </w:r>
      <w:r>
        <w:t xml:space="preserve"> </w:t>
      </w:r>
      <w:r>
        <w:rPr>
          <w:rStyle w:val="VerbatimChar"/>
        </w:rPr>
        <w:t xml:space="preserve">ClaimObject</w:t>
      </w:r>
      <w:r>
        <w:t xml:space="preserve"> </w:t>
      </w:r>
      <w:r>
        <w:t xml:space="preserve">per Graph entity, tagged by workload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DriftReport</w:t>
      </w:r>
      <w:r>
        <w:t xml:space="preserve"> </w:t>
      </w:r>
      <w:r>
        <w:t xml:space="preserve">from baseline comparison (compliant/non-compliant/missing per setting)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EvidenceObject</w:t>
      </w:r>
      <w:r>
        <w:t xml:space="preserve"> </w:t>
      </w:r>
      <w:r>
        <w:t xml:space="preserve">with per-workload or cross-workload provenance chain</w:t>
      </w:r>
    </w:p>
    <w:p>
      <w:pPr>
        <w:pStyle w:val="Compact"/>
        <w:numPr>
          <w:ilvl w:val="0"/>
          <w:numId w:val="1004"/>
        </w:numPr>
      </w:pPr>
      <w:r>
        <w:t xml:space="preserve">OSCAL Assessment Results (SAR) via the</w:t>
      </w:r>
      <w:r>
        <w:t xml:space="preserve"> </w:t>
      </w:r>
      <w:r>
        <w:rPr>
          <w:rStyle w:val="VerbatimChar"/>
        </w:rPr>
        <w:t xml:space="preserve">adapter_to_oscal.py</w:t>
      </w:r>
      <w:r>
        <w:t xml:space="preserve"> </w:t>
      </w:r>
      <w:r>
        <w:t xml:space="preserve">bridge</w:t>
      </w:r>
    </w:p>
    <w:p>
      <w:pPr>
        <w:pStyle w:val="FirstParagraph"/>
      </w:pPr>
      <w:r>
        <w:rPr>
          <w:b/>
          <w:bCs/>
        </w:rPr>
        <w:t xml:space="preserve">What the adapter does NOT touch:</w:t>
      </w:r>
    </w:p>
    <w:p>
      <w:pPr>
        <w:pStyle w:val="Compact"/>
        <w:numPr>
          <w:ilvl w:val="0"/>
          <w:numId w:val="1005"/>
        </w:numPr>
      </w:pPr>
      <w:r>
        <w:t xml:space="preserve">Does not modify tenant configuration (baseline application is gated on Graph API write permissions + change-approval workflow)</w:t>
      </w:r>
    </w:p>
    <w:p>
      <w:pPr>
        <w:pStyle w:val="Compact"/>
        <w:numPr>
          <w:ilvl w:val="0"/>
          <w:numId w:val="1005"/>
        </w:numPr>
      </w:pPr>
      <w:r>
        <w:t xml:space="preserve">Does not access user mailbox content or file content (metadata only)</w:t>
      </w:r>
    </w:p>
    <w:p>
      <w:pPr>
        <w:pStyle w:val="Compact"/>
        <w:numPr>
          <w:ilvl w:val="0"/>
          <w:numId w:val="1005"/>
        </w:numPr>
      </w:pPr>
      <w:r>
        <w:t xml:space="preserve">Does not store user credentials; uses client-credential OAuth flow</w:t>
      </w:r>
    </w:p>
    <w:p>
      <w:pPr>
        <w:pStyle w:val="Compact"/>
        <w:numPr>
          <w:ilvl w:val="0"/>
          <w:numId w:val="1005"/>
        </w:numPr>
      </w:pPr>
      <w:r>
        <w:t xml:space="preserve">Does not bypass GCC-Moderate tenant boundary constraints</w:t>
      </w:r>
    </w:p>
    <w:bookmarkEnd w:id="16"/>
    <w:bookmarkStart w:id="17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CM-2</w:t>
      </w:r>
      <w:r>
        <w:t xml:space="preserve">,</w:t>
      </w:r>
      <w:r>
        <w:t xml:space="preserve"> </w:t>
      </w:r>
      <w:r>
        <w:rPr>
          <w:rStyle w:val="VerbatimChar"/>
        </w:rPr>
        <w:t xml:space="preserve">CM-3</w:t>
      </w:r>
      <w:r>
        <w:t xml:space="preserve">,</w:t>
      </w:r>
      <w:r>
        <w:t xml:space="preserve"> </w:t>
      </w:r>
      <w:r>
        <w:rPr>
          <w:rStyle w:val="VerbatimChar"/>
        </w:rPr>
        <w:t xml:space="preserve">CM-8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Control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Adapter capability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CM-2</w:t>
            </w:r>
            <w:r>
              <w:t xml:space="preserve"> </w:t>
            </w:r>
            <w:r>
              <w:t xml:space="preserve">Baseline Configuration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Tenant config retrieval + baseline comparison captures the current configuration baseline across all 5 workloads and identifies deviations from the declared security baseline.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CM-3</w:t>
            </w:r>
            <w:r>
              <w:t xml:space="preserve"> </w:t>
            </w:r>
            <w:r>
              <w:t xml:space="preserve">Configuration Change Control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Baseline comparison produces a diff report that documents which settings changed, enabling change-control review before applying remediation.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CM-8</w:t>
            </w:r>
            <w:r>
              <w:t xml:space="preserve"> </w:t>
            </w:r>
            <w:r>
              <w:t xml:space="preserve">Information System Component Inventory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Multi-workload tenant config retrieval produces a complete inventory of all M365 components (mailboxes, sites, teams, policies, labels) with Graph entity metadata.</w:t>
            </w:r>
          </w:p>
        </w:tc>
      </w:tr>
    </w:tbl>
    <w:bookmarkEnd w:id="17"/>
    <w:bookmarkStart w:id="18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powershell-7.4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github-hosted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baseline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18"/>
    <w:bookmarkStart w:id="19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object-identity-only: true</w:t>
      </w:r>
    </w:p>
    <w:bookmarkEnd w:id="19"/>
    <w:bookmarkStart w:id="20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rPr>
          <w:i/>
          <w:iCs/>
        </w:rPr>
        <w:t xml:space="preserve">(none)</w:t>
      </w:r>
    </w:p>
    <w:bookmarkEnd w:id="20"/>
    <w:bookmarkStart w:id="21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7"/>
        </w:numPr>
      </w:pPr>
      <w:r>
        <w:t xml:space="preserve">UIAO-CANON-002</w:t>
      </w:r>
    </w:p>
    <w:p>
      <w:pPr>
        <w:pStyle w:val="Compact"/>
        <w:numPr>
          <w:ilvl w:val="0"/>
          <w:numId w:val="1007"/>
        </w:numPr>
      </w:pPr>
      <w:r>
        <w:t xml:space="preserve">UIAO-CANON-003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365 Tenant (Graph API) — Adapter Technical Specification</dc:title>
  <dc:creator/>
  <cp:keywords/>
  <dcterms:created xsi:type="dcterms:W3CDTF">2026-05-06T19:44:21Z</dcterms:created>
  <dcterms:modified xsi:type="dcterms:W3CDTF">2026-05-06T19:44:21Z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modernization</vt:lpwstr>
  </property>
  <property fmtid="{D5CDD505-2E9C-101B-9397-08002B2CF9AE}" pid="3" name="adapter-id">
    <vt:lpwstr>m365</vt:lpwstr>
  </property>
  <property fmtid="{D5CDD505-2E9C-101B-9397-08002B2CF9AE}" pid="4" name="aspirational">
    <vt:lpwstr>True</vt:lpwstr>
  </property>
  <property fmtid="{D5CDD505-2E9C-101B-9397-08002B2CF9AE}" pid="5" name="biblio-config">
    <vt:lpwstr>True</vt:lpwstr>
  </property>
  <property fmtid="{D5CDD505-2E9C-101B-9397-08002B2CF9AE}" pid="6" name="canon-source">
    <vt:lpwstr>canon/modernization-registry.yaml</vt:lpwstr>
  </property>
  <property fmtid="{D5CDD505-2E9C-101B-9397-08002B2CF9AE}" pid="7" name="derived-from">
    <vt:lpwstr>uiao/canon (sync_canon.py)</vt:lpwstr>
  </property>
  <property fmtid="{D5CDD505-2E9C-101B-9397-08002B2CF9AE}" pid="8" name="doc-type">
    <vt:lpwstr>ats</vt:lpwstr>
  </property>
  <property fmtid="{D5CDD505-2E9C-101B-9397-08002B2CF9AE}" pid="9" name="engines">
    <vt:lpwstr/>
  </property>
  <property fmtid="{D5CDD505-2E9C-101B-9397-08002B2CF9AE}" pid="10" name="gcc-boundary">
    <vt:lpwstr>gcc-moderate</vt:lpwstr>
  </property>
  <property fmtid="{D5CDD505-2E9C-101B-9397-08002B2CF9AE}" pid="11" name="generated">
    <vt:lpwstr>2026-04-15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mission-class">
    <vt:lpwstr>integration</vt:lpwstr>
  </property>
  <property fmtid="{D5CDD505-2E9C-101B-9397-08002B2CF9AE}" pid="17" name="phase">
    <vt:lpwstr>phase-1</vt:lpwstr>
  </property>
  <property fmtid="{D5CDD505-2E9C-101B-9397-08002B2CF9AE}" pid="18" name="status">
    <vt:lpwstr>active</vt:lpwstr>
  </property>
  <property fmtid="{D5CDD505-2E9C-101B-9397-08002B2CF9AE}" pid="19" name="toc-title">
    <vt:lpwstr>Table of contents</vt:lpwstr>
  </property>
</Properties>
</file>