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PKI / Certificate Authority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0649b87f2418380ab1cc9fb19204fb7de463774"/>
    <w:p>
      <w:pPr>
        <w:pStyle w:val="Heading1"/>
      </w:pPr>
      <w:r>
        <w:t xml:space="preserve">PKI / Certificate Authority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telemetry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i/>
          <w:iCs/>
        </w:rPr>
        <w:t xml:space="preserve">TODO — Author an overview of the PKI / Certificate Authority Adapter adapter’s role in the UIAO governance perimeter. Do not contradict canon. Cross-reference the companion AVS document where relevant.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piv-certificates</w:t>
      </w:r>
      <w:r>
        <w:t xml:space="preserve">,</w:t>
      </w:r>
      <w:r>
        <w:t xml:space="preserve"> </w:t>
      </w:r>
      <w:r>
        <w:rPr>
          <w:rStyle w:val="VerbatimChar"/>
        </w:rPr>
        <w:t xml:space="preserve">tls-certificates</w:t>
      </w:r>
      <w:r>
        <w:t xml:space="preserve">,</w:t>
      </w:r>
      <w:r>
        <w:t xml:space="preserve"> </w:t>
      </w:r>
      <w:r>
        <w:rPr>
          <w:rStyle w:val="VerbatimChar"/>
        </w:rPr>
        <w:t xml:space="preserve">ocsp-responses</w:t>
      </w:r>
      <w:r>
        <w:t xml:space="preserve">,</w:t>
      </w:r>
      <w:r>
        <w:t xml:space="preserve"> </w:t>
      </w:r>
      <w:r>
        <w:rPr>
          <w:rStyle w:val="VerbatimChar"/>
        </w:rPr>
        <w:t xml:space="preserve">crl-distribution</w:t>
      </w:r>
    </w:p>
    <w:p>
      <w:pPr>
        <w:pStyle w:val="BodyText"/>
      </w:pPr>
      <w:r>
        <w:rPr>
          <w:i/>
          <w:iCs/>
        </w:rPr>
        <w:t xml:space="preserve">TODO — Expand scope with concrete boundaries: what the adapter reads, what it emits, what it explicitly does not touch.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IA-5</w:t>
      </w:r>
      <w:r>
        <w:t xml:space="preserve">,</w:t>
      </w:r>
      <w:r>
        <w:t xml:space="preserve"> </w:t>
      </w:r>
      <w:r>
        <w:rPr>
          <w:rStyle w:val="VerbatimChar"/>
        </w:rPr>
        <w:t xml:space="preserve">SC-12</w:t>
      </w:r>
      <w:r>
        <w:t xml:space="preserve">,</w:t>
      </w:r>
      <w:r>
        <w:t xml:space="preserve"> </w:t>
      </w:r>
      <w:r>
        <w:rPr>
          <w:rStyle w:val="VerbatimChar"/>
        </w:rPr>
        <w:t xml:space="preserve">SC-13</w:t>
      </w:r>
    </w:p>
    <w:p>
      <w:pPr>
        <w:pStyle w:val="BodyText"/>
      </w:pPr>
      <w:r>
        <w:rPr>
          <w:i/>
          <w:iCs/>
        </w:rPr>
        <w:t xml:space="preserve">TODO — For each control, state the adapter’s role (primary, supporting, evidence-only). If a control is aspirational, flag as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NEW (Proposed)</w:t>
      </w:r>
      <w:r>
        <w:rPr>
          <w:i/>
          <w:iCs/>
        </w:rPr>
        <w:t xml:space="preserve"> </w:t>
      </w:r>
      <w:r>
        <w:rPr>
          <w:i/>
          <w:iCs/>
        </w:rPr>
        <w:t xml:space="preserve">per No-Hallucination Protocol.</w:t>
      </w:r>
    </w:p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FIMF Tier 5 conformance adapter. Observes certificate state via OCSP, CRL, and PKI APIs. Critical for the certificate- anchored provenance model.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PKI / Certificate Authority Adapter — Adapter Technical Specification</dc:title>
  <dc:creator/>
  <cp:keywords/>
  <dcterms:created xsi:type="dcterms:W3CDTF">2026-05-06T19:44:22Z</dcterms:created>
  <dcterms:modified xsi:type="dcterms:W3CDTF">2026-05-06T19:44:22Z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pki-ca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telemetry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