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CISA ScubaGear (M365 SCuBA Assessor) — Adapter Technical Specification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3" w:name="X7f7775ecab28a08c936705cbe3c0126678831e7"/>
    <w:p>
      <w:pPr>
        <w:pStyle w:val="Heading1"/>
      </w:pPr>
      <w:r>
        <w:t xml:space="preserve">CISA ScubaGear (M365 SCuBA Assessor) — Adapter Technical Specification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Canon-derived document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Status:</w:t>
            </w:r>
            <w:r>
              <w:t xml:space="preserve"> </w:t>
            </w:r>
            <w:r>
              <w:rPr>
                <w:rStyle w:val="VerbatimChar"/>
              </w:rPr>
              <w:t xml:space="preserve">active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Class:</w:t>
            </w:r>
            <w:r>
              <w:t xml:space="preserve"> </w:t>
            </w:r>
            <w:r>
              <w:rPr>
                <w:rStyle w:val="VerbatimChar"/>
              </w:rPr>
              <w:t xml:space="preserve">conformance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Mission:</w:t>
            </w:r>
            <w:r>
              <w:t xml:space="preserve"> </w:t>
            </w:r>
            <w:r>
              <w:rPr>
                <w:rStyle w:val="VerbatimChar"/>
              </w:rPr>
              <w:t xml:space="preserve">policy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Phase:</w:t>
            </w:r>
            <w:r>
              <w:t xml:space="preserve"> </w:t>
            </w:r>
            <w:r>
              <w:rPr>
                <w:rStyle w:val="VerbatimChar"/>
              </w:rPr>
              <w:t xml:space="preserve">phase-1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Canon source:</w:t>
            </w:r>
            <w:r>
              <w:t xml:space="preserve"> </w:t>
            </w:r>
            <w:r>
              <w:rPr>
                <w:rStyle w:val="VerbatimChar"/>
              </w:rPr>
              <w:t xml:space="preserve">canon/adapter-registry.yaml</w:t>
            </w:r>
            <w:r>
              <w:t xml:space="preserve"> </w:t>
            </w:r>
            <w:r>
              <w:t xml:space="preserve">(propagated by</w:t>
            </w:r>
            <w:r>
              <w:t xml:space="preserve"> </w:t>
            </w:r>
            <w:r>
              <w:rPr>
                <w:rStyle w:val="VerbatimChar"/>
              </w:rPr>
              <w:t xml:space="preserve">uiao/tools/sync_canon.py</w:t>
            </w:r>
            <w:r>
              <w:t xml:space="preserve">).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The YAML frontmatter and this banner are regenerated from canon on every sync.</w:t>
            </w:r>
            <w:r>
              <w:t xml:space="preserve"> </w:t>
            </w:r>
            <w:r>
              <w:rPr>
                <w:b/>
                <w:bCs/>
              </w:rPr>
              <w:t xml:space="preserve">Do not hand-edit.</w:t>
            </w:r>
            <w:r>
              <w:t xml:space="preserve"> </w:t>
            </w:r>
            <w:r>
              <w:t xml:space="preserve">Author new material only below the</w:t>
            </w:r>
            <w:r>
              <w:t xml:space="preserve"> </w:t>
            </w:r>
            <w:r>
              <w:rPr>
                <w:rStyle w:val="VerbatimChar"/>
              </w:rPr>
              <w:t xml:space="preserve">## Overview</w:t>
            </w:r>
            <w:r>
              <w:t xml:space="preserve"> </w:t>
            </w:r>
            <w:r>
              <w:t xml:space="preserve">heading.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Scaffold — awaiting authored content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document is a stub. Replace every</w:t>
            </w:r>
            <w:r>
              <w:t xml:space="preserve"> </w:t>
            </w:r>
            <w:r>
              <w:rPr>
                <w:rStyle w:val="VerbatimChar"/>
              </w:rPr>
              <w:t xml:space="preserve">_TODO — ..._</w:t>
            </w:r>
            <w:r>
              <w:t xml:space="preserve"> </w:t>
            </w:r>
            <w:r>
              <w:t xml:space="preserve">block with authored content that is consistent with UIAO canon. Canon invariants (</w:t>
            </w:r>
            <w:r>
              <w:rPr>
                <w:rStyle w:val="VerbatimChar"/>
              </w:rPr>
              <w:t xml:space="preserve">gcc-boundary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ssot-mutation: never</w:t>
            </w:r>
            <w:r>
              <w:t xml:space="preserve">, etc.) must never be contradicted.</w:t>
            </w:r>
          </w:p>
          <w:p/>
        </w:tc>
      </w:tr>
    </w:tbl>
    <w:bookmarkStart w:id="1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The CISA ScubaGear Adapter is the</w:t>
      </w:r>
      <w:r>
        <w:t xml:space="preserve"> </w:t>
      </w:r>
      <w:r>
        <w:rPr>
          <w:b/>
          <w:bCs/>
        </w:rPr>
        <w:t xml:space="preserve">most mature conformance adapter</w:t>
      </w:r>
      <w:r>
        <w:t xml:space="preserve"> </w:t>
      </w:r>
      <w:r>
        <w:t xml:space="preserve">in the UIAO ecosystem. As a policy-class conformance adapter, it wraps CISA’s</w:t>
      </w:r>
      <w:r>
        <w:t xml:space="preserve"> </w:t>
      </w:r>
      <w:hyperlink r:id="rId15">
        <w:r>
          <w:rPr>
            <w:rStyle w:val="Hyperlink"/>
          </w:rPr>
          <w:t xml:space="preserve">ScubaGear</w:t>
        </w:r>
      </w:hyperlink>
      <w:r>
        <w:t xml:space="preserve"> </w:t>
      </w:r>
      <w:r>
        <w:t xml:space="preserve">tool to evaluate Microsoft 365 tenant configuration against the SCuBA Secure Configuration Baselines — producing normalized, KSI-anchored assessment findings.</w:t>
      </w:r>
    </w:p>
    <w:p>
      <w:pPr>
        <w:pStyle w:val="BodyText"/>
      </w:pPr>
      <w:r>
        <w:t xml:space="preserve">This adapter is</w:t>
      </w:r>
      <w:r>
        <w:t xml:space="preserve"> </w:t>
      </w:r>
      <w:r>
        <w:rPr>
          <w:b/>
          <w:bCs/>
        </w:rPr>
        <w:t xml:space="preserve">read-only</w:t>
      </w:r>
      <w:r>
        <w:t xml:space="preserve"> </w:t>
      </w:r>
      <w:r>
        <w:t xml:space="preserve">— it observes and assesses the M365 tenant state without modifying it. It pairs with the</w:t>
      </w:r>
      <w:r>
        <w:t xml:space="preserve"> </w:t>
      </w:r>
      <w:r>
        <w:rPr>
          <w:rStyle w:val="VerbatimChar"/>
        </w:rPr>
        <w:t xml:space="preserve">scuba</w:t>
      </w:r>
      <w:r>
        <w:t xml:space="preserve"> </w:t>
      </w:r>
      <w:r>
        <w:t xml:space="preserve">modernization adapter (which applies the baseline) to form the assess-then-remediate cycle.</w:t>
      </w:r>
    </w:p>
    <w:p>
      <w:pPr>
        <w:pStyle w:val="BodyText"/>
      </w:pPr>
      <w:r>
        <w:t xml:space="preserve">Key capabilities: 7-workload SCuBA assessment (AAD, Defender, Exchange Online, PowerBI, Power Platform, SharePoint, Teams), OPA/Rego policy evaluation, KSI-mapped evidence with 150+ policy-to-control mappings, deterministic transform pipeline producing OSCAL-ready output.</w:t>
      </w:r>
    </w:p>
    <w:p>
      <w:pPr>
        <w:pStyle w:val="BodyText"/>
      </w:pPr>
      <w:r>
        <w:rPr>
          <w:b/>
          <w:bCs/>
        </w:rPr>
        <w:t xml:space="preserve">Implementation:</w:t>
      </w:r>
      <w:r>
        <w:t xml:space="preserve"> </w:t>
      </w:r>
      <w:r>
        <w:t xml:space="preserve">Most mature adapter in the repo. Uses a dedicated IR pipeline (</w:t>
      </w:r>
      <w:r>
        <w:rPr>
          <w:rStyle w:val="VerbatimChar"/>
        </w:rPr>
        <w:t xml:space="preserve">scuba/transform.py</w:t>
      </w:r>
      <w:r>
        <w:t xml:space="preserve"> </w:t>
      </w:r>
      <w:r>
        <w:t xml:space="preserve">384 lines,</w:t>
      </w:r>
      <w:r>
        <w:t xml:space="preserve"> </w:t>
      </w:r>
      <w:r>
        <w:rPr>
          <w:rStyle w:val="VerbatimChar"/>
        </w:rPr>
        <w:t xml:space="preserve">ir/adapters/scuba/</w:t>
      </w:r>
      <w:r>
        <w:t xml:space="preserve"> </w:t>
      </w:r>
      <w:r>
        <w:t xml:space="preserve">with normalize + transformer), not the generic</w:t>
      </w:r>
      <w:r>
        <w:t xml:space="preserve"> </w:t>
      </w:r>
      <w:r>
        <w:rPr>
          <w:rStyle w:val="VerbatimChar"/>
        </w:rPr>
        <w:t xml:space="preserve">DatabaseAdapterBase</w:t>
      </w:r>
      <w:r>
        <w:t xml:space="preserve"> </w:t>
      </w:r>
      <w:r>
        <w:t xml:space="preserve">pattern. Pinned to ScubaGear v1.5.1 with monthly policy-pin bump per CONMON.md §6.</w:t>
      </w:r>
    </w:p>
    <w:bookmarkEnd w:id="16"/>
    <w:bookmarkStart w:id="17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Target surfaces / subsystems:</w:t>
      </w:r>
      <w:r>
        <w:t xml:space="preserve"> </w:t>
      </w:r>
      <w:r>
        <w:rPr>
          <w:rStyle w:val="VerbatimChar"/>
        </w:rPr>
        <w:t xml:space="preserve">aad</w:t>
      </w:r>
      <w:r>
        <w:t xml:space="preserve">,</w:t>
      </w:r>
      <w:r>
        <w:t xml:space="preserve"> </w:t>
      </w:r>
      <w:r>
        <w:rPr>
          <w:rStyle w:val="VerbatimChar"/>
        </w:rPr>
        <w:t xml:space="preserve">defender</w:t>
      </w:r>
      <w:r>
        <w:t xml:space="preserve">,</w:t>
      </w:r>
      <w:r>
        <w:t xml:space="preserve"> </w:t>
      </w:r>
      <w:r>
        <w:rPr>
          <w:rStyle w:val="VerbatimChar"/>
        </w:rPr>
        <w:t xml:space="preserve">exo</w:t>
      </w:r>
      <w:r>
        <w:t xml:space="preserve">,</w:t>
      </w:r>
      <w:r>
        <w:t xml:space="preserve"> </w:t>
      </w:r>
      <w:r>
        <w:rPr>
          <w:rStyle w:val="VerbatimChar"/>
        </w:rPr>
        <w:t xml:space="preserve">powerbi</w:t>
      </w:r>
      <w:r>
        <w:t xml:space="preserve">,</w:t>
      </w:r>
      <w:r>
        <w:t xml:space="preserve"> </w:t>
      </w:r>
      <w:r>
        <w:rPr>
          <w:rStyle w:val="VerbatimChar"/>
        </w:rPr>
        <w:t xml:space="preserve">powerplatform</w:t>
      </w:r>
      <w:r>
        <w:t xml:space="preserve">,</w:t>
      </w:r>
      <w:r>
        <w:t xml:space="preserve"> </w:t>
      </w:r>
      <w:r>
        <w:rPr>
          <w:rStyle w:val="VerbatimChar"/>
        </w:rPr>
        <w:t xml:space="preserve">sharepoint</w:t>
      </w:r>
      <w:r>
        <w:t xml:space="preserve">,</w:t>
      </w:r>
      <w:r>
        <w:t xml:space="preserve"> </w:t>
      </w:r>
      <w:r>
        <w:rPr>
          <w:rStyle w:val="VerbatimChar"/>
        </w:rPr>
        <w:t xml:space="preserve">teams</w:t>
      </w:r>
    </w:p>
    <w:p>
      <w:pPr>
        <w:pStyle w:val="BodyText"/>
      </w:pPr>
      <w:r>
        <w:rPr>
          <w:b/>
          <w:bCs/>
        </w:rPr>
        <w:t xml:space="preserve">Reads:</w:t>
      </w:r>
      <w:r>
        <w:t xml:space="preserve"> </w:t>
      </w:r>
      <w:r>
        <w:t xml:space="preserve">ScubaGear PowerShell assessment output (JSON), OPA/Rego policy evaluation results. Requires</w:t>
      </w:r>
      <w:r>
        <w:t xml:space="preserve"> </w:t>
      </w:r>
      <w:r>
        <w:rPr>
          <w:rStyle w:val="VerbatimChar"/>
        </w:rPr>
        <w:t xml:space="preserve">powershell-7.4</w:t>
      </w:r>
      <w:r>
        <w:t xml:space="preserve"> </w:t>
      </w:r>
      <w:r>
        <w:t xml:space="preserve">runtime on the runner.</w:t>
      </w:r>
      <w:r>
        <w:t xml:space="preserve"> </w:t>
      </w:r>
      <w:r>
        <w:rPr>
          <w:b/>
          <w:bCs/>
        </w:rPr>
        <w:t xml:space="preserve">Emits:</w:t>
      </w:r>
      <w:r>
        <w:t xml:space="preserve"> </w:t>
      </w:r>
      <w:r>
        <w:t xml:space="preserve">KSI-mapped Evidence objects, DriftState records, EvidenceBundle suitable for direct</w:t>
      </w:r>
      <w:r>
        <w:t xml:space="preserve"> </w:t>
      </w:r>
      <w:r>
        <w:rPr>
          <w:rStyle w:val="VerbatimChar"/>
        </w:rPr>
        <w:t xml:space="preserve">build_sar()</w:t>
      </w:r>
      <w:r>
        <w:t xml:space="preserve"> </w:t>
      </w:r>
      <w:r>
        <w:t xml:space="preserve">consumption. The most complete OSCAL pipeline in the ecosystem.</w:t>
      </w:r>
      <w:r>
        <w:t xml:space="preserve"> </w:t>
      </w:r>
      <w:r>
        <w:rPr>
          <w:b/>
          <w:bCs/>
        </w:rPr>
        <w:t xml:space="preserve">Does NOT:</w:t>
      </w:r>
      <w:r>
        <w:t xml:space="preserve"> </w:t>
      </w:r>
      <w:r>
        <w:t xml:space="preserve">modify M365 tenant configuration (that’s the</w:t>
      </w:r>
      <w:r>
        <w:t xml:space="preserve"> </w:t>
      </w:r>
      <w:r>
        <w:rPr>
          <w:rStyle w:val="VerbatimChar"/>
        </w:rPr>
        <w:t xml:space="preserve">scuba</w:t>
      </w:r>
      <w:r>
        <w:t xml:space="preserve"> </w:t>
      </w:r>
      <w:r>
        <w:t xml:space="preserve">modernization adapter), execute arbitrary PowerShell, or access tenant data beyond what ScubaGear itself reads.</w:t>
      </w:r>
    </w:p>
    <w:bookmarkEnd w:id="17"/>
    <w:bookmarkStart w:id="18" w:name="controls"/>
    <w:p>
      <w:pPr>
        <w:pStyle w:val="Heading2"/>
      </w:pPr>
      <w:r>
        <w:t xml:space="preserve">Controls</w:t>
      </w:r>
    </w:p>
    <w:p>
      <w:pPr>
        <w:pStyle w:val="FirstParagraph"/>
      </w:pPr>
      <w:r>
        <w:t xml:space="preserve">NIST SP 800-53 Rev 5 controls this adapter supports:</w:t>
      </w:r>
      <w:r>
        <w:t xml:space="preserve"> </w:t>
      </w:r>
      <w:r>
        <w:rPr>
          <w:rStyle w:val="VerbatimChar"/>
        </w:rPr>
        <w:t xml:space="preserve">CA-2</w:t>
      </w:r>
      <w:r>
        <w:t xml:space="preserve">,</w:t>
      </w:r>
      <w:r>
        <w:t xml:space="preserve"> </w:t>
      </w:r>
      <w:r>
        <w:rPr>
          <w:rStyle w:val="VerbatimChar"/>
        </w:rPr>
        <w:t xml:space="preserve">CA-5</w:t>
      </w:r>
      <w:r>
        <w:t xml:space="preserve">,</w:t>
      </w:r>
      <w:r>
        <w:t xml:space="preserve"> </w:t>
      </w:r>
      <w:r>
        <w:rPr>
          <w:rStyle w:val="VerbatimChar"/>
        </w:rPr>
        <w:t xml:space="preserve">CA-7</w:t>
      </w:r>
      <w:r>
        <w:t xml:space="preserve">,</w:t>
      </w:r>
      <w:r>
        <w:t xml:space="preserve"> </w:t>
      </w:r>
      <w:r>
        <w:rPr>
          <w:rStyle w:val="VerbatimChar"/>
        </w:rPr>
        <w:t xml:space="preserve">CM-6</w:t>
      </w:r>
      <w:r>
        <w:t xml:space="preserve">,</w:t>
      </w:r>
      <w:r>
        <w:t xml:space="preserve"> </w:t>
      </w:r>
      <w:r>
        <w:rPr>
          <w:rStyle w:val="VerbatimChar"/>
        </w:rPr>
        <w:t xml:space="preserve">CM-8</w:t>
      </w:r>
      <w:r>
        <w:t xml:space="preserve">,</w:t>
      </w:r>
      <w:r>
        <w:t xml:space="preserve"> </w:t>
      </w:r>
      <w:r>
        <w:rPr>
          <w:rStyle w:val="VerbatimChar"/>
        </w:rPr>
        <w:t xml:space="preserve">RA-5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Control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Adapter capability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CA-2</w:t>
            </w:r>
            <w:r>
              <w:t xml:space="preserve"> </w:t>
            </w:r>
            <w:r>
              <w:t xml:space="preserve">Security Assessments</w:t>
            </w:r>
          </w:p>
        </w:tc>
        <w:tc>
          <w:tcPr/>
          <w:p>
            <w:pPr>
              <w:pStyle w:val="Compact"/>
            </w:pPr>
            <w:r>
              <w:t xml:space="preserve">Primary</w:t>
            </w:r>
          </w:p>
        </w:tc>
        <w:tc>
          <w:tcPr/>
          <w:p>
            <w:pPr>
              <w:pStyle w:val="Compact"/>
            </w:pPr>
            <w:r>
              <w:t xml:space="preserve">Automated SCuBA assessment produces complete security evaluation across 7 M365 workloads.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CA-5</w:t>
            </w:r>
            <w:r>
              <w:t xml:space="preserve"> </w:t>
            </w:r>
            <w:r>
              <w:t xml:space="preserve">Plan of Action and Milestones</w:t>
            </w:r>
          </w:p>
        </w:tc>
        <w:tc>
          <w:tcPr/>
          <w:p>
            <w:pPr>
              <w:pStyle w:val="Compact"/>
            </w:pPr>
            <w:r>
              <w:t xml:space="preserve">Supporting</w:t>
            </w:r>
          </w:p>
        </w:tc>
        <w:tc>
          <w:tcPr/>
          <w:p>
            <w:pPr>
              <w:pStyle w:val="Compact"/>
            </w:pPr>
            <w:r>
              <w:t xml:space="preserve">Assessment findings feed POA&amp;M generation via the OSCAL pipeline.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CA-7</w:t>
            </w:r>
            <w:r>
              <w:t xml:space="preserve"> </w:t>
            </w:r>
            <w:r>
              <w:t xml:space="preserve">Continuous Monitoring</w:t>
            </w:r>
          </w:p>
        </w:tc>
        <w:tc>
          <w:tcPr/>
          <w:p>
            <w:pPr>
              <w:pStyle w:val="Compact"/>
            </w:pPr>
            <w:r>
              <w:t xml:space="preserve">Primary</w:t>
            </w:r>
          </w:p>
        </w:tc>
        <w:tc>
          <w:tcPr/>
          <w:p>
            <w:pPr>
              <w:pStyle w:val="Compact"/>
            </w:pPr>
            <w:r>
              <w:t xml:space="preserve">Scheduled assessment runs (monthly per CONMON.md cadence) provide continuous posture evidence.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CM-6</w:t>
            </w:r>
            <w:r>
              <w:t xml:space="preserve"> </w:t>
            </w:r>
            <w:r>
              <w:t xml:space="preserve">Configuration Settings</w:t>
            </w:r>
          </w:p>
        </w:tc>
        <w:tc>
          <w:tcPr/>
          <w:p>
            <w:pPr>
              <w:pStyle w:val="Compact"/>
            </w:pPr>
            <w:r>
              <w:t xml:space="preserve">Primary</w:t>
            </w:r>
          </w:p>
        </w:tc>
        <w:tc>
          <w:tcPr/>
          <w:p>
            <w:pPr>
              <w:pStyle w:val="Compact"/>
            </w:pPr>
            <w:r>
              <w:t xml:space="preserve">Evaluates 150+ configuration settings against SCuBA baseline policies via OPA/Rego.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CM-8</w:t>
            </w:r>
            <w:r>
              <w:t xml:space="preserve"> </w:t>
            </w:r>
            <w:r>
              <w:t xml:space="preserve">Information System Component Inventory</w:t>
            </w:r>
          </w:p>
        </w:tc>
        <w:tc>
          <w:tcPr/>
          <w:p>
            <w:pPr>
              <w:pStyle w:val="Compact"/>
            </w:pPr>
            <w:r>
              <w:t xml:space="preserve">Supporting</w:t>
            </w:r>
          </w:p>
        </w:tc>
        <w:tc>
          <w:tcPr/>
          <w:p>
            <w:pPr>
              <w:pStyle w:val="Compact"/>
            </w:pPr>
            <w:r>
              <w:t xml:space="preserve">Workload enumeration inventories the M365 components under assessment.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RA-5</w:t>
            </w:r>
            <w:r>
              <w:t xml:space="preserve"> </w:t>
            </w:r>
            <w:r>
              <w:t xml:space="preserve">Vulnerability Scanning</w:t>
            </w:r>
          </w:p>
        </w:tc>
        <w:tc>
          <w:tcPr/>
          <w:p>
            <w:pPr>
              <w:pStyle w:val="Compact"/>
            </w:pPr>
            <w:r>
              <w:t xml:space="preserve">Supporting</w:t>
            </w:r>
          </w:p>
        </w:tc>
        <w:tc>
          <w:tcPr/>
          <w:p>
            <w:pPr>
              <w:pStyle w:val="Compact"/>
            </w:pPr>
            <w:r>
              <w:t xml:space="preserve">Configuration misalignments detected by SCuBA serve as vulnerability-adjacent findings.</w:t>
            </w:r>
          </w:p>
        </w:tc>
      </w:tr>
    </w:tbl>
    <w:bookmarkEnd w:id="18"/>
    <w:bookmarkStart w:id="19" w:name="operational-profile"/>
    <w:p>
      <w:pPr>
        <w:pStyle w:val="Heading2"/>
      </w:pPr>
      <w:r>
        <w:t xml:space="preserve">Operational profile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powershell-7.4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 pin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1.5.1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Runner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github-hosted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Tenancy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per-customer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Evidence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interval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Retention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3</w:t>
            </w:r>
            <w:r>
              <w:t xml:space="preserve"> </w:t>
            </w:r>
            <w:r>
              <w:t xml:space="preserve">year(s)</w:t>
            </w:r>
          </w:p>
        </w:tc>
      </w:tr>
    </w:tbl>
    <w:bookmarkEnd w:id="19"/>
    <w:bookmarkStart w:id="20" w:name="canon-invariants"/>
    <w:p>
      <w:pPr>
        <w:pStyle w:val="Heading2"/>
      </w:pPr>
      <w:r>
        <w:t xml:space="preserve">Canon invariants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gcc-boundary: gcc-moderate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ssot-mutation: never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certificate-anchored: true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object-identity-only: true</w:t>
      </w:r>
    </w:p>
    <w:bookmarkEnd w:id="20"/>
    <w:bookmarkStart w:id="21" w:name="notes-from-canon"/>
    <w:p>
      <w:pPr>
        <w:pStyle w:val="Heading2"/>
      </w:pPr>
      <w:r>
        <w:t xml:space="preserve">Notes from canon</w:t>
      </w:r>
    </w:p>
    <w:p>
      <w:pPr>
        <w:pStyle w:val="FirstParagraph"/>
      </w:pPr>
      <w:r>
        <w:t xml:space="preserve">Paired with modernization adapter</w:t>
      </w:r>
      <w:r>
        <w:t xml:space="preserve"> </w:t>
      </w:r>
      <w:r>
        <w:rPr>
          <w:rStyle w:val="VerbatimChar"/>
        </w:rPr>
        <w:t xml:space="preserve">scuba</w:t>
      </w:r>
      <w:r>
        <w:t xml:space="preserve"> </w:t>
      </w:r>
      <w:r>
        <w:t xml:space="preserve">(canon/modernization-registry.yaml) which applies the baseline that ScubaGear assesses. Pin policy: track main + monthly pin bump as Routine Recurring Change per CONMON.md §6.</w:t>
      </w:r>
    </w:p>
    <w:bookmarkEnd w:id="21"/>
    <w:bookmarkStart w:id="22" w:name="references"/>
    <w:p>
      <w:pPr>
        <w:pStyle w:val="Heading2"/>
      </w:pPr>
      <w:r>
        <w:t xml:space="preserve">References</w:t>
      </w:r>
    </w:p>
    <w:p>
      <w:pPr>
        <w:pStyle w:val="Compact"/>
        <w:numPr>
          <w:ilvl w:val="0"/>
          <w:numId w:val="1002"/>
        </w:numPr>
      </w:pPr>
      <w:r>
        <w:t xml:space="preserve">UIAO-CANON-002</w:t>
      </w:r>
    </w:p>
    <w:p>
      <w:pPr>
        <w:pStyle w:val="Compact"/>
        <w:numPr>
          <w:ilvl w:val="0"/>
          <w:numId w:val="1002"/>
        </w:numPr>
      </w:pPr>
      <w:r>
        <w:t xml:space="preserve">UIAO-CANON-003</w:t>
      </w:r>
    </w:p>
    <w:p>
      <w:pPr>
        <w:pStyle w:val="Compact"/>
        <w:numPr>
          <w:ilvl w:val="0"/>
          <w:numId w:val="1002"/>
        </w:numPr>
      </w:pPr>
      <w:r>
        <w:t xml:space="preserve">ADR-025</w:t>
      </w:r>
    </w:p>
    <w:p>
      <w:pPr>
        <w:pStyle w:val="Compact"/>
        <w:numPr>
          <w:ilvl w:val="0"/>
          <w:numId w:val="1002"/>
        </w:numPr>
      </w:pPr>
      <w:r>
        <w:t xml:space="preserve">https://github.com/cisagov/ScubaGear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Generated by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uiao/tools/sync_canon.py</w:t>
      </w:r>
      <w:r>
        <w:rPr>
          <w:i/>
          <w:iCs/>
        </w:rPr>
        <w:t xml:space="preserve">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uiao/ARCHITECTURE.md</w:t>
      </w:r>
      <w:r>
        <w:rPr>
          <w:i/>
          <w:iCs/>
        </w:rPr>
        <w:t xml:space="preserve"> </w:t>
      </w:r>
      <w:r>
        <w:rPr>
          <w:i/>
          <w:iCs/>
        </w:rPr>
        <w:t xml:space="preserve">§4 for the cross-repo sync contract.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uiao-docs/_quarto.yml</w:t>
      </w:r>
      <w:r>
        <w:rPr>
          <w:i/>
          <w:iCs/>
        </w:rPr>
        <w:t xml:space="preserve"> </w:t>
      </w:r>
      <w:r>
        <w:rPr>
          <w:i/>
          <w:iCs/>
        </w:rPr>
        <w:t xml:space="preserve">for rendering configuration.</w:t>
      </w:r>
    </w:p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2" Target="media/rId12.png" /><Relationship Type="http://schemas.openxmlformats.org/officeDocument/2006/relationships/hyperlink" Id="rId15" Target="https://github.com/cisagov/ScubaGea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5" Target="https://github.com/cisagov/ScubaGea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CISA ScubaGear (M365 SCuBA Assessor) — Adapter Technical Specification</dc:title>
  <dc:creator/>
  <cp:keywords/>
  <dcterms:created xsi:type="dcterms:W3CDTF">2026-05-06T19:44:23Z</dcterms:created>
  <dcterms:modified xsi:type="dcterms:W3CDTF">2026-05-06T19:44:23Z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apter-class">
    <vt:lpwstr>conformance</vt:lpwstr>
  </property>
  <property fmtid="{D5CDD505-2E9C-101B-9397-08002B2CF9AE}" pid="3" name="adapter-id">
    <vt:lpwstr>scubagear</vt:lpwstr>
  </property>
  <property fmtid="{D5CDD505-2E9C-101B-9397-08002B2CF9AE}" pid="4" name="biblio-config">
    <vt:lpwstr>True</vt:lpwstr>
  </property>
  <property fmtid="{D5CDD505-2E9C-101B-9397-08002B2CF9AE}" pid="5" name="canon-source">
    <vt:lpwstr>canon/adapter-registry.yaml</vt:lpwstr>
  </property>
  <property fmtid="{D5CDD505-2E9C-101B-9397-08002B2CF9AE}" pid="6" name="derived-from">
    <vt:lpwstr>uiao/canon (sync_canon.py)</vt:lpwstr>
  </property>
  <property fmtid="{D5CDD505-2E9C-101B-9397-08002B2CF9AE}" pid="7" name="doc-type">
    <vt:lpwstr>ats</vt:lpwstr>
  </property>
  <property fmtid="{D5CDD505-2E9C-101B-9397-08002B2CF9AE}" pid="8" name="engines">
    <vt:lpwstr/>
  </property>
  <property fmtid="{D5CDD505-2E9C-101B-9397-08002B2CF9AE}" pid="9" name="gcc-boundary">
    <vt:lpwstr>gcc-moderate</vt:lpwstr>
  </property>
  <property fmtid="{D5CDD505-2E9C-101B-9397-08002B2CF9AE}" pid="10" name="generated">
    <vt:lpwstr>2026-04-14</vt:lpwstr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labels">
    <vt:lpwstr/>
  </property>
  <property fmtid="{D5CDD505-2E9C-101B-9397-08002B2CF9AE}" pid="15" name="mission-class">
    <vt:lpwstr>policy</vt:lpwstr>
  </property>
  <property fmtid="{D5CDD505-2E9C-101B-9397-08002B2CF9AE}" pid="16" name="phase">
    <vt:lpwstr>phase-1</vt:lpwstr>
  </property>
  <property fmtid="{D5CDD505-2E9C-101B-9397-08002B2CF9AE}" pid="17" name="status">
    <vt:lpwstr>active</vt:lpwstr>
  </property>
  <property fmtid="{D5CDD505-2E9C-101B-9397-08002B2CF9AE}" pid="18" name="toc-title">
    <vt:lpwstr>Table of contents</vt:lpwstr>
  </property>
</Properties>
</file>