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ServiceNow (Ticketing / ITSM) — Adapter Technical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a7166f35cab34d655ba8ced1e055fe96ae0fa37"/>
    <w:p>
      <w:pPr>
        <w:pStyle w:val="Heading1"/>
      </w:pPr>
      <w:r>
        <w:t xml:space="preserve">ServiceNow (Ticketing / ITSM) — Adapter Technical Specification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active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modernization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integration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phase-1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canon/modernization-registry.yaml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 — awaiting authored content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document is a stub. Replace every</w:t>
            </w:r>
            <w:r>
              <w:t xml:space="preserve"> </w:t>
            </w:r>
            <w:r>
              <w:rPr>
                <w:rStyle w:val="VerbatimChar"/>
              </w:rPr>
              <w:t xml:space="preserve">_TODO — ..._</w:t>
            </w:r>
            <w:r>
              <w:t xml:space="preserve"> </w:t>
            </w:r>
            <w:r>
              <w:t xml:space="preserve">block with authored content that is consistent with UIAO canon. Canon invariants (</w:t>
            </w:r>
            <w:r>
              <w:rPr>
                <w:rStyle w:val="VerbatimChar"/>
              </w:rPr>
              <w:t xml:space="preserve">gcc-boundary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ssot-mutation: never</w:t>
            </w:r>
            <w:r>
              <w:t xml:space="preserve">, etc.) must never be contradicted.</w:t>
            </w:r>
          </w:p>
          <w:p/>
        </w:tc>
      </w:tr>
    </w:tbl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 ServiceNow Adapter is an</w:t>
      </w:r>
      <w:r>
        <w:t xml:space="preserve"> </w:t>
      </w:r>
      <w:r>
        <w:rPr>
          <w:b/>
          <w:bCs/>
        </w:rPr>
        <w:t xml:space="preserve">integration-class</w:t>
      </w:r>
      <w:r>
        <w:t xml:space="preserve"> </w:t>
      </w:r>
      <w:r>
        <w:t xml:space="preserve">modernization adapter that creates alignments between ServiceNow ITSM records and the UIAO canonical claim schema. It is intentionally lightweight (</w:t>
      </w:r>
      <w:r>
        <w:t xml:space="preserve">“DNS-style”</w:t>
      </w:r>
      <w:r>
        <w:t xml:space="preserve">) — it resolves how to reach the data and maps it to canonical form, but does NOT perform heavy OSCAL conversion (that happens downstream in</w:t>
      </w:r>
      <w:r>
        <w:t xml:space="preserve"> </w:t>
      </w:r>
      <w:r>
        <w:rPr>
          <w:rStyle w:val="VerbatimChar"/>
        </w:rPr>
        <w:t xml:space="preserve">generators/</w:t>
      </w:r>
      <w:r>
        <w:t xml:space="preserve">).</w:t>
      </w:r>
    </w:p>
    <w:p>
      <w:pPr>
        <w:pStyle w:val="BodyText"/>
      </w:pPr>
      <w:r>
        <w:t xml:space="preserve">Key capabilities: incident ticket normalization with UIAO control mapping (</w:t>
      </w:r>
      <w:r>
        <w:rPr>
          <w:rStyle w:val="VerbatimChar"/>
        </w:rPr>
        <w:t xml:space="preserve">uiao_control_id</w:t>
      </w:r>
      <w:r>
        <w:t xml:space="preserve"> </w:t>
      </w:r>
      <w:r>
        <w:t xml:space="preserve">custom field), change request tracking, problem record alignment, and vendor-overlay reference generation. Uses the</w:t>
      </w:r>
      <w:r>
        <w:t xml:space="preserve"> </w:t>
      </w:r>
      <w:r>
        <w:rPr>
          <w:rStyle w:val="VerbatimChar"/>
        </w:rPr>
        <w:t xml:space="preserve">ServiceNowCollector</w:t>
      </w:r>
      <w:r>
        <w:t xml:space="preserve"> </w:t>
      </w:r>
      <w:r>
        <w:t xml:space="preserve">(real Table API collector with requests) for data retrieval.</w:t>
      </w:r>
    </w:p>
    <w:p>
      <w:pPr>
        <w:pStyle w:val="BodyText"/>
      </w:pPr>
      <w:r>
        <w:rPr>
          <w:b/>
          <w:bCs/>
        </w:rPr>
        <w:t xml:space="preserve">Implementation:</w:t>
      </w:r>
      <w:r>
        <w:t xml:space="preserve"> </w:t>
      </w:r>
      <w:r>
        <w:rPr>
          <w:rStyle w:val="VerbatimChar"/>
        </w:rPr>
        <w:t xml:space="preserve">uiao/src/uiao/adapters/servicenow_adapter.py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collectors/servicenow_collector.py</w:t>
      </w:r>
      <w:r>
        <w:t xml:space="preserve"> </w:t>
      </w:r>
      <w:r>
        <w:t xml:space="preserve">(117 lines, real API). 18 behavioral tests against realistic fixtures.</w:t>
      </w:r>
    </w:p>
    <w:bookmarkEnd w:id="15"/>
    <w:bookmarkStart w:id="16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rStyle w:val="VerbatimChar"/>
        </w:rPr>
        <w:t xml:space="preserve">incident-tickets</w:t>
      </w:r>
      <w:r>
        <w:t xml:space="preserve">,</w:t>
      </w:r>
      <w:r>
        <w:t xml:space="preserve"> </w:t>
      </w:r>
      <w:r>
        <w:rPr>
          <w:rStyle w:val="VerbatimChar"/>
        </w:rPr>
        <w:t xml:space="preserve">change-requests</w:t>
      </w:r>
      <w:r>
        <w:t xml:space="preserve">,</w:t>
      </w:r>
      <w:r>
        <w:t xml:space="preserve"> </w:t>
      </w:r>
      <w:r>
        <w:rPr>
          <w:rStyle w:val="VerbatimChar"/>
        </w:rPr>
        <w:t xml:space="preserve">problem-records</w:t>
      </w:r>
    </w:p>
    <w:p>
      <w:pPr>
        <w:pStyle w:val="BodyText"/>
      </w:pPr>
      <w:r>
        <w:rPr>
          <w:b/>
          <w:bCs/>
        </w:rPr>
        <w:t xml:space="preserve">Reads:</w:t>
      </w:r>
      <w:r>
        <w:t xml:space="preserve"> </w:t>
      </w:r>
      <w:r>
        <w:t xml:space="preserve">ServiceNow Table API (</w:t>
      </w:r>
      <w:r>
        <w:rPr>
          <w:rStyle w:val="VerbatimChar"/>
        </w:rPr>
        <w:t xml:space="preserve">/api/now/table/{table}</w:t>
      </w:r>
      <w:r>
        <w:t xml:space="preserve">) for incidents, changes, problems. Custom field</w:t>
      </w:r>
      <w:r>
        <w:t xml:space="preserve"> </w:t>
      </w:r>
      <w:r>
        <w:rPr>
          <w:rStyle w:val="VerbatimChar"/>
        </w:rPr>
        <w:t xml:space="preserve">uiao_control_id</w:t>
      </w:r>
      <w:r>
        <w:t xml:space="preserve"> </w:t>
      </w:r>
      <w:r>
        <w:t xml:space="preserve">maps records to NIST 800-53 controls (defaults to AC-2 if unmapped).</w:t>
      </w:r>
      <w:r>
        <w:t xml:space="preserve"> </w:t>
      </w:r>
      <w:r>
        <w:rPr>
          <w:b/>
          <w:bCs/>
        </w:rPr>
        <w:t xml:space="preserve">Emits:</w:t>
      </w:r>
      <w:r>
        <w:t xml:space="preserve"> </w:t>
      </w:r>
      <w:r>
        <w:rPr>
          <w:rStyle w:val="VerbatimChar"/>
        </w:rPr>
        <w:t xml:space="preserve">ClaimSet</w:t>
      </w:r>
      <w:r>
        <w:t xml:space="preserve"> </w:t>
      </w:r>
      <w:r>
        <w:t xml:space="preserve">with one</w:t>
      </w:r>
      <w:r>
        <w:t xml:space="preserve"> </w:t>
      </w:r>
      <w:r>
        <w:rPr>
          <w:rStyle w:val="VerbatimChar"/>
        </w:rPr>
        <w:t xml:space="preserve">ClaimObject</w:t>
      </w:r>
      <w:r>
        <w:t xml:space="preserve"> </w:t>
      </w:r>
      <w:r>
        <w:t xml:space="preserve">per ITSM record,</w:t>
      </w:r>
      <w:r>
        <w:t xml:space="preserve"> </w:t>
      </w:r>
      <w:r>
        <w:rPr>
          <w:rStyle w:val="VerbatimChar"/>
        </w:rPr>
        <w:t xml:space="preserve">EvidenceObject</w:t>
      </w:r>
      <w:r>
        <w:t xml:space="preserve"> </w:t>
      </w:r>
      <w:r>
        <w:t xml:space="preserve">with KSI provenance.</w:t>
      </w:r>
      <w:r>
        <w:t xml:space="preserve"> </w:t>
      </w:r>
      <w:r>
        <w:rPr>
          <w:b/>
          <w:bCs/>
        </w:rPr>
        <w:t xml:space="preserve">Does NOT:</w:t>
      </w:r>
      <w:r>
        <w:t xml:space="preserve"> </w:t>
      </w:r>
      <w:r>
        <w:t xml:space="preserve">create or modify ServiceNow records (read-only for evidence collection), access attachments or knowledge base articles, store ServiceNow credentials.</w:t>
      </w:r>
    </w:p>
    <w:bookmarkEnd w:id="16"/>
    <w:bookmarkStart w:id="17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IR-4</w:t>
      </w:r>
      <w:r>
        <w:t xml:space="preserve">,</w:t>
      </w:r>
      <w:r>
        <w:t xml:space="preserve"> </w:t>
      </w:r>
      <w:r>
        <w:rPr>
          <w:rStyle w:val="VerbatimChar"/>
        </w:rPr>
        <w:t xml:space="preserve">IR-5</w:t>
      </w:r>
      <w:r>
        <w:t xml:space="preserve">,</w:t>
      </w:r>
      <w:r>
        <w:t xml:space="preserve"> </w:t>
      </w:r>
      <w:r>
        <w:rPr>
          <w:rStyle w:val="VerbatimChar"/>
        </w:rPr>
        <w:t xml:space="preserve">IR-6</w:t>
      </w:r>
      <w:r>
        <w:t xml:space="preserve">,</w:t>
      </w:r>
      <w:r>
        <w:t xml:space="preserve"> </w:t>
      </w:r>
      <w:r>
        <w:rPr>
          <w:rStyle w:val="VerbatimChar"/>
        </w:rPr>
        <w:t xml:space="preserve">CM-3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Control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Adapter capability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IR-4</w:t>
            </w:r>
            <w:r>
              <w:t xml:space="preserve"> </w:t>
            </w:r>
            <w:r>
              <w:t xml:space="preserve">Incident Handling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Incident ticket normalization produces evidence of incident response activity with provenance hashes.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IR-5</w:t>
            </w:r>
            <w:r>
              <w:t xml:space="preserve"> </w:t>
            </w:r>
            <w:r>
              <w:t xml:space="preserve">Incident Monitoring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Ongoing ticket collection provides continuous monitoring evidence of incident volume and resolution.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IR-6</w:t>
            </w:r>
            <w:r>
              <w:t xml:space="preserve"> </w:t>
            </w:r>
            <w:r>
              <w:t xml:space="preserve">Incident Reporting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Normalized incident claims feed downstream OSCAL artifact generation for reporting.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CM-3</w:t>
            </w:r>
            <w:r>
              <w:t xml:space="preserve"> </w:t>
            </w:r>
            <w:r>
              <w:t xml:space="preserve">Configuration Change Control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Change request tracking documents all approved configuration changes with control mapping.</w:t>
            </w:r>
          </w:p>
        </w:tc>
      </w:tr>
    </w:tbl>
    <w:bookmarkEnd w:id="17"/>
    <w:bookmarkStart w:id="18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python-3.12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github-hosted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incident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18"/>
    <w:bookmarkStart w:id="19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object-identity-only: true</w:t>
      </w:r>
    </w:p>
    <w:bookmarkEnd w:id="19"/>
    <w:bookmarkStart w:id="20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rPr>
          <w:i/>
          <w:iCs/>
        </w:rPr>
        <w:t xml:space="preserve">(none)</w:t>
      </w:r>
    </w:p>
    <w:bookmarkEnd w:id="20"/>
    <w:bookmarkStart w:id="21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2"/>
        </w:numPr>
      </w:pPr>
      <w:r>
        <w:t xml:space="preserve">UIAO-CANON-003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ServiceNow (Ticketing / ITSM) — Adapter Technical Specification</dc:title>
  <dc:creator/>
  <cp:keywords/>
  <dcterms:created xsi:type="dcterms:W3CDTF">2026-05-06T19:44:23Z</dcterms:created>
  <dcterms:modified xsi:type="dcterms:W3CDTF">2026-05-06T19:44:23Z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modernization</vt:lpwstr>
  </property>
  <property fmtid="{D5CDD505-2E9C-101B-9397-08002B2CF9AE}" pid="3" name="adapter-id">
    <vt:lpwstr>service-now</vt:lpwstr>
  </property>
  <property fmtid="{D5CDD505-2E9C-101B-9397-08002B2CF9AE}" pid="4" name="aspirational">
    <vt:lpwstr>True</vt:lpwstr>
  </property>
  <property fmtid="{D5CDD505-2E9C-101B-9397-08002B2CF9AE}" pid="5" name="biblio-config">
    <vt:lpwstr>True</vt:lpwstr>
  </property>
  <property fmtid="{D5CDD505-2E9C-101B-9397-08002B2CF9AE}" pid="6" name="canon-source">
    <vt:lpwstr>canon/modernization-registry.yaml</vt:lpwstr>
  </property>
  <property fmtid="{D5CDD505-2E9C-101B-9397-08002B2CF9AE}" pid="7" name="derived-from">
    <vt:lpwstr>uiao/canon (sync_canon.py)</vt:lpwstr>
  </property>
  <property fmtid="{D5CDD505-2E9C-101B-9397-08002B2CF9AE}" pid="8" name="doc-type">
    <vt:lpwstr>ats</vt:lpwstr>
  </property>
  <property fmtid="{D5CDD505-2E9C-101B-9397-08002B2CF9AE}" pid="9" name="engines">
    <vt:lpwstr/>
  </property>
  <property fmtid="{D5CDD505-2E9C-101B-9397-08002B2CF9AE}" pid="10" name="gcc-boundary">
    <vt:lpwstr>gcc-moderate</vt:lpwstr>
  </property>
  <property fmtid="{D5CDD505-2E9C-101B-9397-08002B2CF9AE}" pid="11" name="generated">
    <vt:lpwstr>2026-04-15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mission-class">
    <vt:lpwstr>integration</vt:lpwstr>
  </property>
  <property fmtid="{D5CDD505-2E9C-101B-9397-08002B2CF9AE}" pid="17" name="phase">
    <vt:lpwstr>phase-1</vt:lpwstr>
  </property>
  <property fmtid="{D5CDD505-2E9C-101B-9397-08002B2CF9AE}" pid="18" name="status">
    <vt:lpwstr>active</vt:lpwstr>
  </property>
  <property fmtid="{D5CDD505-2E9C-101B-9397-08002B2CF9AE}" pid="19" name="toc-title">
    <vt:lpwstr>Table of contents</vt:lpwstr>
  </property>
</Properties>
</file>