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Terraform / OpenTofu Evidence Adapter — Adapter Technical Specification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X5fa736ee87e4e26bb0c1eb1a5f3e3cc998d534c"/>
    <w:p>
      <w:pPr>
        <w:pStyle w:val="Heading1"/>
      </w:pPr>
      <w:r>
        <w:t xml:space="preserve">Terraform / OpenTofu Evidence Adapter — Adapter Technical Specification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Canon-derived document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Status:</w:t>
            </w:r>
            <w:r>
              <w:t xml:space="preserve"> </w:t>
            </w:r>
            <w:r>
              <w:rPr>
                <w:rStyle w:val="VerbatimChar"/>
              </w:rPr>
              <w:t xml:space="preserve">reserved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Class:</w:t>
            </w:r>
            <w:r>
              <w:t xml:space="preserve"> </w:t>
            </w:r>
            <w:r>
              <w:rPr>
                <w:rStyle w:val="VerbatimChar"/>
              </w:rPr>
              <w:t xml:space="preserve">modernization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Mission:</w:t>
            </w:r>
            <w:r>
              <w:t xml:space="preserve"> </w:t>
            </w:r>
            <w:r>
              <w:rPr>
                <w:rStyle w:val="VerbatimChar"/>
              </w:rPr>
              <w:t xml:space="preserve">integration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Phase:</w:t>
            </w:r>
            <w:r>
              <w:t xml:space="preserve"> </w:t>
            </w:r>
            <w:r>
              <w:rPr>
                <w:rStyle w:val="VerbatimChar"/>
              </w:rPr>
              <w:t xml:space="preserve">phase-planning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Canon source:</w:t>
            </w:r>
            <w:r>
              <w:t xml:space="preserve"> </w:t>
            </w:r>
            <w:r>
              <w:rPr>
                <w:rStyle w:val="VerbatimChar"/>
              </w:rPr>
              <w:t xml:space="preserve">canon/modernization-registry.yaml</w:t>
            </w:r>
            <w:r>
              <w:t xml:space="preserve"> </w:t>
            </w:r>
            <w:r>
              <w:t xml:space="preserve">(propagated by</w:t>
            </w:r>
            <w:r>
              <w:t xml:space="preserve"> </w:t>
            </w:r>
            <w:r>
              <w:rPr>
                <w:rStyle w:val="VerbatimChar"/>
              </w:rPr>
              <w:t xml:space="preserve">uiao/tools/sync_canon.py</w:t>
            </w:r>
            <w:r>
              <w:t xml:space="preserve">).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YAML frontmatter and this banner are regenerated from canon on every sync.</w:t>
            </w:r>
            <w:r>
              <w:t xml:space="preserve"> </w:t>
            </w:r>
            <w:r>
              <w:rPr>
                <w:b/>
                <w:bCs/>
              </w:rPr>
              <w:t xml:space="preserve">Do not hand-edit.</w:t>
            </w:r>
            <w:r>
              <w:t xml:space="preserve"> </w:t>
            </w:r>
            <w:r>
              <w:t xml:space="preserve">Author new material only below the</w:t>
            </w:r>
            <w:r>
              <w:t xml:space="preserve"> </w:t>
            </w:r>
            <w:r>
              <w:rPr>
                <w:rStyle w:val="VerbatimChar"/>
              </w:rPr>
              <w:t xml:space="preserve">## Overview</w:t>
            </w:r>
            <w:r>
              <w:t xml:space="preserve"> </w:t>
            </w:r>
            <w:r>
              <w:t xml:space="preserve">heading.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Scaffold — awaiting authored content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document is a stub. Replace every</w:t>
            </w:r>
            <w:r>
              <w:t xml:space="preserve"> </w:t>
            </w:r>
            <w:r>
              <w:rPr>
                <w:rStyle w:val="VerbatimChar"/>
              </w:rPr>
              <w:t xml:space="preserve">_TODO — ..._</w:t>
            </w:r>
            <w:r>
              <w:t xml:space="preserve"> </w:t>
            </w:r>
            <w:r>
              <w:t xml:space="preserve">block with authored content that is consistent with UIAO canon. Canon invariants (</w:t>
            </w:r>
            <w:r>
              <w:rPr>
                <w:rStyle w:val="VerbatimChar"/>
              </w:rPr>
              <w:t xml:space="preserve">gcc-boundary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ssot-mutation: never</w:t>
            </w:r>
            <w:r>
              <w:t xml:space="preserve">, etc.) must never be contradicted.</w:t>
            </w:r>
          </w:p>
          <w:p/>
        </w:tc>
      </w:tr>
    </w:tbl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The Terraform / OpenTofu Evidence Adapter is an</w:t>
      </w:r>
      <w:r>
        <w:t xml:space="preserve"> </w:t>
      </w:r>
      <w:r>
        <w:rPr>
          <w:b/>
          <w:bCs/>
        </w:rPr>
        <w:t xml:space="preserve">integration-class</w:t>
      </w:r>
      <w:r>
        <w:t xml:space="preserve"> </w:t>
      </w:r>
      <w:r>
        <w:t xml:space="preserve">modernization adapter that consumes Terraform and OpenTofu artifacts — state files (</w:t>
      </w:r>
      <w:r>
        <w:rPr>
          <w:rStyle w:val="VerbatimChar"/>
        </w:rPr>
        <w:t xml:space="preserve">.tfstate</w:t>
      </w:r>
      <w:r>
        <w:t xml:space="preserve">), plan output (</w:t>
      </w:r>
      <w:r>
        <w:rPr>
          <w:rStyle w:val="VerbatimChar"/>
        </w:rPr>
        <w:t xml:space="preserve">terraform plan -json</w:t>
      </w:r>
      <w:r>
        <w:t xml:space="preserve">), and HCL configuration files (</w:t>
      </w:r>
      <w:r>
        <w:rPr>
          <w:rStyle w:val="VerbatimChar"/>
        </w:rPr>
        <w:t xml:space="preserve">.tf</w:t>
      </w:r>
      <w:r>
        <w:t xml:space="preserve">) — to produce object-keyed canonical claims with KSI-anchored provenance.</w:t>
      </w:r>
    </w:p>
    <w:p>
      <w:pPr>
        <w:pStyle w:val="BodyText"/>
      </w:pPr>
      <w:r>
        <w:t xml:space="preserve">This adapter serves three primary functions within the UIAO governance perimeter: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State extraction.</w:t>
      </w:r>
      <w:r>
        <w:t xml:space="preserve"> </w:t>
      </w:r>
      <w:r>
        <w:t xml:space="preserve">Parses Terraform v4 state files to enumerate all managed resources across providers (AWS, Azure, GCP, etc.), producing one</w:t>
      </w:r>
      <w:r>
        <w:t xml:space="preserve"> </w:t>
      </w:r>
      <w:r>
        <w:rPr>
          <w:rStyle w:val="VerbatimChar"/>
        </w:rPr>
        <w:t xml:space="preserve">ClaimObject</w:t>
      </w:r>
      <w:r>
        <w:t xml:space="preserve"> </w:t>
      </w:r>
      <w:r>
        <w:t xml:space="preserve">per resource with full attribute preservation and deterministic provenance hashes.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Plan consumption.</w:t>
      </w:r>
      <w:r>
        <w:t xml:space="preserve"> </w:t>
      </w:r>
      <w:r>
        <w:t xml:space="preserve">Ingests</w:t>
      </w:r>
      <w:r>
        <w:t xml:space="preserve"> </w:t>
      </w:r>
      <w:r>
        <w:rPr>
          <w:rStyle w:val="VerbatimChar"/>
        </w:rPr>
        <w:t xml:space="preserve">terraform plan -json</w:t>
      </w:r>
      <w:r>
        <w:t xml:space="preserve"> </w:t>
      </w:r>
      <w:r>
        <w:t xml:space="preserve">output and maps each planned action (create, update, delete) to a severity-rated</w:t>
      </w:r>
      <w:r>
        <w:t xml:space="preserve"> </w:t>
      </w:r>
      <w:r>
        <w:rPr>
          <w:rStyle w:val="VerbatimChar"/>
        </w:rPr>
        <w:t xml:space="preserve">DriftReport</w:t>
      </w:r>
      <w:r>
        <w:t xml:space="preserve">, which feeds downstream POA&amp;M generation via the OSCAL pipeline.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Three-way drift detection.</w:t>
      </w:r>
      <w:r>
        <w:t xml:space="preserve"> </w:t>
      </w:r>
      <w:r>
        <w:t xml:space="preserve">Compares live system state (from a companion adapter), Terraform state, and HCL configuration to identify misalignments across all three sources — the most comprehensive drift analysis in the adapter family.</w:t>
      </w:r>
    </w:p>
    <w:p>
      <w:pPr>
        <w:pStyle w:val="FirstParagraph"/>
      </w:pPr>
      <w:r>
        <w:t xml:space="preserve">The adapter never invokes the</w:t>
      </w:r>
      <w:r>
        <w:t xml:space="preserve"> </w:t>
      </w:r>
      <w:r>
        <w:rPr>
          <w:rStyle w:val="VerbatimChar"/>
        </w:rPr>
        <w:t xml:space="preserve">terraform</w:t>
      </w:r>
      <w:r>
        <w:t xml:space="preserve"> </w:t>
      </w:r>
      <w:r>
        <w:t xml:space="preserve">CLI directly. It parses the output files that the CLI produces, maintaining a clean separation between infrastructure execution and governance observation.</w:t>
      </w:r>
    </w:p>
    <w:p>
      <w:pPr>
        <w:pStyle w:val="BodyText"/>
      </w:pPr>
      <w:r>
        <w:rPr>
          <w:b/>
          <w:bCs/>
        </w:rPr>
        <w:t xml:space="preserve">Implementation:</w:t>
      </w:r>
      <w:r>
        <w:t xml:space="preserve"> </w:t>
      </w:r>
      <w:r>
        <w:rPr>
          <w:rStyle w:val="VerbatimChar"/>
        </w:rPr>
        <w:t xml:space="preserve">uiao/src/uiao/adapters/terraform_adapter.py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terraform_parser.py</w:t>
      </w:r>
      <w:r>
        <w:t xml:space="preserve"> </w:t>
      </w:r>
      <w:r>
        <w:t xml:space="preserve">(real parsing, not stubs). End-to-end OSCAL SAR generation proven via 7 integration tests.</w:t>
      </w:r>
    </w:p>
    <w:bookmarkEnd w:id="15"/>
    <w:bookmarkStart w:id="16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Target surfaces / subsystems:</w:t>
      </w:r>
      <w:r>
        <w:t xml:space="preserve"> </w:t>
      </w:r>
      <w:r>
        <w:rPr>
          <w:rStyle w:val="VerbatimChar"/>
        </w:rPr>
        <w:t xml:space="preserve">terraform-state</w:t>
      </w:r>
      <w:r>
        <w:t xml:space="preserve">,</w:t>
      </w:r>
      <w:r>
        <w:t xml:space="preserve"> </w:t>
      </w:r>
      <w:r>
        <w:rPr>
          <w:rStyle w:val="VerbatimChar"/>
        </w:rPr>
        <w:t xml:space="preserve">terraform-plan</w:t>
      </w:r>
      <w:r>
        <w:t xml:space="preserve">,</w:t>
      </w:r>
      <w:r>
        <w:t xml:space="preserve"> </w:t>
      </w:r>
      <w:r>
        <w:rPr>
          <w:rStyle w:val="VerbatimChar"/>
        </w:rPr>
        <w:t xml:space="preserve">hcl-configuration</w:t>
      </w:r>
    </w:p>
    <w:p>
      <w:pPr>
        <w:pStyle w:val="BodyText"/>
      </w:pPr>
      <w:r>
        <w:rPr>
          <w:b/>
          <w:bCs/>
        </w:rPr>
        <w:t xml:space="preserve">What the adapter reads:</w:t>
      </w:r>
    </w:p>
    <w:p>
      <w:pPr>
        <w:pStyle w:val="Compact"/>
        <w:numPr>
          <w:ilvl w:val="0"/>
          <w:numId w:val="1002"/>
        </w:numPr>
      </w:pPr>
      <w:r>
        <w:t xml:space="preserve">Terraform v4 state files (JSON) — local files, S3 backends, or Terraform Cloud state URLs</w:t>
      </w:r>
    </w:p>
    <w:p>
      <w:pPr>
        <w:pStyle w:val="Compact"/>
        <w:numPr>
          <w:ilvl w:val="0"/>
          <w:numId w:val="1002"/>
        </w:numPr>
      </w:pPr>
      <w:r>
        <w:t xml:space="preserve">Terraform plan output (JSON from</w:t>
      </w:r>
      <w:r>
        <w:t xml:space="preserve"> </w:t>
      </w:r>
      <w:r>
        <w:rPr>
          <w:rStyle w:val="VerbatimChar"/>
        </w:rPr>
        <w:t xml:space="preserve">terraform plan -json</w:t>
      </w:r>
      <w:r>
        <w:t xml:space="preserve">) — planned infrastructure changes</w:t>
      </w:r>
    </w:p>
    <w:p>
      <w:pPr>
        <w:pStyle w:val="Compact"/>
        <w:numPr>
          <w:ilvl w:val="0"/>
          <w:numId w:val="1002"/>
        </w:numPr>
      </w:pPr>
      <w:r>
        <w:t xml:space="preserve">HCL2 configuration files (</w:t>
      </w:r>
      <w:r>
        <w:rPr>
          <w:rStyle w:val="VerbatimChar"/>
        </w:rPr>
        <w:t xml:space="preserve">.tf</w:t>
      </w:r>
      <w:r>
        <w:t xml:space="preserve">) — desired-state declarations parsed via</w:t>
      </w:r>
      <w:r>
        <w:t xml:space="preserve"> </w:t>
      </w:r>
      <w:r>
        <w:rPr>
          <w:rStyle w:val="VerbatimChar"/>
        </w:rPr>
        <w:t xml:space="preserve">python-hcl2</w:t>
      </w:r>
    </w:p>
    <w:p>
      <w:pPr>
        <w:pStyle w:val="FirstParagraph"/>
      </w:pPr>
      <w:r>
        <w:rPr>
          <w:b/>
          <w:bCs/>
        </w:rPr>
        <w:t xml:space="preserve">What the adapter emits: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ClaimSet</w:t>
      </w:r>
      <w:r>
        <w:t xml:space="preserve"> </w:t>
      </w:r>
      <w:r>
        <w:t xml:space="preserve">with one</w:t>
      </w:r>
      <w:r>
        <w:t xml:space="preserve"> </w:t>
      </w:r>
      <w:r>
        <w:rPr>
          <w:rStyle w:val="VerbatimChar"/>
        </w:rPr>
        <w:t xml:space="preserve">ClaimObject</w:t>
      </w:r>
      <w:r>
        <w:t xml:space="preserve"> </w:t>
      </w:r>
      <w:r>
        <w:t xml:space="preserve">per managed resource (from state or HCL)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DriftReport</w:t>
      </w:r>
      <w:r>
        <w:t xml:space="preserve"> </w:t>
      </w:r>
      <w:r>
        <w:t xml:space="preserve">with per-resource planned changes and severity ratings (from plan)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EvidenceObject</w:t>
      </w:r>
      <w:r>
        <w:t xml:space="preserve"> </w:t>
      </w:r>
      <w:r>
        <w:t xml:space="preserve">with bundled provenance chain (from evidence generation)</w:t>
      </w:r>
    </w:p>
    <w:p>
      <w:pPr>
        <w:pStyle w:val="Compact"/>
        <w:numPr>
          <w:ilvl w:val="0"/>
          <w:numId w:val="1003"/>
        </w:numPr>
      </w:pPr>
      <w:r>
        <w:t xml:space="preserve">OSCAL Assessment Results (SAR) via the</w:t>
      </w:r>
      <w:r>
        <w:t xml:space="preserve"> </w:t>
      </w:r>
      <w:r>
        <w:rPr>
          <w:rStyle w:val="VerbatimChar"/>
        </w:rPr>
        <w:t xml:space="preserve">adapter_to_oscal.py</w:t>
      </w:r>
      <w:r>
        <w:t xml:space="preserve"> </w:t>
      </w:r>
      <w:r>
        <w:t xml:space="preserve">bridge</w:t>
      </w:r>
    </w:p>
    <w:p>
      <w:pPr>
        <w:pStyle w:val="FirstParagraph"/>
      </w:pPr>
      <w:r>
        <w:rPr>
          <w:b/>
          <w:bCs/>
        </w:rPr>
        <w:t xml:space="preserve">What the adapter does NOT touch:</w:t>
      </w:r>
    </w:p>
    <w:p>
      <w:pPr>
        <w:pStyle w:val="Compact"/>
        <w:numPr>
          <w:ilvl w:val="0"/>
          <w:numId w:val="1004"/>
        </w:numPr>
      </w:pPr>
      <w:r>
        <w:t xml:space="preserve">Does not invoke</w:t>
      </w:r>
      <w:r>
        <w:t xml:space="preserve"> </w:t>
      </w:r>
      <w:r>
        <w:rPr>
          <w:rStyle w:val="VerbatimChar"/>
        </w:rPr>
        <w:t xml:space="preserve">terraform apply</w:t>
      </w:r>
      <w:r>
        <w:t xml:space="preserve"> </w:t>
      </w:r>
      <w:r>
        <w:t xml:space="preserve">or make any infrastructure changes</w:t>
      </w:r>
    </w:p>
    <w:p>
      <w:pPr>
        <w:pStyle w:val="Compact"/>
        <w:numPr>
          <w:ilvl w:val="0"/>
          <w:numId w:val="1004"/>
        </w:numPr>
      </w:pPr>
      <w:r>
        <w:t xml:space="preserve">Does not access cloud provider APIs directly (that’s the companion live-system adapter’s job)</w:t>
      </w:r>
    </w:p>
    <w:p>
      <w:pPr>
        <w:pStyle w:val="Compact"/>
        <w:numPr>
          <w:ilvl w:val="0"/>
          <w:numId w:val="1004"/>
        </w:numPr>
      </w:pPr>
      <w:r>
        <w:t xml:space="preserve">Does not modify</w:t>
      </w:r>
      <w:r>
        <w:t xml:space="preserve"> </w:t>
      </w:r>
      <w:r>
        <w:rPr>
          <w:rStyle w:val="VerbatimChar"/>
        </w:rPr>
        <w:t xml:space="preserve">.tfstate</w:t>
      </w:r>
      <w:r>
        <w:t xml:space="preserve"> </w:t>
      </w:r>
      <w:r>
        <w:t xml:space="preserve">files; reads only</w:t>
      </w:r>
    </w:p>
    <w:p>
      <w:pPr>
        <w:pStyle w:val="Compact"/>
        <w:numPr>
          <w:ilvl w:val="0"/>
          <w:numId w:val="1004"/>
        </w:numPr>
      </w:pPr>
      <w:r>
        <w:t xml:space="preserve">Does not store credentials; auth is delegated to the runner environment</w:t>
      </w:r>
    </w:p>
    <w:bookmarkEnd w:id="16"/>
    <w:bookmarkStart w:id="17" w:name="controls"/>
    <w:p>
      <w:pPr>
        <w:pStyle w:val="Heading2"/>
      </w:pPr>
      <w:r>
        <w:t xml:space="preserve">Controls</w:t>
      </w:r>
    </w:p>
    <w:p>
      <w:pPr>
        <w:pStyle w:val="FirstParagraph"/>
      </w:pPr>
      <w:r>
        <w:t xml:space="preserve">NIST SP 800-53 Rev 5 controls this adapter supports:</w:t>
      </w:r>
      <w:r>
        <w:t xml:space="preserve"> </w:t>
      </w:r>
      <w:r>
        <w:rPr>
          <w:rStyle w:val="VerbatimChar"/>
        </w:rPr>
        <w:t xml:space="preserve">CM-2</w:t>
      </w:r>
      <w:r>
        <w:t xml:space="preserve">,</w:t>
      </w:r>
      <w:r>
        <w:t xml:space="preserve"> </w:t>
      </w:r>
      <w:r>
        <w:rPr>
          <w:rStyle w:val="VerbatimChar"/>
        </w:rPr>
        <w:t xml:space="preserve">CM-3</w:t>
      </w:r>
      <w:r>
        <w:t xml:space="preserve">,</w:t>
      </w:r>
      <w:r>
        <w:t xml:space="preserve"> </w:t>
      </w:r>
      <w:r>
        <w:rPr>
          <w:rStyle w:val="VerbatimChar"/>
        </w:rPr>
        <w:t xml:space="preserve">CM-6</w:t>
      </w:r>
      <w:r>
        <w:t xml:space="preserve">,</w:t>
      </w:r>
      <w:r>
        <w:t xml:space="preserve"> </w:t>
      </w:r>
      <w:r>
        <w:rPr>
          <w:rStyle w:val="VerbatimChar"/>
        </w:rPr>
        <w:t xml:space="preserve">CM-8</w:t>
      </w:r>
      <w:r>
        <w:t xml:space="preserve">,</w:t>
      </w:r>
      <w:r>
        <w:t xml:space="preserve"> </w:t>
      </w:r>
      <w:r>
        <w:rPr>
          <w:rStyle w:val="VerbatimChar"/>
        </w:rPr>
        <w:t xml:space="preserve">CA-7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Control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Adapter capability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CM-2</w:t>
            </w:r>
            <w:r>
              <w:t xml:space="preserve"> </w:t>
            </w:r>
            <w:r>
              <w:t xml:space="preserve">Baseline Configuration</w:t>
            </w:r>
          </w:p>
        </w:tc>
        <w:tc>
          <w:tcPr/>
          <w:p>
            <w:pPr>
              <w:pStyle w:val="Compact"/>
            </w:pPr>
            <w: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State extraction captures the current baseline of all managed infrastructure resources.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CM-3</w:t>
            </w:r>
            <w:r>
              <w:t xml:space="preserve"> </w:t>
            </w:r>
            <w:r>
              <w:t xml:space="preserve">Configuration Change Control</w:t>
            </w:r>
          </w:p>
        </w:tc>
        <w:tc>
          <w:tcPr/>
          <w:p>
            <w:pPr>
              <w:pStyle w:val="Compact"/>
            </w:pPr>
            <w: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Plan consumption maps every planned change to a drift item with create/update/delete action and field-level diff.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CM-6</w:t>
            </w:r>
            <w:r>
              <w:t xml:space="preserve"> </w:t>
            </w:r>
            <w:r>
              <w:t xml:space="preserve">Configuration Settings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HCL parsing captures declared configuration settings; three-way drift detects deviations from declared state.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CM-8</w:t>
            </w:r>
            <w:r>
              <w:t xml:space="preserve"> </w:t>
            </w:r>
            <w:r>
              <w:t xml:space="preserve">Information System Component Inventory</w:t>
            </w:r>
          </w:p>
        </w:tc>
        <w:tc>
          <w:tcPr/>
          <w:p>
            <w:pPr>
              <w:pStyle w:val="Compact"/>
            </w:pPr>
            <w: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State extraction produces a complete, deterministic inventory of all Terraform-managed components with provider, type, name, and attribute data.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CA-7</w:t>
            </w:r>
            <w:r>
              <w:t xml:space="preserve"> </w:t>
            </w:r>
            <w:r>
              <w:t xml:space="preserve">Continuous Monitoring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When run on a schedule, provides continuous evidence of infrastructure drift between desired (HCL), recorded (state), and actual (live) configurations.</w:t>
            </w:r>
          </w:p>
        </w:tc>
      </w:tr>
    </w:tbl>
    <w:bookmarkEnd w:id="17"/>
    <w:bookmarkStart w:id="18" w:name="operational-profile"/>
    <w:p>
      <w:pPr>
        <w:pStyle w:val="Heading2"/>
      </w:pPr>
      <w:r>
        <w:t xml:space="preserve">Operational profile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python-3.12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 pin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Runner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github-hosted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Tenancy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per-customer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baseline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3</w:t>
            </w:r>
            <w:r>
              <w:t xml:space="preserve"> </w:t>
            </w:r>
            <w:r>
              <w:t xml:space="preserve">year(s)</w:t>
            </w:r>
          </w:p>
        </w:tc>
      </w:tr>
    </w:tbl>
    <w:bookmarkEnd w:id="18"/>
    <w:bookmarkStart w:id="19" w:name="canon-invariants"/>
    <w:p>
      <w:pPr>
        <w:pStyle w:val="Heading2"/>
      </w:pPr>
      <w:r>
        <w:t xml:space="preserve">Canon invariants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gcc-boundary: gcc-moderate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ssot-mutation: never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certificate-anchored: true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object-identity-only: true</w:t>
      </w:r>
    </w:p>
    <w:bookmarkEnd w:id="19"/>
    <w:bookmarkStart w:id="20" w:name="notes-from-canon"/>
    <w:p>
      <w:pPr>
        <w:pStyle w:val="Heading2"/>
      </w:pPr>
      <w:r>
        <w:t xml:space="preserve">Notes from canon</w:t>
      </w:r>
    </w:p>
    <w:p>
      <w:pPr>
        <w:pStyle w:val="FirstParagraph"/>
      </w:pPr>
      <w:r>
        <w:t xml:space="preserve">Status transitions</w:t>
      </w:r>
      <w:r>
        <w:t xml:space="preserve"> </w:t>
      </w:r>
      <w:r>
        <w:rPr>
          <w:rStyle w:val="VerbatimChar"/>
        </w:rPr>
        <w:t xml:space="preserve">reserved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active</w:t>
      </w:r>
      <w:r>
        <w:t xml:space="preserve"> </w:t>
      </w:r>
      <w:r>
        <w:t xml:space="preserve">when the adapter ships in uiao (separate PR gated on this registry entry landing, per</w:t>
      </w:r>
      <w:r>
        <w:t xml:space="preserve"> </w:t>
      </w:r>
      <w:r>
        <w:rPr>
          <w:rStyle w:val="VerbatimChar"/>
        </w:rPr>
        <w:t xml:space="preserve">uiao/.claude/rules/canon-consumer.md</w:t>
      </w:r>
      <w:r>
        <w:t xml:space="preserve">). Proposed adapter surface:</w:t>
      </w:r>
      <w:r>
        <w:t xml:space="preserve"> </w:t>
      </w:r>
      <w:r>
        <w:rPr>
          <w:rStyle w:val="VerbatimChar"/>
        </w:rPr>
        <w:t xml:space="preserve">extract_terraform_state</w:t>
      </w:r>
      <w:r>
        <w:t xml:space="preserve">,</w:t>
      </w:r>
      <w:r>
        <w:t xml:space="preserve"> </w:t>
      </w:r>
      <w:r>
        <w:rPr>
          <w:rStyle w:val="VerbatimChar"/>
        </w:rPr>
        <w:t xml:space="preserve">parse_hcl_config</w:t>
      </w:r>
      <w:r>
        <w:t xml:space="preserve">,</w:t>
      </w:r>
      <w:r>
        <w:t xml:space="preserve"> </w:t>
      </w:r>
      <w:r>
        <w:rPr>
          <w:rStyle w:val="VerbatimChar"/>
        </w:rPr>
        <w:t xml:space="preserve">consume_terraform_plan</w:t>
      </w:r>
      <w:r>
        <w:t xml:space="preserve">,</w:t>
      </w:r>
      <w:r>
        <w:t xml:space="preserve"> </w:t>
      </w:r>
      <w:r>
        <w:rPr>
          <w:rStyle w:val="VerbatimChar"/>
        </w:rPr>
        <w:t xml:space="preserve">detect_terraform_drift</w:t>
      </w:r>
      <w:r>
        <w:t xml:space="preserve">,</w:t>
      </w:r>
      <w:r>
        <w:t xml:space="preserve"> </w:t>
      </w:r>
      <w:r>
        <w:rPr>
          <w:rStyle w:val="VerbatimChar"/>
        </w:rPr>
        <w:t xml:space="preserve">generate_terraform_evidence</w:t>
      </w:r>
      <w:r>
        <w:t xml:space="preserve"> </w:t>
      </w:r>
      <w:r>
        <w:t xml:space="preserve">— layered on the seven canonical domains of</w:t>
      </w:r>
      <w:r>
        <w:t xml:space="preserve"> </w:t>
      </w:r>
      <w:r>
        <w:rPr>
          <w:rStyle w:val="VerbatimChar"/>
        </w:rPr>
        <w:t xml:space="preserve">DatabaseAdapterBase</w:t>
      </w:r>
      <w:r>
        <w:t xml:space="preserve">.</w:t>
      </w:r>
    </w:p>
    <w:bookmarkEnd w:id="20"/>
    <w:bookmarkStart w:id="21" w:name="references"/>
    <w:p>
      <w:pPr>
        <w:pStyle w:val="Heading2"/>
      </w:pPr>
      <w:r>
        <w:t xml:space="preserve">References</w:t>
      </w:r>
    </w:p>
    <w:p>
      <w:pPr>
        <w:pStyle w:val="Compact"/>
        <w:numPr>
          <w:ilvl w:val="0"/>
          <w:numId w:val="1006"/>
        </w:numPr>
      </w:pPr>
      <w:r>
        <w:t xml:space="preserve">UIAO-CANON-003</w:t>
      </w:r>
    </w:p>
    <w:p>
      <w:pPr>
        <w:pStyle w:val="Compact"/>
        <w:numPr>
          <w:ilvl w:val="0"/>
          <w:numId w:val="1006"/>
        </w:numPr>
      </w:pPr>
      <w:r>
        <w:t xml:space="preserve">https://www.terraform.io</w:t>
      </w:r>
    </w:p>
    <w:p>
      <w:pPr>
        <w:pStyle w:val="Compact"/>
        <w:numPr>
          <w:ilvl w:val="0"/>
          <w:numId w:val="1006"/>
        </w:numPr>
      </w:pPr>
      <w:r>
        <w:t xml:space="preserve">https://opentofu.org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Generated by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uiao/tools/sync_canon.py</w:t>
      </w:r>
      <w:r>
        <w:rPr>
          <w:i/>
          <w:iCs/>
        </w:rPr>
        <w:t xml:space="preserve">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uiao/ARCHITECTURE.md</w:t>
      </w:r>
      <w:r>
        <w:rPr>
          <w:i/>
          <w:iCs/>
        </w:rPr>
        <w:t xml:space="preserve"> </w:t>
      </w:r>
      <w:r>
        <w:rPr>
          <w:i/>
          <w:iCs/>
        </w:rPr>
        <w:t xml:space="preserve">§4 for the cross-repo sync contract.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uiao-docs/_quarto.yml</w:t>
      </w:r>
      <w:r>
        <w:rPr>
          <w:i/>
          <w:iCs/>
        </w:rPr>
        <w:t xml:space="preserve"> </w:t>
      </w:r>
      <w:r>
        <w:rPr>
          <w:i/>
          <w:iCs/>
        </w:rPr>
        <w:t xml:space="preserve">for rendering configuration.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Terraform / OpenTofu Evidence Adapter — Adapter Technical Specification</dc:title>
  <dc:creator/>
  <cp:keywords/>
  <dcterms:created xsi:type="dcterms:W3CDTF">2026-05-06T19:44:24Z</dcterms:created>
  <dcterms:modified xsi:type="dcterms:W3CDTF">2026-05-06T19:44:24Z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apter-class">
    <vt:lpwstr>modernization</vt:lpwstr>
  </property>
  <property fmtid="{D5CDD505-2E9C-101B-9397-08002B2CF9AE}" pid="3" name="adapter-id">
    <vt:lpwstr>terraform</vt:lpwstr>
  </property>
  <property fmtid="{D5CDD505-2E9C-101B-9397-08002B2CF9AE}" pid="4" name="biblio-config">
    <vt:lpwstr>True</vt:lpwstr>
  </property>
  <property fmtid="{D5CDD505-2E9C-101B-9397-08002B2CF9AE}" pid="5" name="canon-source">
    <vt:lpwstr>canon/modernization-registry.yaml</vt:lpwstr>
  </property>
  <property fmtid="{D5CDD505-2E9C-101B-9397-08002B2CF9AE}" pid="6" name="derived-from">
    <vt:lpwstr>uiao/canon (sync_canon.py)</vt:lpwstr>
  </property>
  <property fmtid="{D5CDD505-2E9C-101B-9397-08002B2CF9AE}" pid="7" name="doc-type">
    <vt:lpwstr>ats</vt:lpwstr>
  </property>
  <property fmtid="{D5CDD505-2E9C-101B-9397-08002B2CF9AE}" pid="8" name="engines">
    <vt:lpwstr/>
  </property>
  <property fmtid="{D5CDD505-2E9C-101B-9397-08002B2CF9AE}" pid="9" name="gcc-boundary">
    <vt:lpwstr>gcc-moderate</vt:lpwstr>
  </property>
  <property fmtid="{D5CDD505-2E9C-101B-9397-08002B2CF9AE}" pid="10" name="generated">
    <vt:lpwstr>2026-04-16</vt:lpwstr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labels">
    <vt:lpwstr/>
  </property>
  <property fmtid="{D5CDD505-2E9C-101B-9397-08002B2CF9AE}" pid="15" name="mission-class">
    <vt:lpwstr>integration</vt:lpwstr>
  </property>
  <property fmtid="{D5CDD505-2E9C-101B-9397-08002B2CF9AE}" pid="16" name="phase">
    <vt:lpwstr>phase-1</vt:lpwstr>
  </property>
  <property fmtid="{D5CDD505-2E9C-101B-9397-08002B2CF9AE}" pid="17" name="status">
    <vt:lpwstr>active</vt:lpwstr>
  </property>
  <property fmtid="{D5CDD505-2E9C-101B-9397-08002B2CF9AE}" pid="18" name="toc-title">
    <vt:lpwstr>Table of contents</vt:lpwstr>
  </property>
</Properties>
</file>