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Vulnerability Scanner (Reserved Slot)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b726b30487b7519b48a08ace610a4d23a66b405"/>
    <w:p>
      <w:pPr>
        <w:pStyle w:val="Heading1"/>
      </w:pPr>
      <w:r>
        <w:t xml:space="preserve">Vulnerability Scanner (Reserved Slot)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reserved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conformance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telemetry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phase-planning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canon/adapter-registry.yaml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Vulnerability Scanner Adapter is a</w:t>
      </w:r>
      <w:r>
        <w:t xml:space="preserve"> </w:t>
      </w:r>
      <w:r>
        <w:rPr>
          <w:b/>
          <w:bCs/>
        </w:rPr>
        <w:t xml:space="preserve">conformance-class telemetry</w:t>
      </w:r>
      <w:r>
        <w:t xml:space="preserve"> </w:t>
      </w:r>
      <w:r>
        <w:t xml:space="preserve">adapter that observes vulnerability state across managed assets and produces normalized, timestamped findings. It is tool-agnostic — the vendor-specific scanner backend (Tenable, Qualys, OpenSCAP) is injected via configuration.</w:t>
      </w:r>
    </w:p>
    <w:p>
      <w:pPr>
        <w:pStyle w:val="BodyText"/>
      </w:pPr>
      <w:r>
        <w:t xml:space="preserve">Key capabilities: scan result ingestion with CVE cross-references, severity-based filtering, finding summarization (critical/high/medium/low counts + max severity), and KSI-anchored evidence generation. Tool selection tracked as ODA-14.</w:t>
      </w:r>
    </w:p>
    <w:p>
      <w:pPr>
        <w:pStyle w:val="BodyText"/>
      </w:pPr>
      <w:r>
        <w:rPr>
          <w:b/>
          <w:bCs/>
        </w:rPr>
        <w:t xml:space="preserve">Implementation:</w:t>
      </w:r>
      <w:r>
        <w:t xml:space="preserve"> </w:t>
      </w:r>
      <w:r>
        <w:rPr>
          <w:rStyle w:val="VerbatimChar"/>
        </w:rPr>
        <w:t xml:space="preserve">uiao/src/uiao/adapters/vulnscan_adapter.py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vulnscan_parser.py</w:t>
      </w:r>
      <w:r>
        <w:t xml:space="preserve"> </w:t>
      </w:r>
      <w:r>
        <w:t xml:space="preserve">(real parsing). Conformance: 30/30 PASS.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i/>
          <w:iCs/>
        </w:rPr>
        <w:t xml:space="preserve">(not yet defined)</w:t>
      </w:r>
    </w:p>
    <w:p>
      <w:pPr>
        <w:pStyle w:val="BodyText"/>
      </w:pPr>
      <w:r>
        <w:rPr>
          <w:b/>
          <w:bCs/>
        </w:rPr>
        <w:t xml:space="preserve">Reads:</w:t>
      </w:r>
      <w:r>
        <w:t xml:space="preserve"> </w:t>
      </w:r>
      <w:r>
        <w:t xml:space="preserve">Vulnerability scanner output (JSON format) containing findings with CVE IDs, CVSS scores, severity, affected assets, and state (open/accepted_risk).</w:t>
      </w:r>
      <w:r>
        <w:t xml:space="preserve"> </w:t>
      </w:r>
      <w:r>
        <w:rPr>
          <w:b/>
          <w:bCs/>
        </w:rPr>
        <w:t xml:space="preserve">Emits:</w:t>
      </w:r>
      <w:r>
        <w:t xml:space="preserve"> </w:t>
      </w:r>
      <w:r>
        <w:rPr>
          <w:rStyle w:val="VerbatimChar"/>
        </w:rPr>
        <w:t xml:space="preserve">ClaimSet</w:t>
      </w:r>
      <w:r>
        <w:t xml:space="preserve"> </w:t>
      </w:r>
      <w:r>
        <w:t xml:space="preserve">with one claim per finding,</w:t>
      </w:r>
      <w:r>
        <w:t xml:space="preserve"> </w:t>
      </w:r>
      <w:r>
        <w:rPr>
          <w:rStyle w:val="VerbatimChar"/>
        </w:rPr>
        <w:t xml:space="preserve">EvidenceObject</w:t>
      </w:r>
      <w:r>
        <w:t xml:space="preserve"> </w:t>
      </w:r>
      <w:r>
        <w:t xml:space="preserve">with scan summary (total/open/by-severity/max-severity).</w:t>
      </w:r>
      <w:r>
        <w:t xml:space="preserve"> </w:t>
      </w:r>
      <w:r>
        <w:rPr>
          <w:b/>
          <w:bCs/>
        </w:rPr>
        <w:t xml:space="preserve">Does NOT:</w:t>
      </w:r>
      <w:r>
        <w:t xml:space="preserve"> </w:t>
      </w:r>
      <w:r>
        <w:t xml:space="preserve">invoke scanners, remediate vulnerabilities, or access target systems directly. Read-only telemetry.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RA-5</w:t>
      </w:r>
      <w:r>
        <w:t xml:space="preserve">,</w:t>
      </w:r>
      <w:r>
        <w:t xml:space="preserve"> </w:t>
      </w:r>
      <w:r>
        <w:rPr>
          <w:rStyle w:val="VerbatimChar"/>
        </w:rPr>
        <w:t xml:space="preserve">RA-5(5)</w:t>
      </w:r>
      <w:r>
        <w:t xml:space="preserve">,</w:t>
      </w:r>
      <w:r>
        <w:t xml:space="preserve"> </w:t>
      </w:r>
      <w:r>
        <w:rPr>
          <w:rStyle w:val="VerbatimChar"/>
        </w:rPr>
        <w:t xml:space="preserve">CA-7</w:t>
      </w:r>
      <w:r>
        <w:t xml:space="preserve">,</w:t>
      </w:r>
      <w:r>
        <w:t xml:space="preserve"> </w:t>
      </w:r>
      <w:r>
        <w:rPr>
          <w:rStyle w:val="VerbatimChar"/>
        </w:rPr>
        <w:t xml:space="preserve">SI-2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RA-5</w:t>
            </w:r>
            <w:r>
              <w:t xml:space="preserve"> </w:t>
            </w:r>
            <w:r>
              <w:t xml:space="preserve">Vulnerability Scanning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Ingests and normalizes vulnerability scan findings with CVE cross-references.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RA-5(5)</w:t>
            </w:r>
            <w:r>
              <w:t xml:space="preserve"> </w:t>
            </w:r>
            <w:r>
              <w:t xml:space="preserve">Privileged Access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Scan findings include privilege-related vulnerabilities (EoP findings).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CA-7</w:t>
            </w:r>
            <w:r>
              <w:t xml:space="preserve"> </w:t>
            </w:r>
            <w:r>
              <w:t xml:space="preserve">Continuous Monitoring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Scheduled scan ingestion provides continuous vulnerability posture evidence.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SI-2</w:t>
            </w:r>
            <w:r>
              <w:t xml:space="preserve"> </w:t>
            </w:r>
            <w:r>
              <w:t xml:space="preserve">Flaw Remediation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Finding state tracking (open vs accepted_risk) supports remediation monitoring.</w:t>
            </w:r>
          </w:p>
        </w:tc>
      </w:tr>
    </w:tbl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Slot reserved per ARCHITECTURE.md §3.5 and §13 open decision ODA-14. Candidate implementations include Tenable, Qualys, or open-source scanner wrappers. Authenticated scanning required per RA-5(5) for Moderate/High baselines. Selection deferred to Phase 2 planning.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pPr>
        <w:pStyle w:val="Compact"/>
        <w:numPr>
          <w:ilvl w:val="0"/>
          <w:numId w:val="1002"/>
        </w:numPr>
      </w:pPr>
      <w:r>
        <w:t xml:space="preserve">ADR-025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Vulnerability Scanner (Reserved Slot) — Adapter Technical Specification</dc:title>
  <dc:creator/>
  <cp:keywords/>
  <dcterms:created xsi:type="dcterms:W3CDTF">2026-05-06T19:44:25Z</dcterms:created>
  <dcterms:modified xsi:type="dcterms:W3CDTF">2026-05-06T19:44:25Z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conformance</vt:lpwstr>
  </property>
  <property fmtid="{D5CDD505-2E9C-101B-9397-08002B2CF9AE}" pid="3" name="adapter-id">
    <vt:lpwstr>vuln-scan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canon/adapter-registry.yaml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2026-04-14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telemetry</vt:lpwstr>
  </property>
  <property fmtid="{D5CDD505-2E9C-101B-9397-08002B2CF9AE}" pid="17" name="phase">
    <vt:lpwstr>phase-planning</vt:lpwstr>
  </property>
  <property fmtid="{D5CDD505-2E9C-101B-9397-08002B2CF9AE}" pid="18" name="status">
    <vt:lpwstr>reserved</vt:lpwstr>
  </property>
  <property fmtid="{D5CDD505-2E9C-101B-9397-08002B2CF9AE}" pid="19" name="toc-title">
    <vt:lpwstr>Table of contents</vt:lpwstr>
  </property>
</Properties>
</file>