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  <Override PartName="/word/media/rId1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AODIM Architecture Document</w:t>
      </w:r>
    </w:p>
    <w:p>
      <w:pPr>
        <w:pStyle w:val="Subtitle"/>
      </w:pPr>
      <w:r>
        <w:t xml:space="preserve">Attribute-Oriented Directory &amp; Identity Model — technical architecture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AODIM — Attribute-Oriented Directory &amp; Identity Model</w:t>
      </w:r>
    </w:p>
    <w:p>
      <w:pPr>
        <w:pStyle w:val="BodyText"/>
      </w:pPr>
      <w:r>
        <w:t xml:space="preserve">Executive Summary</w:t>
      </w:r>
    </w:p>
    <w:p>
      <w:pPr>
        <w:pStyle w:val="BodyText"/>
      </w:pPr>
      <w:r>
        <w:t xml:space="preserve">Modern enterprises using cloud identity platforms face a mismatch between dynamic organizational structures and static access control models. AODIM addresses this by making identity attributes the authoritative driver of access, enabling automated, deterministic, and scalable identity governance.</w:t>
      </w:r>
    </w:p>
    <w:p>
      <w:pPr>
        <w:pStyle w:val="BodyText"/>
      </w:pPr>
      <w:r>
        <w:t xml:space="preserve">Core Principle</w:t>
      </w:r>
    </w:p>
    <w:p>
      <w:pPr>
        <w:pStyle w:val="BodyText"/>
      </w:pPr>
      <w:r>
        <w:t xml:space="preserve">Identity attributes define organizational structure; access is computed, not assigned.</w:t>
      </w:r>
    </w:p>
    <w:p>
      <w:pPr>
        <w:pStyle w:val="BodyText"/>
      </w:pPr>
      <w:r>
        <w:t xml:space="preserve">Problem Statement</w:t>
      </w:r>
    </w:p>
    <w:p>
      <w:pPr>
        <w:pStyle w:val="BodyText"/>
      </w:pPr>
      <w:r>
        <w:t xml:space="preserve">Traditional directory systems rely on hierarchical placement (OUs), which do not translate well to cloud environments. This leads to:</w:t>
      </w:r>
    </w:p>
    <w:p>
      <w:pPr>
        <w:pStyle w:val="BodyText"/>
      </w:pPr>
      <w:r>
        <w:t xml:space="preserve">- Manual access management</w:t>
      </w:r>
    </w:p>
    <w:p>
      <w:pPr>
        <w:pStyle w:val="BodyText"/>
      </w:pPr>
      <w:r>
        <w:t xml:space="preserve">- Poor handling of role changes (movers)</w:t>
      </w:r>
    </w:p>
    <w:p>
      <w:pPr>
        <w:pStyle w:val="BodyText"/>
      </w:pPr>
      <w:r>
        <w:t xml:space="preserve">- Over-permissioning</w:t>
      </w:r>
    </w:p>
    <w:p>
      <w:pPr>
        <w:pStyle w:val="BodyText"/>
      </w:pPr>
      <w:r>
        <w:t xml:space="preserve">- Audit complexity</w:t>
      </w:r>
    </w:p>
    <w:p>
      <w:pPr>
        <w:pStyle w:val="BodyText"/>
      </w:pPr>
      <w:r>
        <w:t xml:space="preserve">Architecture Overview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Technical architecture diagram showing the AODIM attribute flow: HR System…" title="" id="10" name="Picture"/>
            <a:graphic>
              <a:graphicData uri="http://schemas.openxmlformats.org/drawingml/2006/picture">
                <pic:pic>
                  <pic:nvPicPr>
                    <pic:cNvPr descr="images/aodim-architecture-image-01-technical-architecture-diagram-s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Technical architecture diagram showing the AODIM attribute flow: HR System…</w:t>
      </w:r>
    </w:p>
    <w:p>
      <w:pPr>
        <w:pStyle w:val="BodyText"/>
      </w:pPr>
      <w:r>
        <w:t xml:space="preserve">HR System → Identity Attributes → Dynamic Groups → Access &amp; Policy Enforcement</w:t>
      </w:r>
    </w:p>
    <w:p>
      <w:pPr>
        <w:pStyle w:val="BodyText"/>
      </w:pPr>
      <w:r>
        <w:t xml:space="preserve">Attribute Model</w:t>
      </w:r>
    </w:p>
    <w:p>
      <w:pPr>
        <w:pStyle w:val="BodyText"/>
      </w:pPr>
      <w:r>
        <w:t xml:space="preserve">Key attributes include:</w:t>
      </w:r>
    </w:p>
    <w:p>
      <w:pPr>
        <w:pStyle w:val="BodyText"/>
      </w:pPr>
      <w:r>
        <w:t xml:space="preserve">- orgPath (hierarchical string)</w:t>
      </w:r>
    </w:p>
    <w:p>
      <w:pPr>
        <w:pStyle w:val="BodyText"/>
      </w:pPr>
      <w:r>
        <w:t xml:space="preserve">- orgCode (normalized identifier)</w:t>
      </w:r>
    </w:p>
    <w:p>
      <w:pPr>
        <w:pStyle w:val="BodyText"/>
      </w:pPr>
      <w:r>
        <w:t xml:space="preserve">- department</w:t>
      </w:r>
    </w:p>
    <w:p>
      <w:pPr>
        <w:pStyle w:val="BodyText"/>
      </w:pPr>
      <w:r>
        <w:t xml:space="preserve">- costCenter</w:t>
      </w:r>
    </w:p>
    <w:p>
      <w:pPr>
        <w:pStyle w:val="BodyText"/>
      </w:pPr>
      <w:r>
        <w:t xml:space="preserve">- manager</w:t>
      </w:r>
    </w:p>
    <w:p>
      <w:pPr>
        <w:pStyle w:val="BodyText"/>
      </w:pPr>
      <w:r>
        <w:t xml:space="preserve">Example:</w:t>
      </w:r>
    </w:p>
    <w:p>
      <w:pPr>
        <w:pStyle w:val="BodyText"/>
      </w:pPr>
      <w:r>
        <w:t xml:space="preserve">orgPath = CORP/US/EAST/BALTIMORE/IT</w:t>
      </w:r>
    </w:p>
    <w:p>
      <w:pPr>
        <w:pStyle w:val="BodyText"/>
      </w:pPr>
      <w:r>
        <w:t xml:space="preserve">Dynamic Group Model</w:t>
      </w:r>
    </w:p>
    <w:p>
      <w:pPr>
        <w:pStyle w:val="BodyText"/>
      </w:pPr>
      <w:r>
        <w:t xml:space="preserve">Groups are defined by rules:</w:t>
      </w:r>
    </w:p>
    <w:p>
      <w:pPr>
        <w:pStyle w:val="BodyText"/>
      </w:pPr>
      <w:r>
        <w:t xml:space="preserve">- Node groups (exact match)</w:t>
      </w:r>
    </w:p>
    <w:p>
      <w:pPr>
        <w:pStyle w:val="BodyText"/>
      </w:pPr>
      <w:r>
        <w:t xml:space="preserve">- Branch groups (hierarchical match)</w:t>
      </w:r>
    </w:p>
    <w:p>
      <w:pPr>
        <w:pStyle w:val="BodyText"/>
      </w:pPr>
      <w:r>
        <w:t xml:space="preserve">- Functional groups (role/department)</w:t>
      </w:r>
    </w:p>
    <w:p>
      <w:pPr>
        <w:pStyle w:val="BodyText"/>
      </w:pPr>
      <w:r>
        <w:t xml:space="preserve">Example Rules:</w:t>
      </w:r>
    </w:p>
    <w:p>
      <w:pPr>
        <w:pStyle w:val="BodyText"/>
      </w:pPr>
      <w:r>
        <w:t xml:space="preserve">user.orgPath -startsWith "CORP/US/EAST"</w:t>
      </w:r>
    </w:p>
    <w:p>
      <w:pPr>
        <w:pStyle w:val="BodyText"/>
      </w:pPr>
      <w:r>
        <w:t xml:space="preserve">user.orgPath -eq "CORP/US/EAST/BALTIMORE/IT"</w:t>
      </w:r>
    </w:p>
    <w:p>
      <w:pPr>
        <w:pStyle w:val="BodyText"/>
      </w:pPr>
      <w:r>
        <w:t xml:space="preserve">Delegation Model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Side-by-side comparison diagram: Left panel labeled ’Legacy OU-Based…" title="" id="13" name="Picture"/>
            <a:graphic>
              <a:graphicData uri="http://schemas.openxmlformats.org/drawingml/2006/picture">
                <pic:pic>
                  <pic:nvPicPr>
                    <pic:cNvPr descr="images/aodim-architecture-image-02-side-by-side-comparison-diagram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Side-by-side comparison diagram: Left panel labeled ’Legacy OU-Based…</w:t>
      </w:r>
    </w:p>
    <w:p>
      <w:pPr>
        <w:pStyle w:val="BodyText"/>
      </w:pPr>
      <w:r>
        <w:t xml:space="preserve">Administrative Units and scoped roles replace OU-based delegation.</w:t>
      </w:r>
    </w:p>
    <w:p>
      <w:pPr>
        <w:pStyle w:val="BodyText"/>
      </w:pPr>
      <w:r>
        <w:t xml:space="preserve">Operational Flow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Operational flow diagram showing the AODIM runtime cycle: Identity Event…" title="" id="16" name="Picture"/>
            <a:graphic>
              <a:graphicData uri="http://schemas.openxmlformats.org/drawingml/2006/picture">
                <pic:pic>
                  <pic:nvPicPr>
                    <pic:cNvPr descr="images/aodim-architecture-image-03-operational-flow-diagram-showing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Operational flow diagram showing the AODIM runtime cycle: Identity Event…</w:t>
      </w:r>
    </w:p>
    <w:p>
      <w:pPr>
        <w:pStyle w:val="BodyText"/>
      </w:pPr>
      <w:r>
        <w:t xml:space="preserve">HR updates → Attribute change → Group recalculation → Access update</w:t>
      </w:r>
    </w:p>
    <w:p>
      <w:pPr>
        <w:pStyle w:val="BodyText"/>
      </w:pPr>
      <w:r>
        <w:t xml:space="preserve">Key Benefits</w:t>
      </w:r>
    </w:p>
    <w:p>
      <w:pPr>
        <w:pStyle w:val="BodyText"/>
      </w:pPr>
      <w:r>
        <w:t xml:space="preserve">- Automatic access alignment</w:t>
      </w:r>
    </w:p>
    <w:p>
      <w:pPr>
        <w:pStyle w:val="BodyText"/>
      </w:pPr>
      <w:r>
        <w:t xml:space="preserve">- Deterministic and explainable access</w:t>
      </w:r>
    </w:p>
    <w:p>
      <w:pPr>
        <w:pStyle w:val="BodyText"/>
      </w:pPr>
      <w:r>
        <w:t xml:space="preserve">- Reduced operational overhead</w:t>
      </w:r>
    </w:p>
    <w:p>
      <w:pPr>
        <w:pStyle w:val="BodyText"/>
      </w:pPr>
      <w:r>
        <w:t xml:space="preserve">- Continuous least privilege</w:t>
      </w:r>
    </w:p>
    <w:p>
      <w:pPr>
        <w:pStyle w:val="BodyText"/>
      </w:pPr>
      <w:r>
        <w:t xml:space="preserve">Risks and Mitigations</w:t>
      </w:r>
    </w:p>
    <w:p>
      <w:pPr>
        <w:pStyle w:val="BodyText"/>
      </w:pPr>
      <w:r>
        <w:t xml:space="preserve">- Data quality → validation pipelines</w:t>
      </w:r>
    </w:p>
    <w:p>
      <w:pPr>
        <w:pStyle w:val="BodyText"/>
      </w:pPr>
      <w:r>
        <w:t xml:space="preserve">- Group sprawl → naming standards</w:t>
      </w:r>
    </w:p>
    <w:p>
      <w:pPr>
        <w:pStyle w:val="BodyText"/>
      </w:pPr>
      <w:r>
        <w:t xml:space="preserve">- Complexity → governance model</w:t>
      </w:r>
    </w:p>
    <w:p>
      <w:pPr>
        <w:pStyle w:val="BodyText"/>
      </w:pPr>
      <w:r>
        <w:t xml:space="preserve">Reference Implementation</w:t>
      </w:r>
    </w:p>
    <w:p>
      <w:pPr>
        <w:pStyle w:val="BodyText"/>
      </w:pPr>
      <w:r>
        <w:t xml:space="preserve">Includes:</w:t>
      </w:r>
    </w:p>
    <w:p>
      <w:pPr>
        <w:pStyle w:val="BodyText"/>
      </w:pPr>
      <w:r>
        <w:t xml:space="preserve">- Attribute schema</w:t>
      </w:r>
    </w:p>
    <w:p>
      <w:pPr>
        <w:pStyle w:val="BodyText"/>
      </w:pPr>
      <w:r>
        <w:t xml:space="preserve">- Dynamic group rules</w:t>
      </w:r>
    </w:p>
    <w:p>
      <w:pPr>
        <w:pStyle w:val="BodyText"/>
      </w:pPr>
      <w:r>
        <w:t xml:space="preserve">- CLI tool for simulation and explanation</w:t>
      </w:r>
    </w:p>
    <w:p>
      <w:pPr>
        <w:pStyle w:val="BodyText"/>
      </w:pPr>
      <w:r>
        <w:t xml:space="preserve">CLI Example</w:t>
      </w:r>
    </w:p>
    <w:p>
      <w:pPr>
        <w:pStyle w:val="BodyText"/>
      </w:pPr>
      <w:r>
        <w:t xml:space="preserve">Commands:</w:t>
      </w:r>
    </w:p>
    <w:p>
      <w:pPr>
        <w:pStyle w:val="BodyText"/>
      </w:pPr>
      <w:r>
        <w:t xml:space="preserve">orgtree explain</w:t>
      </w:r>
    </w:p>
    <w:p>
      <w:pPr>
        <w:pStyle w:val="BodyText"/>
      </w:pPr>
      <w:r>
        <w:t xml:space="preserve">orgtree move CORP/US/WEST/SEATTLE/HR</w:t>
      </w:r>
    </w:p>
    <w:p>
      <w:pPr>
        <w:pStyle w:val="BodyText"/>
      </w:pPr>
      <w:r>
        <w:t xml:space="preserve">Demonstrates automatic access recalculation.</w:t>
      </w:r>
    </w:p>
    <w:p>
      <w:pPr>
        <w:pStyle w:val="BodyText"/>
      </w:pPr>
      <w:r>
        <w:t xml:space="preserve">Strategic Impact</w:t>
      </w:r>
    </w:p>
    <w:p>
      <w:pPr>
        <w:pStyle w:val="BodyText"/>
      </w:pPr>
      <w:r>
        <w:t xml:space="preserve">- Enables Zero Trust</w:t>
      </w:r>
    </w:p>
    <w:p>
      <w:pPr>
        <w:pStyle w:val="BodyText"/>
      </w:pPr>
      <w:r>
        <w:t xml:space="preserve">- Aligns HR, IT, Security</w:t>
      </w:r>
    </w:p>
    <w:p>
      <w:pPr>
        <w:pStyle w:val="BodyText"/>
      </w:pPr>
      <w:r>
        <w:t xml:space="preserve">- Supports SaaS environments</w:t>
      </w:r>
    </w:p>
    <w:p>
      <w:pPr>
        <w:pStyle w:val="BodyText"/>
      </w:pPr>
      <w:r>
        <w:t xml:space="preserve">Conclusion</w:t>
      </w:r>
    </w:p>
    <w:p>
      <w:pPr>
        <w:pStyle w:val="BodyText"/>
      </w:pPr>
      <w:r>
        <w:t xml:space="preserve">AODIM transforms identity into a dynamic control plane where access follows the user automatically.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image" Id="rId15" Target="media/rId1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AODIM Architecture Document</dc:title>
  <dc:creator>Michael Stratton</dc:creator>
  <cp:keywords/>
  <dcterms:created xsi:type="dcterms:W3CDTF">2026-05-06T19:27:19Z</dcterms:created>
  <dcterms:modified xsi:type="dcterms:W3CDTF">2026-05-06T19:27:19Z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inbox/Posted/AODIM_Architecture_Document.docx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architecture-reference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docs/customer-documents/architecture-series/aodim-architecture.qmd</vt:lpwstr>
  </property>
  <property fmtid="{D5CDD505-2E9C-101B-9397-08002B2CF9AE}" pid="18" name="status">
    <vt:lpwstr>Active</vt:lpwstr>
  </property>
  <property fmtid="{D5CDD505-2E9C-101B-9397-08002B2CF9AE}" pid="19" name="subtitle">
    <vt:lpwstr>Attribute-Oriented Directory &amp; Identity Model — technical architecture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