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Drift Engine Architecture</w:t>
      </w:r>
    </w:p>
    <w:p>
      <w:pPr>
        <w:pStyle w:val="Subtitle"/>
      </w:pPr>
      <w:r>
        <w:t xml:space="preserve">How UIAO detects, quantifies, and enforces against configuration drift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Architecture document in preparation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Full architecture documentation is being drafted. For current coverage, see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Drift Engine Overview</w:t>
              </w:r>
            </w:hyperlink>
            <w:r>
              <w:t xml:space="preserve">. The drift detection specification is defined in</w:t>
            </w:r>
            <w:r>
              <w:t xml:space="preserve"> </w:t>
            </w:r>
            <w:r>
              <w:rPr>
                <w:rStyle w:val="VerbatimChar"/>
              </w:rPr>
              <w:t xml:space="preserve">src/uiao/governance/DRIFT-*</w:t>
            </w:r>
            <w:r>
              <w:t xml:space="preserve"> </w:t>
            </w:r>
            <w:r>
              <w:t xml:space="preserve">modules.</w:t>
            </w:r>
          </w:p>
          <w:p/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2" Target="../executive-briefs/drift-engine-overview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executive-briefs/drift-engine-overview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Drift Engine Architecture</dc:title>
  <dc:creator/>
  <cp:keywords/>
  <dcterms:created xsi:type="dcterms:W3CDTF">2026-05-06T19:44:25Z</dcterms:created>
  <dcterms:modified xsi:type="dcterms:W3CDTF">2026-05-06T19:44:25Z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How UIAO detects, quantifies, and enforces against configuration drift</vt:lpwstr>
  </property>
  <property fmtid="{D5CDD505-2E9C-101B-9397-08002B2CF9AE}" pid="9" name="toc-title">
    <vt:lpwstr>Table of contents</vt:lpwstr>
  </property>
</Properties>
</file>