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Architecture Series</w:t>
      </w:r>
    </w:p>
    <w:p>
      <w:pPr>
        <w:pStyle w:val="Subtitle"/>
      </w:pPr>
      <w:r>
        <w:t xml:space="preserve">Conceptual explainers for the UIAO governance model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10" w:name="architecture-series"/>
    <w:p>
      <w:pPr>
        <w:pStyle w:val="Heading1"/>
      </w:pPr>
      <w:r>
        <w:t xml:space="preserve">Architecture Series</w:t>
      </w:r>
    </w:p>
    <w:p>
      <w:pPr>
        <w:pStyle w:val="FirstParagraph"/>
      </w:pPr>
      <w:r>
        <w:t xml:space="preserve">Published architecture narratives under the pseudonymous byline per docs</w:t>
      </w:r>
      <w:r>
        <w:t xml:space="preserve"> </w:t>
      </w:r>
      <w:r>
        <w:t xml:space="preserve">governance. Each explainer targets 2–4 pages of readable prose and one or</w:t>
      </w:r>
      <w:r>
        <w:t xml:space="preserve"> </w:t>
      </w:r>
      <w:r>
        <w:t xml:space="preserve">two canonical diagrams. The series is the bridge between the Executive</w:t>
      </w:r>
      <w:r>
        <w:t xml:space="preserve"> </w:t>
      </w:r>
      <w:r>
        <w:t xml:space="preserve">Briefs and the deeper technical specifications.</w:t>
      </w:r>
    </w:p>
    <w:bookmarkStart w:id="9" w:name="pages-in-this-section"/>
    <w:p>
      <w:pPr>
        <w:pStyle w:val="Heading2"/>
      </w:pPr>
      <w:r>
        <w:t xml:space="preserve">Pages in this section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Slug</w:t>
            </w:r>
          </w:p>
        </w:tc>
        <w:tc>
          <w:tcPr/>
          <w:p>
            <w:pPr>
              <w:pStyle w:val="Compact"/>
            </w:pPr>
            <w:r>
              <w:t xml:space="preserve">Topic</w:t>
            </w:r>
          </w:p>
        </w:tc>
        <w:tc>
          <w:tcPr/>
          <w:p>
            <w:pPr>
              <w:pStyle w:val="Compact"/>
            </w:pPr>
            <w:r>
              <w:t xml:space="preserve">Canon anchor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six-plane-architecture</w:t>
            </w:r>
          </w:p>
        </w:tc>
        <w:tc>
          <w:tcPr/>
          <w:p>
            <w:pPr>
              <w:pStyle w:val="Compact"/>
            </w:pPr>
            <w:r>
              <w:t xml:space="preserve">The six-plane UIAO reference model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docs/docs/01_UnifiedArchitecture.qmd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three-layer-rule-model</w:t>
            </w:r>
          </w:p>
        </w:tc>
        <w:tc>
          <w:tcPr/>
          <w:p>
            <w:pPr>
              <w:pStyle w:val="Compact"/>
            </w:pPr>
            <w:r>
              <w:t xml:space="preserve">Rule layering: canon, policy, runtime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src/uiao/rules/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boundary-impact-model</w:t>
            </w:r>
          </w:p>
        </w:tc>
        <w:tc>
          <w:tcPr/>
          <w:p>
            <w:pPr>
              <w:pStyle w:val="Compact"/>
            </w:pPr>
            <w:r>
              <w:t xml:space="preserve">Authorization boundary and impact scoring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docs/docs/authorization-boundary.qmd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drift-engine</w:t>
            </w:r>
          </w:p>
        </w:tc>
        <w:tc>
          <w:tcPr/>
          <w:p>
            <w:pPr>
              <w:pStyle w:val="Compact"/>
            </w:pPr>
            <w:r>
              <w:t xml:space="preserve">How drift is detected and remediated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docs/docs/16_DriftDetectionStandard.qmd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evidence-chain</w:t>
            </w:r>
          </w:p>
        </w:tc>
        <w:tc>
          <w:tcPr/>
          <w:p>
            <w:pPr>
              <w:pStyle w:val="Compact"/>
            </w:pPr>
            <w:r>
              <w:t xml:space="preserve">Certificate-anchored evidence propagation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docs/docs/15_ProvenanceProfile.qmd</w:t>
            </w:r>
          </w:p>
        </w:tc>
      </w:tr>
    </w:tbl>
    <w:bookmarkEnd w:id="9"/>
    <w:bookmarkEnd w:id="1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Architecture Series</dc:title>
  <dc:creator/>
  <cp:keywords/>
  <dcterms:created xsi:type="dcterms:W3CDTF">2026-05-06T19:44:26Z</dcterms:created>
  <dcterms:modified xsi:type="dcterms:W3CDTF">2026-05-06T19:44:26Z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pirational">
    <vt:lpwstr>True</vt:lpwstr>
  </property>
  <property fmtid="{D5CDD505-2E9C-101B-9397-08002B2CF9AE}" pid="3" name="audience">
    <vt:lpwstr>Enterprise architects · technical leads · assessors</vt:lpwstr>
  </property>
  <property fmtid="{D5CDD505-2E9C-101B-9397-08002B2CF9AE}" pid="4" name="biblio-config">
    <vt:lpwstr>True</vt:lpwstr>
  </property>
  <property fmtid="{D5CDD505-2E9C-101B-9397-08002B2CF9AE}" pid="5" name="canon-source">
    <vt:lpwstr>docs/docs/01_UnifiedArchitecture.qmd</vt:lpwstr>
  </property>
  <property fmtid="{D5CDD505-2E9C-101B-9397-08002B2CF9AE}" pid="6" name="derived-from">
    <vt:lpwstr>uiao canon</vt:lpwstr>
  </property>
  <property fmtid="{D5CDD505-2E9C-101B-9397-08002B2CF9AE}" pid="7" name="doc-type">
    <vt:lpwstr>section-landing</vt:lpwstr>
  </property>
  <property fmtid="{D5CDD505-2E9C-101B-9397-08002B2CF9AE}" pid="8" name="engines">
    <vt:lpwstr/>
  </property>
  <property fmtid="{D5CDD505-2E9C-101B-9397-08002B2CF9AE}" pid="9" name="header-includes">
    <vt:lpwstr/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labels">
    <vt:lpwstr/>
  </property>
  <property fmtid="{D5CDD505-2E9C-101B-9397-08002B2CF9AE}" pid="13" name="subtitle">
    <vt:lpwstr>Conceptual explainers for the UIAO governance model</vt:lpwstr>
  </property>
  <property fmtid="{D5CDD505-2E9C-101B-9397-08002B2CF9AE}" pid="14" name="toc-title">
    <vt:lpwstr>Table of contents</vt:lpwstr>
  </property>
</Properties>
</file>