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Six-Plane Architecture</w:t>
      </w:r>
    </w:p>
    <w:p>
      <w:pPr>
        <w:pStyle w:val="Subtitle"/>
      </w:pPr>
      <w:r>
        <w:t xml:space="preserve">UIAO’s six control planes and their governance roles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Architecture document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Full architecture documentation is being drafted.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Governance OS Canonical Suite</w:t>
              </w:r>
            </w:hyperlink>
            <w:r>
              <w:t xml:space="preserve"> </w:t>
            </w:r>
            <w:r>
              <w:t xml:space="preserve">which covers all six planes in detail.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executive-governance-series/governance-os-canonical-suit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executive-governance-series/governance-os-canonical-suit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Six-Plane Architecture</dc:title>
  <dc:creator/>
  <cp:keywords/>
  <dcterms:created xsi:type="dcterms:W3CDTF">2026-05-06T19:44:26Z</dcterms:created>
  <dcterms:modified xsi:type="dcterms:W3CDTF">2026-05-06T19:44:26Z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UIAO’s six control planes and their governance roles</vt:lpwstr>
  </property>
  <property fmtid="{D5CDD505-2E9C-101B-9397-08002B2CF9AE}" pid="9" name="toc-title">
    <vt:lpwstr>Table of contents</vt:lpwstr>
  </property>
</Properties>
</file>