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Three-Layer Rule Model</w:t>
      </w:r>
    </w:p>
    <w:p>
      <w:pPr>
        <w:pStyle w:val="Subtitle"/>
      </w:pPr>
      <w:r>
        <w:t xml:space="preserve">Policy, enforcement, and evidence layers in UIAO’s governance model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Architecture document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Full architecture documentation is being drafted. For current coverage,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Governance OS Overview</w:t>
              </w:r>
            </w:hyperlink>
            <w:r>
              <w:t xml:space="preserve">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../executive-briefs/governance-os-overview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executive-briefs/governance-os-overview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Three-Layer Rule Model</dc:title>
  <dc:creator/>
  <cp:keywords/>
  <dcterms:created xsi:type="dcterms:W3CDTF">2026-05-06T19:44:26Z</dcterms:created>
  <dcterms:modified xsi:type="dcterms:W3CDTF">2026-05-06T19:44:26Z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Policy, enforcement, and evidence layers in UIAO’s governance model</vt:lpwstr>
  </property>
  <property fmtid="{D5CDD505-2E9C-101B-9397-08002B2CF9AE}" pid="9" name="toc-title">
    <vt:lpwstr>Table of contents</vt:lpwstr>
  </property>
</Properties>
</file>