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B.1 GCC-Moderate Boundary Model</w:t>
      </w:r>
    </w:p>
    <w:p>
      <w:pPr>
        <w:pStyle w:val="Subtitle"/>
      </w:pPr>
      <w:r>
        <w:t xml:space="preserve">Telemetry constraints, capability dispositions, and the structural ZTMM ceiling</w:t>
      </w:r>
    </w:p>
    <w:p>
      <w:pPr>
        <w:pStyle w:val="Author"/>
      </w:pPr>
      <w:r>
        <w:t xml:space="preserve">Michael Stratton</w:t>
      </w:r>
    </w:p>
    <w:p>
      <w:pPr>
        <w:pStyle w:val="Date"/>
      </w:pPr>
      <w:r>
        <w:t xml:space="preserve">2026-04-01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rPr>
          <w:b/>
          <w:bCs/>
        </w:rPr>
        <w:t xml:space="preserve">CONTROLLED</w:t>
      </w:r>
    </w:p>
    <w:bookmarkStart w:id="25" w:name="b.1-gcc-moderate-boundary-model"/>
    <w:p>
      <w:pPr>
        <w:pStyle w:val="Heading1"/>
      </w:pPr>
      <w:r>
        <w:t xml:space="preserve">B.1 GCC-Moderate Boundary Model</w:t>
      </w:r>
    </w:p>
    <w:bookmarkStart w:id="9" w:name="position"/>
    <w:p>
      <w:pPr>
        <w:pStyle w:val="Heading2"/>
      </w:pPr>
      <w:r>
        <w:t xml:space="preserve">1. Position</w:t>
      </w:r>
    </w:p>
    <w:p>
      <w:pPr>
        <w:pStyle w:val="FirstParagraph"/>
      </w:pPr>
      <w:r>
        <w:t xml:space="preserve">Microsoft 365 GCC-Moderate provides the same nominal product set as M365</w:t>
      </w:r>
      <w:r>
        <w:t xml:space="preserve"> </w:t>
      </w:r>
      <w:r>
        <w:t xml:space="preserve">commercial, but the FedRAMP Moderate authorization boundary materially</w:t>
      </w:r>
      <w:r>
        <w:t xml:space="preserve"> </w:t>
      </w:r>
      <w:r>
        <w:t xml:space="preserve">constrains the outbound telemetry that drives many of the platform’s</w:t>
      </w:r>
      <w:r>
        <w:t xml:space="preserve"> </w:t>
      </w:r>
      <w:r>
        <w:t xml:space="preserve">higher-order analytics. The result is a structural reduction in the</w:t>
      </w:r>
      <w:r>
        <w:t xml:space="preserve"> </w:t>
      </w:r>
      <w:r>
        <w:t xml:space="preserve">fidelity of signals available for Zero Trust decisions, anomaly detection,</w:t>
      </w:r>
      <w:r>
        <w:t xml:space="preserve"> </w:t>
      </w:r>
      <w:r>
        <w:t xml:space="preserve">insider-risk detection, and forensic reconstruction.</w:t>
      </w:r>
    </w:p>
    <w:p>
      <w:pPr>
        <w:pStyle w:val="BodyText"/>
      </w:pPr>
      <w:r>
        <w:t xml:space="preserve">The paradox: agencies in GCC-Moderate can be technically compliant with</w:t>
      </w:r>
      <w:r>
        <w:t xml:space="preserve"> </w:t>
      </w:r>
      <w:r>
        <w:t xml:space="preserve">FedRAMP Moderate yet structurally less observable than commercial</w:t>
      </w:r>
      <w:r>
        <w:t xml:space="preserve"> </w:t>
      </w:r>
      <w:r>
        <w:t xml:space="preserve">enterprises that have full access to Microsoft’s commercial telemetry</w:t>
      </w:r>
      <w:r>
        <w:t xml:space="preserve"> </w:t>
      </w:r>
      <w:r>
        <w:t xml:space="preserve">stack. Closing this observability gap is an agency responsibility, not a</w:t>
      </w:r>
      <w:r>
        <w:t xml:space="preserve"> </w:t>
      </w:r>
      <w:r>
        <w:t xml:space="preserve">Microsoft platform feature.</w:t>
      </w:r>
    </w:p>
    <w:bookmarkEnd w:id="9"/>
    <w:bookmarkStart w:id="10" w:name="the-boundary-inference-framework"/>
    <w:p>
      <w:pPr>
        <w:pStyle w:val="Heading2"/>
      </w:pPr>
      <w:r>
        <w:t xml:space="preserve">2. The Boundary-Inference Framework</w:t>
      </w:r>
    </w:p>
    <w:p>
      <w:pPr>
        <w:pStyle w:val="FirstParagraph"/>
      </w:pPr>
      <w:r>
        <w:t xml:space="preserve">The single most important methodological position taken in this assessment</w:t>
      </w:r>
      <w:r>
        <w:t xml:space="preserve"> </w:t>
      </w:r>
      <w:r>
        <w:t xml:space="preserve">is that</w:t>
      </w:r>
      <w:r>
        <w:t xml:space="preserve"> </w:t>
      </w:r>
      <w:r>
        <w:rPr>
          <w:b/>
          <w:bCs/>
        </w:rPr>
        <w:t xml:space="preserve">absence of an explicit</w:t>
      </w:r>
      <w:r>
        <w:rPr>
          <w:b/>
          <w:bCs/>
        </w:rPr>
        <w:t xml:space="preserve"> </w:t>
      </w:r>
      <w:r>
        <w:rPr>
          <w:b/>
          <w:bCs/>
        </w:rPr>
        <w:t xml:space="preserve">“not available in GCC-Moderate”</w:t>
      </w:r>
      <w:r>
        <w:rPr>
          <w:b/>
          <w:bCs/>
        </w:rPr>
        <w:t xml:space="preserve"> </w:t>
      </w:r>
      <w:r>
        <w:rPr>
          <w:b/>
          <w:bCs/>
        </w:rPr>
        <w:t xml:space="preserve">statement</w:t>
      </w:r>
      <w:r>
        <w:rPr>
          <w:b/>
          <w:bCs/>
        </w:rPr>
        <w:t xml:space="preserve"> </w:t>
      </w:r>
      <w:r>
        <w:rPr>
          <w:b/>
          <w:bCs/>
        </w:rPr>
        <w:t xml:space="preserve">is not evidence of availability</w:t>
      </w:r>
      <w:r>
        <w:t xml:space="preserve">. Many telemetry-dependent capabilities</w:t>
      </w:r>
      <w:r>
        <w:t xml:space="preserve"> </w:t>
      </w:r>
      <w:r>
        <w:t xml:space="preserve">are constrained by the FedRAMP Moderate authorization boundary itself,</w:t>
      </w:r>
      <w:r>
        <w:t xml:space="preserve"> </w:t>
      </w:r>
      <w:r>
        <w:t xml:space="preserve">regardless of what any product page says.</w:t>
      </w:r>
    </w:p>
    <w:p>
      <w:pPr>
        <w:pStyle w:val="BodyText"/>
      </w:pPr>
      <w:r>
        <w:t xml:space="preserve">The constraining controls are: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NIST 800-53 control</w:t>
            </w:r>
          </w:p>
        </w:tc>
        <w:tc>
          <w:tcPr/>
          <w:p>
            <w:pPr>
              <w:pStyle w:val="Compact"/>
            </w:pPr>
            <w:r>
              <w:t xml:space="preserve">Constraint applied to outbound telemetry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SI-4</w:t>
            </w:r>
            <w:r>
              <w:t xml:space="preserve"> </w:t>
            </w:r>
            <w:r>
              <w:t xml:space="preserve">Information System Monitoring</w:t>
            </w:r>
          </w:p>
        </w:tc>
        <w:tc>
          <w:tcPr/>
          <w:p>
            <w:pPr>
              <w:pStyle w:val="Compact"/>
            </w:pPr>
            <w:r>
              <w:t xml:space="preserve">Monitoring data must remain within the authorized boundary unless explicitly scoped and authorized for export.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AU-2 / AU-3</w:t>
            </w:r>
            <w:r>
              <w:t xml:space="preserve"> </w:t>
            </w:r>
            <w:r>
              <w:t xml:space="preserve">Audit Events / Content of Audit Records</w:t>
            </w:r>
          </w:p>
        </w:tc>
        <w:tc>
          <w:tcPr/>
          <w:p>
            <w:pPr>
              <w:pStyle w:val="Compact"/>
            </w:pPr>
            <w:r>
              <w:t xml:space="preserve">Audit content shipped off-boundary to commercial multi-tenant analytics may exceed authorized export scope.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SC-7</w:t>
            </w:r>
            <w:r>
              <w:t xml:space="preserve"> </w:t>
            </w:r>
            <w:r>
              <w:t xml:space="preserve">Boundary Protection</w:t>
            </w:r>
          </w:p>
        </w:tc>
        <w:tc>
          <w:tcPr/>
          <w:p>
            <w:pPr>
              <w:pStyle w:val="Compact"/>
            </w:pPr>
            <w:r>
              <w:t xml:space="preserve">Continuous, rich telemetry to multi-tenant analytics services is exactly the cross-boundary flow SC-7 forces agencies to constrain.</w:t>
            </w:r>
          </w:p>
        </w:tc>
      </w:tr>
    </w:tbl>
    <w:p>
      <w:pPr>
        <w:pStyle w:val="BodyText"/>
      </w:pPr>
      <w:r>
        <w:rPr>
          <w:b/>
          <w:bCs/>
        </w:rPr>
        <w:t xml:space="preserve">Reverse-inference rule.</w:t>
      </w:r>
      <w:r>
        <w:t xml:space="preserve"> </w:t>
      </w:r>
      <w:r>
        <w:t xml:space="preserve">If a feature requires telemetry to flow to</w:t>
      </w:r>
      <w:r>
        <w:t xml:space="preserve"> </w:t>
      </w:r>
      <w:r>
        <w:t xml:space="preserve">Microsoft’s commercial multi-tenant processing pipeline, and the FedRAMP</w:t>
      </w:r>
      <w:r>
        <w:t xml:space="preserve"> </w:t>
      </w:r>
      <w:r>
        <w:t xml:space="preserve">Moderate boundary restricts that outbound flow under SI-4, AU-2, AU-3, or</w:t>
      </w:r>
      <w:r>
        <w:t xml:space="preserve"> </w:t>
      </w:r>
      <w:r>
        <w:t xml:space="preserve">SC-7, then the signal is blocked or degraded</w:t>
      </w:r>
      <w:r>
        <w:t xml:space="preserve"> </w:t>
      </w:r>
      <w:r>
        <w:rPr>
          <w:i/>
          <w:iCs/>
        </w:rPr>
        <w:t xml:space="preserve">by architecture</w:t>
      </w:r>
      <w:r>
        <w:t xml:space="preserve"> </w:t>
      </w:r>
      <w:r>
        <w:t xml:space="preserve">— even when</w:t>
      </w:r>
      <w:r>
        <w:t xml:space="preserve"> </w:t>
      </w:r>
      <w:r>
        <w:t xml:space="preserve">no Microsoft product page explicitly says so. Such findings are labeled</w:t>
      </w:r>
      <w:r>
        <w:t xml:space="preserve"> </w:t>
      </w:r>
      <w:r>
        <w:rPr>
          <w:b/>
          <w:bCs/>
        </w:rPr>
        <w:t xml:space="preserve">Inferred blocked by FedRAMP boundary architecture</w:t>
      </w:r>
      <w:r>
        <w:t xml:space="preserve"> </w:t>
      </w:r>
      <w:r>
        <w:t xml:space="preserve">rather than asserted</w:t>
      </w:r>
      <w:r>
        <w:t xml:space="preserve"> </w:t>
      </w:r>
      <w:r>
        <w:t xml:space="preserve">documented unavailability.</w:t>
      </w:r>
    </w:p>
    <w:bookmarkEnd w:id="10"/>
    <w:bookmarkStart w:id="13" w:name="capability-dispositions"/>
    <w:p>
      <w:pPr>
        <w:pStyle w:val="Heading2"/>
      </w:pPr>
      <w:r>
        <w:t xml:space="preserve">3. Capability Dispositions</w:t>
      </w:r>
    </w:p>
    <w:p>
      <w:pPr>
        <w:pStyle w:val="FirstParagraph"/>
      </w:pPr>
      <w:r>
        <w:t xml:space="preserve">Each row of the gap matrix carries one of four</w:t>
      </w:r>
      <w:r>
        <w:t xml:space="preserve"> </w:t>
      </w:r>
      <w:r>
        <w:rPr>
          <w:rStyle w:val="VerbatimChar"/>
        </w:rPr>
        <w:t xml:space="preserve">documented</w:t>
      </w:r>
      <w:r>
        <w:t xml:space="preserve"> </w:t>
      </w:r>
      <w:r>
        <w:t xml:space="preserve">dispositions.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Disposition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confirmed</w:t>
            </w:r>
          </w:p>
        </w:tc>
        <w:tc>
          <w:tcPr/>
          <w:p>
            <w:pPr>
              <w:pStyle w:val="Compact"/>
            </w:pPr>
            <w:r>
              <w:t xml:space="preserve">Microsoft documentation explicitly states unavailability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No explicit doc; blocked by SI-4 / AU-2 / AU-3 / SC-7 architecture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restricted</w:t>
            </w:r>
          </w:p>
        </w:tc>
        <w:tc>
          <w:tcPr/>
          <w:p>
            <w:pPr>
              <w:pStyle w:val="Compact"/>
            </w:pPr>
            <w:r>
              <w:t xml:space="preserve">Available with restrictions (e.g., Office Optional defaults to Required)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retention-limited</w:t>
            </w:r>
          </w:p>
        </w:tc>
        <w:tc>
          <w:tcPr/>
          <w:p>
            <w:pPr>
              <w:pStyle w:val="Compact"/>
            </w:pPr>
            <w:r>
              <w:t xml:space="preserve">Available but data lifetime caps create a forensic cliff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</w:tbl>
    <w:p>
      <w:pPr>
        <w:pStyle w:val="BodyText"/>
      </w:pPr>
      <w:r>
        <w:t xml:space="preserve">The two confirmed-unavailable headline capabilities are: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Microsoft Adoption Score</w:t>
      </w:r>
      <w:r>
        <w:t xml:space="preserve"> </w:t>
      </w:r>
      <w:r>
        <w:t xml:space="preserve">—</w:t>
      </w:r>
      <w:r>
        <w:t xml:space="preserve"> </w:t>
      </w:r>
      <w:r>
        <w:rPr>
          <w:i/>
          <w:iCs/>
        </w:rPr>
        <w:t xml:space="preserve">“This feature isn’t available in GCC</w:t>
      </w:r>
      <w:r>
        <w:rPr>
          <w:i/>
          <w:iCs/>
        </w:rPr>
        <w:t xml:space="preserve"> </w:t>
      </w:r>
      <w:r>
        <w:rPr>
          <w:i/>
          <w:iCs/>
        </w:rPr>
        <w:t xml:space="preserve">High, GCC, and DOD tenants.”</w:t>
      </w:r>
      <w:r>
        <w:t xml:space="preserve"> </w:t>
      </w:r>
      <w:r>
        <w:t xml:space="preserve">The</w:t>
      </w:r>
      <w:r>
        <w:t xml:space="preserve"> </w:t>
      </w:r>
      <w:r>
        <w:t xml:space="preserve">“GCC”</w:t>
      </w:r>
      <w:r>
        <w:t xml:space="preserve"> </w:t>
      </w:r>
      <w:r>
        <w:t xml:space="preserve">item in that list is</w:t>
      </w:r>
      <w:r>
        <w:t xml:space="preserve"> </w:t>
      </w:r>
      <w:r>
        <w:t xml:space="preserve">GCC-Moderate.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Microsoft Informed Network Routing (INR)</w:t>
      </w:r>
      <w:r>
        <w:t xml:space="preserve"> </w:t>
      </w:r>
      <w:r>
        <w:t xml:space="preserve">—</w:t>
      </w:r>
      <w:r>
        <w:t xml:space="preserve"> </w:t>
      </w:r>
      <w:r>
        <w:rPr>
          <w:i/>
          <w:iCs/>
        </w:rPr>
        <w:t xml:space="preserve">“supports tenants in WW</w:t>
      </w:r>
      <w:r>
        <w:rPr>
          <w:i/>
          <w:iCs/>
        </w:rPr>
        <w:t xml:space="preserve"> </w:t>
      </w:r>
      <w:r>
        <w:rPr>
          <w:i/>
          <w:iCs/>
        </w:rPr>
        <w:t xml:space="preserve">Commercial cloud but not the GCC Moderate, GCC High, DoD, Germany, or</w:t>
      </w:r>
      <w:r>
        <w:rPr>
          <w:i/>
          <w:iCs/>
        </w:rPr>
        <w:t xml:space="preserve"> </w:t>
      </w:r>
      <w:r>
        <w:rPr>
          <w:i/>
          <w:iCs/>
        </w:rPr>
        <w:t xml:space="preserve">China clouds.”</w:t>
      </w:r>
    </w:p>
    <w:p>
      <w:pPr>
        <w:pStyle w:val="FirstParagraph"/>
      </w:pPr>
      <w:r>
        <w:t xml:space="preserve">Capabilities incorrectly listed as unavailable in earlier analyses but</w:t>
      </w:r>
      <w:r>
        <w:t xml:space="preserve"> </w:t>
      </w:r>
      <w:r>
        <w:t xml:space="preserve">which</w:t>
      </w:r>
      <w:r>
        <w:t xml:space="preserve"> </w:t>
      </w:r>
      <w:r>
        <w:rPr>
          <w:b/>
          <w:bCs/>
        </w:rPr>
        <w:t xml:space="preserve">are</w:t>
      </w:r>
      <w:r>
        <w:t xml:space="preserve"> </w:t>
      </w:r>
      <w:r>
        <w:t xml:space="preserve">available with caveats: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Teams Call Quality Dashboard (CQD)</w:t>
      </w:r>
      <w:r>
        <w:t xml:space="preserve"> </w:t>
      </w:r>
      <w:r>
        <w:t xml:space="preserve">— available with 28-day EUII</w:t>
      </w:r>
      <w:r>
        <w:t xml:space="preserve"> </w:t>
      </w:r>
      <w:r>
        <w:t xml:space="preserve">retention as the operational constraint.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Microsoft 365 Usage Analytics</w:t>
      </w:r>
      <w:r>
        <w:t xml:space="preserve"> </w:t>
      </w:r>
      <w:r>
        <w:t xml:space="preserve">— available via the GCC-specific</w:t>
      </w:r>
      <w:r>
        <w:t xml:space="preserve"> </w:t>
      </w:r>
      <w:r>
        <w:t xml:space="preserve">Power BI connector; only the Marketplace template-app variant is</w:t>
      </w:r>
      <w:r>
        <w:t xml:space="preserve"> </w:t>
      </w:r>
      <w:r>
        <w:t xml:space="preserve">missing.</w:t>
      </w:r>
    </w:p>
    <w:p>
      <w:pPr>
        <w:pStyle w:val="FirstParagraph"/>
      </w:pPr>
      <w:r>
        <w:t xml:space="preserve">For per-row detail, see</w:t>
      </w:r>
      <w:r>
        <w:t xml:space="preserve"> </w:t>
      </w:r>
      <w:hyperlink r:id="rId11">
        <w:r>
          <w:rPr>
            <w:rStyle w:val="VerbatimChar"/>
          </w:rPr>
          <w:t xml:space="preserve">src/uiao/canon/data/gcc-moderate-telemetry-gaps.yaml</w:t>
        </w:r>
      </w:hyperlink>
      <w:r>
        <w:t xml:space="preserve"> </w:t>
      </w:r>
      <w:r>
        <w:t xml:space="preserve">and</w:t>
      </w:r>
      <w:r>
        <w:t xml:space="preserve"> </w:t>
      </w:r>
      <w:hyperlink r:id="rId12">
        <w:r>
          <w:rPr>
            <w:rStyle w:val="VerbatimChar"/>
          </w:rPr>
          <w:t xml:space="preserve">src/uiao/canon/compliance/reference/gcc-moderate-boundary-assessment/capabilities.md</w:t>
        </w:r>
      </w:hyperlink>
      <w:r>
        <w:t xml:space="preserve">.</w:t>
      </w:r>
    </w:p>
    <w:bookmarkEnd w:id="13"/>
    <w:bookmarkStart w:id="14" w:name="ztmm-maturity-ceiling"/>
    <w:p>
      <w:pPr>
        <w:pStyle w:val="Heading2"/>
      </w:pPr>
      <w:r>
        <w:t xml:space="preserve">4. ZTMM Maturity Ceiling</w:t>
      </w:r>
    </w:p>
    <w:p>
      <w:pPr>
        <w:pStyle w:val="FirstParagraph"/>
      </w:pPr>
      <w:r>
        <w:t xml:space="preserve">CISA Zero Trust Maturity Model v2.0 pillar achievability under GCC-Moderate</w:t>
      </w:r>
      <w:r>
        <w:t xml:space="preserve"> </w:t>
      </w:r>
      <w:r>
        <w:t xml:space="preserve">without agency-side analytics: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Pillar</w:t>
            </w:r>
          </w:p>
        </w:tc>
        <w:tc>
          <w:tcPr/>
          <w:p>
            <w:pPr>
              <w:pStyle w:val="Compact"/>
            </w:pPr>
            <w:r>
              <w:t xml:space="preserve">Achievable without agency analytics</w:t>
            </w:r>
          </w:p>
        </w:tc>
        <w:tc>
          <w:tcPr/>
          <w:p>
            <w:pPr>
              <w:pStyle w:val="Compact"/>
            </w:pPr>
            <w:r>
              <w:t xml:space="preserve">Gating gap</w:t>
            </w:r>
          </w:p>
        </w:tc>
        <w:tc>
          <w:tcPr/>
          <w:p>
            <w:pPr>
              <w:pStyle w:val="Compact"/>
            </w:pPr>
            <w:r>
              <w:t xml:space="preserve">Achievable with agency analytics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Identity</w:t>
            </w:r>
          </w:p>
        </w:tc>
        <w:tc>
          <w:tcPr/>
          <w:p>
            <w:pPr>
              <w:pStyle w:val="Compact"/>
            </w:pPr>
            <w:r>
              <w:t xml:space="preserve">Initial</w:t>
            </w:r>
          </w:p>
        </w:tc>
        <w:tc>
          <w:tcPr/>
          <w:p>
            <w:pPr>
              <w:pStyle w:val="Compact"/>
            </w:pPr>
            <w:r>
              <w:t xml:space="preserve">Real-time Identity Protection ML risk + CAE</w:t>
            </w:r>
          </w:p>
        </w:tc>
        <w:tc>
          <w:tcPr/>
          <w:p>
            <w:pPr>
              <w:pStyle w:val="Compact"/>
            </w:pPr>
            <w:r>
              <w:t xml:space="preserve">Advanced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Devices</w:t>
            </w:r>
          </w:p>
        </w:tc>
        <w:tc>
          <w:tcPr/>
          <w:p>
            <w:pPr>
              <w:pStyle w:val="Compact"/>
            </w:pPr>
            <w:r>
              <w:t xml:space="preserve">Initial</w:t>
            </w:r>
          </w:p>
        </w:tc>
        <w:tc>
          <w:tcPr/>
          <w:p>
            <w:pPr>
              <w:pStyle w:val="Compact"/>
            </w:pPr>
            <w:r>
              <w:t xml:space="preserve">Endpoint Analytics Advanced + Intune behavioral analytics</w:t>
            </w:r>
          </w:p>
        </w:tc>
        <w:tc>
          <w:tcPr/>
          <w:p>
            <w:pPr>
              <w:pStyle w:val="Compact"/>
            </w:pPr>
            <w:r>
              <w:t xml:space="preserve">Advanced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Networks</w:t>
            </w:r>
          </w:p>
        </w:tc>
        <w:tc>
          <w:tcPr/>
          <w:p>
            <w:pPr>
              <w:pStyle w:val="Compact"/>
            </w:pPr>
            <w:r>
              <w:t xml:space="preserve">Initial</w:t>
            </w:r>
          </w:p>
        </w:tc>
        <w:tc>
          <w:tcPr/>
          <w:p>
            <w:pPr>
              <w:pStyle w:val="Compact"/>
            </w:pPr>
            <w:r>
              <w:t xml:space="preserve">INR + CQD long-retention EUII</w:t>
            </w:r>
          </w:p>
        </w:tc>
        <w:tc>
          <w:tcPr/>
          <w:p>
            <w:pPr>
              <w:pStyle w:val="Compact"/>
            </w:pPr>
            <w:r>
              <w:t xml:space="preserve">Advanced (with third-party SD-WAN or SASE)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Applications &amp; Workloads</w:t>
            </w:r>
          </w:p>
        </w:tc>
        <w:tc>
          <w:tcPr/>
          <w:p>
            <w:pPr>
              <w:pStyle w:val="Compact"/>
            </w:pPr>
            <w:r>
              <w:t xml:space="preserve">Initial → Advanced</w:t>
            </w:r>
          </w:p>
        </w:tc>
        <w:tc>
          <w:tcPr/>
          <w:p>
            <w:pPr>
              <w:pStyle w:val="Compact"/>
            </w:pPr>
            <w:r>
              <w:t xml:space="preserve">Office Optional diagnostic + Copilot telemetry</w:t>
            </w:r>
          </w:p>
        </w:tc>
        <w:tc>
          <w:tcPr/>
          <w:p>
            <w:pPr>
              <w:pStyle w:val="Compact"/>
            </w:pPr>
            <w:r>
              <w:t xml:space="preserve">Advanced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Initial → Advanced</w:t>
            </w:r>
          </w:p>
        </w:tc>
        <w:tc>
          <w:tcPr/>
          <w:p>
            <w:pPr>
              <w:pStyle w:val="Compact"/>
            </w:pPr>
            <w:r>
              <w:t xml:space="preserve">Adoption Score collaboration baselines + rich DLP context</w:t>
            </w:r>
          </w:p>
        </w:tc>
        <w:tc>
          <w:tcPr/>
          <w:p>
            <w:pPr>
              <w:pStyle w:val="Compact"/>
            </w:pPr>
            <w:r>
              <w:t xml:space="preserve">Advanced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Visibility &amp; Analytics</w:t>
            </w:r>
          </w:p>
        </w:tc>
        <w:tc>
          <w:tcPr/>
          <w:p>
            <w:pPr>
              <w:pStyle w:val="Compact"/>
            </w:pPr>
            <w:r>
              <w:t xml:space="preserve">Initial → Advanced</w:t>
            </w:r>
          </w:p>
        </w:tc>
        <w:tc>
          <w:tcPr/>
          <w:p>
            <w:pPr>
              <w:pStyle w:val="Compact"/>
            </w:pPr>
            <w:r>
              <w:t xml:space="preserve">All of the above</w:t>
            </w:r>
          </w:p>
        </w:tc>
        <w:tc>
          <w:tcPr/>
          <w:p>
            <w:pPr>
              <w:pStyle w:val="Compact"/>
            </w:pPr>
            <w:r>
              <w:t xml:space="preserve">Advanced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Automation &amp; Orchestration</w:t>
            </w:r>
          </w:p>
        </w:tc>
        <w:tc>
          <w:tcPr/>
          <w:p>
            <w:pPr>
              <w:pStyle w:val="Compact"/>
            </w:pPr>
            <w:r>
              <w:t xml:space="preserve">Initial</w:t>
            </w:r>
          </w:p>
        </w:tc>
        <w:tc>
          <w:tcPr/>
          <w:p>
            <w:pPr>
              <w:pStyle w:val="Compact"/>
            </w:pPr>
            <w:r>
              <w:t xml:space="preserve">Real-time CAE; automated risk-based response</w:t>
            </w:r>
          </w:p>
        </w:tc>
        <w:tc>
          <w:tcPr/>
          <w:p>
            <w:pPr>
              <w:pStyle w:val="Compact"/>
            </w:pPr>
            <w:r>
              <w:t xml:space="preserve">Advanced</w:t>
            </w:r>
          </w:p>
        </w:tc>
      </w:tr>
    </w:tbl>
    <w:p>
      <w:pPr>
        <w:pStyle w:val="BodyText"/>
      </w:pPr>
      <w:r>
        <w:rPr>
          <w:b/>
          <w:bCs/>
        </w:rPr>
        <w:t xml:space="preserve">The structural ceiling.</w:t>
      </w:r>
      <w:r>
        <w:t xml:space="preserve"> </w:t>
      </w:r>
      <w:r>
        <w:t xml:space="preserve">Without agency-side analytics, GCC-Moderate</w:t>
      </w:r>
      <w:r>
        <w:t xml:space="preserve"> </w:t>
      </w:r>
      <w:r>
        <w:t xml:space="preserve">caps near Initial maturity in Identity, Devices, and Networks; reaching</w:t>
      </w:r>
      <w:r>
        <w:t xml:space="preserve"> </w:t>
      </w:r>
      <w:r>
        <w:t xml:space="preserve">Advanced requires meaningful agency engineering investment; Optimal in any</w:t>
      </w:r>
      <w:r>
        <w:t xml:space="preserve"> </w:t>
      </w:r>
      <w:r>
        <w:t xml:space="preserve">pillar requires either Microsoft platform changes (e.g., MAS 2026</w:t>
      </w:r>
      <w:r>
        <w:t xml:space="preserve"> </w:t>
      </w:r>
      <w:r>
        <w:t xml:space="preserve">boundary refinement) or substantial agency-built equivalents to</w:t>
      </w:r>
      <w:r>
        <w:t xml:space="preserve"> </w:t>
      </w:r>
      <w:r>
        <w:t xml:space="preserve">Microsoft’s commercial ML pipelines.</w:t>
      </w:r>
    </w:p>
    <w:bookmarkEnd w:id="14"/>
    <w:bookmarkStart w:id="15" w:name="compliance-posture-under-the-boundary"/>
    <w:p>
      <w:pPr>
        <w:pStyle w:val="Heading2"/>
      </w:pPr>
      <w:r>
        <w:t xml:space="preserve">5. Compliance Posture Under the Boundary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Mandate</w:t>
            </w:r>
          </w:p>
        </w:tc>
        <w:tc>
          <w:tcPr/>
          <w:p>
            <w:pPr>
              <w:pStyle w:val="Compact"/>
            </w:pPr>
            <w:r>
              <w:t xml:space="preserve">Met by GCC-Moderate alone?</w:t>
            </w:r>
          </w:p>
        </w:tc>
        <w:tc>
          <w:tcPr/>
          <w:p>
            <w:pPr>
              <w:pStyle w:val="Compact"/>
            </w:pPr>
            <w:r>
              <w:t xml:space="preserve">Closing the gap requires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CISA BOD 25-01 (logging and visibility)</w:t>
            </w:r>
          </w:p>
        </w:tc>
        <w:tc>
          <w:tcPr/>
          <w:p>
            <w:pPr>
              <w:pStyle w:val="Compact"/>
            </w:pPr>
            <w:r>
              <w:t xml:space="preserve">Core logging met if all available logs export to Sentinel / Log Analytics. The</w:t>
            </w:r>
            <w:r>
              <w:t xml:space="preserve"> </w:t>
            </w:r>
            <w:r>
              <w:t xml:space="preserve">“rapid detection and investigation”</w:t>
            </w:r>
            <w:r>
              <w:t xml:space="preserve"> </w:t>
            </w:r>
            <w:r>
              <w:t xml:space="preserve">intent is not.</w:t>
            </w:r>
          </w:p>
        </w:tc>
        <w:tc>
          <w:tcPr/>
          <w:p>
            <w:pPr>
              <w:pStyle w:val="Compact"/>
            </w:pPr>
            <w:r>
              <w:t xml:space="preserve">Agency-built local analytics, custom KQL / SIEM rules, third-party UEBA.</w:t>
            </w:r>
          </w:p>
        </w:tc>
      </w:tr>
      <w:tr>
        <w:tc>
          <w:tcPr/>
          <w:p>
            <w:pPr>
              <w:pStyle w:val="Compact"/>
            </w:pPr>
            <w:r>
              <w:t xml:space="preserve">OMB M-22-09 (Federal Zero Trust)</w:t>
            </w:r>
          </w:p>
        </w:tc>
        <w:tc>
          <w:tcPr/>
          <w:p>
            <w:pPr>
              <w:pStyle w:val="Compact"/>
            </w:pPr>
            <w:r>
              <w:t xml:space="preserve">Identity continuous-monitoring intent not met without compensating analytics.</w:t>
            </w:r>
          </w:p>
        </w:tc>
        <w:tc>
          <w:tcPr/>
          <w:p>
            <w:pPr>
              <w:pStyle w:val="Compact"/>
            </w:pPr>
            <w:r>
              <w:t xml:space="preserve">Equivalent agency risk scoring; third-party SASE / SD-WAN; behavior-aware DLP overlay.</w:t>
            </w:r>
          </w:p>
        </w:tc>
      </w:tr>
      <w:tr>
        <w:tc>
          <w:tcPr/>
          <w:p>
            <w:pPr>
              <w:pStyle w:val="Compact"/>
            </w:pPr>
            <w:r>
              <w:t xml:space="preserve">OMB M-21-31 (Tier 3 logging)</w:t>
            </w:r>
          </w:p>
        </w:tc>
        <w:tc>
          <w:tcPr/>
          <w:p>
            <w:pPr>
              <w:pStyle w:val="Compact"/>
            </w:pPr>
            <w:r>
              <w:t xml:space="preserve">Met if all categories enabled and routed.</w:t>
            </w:r>
          </w:p>
        </w:tc>
        <w:tc>
          <w:tcPr/>
          <w:p>
            <w:pPr>
              <w:pStyle w:val="Compact"/>
            </w:pPr>
            <w:r>
              <w:t xml:space="preserve">Telemetry completeness scorecard with quarterly verification.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NIST SP 800-207 (ZTA)</w:t>
            </w:r>
          </w:p>
        </w:tc>
        <w:tc>
          <w:tcPr/>
          <w:p>
            <w:pPr>
              <w:pStyle w:val="Compact"/>
            </w:pPr>
            <w:r>
              <w:t xml:space="preserve">Architecture consistent; PE / PA require continuous trust signals.</w:t>
            </w:r>
          </w:p>
        </w:tc>
        <w:tc>
          <w:tcPr/>
          <w:p>
            <w:pPr>
              <w:pStyle w:val="Compact"/>
            </w:pPr>
            <w:r>
              <w:t xml:space="preserve">Trust-algorithm overlay in agency SIEM.</w:t>
            </w:r>
          </w:p>
        </w:tc>
      </w:tr>
    </w:tbl>
    <w:bookmarkEnd w:id="15"/>
    <w:bookmarkStart w:id="17" w:name="boundary-modernization-path-mas-2026"/>
    <w:p>
      <w:pPr>
        <w:pStyle w:val="Heading2"/>
      </w:pPr>
      <w:r>
        <w:t xml:space="preserve">6. Boundary Modernization Path — MAS 2026</w:t>
      </w:r>
    </w:p>
    <w:p>
      <w:pPr>
        <w:pStyle w:val="FirstParagraph"/>
      </w:pPr>
      <w:r>
        <w:t xml:space="preserve">MAS 2026 scope refinement is the realistic path to recovering some</w:t>
      </w:r>
      <w:r>
        <w:t xml:space="preserve"> </w:t>
      </w:r>
      <w:r>
        <w:t xml:space="preserve">currently-blocked telemetry by</w:t>
      </w:r>
      <w:r>
        <w:t xml:space="preserve"> </w:t>
      </w:r>
      <w:r>
        <w:rPr>
          <w:b/>
          <w:bCs/>
        </w:rPr>
        <w:t xml:space="preserve">removing Microsoft’s commercial telemetry</w:t>
      </w:r>
      <w:r>
        <w:rPr>
          <w:b/>
          <w:bCs/>
        </w:rPr>
        <w:t xml:space="preserve"> </w:t>
      </w:r>
      <w:r>
        <w:rPr>
          <w:b/>
          <w:bCs/>
        </w:rPr>
        <w:t xml:space="preserve">pipelines from the agency’s authorization scope</w:t>
      </w:r>
      <w:r>
        <w:t xml:space="preserve"> </w:t>
      </w:r>
      <w:r>
        <w:t xml:space="preserve">rather than blocking the</w:t>
      </w:r>
      <w:r>
        <w:t xml:space="preserve"> </w:t>
      </w:r>
      <w:r>
        <w:t xml:space="preserve">data flow at the network boundary. This shifts the conversation from</w:t>
      </w:r>
      <w:r>
        <w:t xml:space="preserve"> </w:t>
      </w:r>
      <w:r>
        <w:t xml:space="preserve">“can</w:t>
      </w:r>
      <w:r>
        <w:t xml:space="preserve"> </w:t>
      </w:r>
      <w:r>
        <w:t xml:space="preserve">the data leave?”</w:t>
      </w:r>
      <w:r>
        <w:t xml:space="preserve"> </w:t>
      </w:r>
      <w:r>
        <w:t xml:space="preserve">to</w:t>
      </w:r>
      <w:r>
        <w:t xml:space="preserve"> </w:t>
      </w:r>
      <w:r>
        <w:t xml:space="preserve">“is the receiving service in scope of my ATO?”</w:t>
      </w:r>
    </w:p>
    <w:p>
      <w:pPr>
        <w:pStyle w:val="BodyText"/>
      </w:pPr>
      <w:r>
        <w:t xml:space="preserve">For the FedRAMP 20x framing of the same shift — Minimum Assessment Scope</w:t>
      </w:r>
      <w:r>
        <w:t xml:space="preserve"> </w:t>
      </w:r>
      <w:r>
        <w:t xml:space="preserve">(MAS-CSO-IIR / MAS-CSO-MDI) and the Rev5 Balance Improvement Releases —</w:t>
      </w:r>
      <w:r>
        <w:t xml:space="preserve"> </w:t>
      </w:r>
      <w:r>
        <w:t xml:space="preserve">see</w:t>
      </w:r>
      <w:r>
        <w:t xml:space="preserve"> </w:t>
      </w:r>
      <w:hyperlink r:id="rId16">
        <w:r>
          <w:rPr>
            <w:rStyle w:val="VerbatimChar"/>
          </w:rPr>
          <w:t xml:space="preserve">docs/docs/04_FedRAMP20x_Phase2_Summary.qmd</w:t>
        </w:r>
      </w:hyperlink>
      <w:r>
        <w:t xml:space="preserve">.</w:t>
      </w:r>
    </w:p>
    <w:bookmarkEnd w:id="17"/>
    <w:bookmarkStart w:id="23" w:name="cross-references"/>
    <w:p>
      <w:pPr>
        <w:pStyle w:val="Heading2"/>
      </w:pPr>
      <w:r>
        <w:t xml:space="preserve">7. Cross-References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Methodology</w:t>
      </w:r>
      <w:r>
        <w:t xml:space="preserve">:</w:t>
      </w:r>
      <w:r>
        <w:t xml:space="preserve"> </w:t>
      </w:r>
      <w:hyperlink r:id="rId18">
        <w:r>
          <w:rPr>
            <w:rStyle w:val="VerbatimChar"/>
          </w:rPr>
          <w:t xml:space="preserve">src/uiao/canon/compliance/reference/gcc-moderate-boundary-assessment/methodology.md</w:t>
        </w:r>
      </w:hyperlink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Per-capability dispositions</w:t>
      </w:r>
      <w:r>
        <w:t xml:space="preserve">:</w:t>
      </w:r>
      <w:r>
        <w:t xml:space="preserve"> </w:t>
      </w:r>
      <w:hyperlink r:id="rId12">
        <w:r>
          <w:rPr>
            <w:rStyle w:val="VerbatimChar"/>
          </w:rPr>
          <w:t xml:space="preserve">capabilities.md</w:t>
        </w:r>
      </w:hyperlink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MITRE Chains A &amp; B</w:t>
      </w:r>
      <w:r>
        <w:t xml:space="preserve">:</w:t>
      </w:r>
      <w:r>
        <w:t xml:space="preserve"> </w:t>
      </w:r>
      <w:hyperlink r:id="rId19">
        <w:r>
          <w:rPr>
            <w:rStyle w:val="VerbatimChar"/>
          </w:rPr>
          <w:t xml:space="preserve">mitre-chains.md</w:t>
        </w:r>
      </w:hyperlink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Resolved positions on disputed questions</w:t>
      </w:r>
      <w:r>
        <w:t xml:space="preserve">:</w:t>
      </w:r>
      <w:r>
        <w:t xml:space="preserve"> </w:t>
      </w:r>
      <w:hyperlink r:id="rId20">
        <w:r>
          <w:rPr>
            <w:rStyle w:val="VerbatimChar"/>
          </w:rPr>
          <w:t xml:space="preserve">resolved-positions.md</w:t>
        </w:r>
      </w:hyperlink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Machine-readable gap matrix</w:t>
      </w:r>
      <w:r>
        <w:t xml:space="preserve">:</w:t>
      </w:r>
      <w:r>
        <w:t xml:space="preserve"> </w:t>
      </w:r>
      <w:hyperlink r:id="rId11">
        <w:r>
          <w:rPr>
            <w:rStyle w:val="VerbatimChar"/>
          </w:rPr>
          <w:t xml:space="preserve">canon/data/gcc-moderate-telemetry-gaps.yaml</w:t>
        </w:r>
      </w:hyperlink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INR finding (FINDING-001)</w:t>
      </w:r>
      <w:r>
        <w:t xml:space="preserve">:</w:t>
      </w:r>
      <w:r>
        <w:t xml:space="preserve"> </w:t>
      </w:r>
      <w:hyperlink r:id="rId21">
        <w:r>
          <w:rPr>
            <w:rStyle w:val="VerbatimChar"/>
          </w:rPr>
          <w:t xml:space="preserve">docs/findings/fedramp-gcc-moderate-informed-network-routing.md</w:t>
        </w:r>
      </w:hyperlink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Source memo</w:t>
      </w:r>
      <w:r>
        <w:t xml:space="preserve">:</w:t>
      </w:r>
      <w:r>
        <w:t xml:space="preserve"> </w:t>
      </w:r>
      <w:hyperlink r:id="rId22">
        <w:r>
          <w:rPr>
            <w:rStyle w:val="VerbatimChar"/>
          </w:rPr>
          <w:t xml:space="preserve">inbox/New_FedRAMP_Boundary/M365_GCC-Moderate_Telemetry_and_Boundary_Assessment_External_with_images.docx</w:t>
        </w:r>
      </w:hyperlink>
    </w:p>
    <w:bookmarkEnd w:id="23"/>
    <w:bookmarkStart w:id="24" w:name="provenance"/>
    <w:p>
      <w:pPr>
        <w:pStyle w:val="Heading2"/>
      </w:pPr>
      <w:r>
        <w:t xml:space="preserve">8. Provenance</w:t>
      </w:r>
    </w:p>
    <w:p>
      <w:pPr>
        <w:pStyle w:val="FirstParagraph"/>
      </w:pPr>
      <w:r>
        <w:t xml:space="preserve">This leaf is the customer-doc realization of the M365 GCC-Moderate</w:t>
      </w:r>
      <w:r>
        <w:t xml:space="preserve"> </w:t>
      </w:r>
      <w:r>
        <w:t xml:space="preserve">Telemetry &amp; Boundary Assessment (External v1.0, 2026-04-25). The narrative</w:t>
      </w:r>
      <w:r>
        <w:t xml:space="preserve"> </w:t>
      </w:r>
      <w:r>
        <w:t xml:space="preserve">above is condensed; the canon reference holds the full analytical content</w:t>
      </w:r>
      <w:r>
        <w:t xml:space="preserve"> </w:t>
      </w:r>
      <w:r>
        <w:t xml:space="preserve">and the yaml holds the per-row matrix that adapters and validators</w:t>
      </w:r>
      <w:r>
        <w:t xml:space="preserve"> </w:t>
      </w:r>
      <w:r>
        <w:t xml:space="preserve">consume.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6" Target="../../docs/04_FedRAMP20x_Phase2_Summary.html" TargetMode="External" /><Relationship Type="http://schemas.openxmlformats.org/officeDocument/2006/relationships/hyperlink" Id="rId21" Target="../../findings/fedramp-gcc-moderate-informed-network-routing.html" TargetMode="External" /><Relationship Type="http://schemas.openxmlformats.org/officeDocument/2006/relationships/hyperlink" Id="rId22" Target="inbox/New_FedRAMP_Boundary/M365_GCC-Moderate_Telemetry_and_Boundary_Assessment_External_with_images.docx" TargetMode="External" /><Relationship Type="http://schemas.openxmlformats.org/officeDocument/2006/relationships/hyperlink" Id="rId12" Target="src/uiao/canon/compliance/reference/gcc-moderate-boundary-assessment/capabilities.html" TargetMode="External" /><Relationship Type="http://schemas.openxmlformats.org/officeDocument/2006/relationships/hyperlink" Id="rId18" Target="src/uiao/canon/compliance/reference/gcc-moderate-boundary-assessment/methodology.html" TargetMode="External" /><Relationship Type="http://schemas.openxmlformats.org/officeDocument/2006/relationships/hyperlink" Id="rId19" Target="src/uiao/canon/compliance/reference/gcc-moderate-boundary-assessment/mitre-chains.html" TargetMode="External" /><Relationship Type="http://schemas.openxmlformats.org/officeDocument/2006/relationships/hyperlink" Id="rId20" Target="src/uiao/canon/compliance/reference/gcc-moderate-boundary-assessment/resolved-positions.html" TargetMode="External" /><Relationship Type="http://schemas.openxmlformats.org/officeDocument/2006/relationships/hyperlink" Id="rId11" Target="src/uiao/canon/data/gcc-moderate-telemetry-gaps.ya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../../docs/04_FedRAMP20x_Phase2_Summary.html" TargetMode="External" /><Relationship Type="http://schemas.openxmlformats.org/officeDocument/2006/relationships/hyperlink" Id="rId21" Target="../../findings/fedramp-gcc-moderate-informed-network-routing.html" TargetMode="External" /><Relationship Type="http://schemas.openxmlformats.org/officeDocument/2006/relationships/hyperlink" Id="rId22" Target="inbox/New_FedRAMP_Boundary/M365_GCC-Moderate_Telemetry_and_Boundary_Assessment_External_with_images.docx" TargetMode="External" /><Relationship Type="http://schemas.openxmlformats.org/officeDocument/2006/relationships/hyperlink" Id="rId12" Target="src/uiao/canon/compliance/reference/gcc-moderate-boundary-assessment/capabilities.html" TargetMode="External" /><Relationship Type="http://schemas.openxmlformats.org/officeDocument/2006/relationships/hyperlink" Id="rId18" Target="src/uiao/canon/compliance/reference/gcc-moderate-boundary-assessment/methodology.html" TargetMode="External" /><Relationship Type="http://schemas.openxmlformats.org/officeDocument/2006/relationships/hyperlink" Id="rId19" Target="src/uiao/canon/compliance/reference/gcc-moderate-boundary-assessment/mitre-chains.html" TargetMode="External" /><Relationship Type="http://schemas.openxmlformats.org/officeDocument/2006/relationships/hyperlink" Id="rId20" Target="src/uiao/canon/compliance/reference/gcc-moderate-boundary-assessment/resolved-positions.html" TargetMode="External" /><Relationship Type="http://schemas.openxmlformats.org/officeDocument/2006/relationships/hyperlink" Id="rId11" Target="src/uiao/canon/data/gcc-moderate-telemetry-gaps.ya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B.1 GCC-Moderate Boundary Model</dc:title>
  <dc:creator>Michael Stratton</dc:creator>
  <cp:keywords/>
  <dcterms:created xsi:type="dcterms:W3CDTF">2026-05-06T19:44:28Z</dcterms:created>
  <dcterms:modified xsi:type="dcterms:W3CDTF">2026-05-06T19:44:28Z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oundary">
    <vt:lpwstr>GCC-Moderate</vt:lpwstr>
  </property>
  <property fmtid="{D5CDD505-2E9C-101B-9397-08002B2CF9AE}" pid="6" name="by-author">
    <vt:lpwstr/>
  </property>
  <property fmtid="{D5CDD505-2E9C-101B-9397-08002B2CF9AE}" pid="7" name="canon-reference">
    <vt:lpwstr>src/uiao/canon/compliance/reference/gcc-moderate-boundary-assessment/</vt:lpwstr>
  </property>
  <property fmtid="{D5CDD505-2E9C-101B-9397-08002B2CF9AE}" pid="8" name="canon-source">
    <vt:lpwstr>inbox/New_FedRAMP_Boundary/M365_GCC-Moderate_Telemetry_and_Boundary_Assessment_External_with_images.docx</vt:lpwstr>
  </property>
  <property fmtid="{D5CDD505-2E9C-101B-9397-08002B2CF9AE}" pid="9" name="classification">
    <vt:lpwstr>Controlled</vt:lpwstr>
  </property>
  <property fmtid="{D5CDD505-2E9C-101B-9397-08002B2CF9AE}" pid="10" name="created-at">
    <vt:lpwstr>2026-04-27</vt:lpwstr>
  </property>
  <property fmtid="{D5CDD505-2E9C-101B-9397-08002B2CF9AE}" pid="11" name="date">
    <vt:lpwstr>2026-04-01</vt:lpwstr>
  </property>
  <property fmtid="{D5CDD505-2E9C-101B-9397-08002B2CF9AE}" pid="12" name="doc-type">
    <vt:lpwstr>leaf</vt:lpwstr>
  </property>
  <property fmtid="{D5CDD505-2E9C-101B-9397-08002B2CF9AE}" pid="13" name="engines">
    <vt:lpwstr/>
  </property>
  <property fmtid="{D5CDD505-2E9C-101B-9397-08002B2CF9AE}" pid="14" name="gap-matrix-data">
    <vt:lpwstr>src/uiao/canon/data/gcc-moderate-telemetry-gaps.yaml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labels">
    <vt:lpwstr/>
  </property>
  <property fmtid="{D5CDD505-2E9C-101B-9397-08002B2CF9AE}" pid="19" name="leaf">
    <vt:lpwstr>B.1</vt:lpwstr>
  </property>
  <property fmtid="{D5CDD505-2E9C-101B-9397-08002B2CF9AE}" pid="20" name="pillar">
    <vt:lpwstr>compliance</vt:lpwstr>
  </property>
  <property fmtid="{D5CDD505-2E9C-101B-9397-08002B2CF9AE}" pid="21" name="repo-path">
    <vt:lpwstr>docs/customer-documents/compliance/boundary-authorization/B1-gcc-moderate-boundary-model.qmd</vt:lpwstr>
  </property>
  <property fmtid="{D5CDD505-2E9C-101B-9397-08002B2CF9AE}" pid="22" name="status">
    <vt:lpwstr>Active</vt:lpwstr>
  </property>
  <property fmtid="{D5CDD505-2E9C-101B-9397-08002B2CF9AE}" pid="23" name="sub-category">
    <vt:lpwstr>B</vt:lpwstr>
  </property>
  <property fmtid="{D5CDD505-2E9C-101B-9397-08002B2CF9AE}" pid="24" name="subtitle">
    <vt:lpwstr>Telemetry constraints, capability dispositions, and the structural ZTMM ceiling</vt:lpwstr>
  </property>
  <property fmtid="{D5CDD505-2E9C-101B-9397-08002B2CF9AE}" pid="25" name="toc-title">
    <vt:lpwstr>Table of contents</vt:lpwstr>
  </property>
  <property fmtid="{D5CDD505-2E9C-101B-9397-08002B2CF9AE}" pid="26" name="updated-at">
    <vt:lpwstr>2026-04-27</vt:lpwstr>
  </property>
</Properties>
</file>