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C. Evidence + Telemetry</w:t>
      </w:r>
    </w:p>
    <w:p>
      <w:pPr>
        <w:pStyle w:val="Subtitle"/>
      </w:pPr>
      <w:r>
        <w:t xml:space="preserve">Drift engine, telemetry, KSI, ScubaGear, signed provenance chain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2" w:name="c.-evidence-telemetry"/>
    <w:p>
      <w:pPr>
        <w:pStyle w:val="Heading1"/>
      </w:pPr>
      <w:r>
        <w:t xml:space="preserve">C. Evidence + Telemetry</w:t>
      </w:r>
    </w:p>
    <w:p>
      <w:pPr>
        <w:pStyle w:val="FirstParagraph"/>
      </w:pPr>
      <w:r>
        <w:t xml:space="preserve">The continuous evidentiary pipeline. Every governance assertion must</w:t>
      </w:r>
      <w:r>
        <w:t xml:space="preserve"> </w:t>
      </w:r>
      <w:r>
        <w:t xml:space="preserve">have a signed, provenanced artifact behind it. The drift detection engine</w:t>
      </w:r>
      <w:r>
        <w:t xml:space="preserve"> </w:t>
      </w:r>
      <w:r>
        <w:t xml:space="preserve">catches divergence in real time; the telemetry model emits it; KSI + SCuBA</w:t>
      </w:r>
      <w:r>
        <w:t xml:space="preserve"> </w:t>
      </w:r>
      <w:r>
        <w:t xml:space="preserve">evidence feed it into federal pipelines.</w:t>
      </w:r>
    </w:p>
    <w:bookmarkStart w:id="11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C.1</w:t>
      </w:r>
      <w:r>
        <w:t xml:space="preserve"> </w:t>
      </w:r>
      <w:r>
        <w:t xml:space="preserve">Governance Telemetry Model (MOD_X)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C.2</w:t>
      </w:r>
      <w:r>
        <w:t xml:space="preserve"> </w:t>
      </w:r>
      <w:r>
        <w:t xml:space="preserve">KSI (Key Security Indicators)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C.3</w:t>
      </w:r>
      <w:r>
        <w:t xml:space="preserve"> </w:t>
      </w:r>
      <w:r>
        <w:t xml:space="preserve">ScubaGear evidence pipeline —</w:t>
      </w:r>
      <w:r>
        <w:t xml:space="preserve"> </w:t>
      </w:r>
      <w:hyperlink r:id="rId9">
        <w:r>
          <w:rPr>
            <w:rStyle w:val="Hyperlink"/>
          </w:rPr>
          <w:t xml:space="preserve">adapter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C.4</w:t>
      </w:r>
      <w:r>
        <w:t xml:space="preserve"> </w:t>
      </w:r>
      <w:r>
        <w:t xml:space="preserve">Drift Detection Engine (MOD_M) —</w:t>
      </w:r>
      <w:r>
        <w:t xml:space="preserve"> </w:t>
      </w:r>
      <w:r>
        <w:rPr>
          <w:i/>
          <w:iCs/>
        </w:rPr>
        <w:t xml:space="preserve">primary home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C.5</w:t>
      </w:r>
      <w:r>
        <w:t xml:space="preserve"> </w:t>
      </w:r>
      <w:r>
        <w:t xml:space="preserve">Governance OS State Machine (MOD_S)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C.6</w:t>
      </w:r>
      <w:r>
        <w:t xml:space="preserve"> </w:t>
      </w:r>
      <w:r>
        <w:t xml:space="preserve">Provenance chain / signed commits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C.7</w:t>
      </w:r>
      <w:r>
        <w:t xml:space="preserve"> </w:t>
      </w:r>
      <w:r>
        <w:t xml:space="preserve">SIEM forwarding —</w:t>
      </w:r>
      <w:r>
        <w:t xml:space="preserve"> </w:t>
      </w:r>
      <w:hyperlink r:id="rId10">
        <w:r>
          <w:rPr>
            <w:rStyle w:val="Hyperlink"/>
          </w:rPr>
          <w:t xml:space="preserve">adapter</w:t>
        </w:r>
      </w:hyperlink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../adapter-specs/scubagear/scubagear.html" TargetMode="External" /><Relationship Type="http://schemas.openxmlformats.org/officeDocument/2006/relationships/hyperlink" Id="rId10" Target="../../adapter-specs/siem/siem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../adapter-specs/scubagear/scubagear.html" TargetMode="External" /><Relationship Type="http://schemas.openxmlformats.org/officeDocument/2006/relationships/hyperlink" Id="rId10" Target="../../adapter-specs/siem/siem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 Evidence + Telemetry</dc:title>
  <dc:creator/>
  <cp:keywords/>
  <dcterms:created xsi:type="dcterms:W3CDTF">2026-05-06T19:44:31Z</dcterms:created>
  <dcterms:modified xsi:type="dcterms:W3CDTF">2026-05-06T19:44:31Z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compliance</vt:lpwstr>
  </property>
  <property fmtid="{D5CDD505-2E9C-101B-9397-08002B2CF9AE}" pid="12" name="status">
    <vt:lpwstr>scaffold</vt:lpwstr>
  </property>
  <property fmtid="{D5CDD505-2E9C-101B-9397-08002B2CF9AE}" pid="13" name="sub-category">
    <vt:lpwstr>C</vt:lpwstr>
  </property>
  <property fmtid="{D5CDD505-2E9C-101B-9397-08002B2CF9AE}" pid="14" name="subtitle">
    <vt:lpwstr>Drift engine, telemetry, KSI, ScubaGear, signed provenance chain</vt:lpwstr>
  </property>
  <property fmtid="{D5CDD505-2E9C-101B-9397-08002B2CF9AE}" pid="15" name="toc-title">
    <vt:lpwstr>Table of contents</vt:lpwstr>
  </property>
</Properties>
</file>