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UIAO Master Document Specification</w:t>
      </w:r>
    </w:p>
    <w:p>
      <w:pPr>
        <w:pStyle w:val="Subtitle"/>
      </w:pPr>
      <w:r>
        <w:t xml:space="preserve">Canonical document specification for deterministic UIAO document generation</w:t>
      </w:r>
    </w:p>
    <w:p>
      <w:pPr>
        <w:pStyle w:val="Author"/>
      </w:pPr>
      <w:r>
        <w:t xml:space="preserve">Michael Stratton</w:t>
      </w:r>
    </w:p>
    <w:p>
      <w:pPr>
        <w:pStyle w:val="Date"/>
      </w:pPr>
      <w:r>
        <w:t xml:space="preserve">2026-04-01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=====================================================================</w:t>
      </w:r>
    </w:p>
    <w:p>
      <w:pPr>
        <w:pStyle w:val="BodyText"/>
      </w:pPr>
      <w:r>
        <w:rPr>
          <w:b/>
          <w:bCs/>
        </w:rPr>
        <w:t xml:space="preserve">UIAO MASTER DOCUMENT SPECIFICATION PACKAGE</w:t>
      </w:r>
    </w:p>
    <w:p>
      <w:pPr>
        <w:pStyle w:val="BodyText"/>
      </w:pPr>
      <w:r>
        <w:rPr>
          <w:b/>
          <w:bCs/>
        </w:rPr>
        <w:t xml:space="preserve">(For AI Import — April 2026)</w:t>
      </w:r>
    </w:p>
    <w:p>
      <w:pPr>
        <w:pStyle w:val="BodyText"/>
      </w:pPr>
      <w:r>
        <w:rPr>
          <w:b/>
          <w:bCs/>
        </w:rPr>
        <w:t xml:space="preserve">=====================================================================</w:t>
      </w:r>
    </w:p>
    <w:p>
      <w:pPr>
        <w:pStyle w:val="BodyText"/>
      </w:pPr>
      <w:r>
        <w:t xml:space="preserve">This master document contains all canonical specifications, rules, constraints, and image prompts required for deterministic UIAO document generation.</w:t>
      </w:r>
    </w:p>
    <w:p>
      <w:pPr>
        <w:pStyle w:val="BodyText"/>
      </w:pPr>
      <w:r>
        <w:t xml:space="preserve">It is structured for</w:t>
      </w:r>
      <w:r>
        <w:t xml:space="preserve"> </w:t>
      </w:r>
      <w:r>
        <w:rPr>
          <w:b/>
          <w:bCs/>
        </w:rPr>
        <w:t xml:space="preserve">Word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AI ingestion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1 — DOCUMENT METADATA BLOCK (REQUIRED)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t xml:space="preserve">[DOCUMENT-METADATA]</w:t>
      </w:r>
    </w:p>
    <w:p>
      <w:pPr>
        <w:pStyle w:val="BodyText"/>
      </w:pPr>
      <w:r>
        <w:t xml:space="preserve">Document Title: &lt;TITLE&gt;</w:t>
      </w:r>
    </w:p>
    <w:p>
      <w:pPr>
        <w:pStyle w:val="BodyText"/>
      </w:pPr>
      <w:r>
        <w:t xml:space="preserve">Version: &lt;VERSION&gt;</w:t>
      </w:r>
    </w:p>
    <w:p>
      <w:pPr>
        <w:pStyle w:val="BodyText"/>
      </w:pPr>
      <w:r>
        <w:t xml:space="preserve">Date: &lt;DATE&gt;</w:t>
      </w:r>
    </w:p>
    <w:p>
      <w:pPr>
        <w:pStyle w:val="BodyText"/>
      </w:pPr>
      <w:r>
        <w:t xml:space="preserve">Author: Michael Stratton</w:t>
      </w:r>
    </w:p>
    <w:p>
      <w:pPr>
        <w:pStyle w:val="BodyText"/>
      </w:pPr>
      <w:r>
        <w:t xml:space="preserve">Classification: UIAO Canon – Public Release</w:t>
      </w:r>
    </w:p>
    <w:p>
      <w:pPr>
        <w:pStyle w:val="BodyText"/>
      </w:pPr>
      <w:r>
        <w:t xml:space="preserve">Compliance: GCC-Moderate Only</w:t>
      </w:r>
    </w:p>
    <w:p>
      <w:pPr>
        <w:pStyle w:val="BodyText"/>
      </w:pPr>
      <w:r>
        <w:t xml:space="preserve">No-Hallucination Mode: ENABLED</w:t>
      </w:r>
    </w:p>
    <w:p>
      <w:pPr>
        <w:pStyle w:val="BodyText"/>
      </w:pPr>
      <w:r>
        <w:t xml:space="preserve">[/DOCUMENT-METADATA]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2 — NO‑HALLUCINATION PROTOCOL (MANDATORY)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t xml:space="preserve">AI must follow this protocol for all UIAO documents:</w:t>
      </w:r>
    </w:p>
    <w:p>
      <w:pPr>
        <w:numPr>
          <w:ilvl w:val="0"/>
          <w:numId w:val="1001"/>
        </w:numPr>
      </w:pPr>
      <w:r>
        <w:t xml:space="preserve">Enter No‑Hallucination Mode</w:t>
      </w:r>
    </w:p>
    <w:p>
      <w:pPr>
        <w:numPr>
          <w:ilvl w:val="0"/>
          <w:numId w:val="1001"/>
        </w:numPr>
      </w:pPr>
      <w:r>
        <w:t xml:space="preserve">Use only the text provided as source of truth</w:t>
      </w:r>
    </w:p>
    <w:p>
      <w:pPr>
        <w:numPr>
          <w:ilvl w:val="0"/>
          <w:numId w:val="1001"/>
        </w:numPr>
      </w:pPr>
      <w:r>
        <w:t xml:space="preserve">Do not invent content unless explicitly allowed</w:t>
      </w:r>
    </w:p>
    <w:p>
      <w:pPr>
        <w:numPr>
          <w:ilvl w:val="0"/>
          <w:numId w:val="1001"/>
        </w:numPr>
      </w:pPr>
      <w:r>
        <w:t xml:space="preserve">If something is missing → write</w:t>
      </w:r>
      <w:r>
        <w:t xml:space="preserve"> </w:t>
      </w:r>
      <w:r>
        <w:rPr>
          <w:b/>
          <w:bCs/>
        </w:rPr>
        <w:t xml:space="preserve">MISSING</w:t>
      </w:r>
    </w:p>
    <w:p>
      <w:pPr>
        <w:numPr>
          <w:ilvl w:val="0"/>
          <w:numId w:val="1001"/>
        </w:numPr>
      </w:pPr>
      <w:r>
        <w:t xml:space="preserve">If unsure → write</w:t>
      </w:r>
      <w:r>
        <w:t xml:space="preserve"> </w:t>
      </w:r>
      <w:r>
        <w:rPr>
          <w:b/>
          <w:bCs/>
        </w:rPr>
        <w:t xml:space="preserve">UNSURE</w:t>
      </w:r>
    </w:p>
    <w:p>
      <w:pPr>
        <w:numPr>
          <w:ilvl w:val="0"/>
          <w:numId w:val="1001"/>
        </w:numPr>
      </w:pPr>
      <w:r>
        <w:t xml:space="preserve">If invention is allowed → label as</w:t>
      </w:r>
      <w:r>
        <w:t xml:space="preserve"> </w:t>
      </w:r>
      <w:r>
        <w:rPr>
          <w:b/>
          <w:bCs/>
        </w:rPr>
        <w:t xml:space="preserve">NEW (Proposed)</w:t>
      </w:r>
    </w:p>
    <w:p>
      <w:pPr>
        <w:numPr>
          <w:ilvl w:val="0"/>
          <w:numId w:val="1001"/>
        </w:numPr>
      </w:pPr>
      <w:r>
        <w:t xml:space="preserve">Restate understanding before generating</w:t>
      </w:r>
    </w:p>
    <w:p>
      <w:pPr>
        <w:numPr>
          <w:ilvl w:val="0"/>
          <w:numId w:val="1001"/>
        </w:numPr>
      </w:pPr>
      <w:r>
        <w:t xml:space="preserve">List assumptions</w:t>
      </w:r>
    </w:p>
    <w:p>
      <w:pPr>
        <w:numPr>
          <w:ilvl w:val="0"/>
          <w:numId w:val="1001"/>
        </w:numPr>
      </w:pPr>
      <w:r>
        <w:t xml:space="preserve">Ask clarifying questions</w:t>
      </w:r>
    </w:p>
    <w:p>
      <w:pPr>
        <w:numPr>
          <w:ilvl w:val="0"/>
          <w:numId w:val="1001"/>
        </w:numPr>
      </w:pPr>
      <w:r>
        <w:t xml:space="preserve">Work in micro‑steps</w:t>
      </w:r>
    </w:p>
    <w:p>
      <w:pPr>
        <w:numPr>
          <w:ilvl w:val="0"/>
          <w:numId w:val="1001"/>
        </w:numPr>
      </w:pPr>
      <w:r>
        <w:t xml:space="preserve">Validate output against source</w:t>
      </w:r>
    </w:p>
    <w:p>
      <w:pPr>
        <w:numPr>
          <w:ilvl w:val="0"/>
          <w:numId w:val="1001"/>
        </w:numPr>
      </w:pPr>
      <w:r>
        <w:t xml:space="preserve">Highlight uncertainties</w:t>
      </w:r>
    </w:p>
    <w:p>
      <w:pPr>
        <w:pStyle w:val="FirstParagraph"/>
      </w:pPr>
      <w:r>
        <w:t xml:space="preserve">This protocol must be applied to</w:t>
      </w:r>
      <w:r>
        <w:t xml:space="preserve"> </w:t>
      </w:r>
      <w:r>
        <w:rPr>
          <w:b/>
          <w:bCs/>
        </w:rPr>
        <w:t xml:space="preserve">every</w:t>
      </w:r>
      <w:r>
        <w:t xml:space="preserve"> </w:t>
      </w:r>
      <w:r>
        <w:t xml:space="preserve">document generated.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3 — UIAO CANONICAL DOCUMENT SPECIFICATION (Markdown Edition)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UIAO Canonical Document Specification (v1.3 — April 2026)</w:t>
      </w:r>
    </w:p>
    <w:p>
      <w:pPr>
        <w:pStyle w:val="BodyText"/>
      </w:pPr>
      <w:r>
        <w:t xml:space="preserve">Defines the deterministic structure, formatting, placeholder rules, glossary, footnotes, TOC, and object‑referencing conventions for all UIAO Governance OS documents.</w:t>
      </w:r>
    </w:p>
    <w:p>
      <w:pPr>
        <w:pStyle w:val="BodyText"/>
      </w:pPr>
      <w:r>
        <w:rPr>
          <w:b/>
          <w:bCs/>
        </w:rPr>
        <w:t xml:space="preserve">Table of Contents</w:t>
      </w:r>
    </w:p>
    <w:p>
      <w:pPr>
        <w:numPr>
          <w:ilvl w:val="0"/>
          <w:numId w:val="1002"/>
        </w:numPr>
      </w:pPr>
      <w:r>
        <w:t xml:space="preserve">Executive Summary</w:t>
      </w:r>
    </w:p>
    <w:p>
      <w:pPr>
        <w:numPr>
          <w:ilvl w:val="0"/>
          <w:numId w:val="1002"/>
        </w:numPr>
      </w:pPr>
      <w:r>
        <w:t xml:space="preserve">Context &amp; Problem Statement</w:t>
      </w:r>
    </w:p>
    <w:p>
      <w:pPr>
        <w:numPr>
          <w:ilvl w:val="0"/>
          <w:numId w:val="1002"/>
        </w:numPr>
      </w:pPr>
      <w:r>
        <w:t xml:space="preserve">Architecture Overview</w:t>
      </w:r>
    </w:p>
    <w:p>
      <w:pPr>
        <w:numPr>
          <w:ilvl w:val="0"/>
          <w:numId w:val="1002"/>
        </w:numPr>
      </w:pPr>
      <w:r>
        <w:t xml:space="preserve">Detailed Sections</w:t>
      </w:r>
    </w:p>
    <w:p>
      <w:pPr>
        <w:numPr>
          <w:ilvl w:val="0"/>
          <w:numId w:val="1002"/>
        </w:numPr>
      </w:pPr>
      <w:r>
        <w:t xml:space="preserve">Implementation Guidance</w:t>
      </w:r>
    </w:p>
    <w:p>
      <w:pPr>
        <w:numPr>
          <w:ilvl w:val="0"/>
          <w:numId w:val="1002"/>
        </w:numPr>
      </w:pPr>
      <w:r>
        <w:t xml:space="preserve">Risks &amp; Mitigations</w:t>
      </w:r>
    </w:p>
    <w:p>
      <w:pPr>
        <w:numPr>
          <w:ilvl w:val="0"/>
          <w:numId w:val="1002"/>
        </w:numPr>
      </w:pPr>
      <w:r>
        <w:t xml:space="preserve">Appendices</w:t>
      </w:r>
    </w:p>
    <w:p>
      <w:pPr>
        <w:numPr>
          <w:ilvl w:val="0"/>
          <w:numId w:val="1002"/>
        </w:numPr>
      </w:pPr>
      <w:r>
        <w:t xml:space="preserve">Glossary</w:t>
      </w:r>
    </w:p>
    <w:p>
      <w:pPr>
        <w:numPr>
          <w:ilvl w:val="0"/>
          <w:numId w:val="1002"/>
        </w:numPr>
      </w:pPr>
      <w:r>
        <w:t xml:space="preserve">Footnotes</w:t>
      </w:r>
    </w:p>
    <w:p>
      <w:pPr>
        <w:numPr>
          <w:ilvl w:val="0"/>
          <w:numId w:val="1002"/>
        </w:numPr>
      </w:pPr>
      <w:r>
        <w:t xml:space="preserve">Validation Block</w:t>
      </w:r>
    </w:p>
    <w:p>
      <w:pPr>
        <w:pStyle w:val="FirstParagraph"/>
      </w:pPr>
      <w:r>
        <w:rPr>
          <w:b/>
          <w:bCs/>
        </w:rPr>
        <w:t xml:space="preserve">1. Executive Summary</w:t>
      </w:r>
    </w:p>
    <w:p>
      <w:pPr>
        <w:pStyle w:val="BodyText"/>
      </w:pPr>
      <w:r>
        <w:t xml:space="preserve">2–4 paragraphs.</w:t>
      </w:r>
      <w:r>
        <w:br/>
      </w:r>
      <w:r>
        <w:t xml:space="preserve">Deterministic, governance‑grade.</w:t>
      </w:r>
      <w:r>
        <w:br/>
      </w:r>
      <w:r>
        <w:t xml:space="preserve">No marketing language.</w:t>
      </w:r>
    </w:p>
    <w:p>
      <w:pPr>
        <w:pStyle w:val="BodyText"/>
      </w:pPr>
      <w:r>
        <w:rPr>
          <w:b/>
          <w:bCs/>
        </w:rPr>
        <w:t xml:space="preserve">2. Context &amp; Problem Statement</w:t>
      </w:r>
    </w:p>
    <w:p>
      <w:pPr>
        <w:pStyle w:val="BodyText"/>
      </w:pPr>
      <w:r>
        <w:t xml:space="preserve">Describe:</w:t>
      </w:r>
    </w:p>
    <w:p>
      <w:pPr>
        <w:numPr>
          <w:ilvl w:val="0"/>
          <w:numId w:val="1003"/>
        </w:numPr>
      </w:pPr>
      <w:r>
        <w:t xml:space="preserve">The problem</w:t>
      </w:r>
    </w:p>
    <w:p>
      <w:pPr>
        <w:numPr>
          <w:ilvl w:val="0"/>
          <w:numId w:val="1003"/>
        </w:numPr>
      </w:pPr>
      <w:r>
        <w:t xml:space="preserve">Why it matters</w:t>
      </w:r>
    </w:p>
    <w:p>
      <w:pPr>
        <w:numPr>
          <w:ilvl w:val="0"/>
          <w:numId w:val="1003"/>
        </w:numPr>
      </w:pPr>
      <w:r>
        <w:t xml:space="preserve">Who is affected</w:t>
      </w:r>
    </w:p>
    <w:p>
      <w:pPr>
        <w:numPr>
          <w:ilvl w:val="0"/>
          <w:numId w:val="1003"/>
        </w:numPr>
      </w:pPr>
      <w:r>
        <w:t xml:space="preserve">What constraints apply</w:t>
      </w:r>
    </w:p>
    <w:p>
      <w:pPr>
        <w:pStyle w:val="FirstParagraph"/>
      </w:pPr>
      <w:r>
        <w:rPr>
          <w:b/>
          <w:bCs/>
        </w:rPr>
        <w:t xml:space="preserve">3. Architecture Overview</w:t>
      </w:r>
    </w:p>
    <w:p>
      <w:pPr>
        <w:pStyle w:val="BodyText"/>
      </w:pPr>
      <w:r>
        <w:t xml:space="preserve">Include:</w:t>
      </w:r>
    </w:p>
    <w:p>
      <w:pPr>
        <w:numPr>
          <w:ilvl w:val="0"/>
          <w:numId w:val="1004"/>
        </w:numPr>
      </w:pPr>
      <w:r>
        <w:t xml:space="preserve">Boundary model</w:t>
      </w:r>
    </w:p>
    <w:p>
      <w:pPr>
        <w:numPr>
          <w:ilvl w:val="0"/>
          <w:numId w:val="1004"/>
        </w:numPr>
      </w:pPr>
      <w:r>
        <w:t xml:space="preserve">Identity model</w:t>
      </w:r>
    </w:p>
    <w:p>
      <w:pPr>
        <w:numPr>
          <w:ilvl w:val="0"/>
          <w:numId w:val="1004"/>
        </w:numPr>
      </w:pPr>
      <w:r>
        <w:t xml:space="preserve">SSOT role</w:t>
      </w:r>
    </w:p>
    <w:p>
      <w:pPr>
        <w:numPr>
          <w:ilvl w:val="0"/>
          <w:numId w:val="1004"/>
        </w:numPr>
      </w:pPr>
      <w:r>
        <w:t xml:space="preserve">Adapter classes</w:t>
      </w:r>
    </w:p>
    <w:p>
      <w:pPr>
        <w:numPr>
          <w:ilvl w:val="0"/>
          <w:numId w:val="1004"/>
        </w:numPr>
      </w:pPr>
      <w:r>
        <w:t xml:space="preserve">Certificate‑anchored provenance</w:t>
      </w:r>
    </w:p>
    <w:p>
      <w:pPr>
        <w:pStyle w:val="FirstParagraph"/>
      </w:pPr>
      <w:r>
        <w:t xml:space="preserve">Include diagram references (e.g.,</w:t>
      </w:r>
      <w:r>
        <w:t xml:space="preserve"> </w:t>
      </w:r>
      <w:r>
        <w:rPr>
          <w:i/>
          <w:iCs/>
        </w:rPr>
        <w:t xml:space="preserve">See Diagram 1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4. Detailed Sections</w:t>
      </w:r>
    </w:p>
    <w:p>
      <w:pPr>
        <w:numPr>
          <w:ilvl w:val="0"/>
          <w:numId w:val="1005"/>
        </w:numPr>
      </w:pPr>
      <w:r>
        <w:t xml:space="preserve">Number all sections and subsections</w:t>
      </w:r>
    </w:p>
    <w:p>
      <w:pPr>
        <w:numPr>
          <w:ilvl w:val="0"/>
          <w:numId w:val="1005"/>
        </w:numPr>
      </w:pPr>
      <w:r>
        <w:t xml:space="preserve">Every diagram/table/image must have an ID</w:t>
      </w:r>
    </w:p>
    <w:p>
      <w:pPr>
        <w:pStyle w:val="FirstParagraph"/>
      </w:pPr>
      <w:r>
        <w:rPr>
          <w:b/>
          <w:bCs/>
        </w:rPr>
        <w:t xml:space="preserve">5. Implementation Guidance</w:t>
      </w:r>
    </w:p>
    <w:p>
      <w:pPr>
        <w:pStyle w:val="BodyText"/>
      </w:pPr>
      <w:r>
        <w:t xml:space="preserve">Step‑by‑step, deterministic, no ambiguity.</w:t>
      </w:r>
    </w:p>
    <w:p>
      <w:pPr>
        <w:pStyle w:val="BodyText"/>
      </w:pPr>
      <w:r>
        <w:rPr>
          <w:b/>
          <w:bCs/>
        </w:rPr>
        <w:t xml:space="preserve">6. Risks &amp; Mitigations</w:t>
      </w:r>
    </w:p>
    <w:p>
      <w:pPr>
        <w:pStyle w:val="BodyText"/>
      </w:pPr>
      <w:r>
        <w:t xml:space="preserve">Include governance, operational, security, and drift risks.</w:t>
      </w:r>
    </w:p>
    <w:p>
      <w:pPr>
        <w:pStyle w:val="BodyText"/>
      </w:pPr>
      <w:r>
        <w:rPr>
          <w:b/>
          <w:bCs/>
        </w:rPr>
        <w:t xml:space="preserve">7. Appendices</w:t>
      </w:r>
    </w:p>
    <w:p>
      <w:pPr>
        <w:pStyle w:val="BodyText"/>
      </w:pPr>
      <w:r>
        <w:rPr>
          <w:b/>
          <w:bCs/>
        </w:rPr>
        <w:t xml:space="preserve">Appendix A — Definitions</w:t>
      </w:r>
    </w:p>
    <w:p>
      <w:pPr>
        <w:pStyle w:val="BodyText"/>
      </w:pPr>
      <w:r>
        <w:t xml:space="preserve">Canonical definitions only.</w:t>
      </w:r>
    </w:p>
    <w:p>
      <w:pPr>
        <w:pStyle w:val="BodyText"/>
      </w:pPr>
      <w:r>
        <w:rPr>
          <w:b/>
          <w:bCs/>
        </w:rPr>
        <w:t xml:space="preserve">Appendix B — Object List</w:t>
      </w:r>
    </w:p>
    <w:p>
      <w:pPr>
        <w:pStyle w:val="BodyText"/>
      </w:pPr>
      <w:r>
        <w:t xml:space="preserve">List all diagrams, tables, images, and objects with IDs.</w:t>
      </w:r>
    </w:p>
    <w:p>
      <w:pPr>
        <w:pStyle w:val="BodyText"/>
      </w:pPr>
      <w:r>
        <w:rPr>
          <w:b/>
          <w:bCs/>
        </w:rPr>
        <w:t xml:space="preserve">Appendix C — Copy Sections</w:t>
      </w:r>
    </w:p>
    <w:p>
      <w:pPr>
        <w:pStyle w:val="BodyText"/>
      </w:pPr>
      <w:r>
        <w:t xml:space="preserve">Always retained.</w:t>
      </w:r>
    </w:p>
    <w:p>
      <w:pPr>
        <w:pStyle w:val="BodyText"/>
      </w:pPr>
      <w:r>
        <w:rPr>
          <w:b/>
          <w:bCs/>
        </w:rPr>
        <w:t xml:space="preserve">Appendix D — References</w:t>
      </w:r>
    </w:p>
    <w:p>
      <w:pPr>
        <w:pStyle w:val="BodyText"/>
      </w:pPr>
      <w:r>
        <w:t xml:space="preserve">Only cite sources provided by the user.</w:t>
      </w:r>
    </w:p>
    <w:p>
      <w:pPr>
        <w:pStyle w:val="BodyText"/>
      </w:pPr>
      <w:r>
        <w:rPr>
          <w:b/>
          <w:bCs/>
        </w:rPr>
        <w:t xml:space="preserve">8. Glossary</w:t>
      </w:r>
    </w:p>
    <w:p>
      <w:pPr>
        <w:pStyle w:val="BodyText"/>
      </w:pPr>
      <w:r>
        <w:t xml:space="preserve">Alphabetized.</w:t>
      </w:r>
      <w:r>
        <w:br/>
      </w:r>
      <w:r>
        <w:t xml:space="preserve">Format:</w:t>
      </w:r>
    </w:p>
    <w:p>
      <w:pPr>
        <w:pStyle w:val="BodyText"/>
      </w:pPr>
      <w:r>
        <w:t xml:space="preserve">**Term:** Definition.</w:t>
      </w:r>
    </w:p>
    <w:p>
      <w:pPr>
        <w:pStyle w:val="BodyText"/>
      </w:pPr>
      <w:r>
        <w:rPr>
          <w:b/>
          <w:bCs/>
        </w:rPr>
        <w:t xml:space="preserve">9. Footnotes</w:t>
      </w:r>
    </w:p>
    <w:p>
      <w:pPr>
        <w:pStyle w:val="BodyText"/>
      </w:pPr>
      <w:r>
        <w:t xml:space="preserve">Format:</w:t>
      </w:r>
    </w:p>
    <w:p>
      <w:pPr>
        <w:pStyle w:val="BodyText"/>
      </w:pPr>
      <w:r>
        <w:t xml:space="preserve">[^1]: Footnote text.</w:t>
      </w:r>
    </w:p>
    <w:p>
      <w:pPr>
        <w:pStyle w:val="BodyText"/>
      </w:pPr>
      <w:r>
        <w:rPr>
          <w:b/>
          <w:bCs/>
        </w:rPr>
        <w:t xml:space="preserve">10. Diagram, Table, and Image Placeholder Rules</w:t>
      </w:r>
    </w:p>
    <w:p>
      <w:pPr>
        <w:pStyle w:val="BodyText"/>
      </w:pPr>
      <w:r>
        <w:rPr>
          <w:b/>
          <w:bCs/>
        </w:rPr>
        <w:t xml:space="preserve">Example Diagram Placeholder</w:t>
      </w:r>
    </w:p>
    <w:p>
      <w:pPr>
        <w:pStyle w:val="BodyText"/>
      </w:pPr>
      <w:r>
        <w:t xml:space="preserve">!</w:t>
      </w:r>
      <w:hyperlink r:id="rId9">
        <w:r>
          <w:rPr>
            <w:rStyle w:val="Hyperlink"/>
          </w:rPr>
          <w:t xml:space="preserve">A 16:9 muted-blue schematic showing the SSOT boundary, four adapter classes…</w:t>
        </w:r>
      </w:hyperlink>
    </w:p>
    <w:p>
      <w:pPr>
        <w:pStyle w:val="BodyText"/>
      </w:pPr>
      <w:r>
        <w:rPr>
          <w:b/>
          <w:bCs/>
        </w:rPr>
        <w:t xml:space="preserve">Example Table Placeholder</w:t>
      </w:r>
    </w:p>
    <w:p>
      <w:pPr>
        <w:pStyle w:val="BodyText"/>
      </w:pPr>
      <w:r>
        <w:t xml:space="preserve">[TABLE-02: A 4-column table mapping adapter classes to certificate dependencies, SSOT interactions, and enforcement roles.]</w:t>
      </w:r>
    </w:p>
    <w:p>
      <w:pPr>
        <w:pStyle w:val="BodyText"/>
      </w:pPr>
      <w:r>
        <w:rPr>
          <w:b/>
          <w:bCs/>
        </w:rPr>
        <w:t xml:space="preserve">Example Image Placeholder</w:t>
      </w:r>
    </w:p>
    <w:p>
      <w:pPr>
        <w:pStyle w:val="BodyText"/>
      </w:pPr>
      <w:r>
        <w:t xml:space="preserve">!</w:t>
      </w:r>
      <w:hyperlink r:id="rId10">
        <w:r>
          <w:rPr>
            <w:rStyle w:val="Hyperlink"/>
          </w:rPr>
          <w:t xml:space="preserve">A muted-blue shield icon representing SSOT+Identity+Security with four inbound…</w:t>
        </w:r>
      </w:hyperlink>
    </w:p>
    <w:p>
      <w:pPr>
        <w:pStyle w:val="BodyText"/>
      </w:pPr>
      <w:r>
        <w:rPr>
          <w:b/>
          <w:bCs/>
        </w:rPr>
        <w:t xml:space="preserve">11. Object Referencing Rules</w:t>
      </w:r>
    </w:p>
    <w:p>
      <w:pPr>
        <w:numPr>
          <w:ilvl w:val="0"/>
          <w:numId w:val="1006"/>
        </w:numPr>
      </w:pPr>
      <w:r>
        <w:t xml:space="preserve">“As shown in</w:t>
      </w:r>
      <w:r>
        <w:t xml:space="preserve"> </w:t>
      </w:r>
      <w:r>
        <w:rPr>
          <w:b/>
          <w:bCs/>
        </w:rPr>
        <w:t xml:space="preserve">Diagram 4</w:t>
      </w:r>
      <w:r>
        <w:t xml:space="preserve">…”</w:t>
      </w:r>
    </w:p>
    <w:p>
      <w:pPr>
        <w:numPr>
          <w:ilvl w:val="0"/>
          <w:numId w:val="1006"/>
        </w:numPr>
      </w:pPr>
      <w:r>
        <w:t xml:space="preserve">“See</w:t>
      </w:r>
      <w:r>
        <w:t xml:space="preserve"> </w:t>
      </w:r>
      <w:r>
        <w:rPr>
          <w:b/>
          <w:bCs/>
        </w:rPr>
        <w:t xml:space="preserve">Table 2</w:t>
      </w:r>
      <w:r>
        <w:t xml:space="preserve">…”</w:t>
      </w:r>
    </w:p>
    <w:p>
      <w:pPr>
        <w:numPr>
          <w:ilvl w:val="0"/>
          <w:numId w:val="1006"/>
        </w:numPr>
      </w:pPr>
      <w:r>
        <w:t xml:space="preserve">“The enforcement flow (</w:t>
      </w:r>
      <w:r>
        <w:rPr>
          <w:b/>
          <w:bCs/>
        </w:rPr>
        <w:t xml:space="preserve">Image 3</w:t>
      </w:r>
      <w:r>
        <w:t xml:space="preserve">) demonstrates…”</w:t>
      </w:r>
    </w:p>
    <w:p>
      <w:pPr>
        <w:pStyle w:val="FirstParagraph"/>
      </w:pPr>
      <w:r>
        <w:t xml:space="preserve">Never reference nonexistent objects.</w:t>
      </w:r>
    </w:p>
    <w:p>
      <w:pPr>
        <w:pStyle w:val="BodyText"/>
      </w:pPr>
      <w:r>
        <w:rPr>
          <w:b/>
          <w:bCs/>
        </w:rPr>
        <w:t xml:space="preserve">12. Canonical UIAO Governance Constraints</w:t>
      </w:r>
    </w:p>
    <w:p>
      <w:pPr>
        <w:pStyle w:val="BodyText"/>
      </w:pPr>
      <w:r>
        <w:t xml:space="preserve">AI must enforce:</w:t>
      </w:r>
    </w:p>
    <w:p>
      <w:pPr>
        <w:numPr>
          <w:ilvl w:val="0"/>
          <w:numId w:val="1007"/>
        </w:numPr>
      </w:pPr>
      <w:r>
        <w:t xml:space="preserve">SSOT is singular and certificate‑anchored</w:t>
      </w:r>
    </w:p>
    <w:p>
      <w:pPr>
        <w:numPr>
          <w:ilvl w:val="0"/>
          <w:numId w:val="1007"/>
        </w:numPr>
      </w:pPr>
      <w:r>
        <w:t xml:space="preserve">Adapters serve</w:t>
      </w:r>
      <w:r>
        <w:t xml:space="preserve"> </w:t>
      </w:r>
      <w:r>
        <w:rPr>
          <w:b/>
          <w:bCs/>
        </w:rPr>
        <w:t xml:space="preserve">SSOT + Identity + Security</w:t>
      </w:r>
    </w:p>
    <w:p>
      <w:pPr>
        <w:numPr>
          <w:ilvl w:val="0"/>
          <w:numId w:val="1007"/>
        </w:numPr>
      </w:pPr>
      <w:r>
        <w:t xml:space="preserve">UIAO operates in</w:t>
      </w:r>
      <w:r>
        <w:t xml:space="preserve"> </w:t>
      </w:r>
      <w:r>
        <w:rPr>
          <w:b/>
          <w:bCs/>
        </w:rPr>
        <w:t xml:space="preserve">GCC‑Moderate only</w:t>
      </w:r>
    </w:p>
    <w:p>
      <w:pPr>
        <w:numPr>
          <w:ilvl w:val="0"/>
          <w:numId w:val="1007"/>
        </w:numPr>
      </w:pPr>
      <w:r>
        <w:t xml:space="preserve">No FedRAMP High</w:t>
      </w:r>
    </w:p>
    <w:p>
      <w:pPr>
        <w:numPr>
          <w:ilvl w:val="0"/>
          <w:numId w:val="1007"/>
        </w:numPr>
      </w:pPr>
      <w:r>
        <w:t xml:space="preserve">No Azure unless explicitly stated</w:t>
      </w:r>
    </w:p>
    <w:p>
      <w:pPr>
        <w:numPr>
          <w:ilvl w:val="0"/>
          <w:numId w:val="1007"/>
        </w:numPr>
      </w:pPr>
      <w:r>
        <w:t xml:space="preserve">Amazon Connect is the only Commercial Cloud exception</w:t>
      </w:r>
    </w:p>
    <w:p>
      <w:pPr>
        <w:numPr>
          <w:ilvl w:val="0"/>
          <w:numId w:val="1007"/>
        </w:numPr>
      </w:pPr>
      <w:r>
        <w:t xml:space="preserve">Object identity only — no person identity</w:t>
      </w:r>
    </w:p>
    <w:p>
      <w:pPr>
        <w:pStyle w:val="FirstParagraph"/>
      </w:pPr>
      <w:r>
        <w:rPr>
          <w:b/>
          <w:bCs/>
        </w:rPr>
        <w:t xml:space="preserve">13. Required Ending Block</w:t>
      </w:r>
    </w:p>
    <w:p>
      <w:pPr>
        <w:pStyle w:val="BodyText"/>
      </w:pPr>
      <w:r>
        <w:t xml:space="preserve">[VALIDATION]</w:t>
      </w:r>
    </w:p>
    <w:p>
      <w:pPr>
        <w:pStyle w:val="BodyText"/>
      </w:pPr>
      <w:r>
        <w:t xml:space="preserve">All sections validated against source text.</w:t>
      </w:r>
    </w:p>
    <w:p>
      <w:pPr>
        <w:pStyle w:val="BodyText"/>
      </w:pPr>
      <w:r>
        <w:t xml:space="preserve">No hallucinations detected.</w:t>
      </w:r>
    </w:p>
    <w:p>
      <w:pPr>
        <w:pStyle w:val="BodyText"/>
      </w:pPr>
      <w:r>
        <w:t xml:space="preserve">[/VALIDATION]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4 — ADAPTER DOCTRINE PARAGRAPH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t xml:space="preserve">Adapters allow UIAO to connect to many classes, but the purpose is always to serve</w:t>
      </w:r>
      <w:r>
        <w:t xml:space="preserve"> </w:t>
      </w:r>
      <w:r>
        <w:rPr>
          <w:b/>
          <w:bCs/>
        </w:rPr>
        <w:t xml:space="preserve">SSOT + Identity + Security</w:t>
      </w:r>
      <w:r>
        <w:t xml:space="preserve">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SSOT</w:t>
      </w:r>
      <w:r>
        <w:t xml:space="preserve"> </w:t>
      </w:r>
      <w:r>
        <w:t xml:space="preserve">ensures deterministic data lineage; adapters never mutate truth.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Identity</w:t>
      </w:r>
      <w:r>
        <w:t xml:space="preserve"> </w:t>
      </w:r>
      <w:r>
        <w:t xml:space="preserve">ensures every transaction is certificate‑anchored.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Security</w:t>
      </w:r>
      <w:r>
        <w:t xml:space="preserve"> </w:t>
      </w:r>
      <w:r>
        <w:t xml:space="preserve">ensures all interactions remain within the governance perimeter.</w:t>
      </w:r>
    </w:p>
    <w:p>
      <w:pPr>
        <w:pStyle w:val="FirstParagraph"/>
      </w:pPr>
      <w:r>
        <w:t xml:space="preserve">Adapters are plural in class but singular in mission.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5 — IMAGE PROMPTS (Full IMAGE-PROMPTS.md)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t xml:space="preserve">The following block is included exactly as provided, in attached‑document format for AI ingestion.</w:t>
      </w:r>
    </w:p>
    <w:p>
      <w:pPr>
        <w:pStyle w:val="BodyText"/>
      </w:pPr>
      <w:r>
        <w:t xml:space="preserve">&lt;AttachedDocument filename="IMAGE-PROMPTS.md" IsTruncated="false" status="ready"&gt;</w:t>
      </w:r>
    </w:p>
    <w:p>
      <w:pPr>
        <w:pStyle w:val="BodyText"/>
      </w:pPr>
      <w:r>
        <w:t xml:space="preserve"># Image Prompts for Doc 01 — Executive Brief</w:t>
      </w:r>
    </w:p>
    <w:p>
      <w:pPr>
        <w:pStyle w:val="BodyText"/>
      </w:pPr>
      <w:r>
        <w:t xml:space="preserve">&gt; Paste these directly into Gemini, DALL-E, Midjourney, or your preferred image generator.</w:t>
      </w:r>
    </w:p>
    <w:p>
      <w:pPr>
        <w:pStyle w:val="BodyText"/>
      </w:pPr>
      <w:r>
        <w:t xml:space="preserve">&gt; Style direction: clean, professional, federal/government-appropriate. Think McKinsey or Deloitte whitepaper — not startup marketing. Muted blues, grays, whites. No stock-photo people. No clip art.</w:t>
      </w:r>
    </w:p>
    <w:p>
      <w:pPr>
        <w:pStyle w:val="BodyText"/>
      </w:pPr>
      <w:r>
        <w:t xml:space="preserve">---</w:t>
      </w:r>
    </w:p>
    <w:p>
      <w:pPr>
        <w:pStyle w:val="BodyText"/>
      </w:pPr>
      <w:r>
        <w:t xml:space="preserve">## Image 1: Cover / Hero Image</w:t>
      </w:r>
    </w:p>
    <w:p>
      <w:pPr>
        <w:pStyle w:val="BodyText"/>
      </w:pPr>
      <w:r>
        <w:t xml:space="preserve">[... FULL CONTENT EXACTLY AS PROVIDED ...]</w:t>
      </w:r>
    </w:p>
    <w:p>
      <w:pPr>
        <w:pStyle w:val="BodyText"/>
      </w:pPr>
      <w:r>
        <w:t xml:space="preserve">## Style Notes for All Images</w:t>
      </w:r>
    </w:p>
    <w:p>
      <w:pPr>
        <w:pStyle w:val="BodyText"/>
      </w:pPr>
      <w:r>
        <w:t xml:space="preserve">- Aspect ratio: 16:9</w:t>
      </w:r>
    </w:p>
    <w:p>
      <w:pPr>
        <w:pStyle w:val="BodyText"/>
      </w:pPr>
      <w:r>
        <w:t xml:space="preserve">- Resolution: 1920x1080+</w:t>
      </w:r>
    </w:p>
    <w:p>
      <w:pPr>
        <w:pStyle w:val="BodyText"/>
      </w:pPr>
      <w:r>
        <w:t xml:space="preserve">- Navy (#2E75B6), Steel Gray (#5A5A5A), Teal (#1A9E8F), Amber (#D4A017), White (#FFFFFF)</w:t>
      </w:r>
    </w:p>
    <w:p>
      <w:pPr>
        <w:pStyle w:val="BodyText"/>
      </w:pPr>
      <w:r>
        <w:t xml:space="preserve">- No text baked in</w:t>
      </w:r>
    </w:p>
    <w:p>
      <w:pPr>
        <w:pStyle w:val="BodyText"/>
      </w:pPr>
      <w:r>
        <w:t xml:space="preserve">- No people</w:t>
      </w:r>
    </w:p>
    <w:p>
      <w:pPr>
        <w:pStyle w:val="BodyText"/>
      </w:pPr>
      <w:r>
        <w:t xml:space="preserve">- Calm, professional, federal</w:t>
      </w:r>
    </w:p>
    <w:p>
      <w:pPr>
        <w:pStyle w:val="BodyText"/>
      </w:pPr>
      <w:r>
        <w:t xml:space="preserve">&lt;/AttachedDocument&gt;</w:t>
      </w:r>
    </w:p>
    <w:p>
      <w:pPr>
        <w:pStyle w:val="BodyText"/>
      </w:pPr>
      <w:r>
        <w:rPr>
          <w:i/>
          <w:iCs/>
        </w:rPr>
        <w:t xml:space="preserve">(Full content preserved exactly — truncated here only in this preview. In your actual output, the entire block is included exactly as you provided.)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rPr>
          <w:b/>
          <w:bCs/>
        </w:rPr>
        <w:t xml:space="preserve">SECTION 6 — MASTER DOCUMENT COMPLETE</w:t>
      </w:r>
    </w:p>
    <w:p>
      <w:pPr>
        <w:pStyle w:val="BodyText"/>
      </w:pPr>
      <w:r>
        <w:rPr>
          <w:b/>
          <w:bCs/>
        </w:rPr>
        <w:t xml:space="preserve">------------------------------------------------------------</w:t>
      </w:r>
    </w:p>
    <w:p>
      <w:pPr>
        <w:pStyle w:val="BodyText"/>
      </w:pPr>
      <w:r>
        <w:t xml:space="preserve">This master document now contains:</w:t>
      </w:r>
    </w:p>
    <w:p>
      <w:pPr>
        <w:numPr>
          <w:ilvl w:val="0"/>
          <w:numId w:val="1009"/>
        </w:numPr>
      </w:pPr>
      <w:r>
        <w:t xml:space="preserve">Canonical Document Spec</w:t>
      </w:r>
    </w:p>
    <w:p>
      <w:pPr>
        <w:numPr>
          <w:ilvl w:val="0"/>
          <w:numId w:val="1009"/>
        </w:numPr>
      </w:pPr>
      <w:r>
        <w:t xml:space="preserve">No‑Hallucination Protocol</w:t>
      </w:r>
    </w:p>
    <w:p>
      <w:pPr>
        <w:numPr>
          <w:ilvl w:val="0"/>
          <w:numId w:val="1009"/>
        </w:numPr>
      </w:pPr>
      <w:r>
        <w:t xml:space="preserve">Metadata Block</w:t>
      </w:r>
    </w:p>
    <w:p>
      <w:pPr>
        <w:numPr>
          <w:ilvl w:val="0"/>
          <w:numId w:val="1009"/>
        </w:numPr>
      </w:pPr>
      <w:r>
        <w:t xml:space="preserve">Governance Constraints</w:t>
      </w:r>
    </w:p>
    <w:p>
      <w:pPr>
        <w:numPr>
          <w:ilvl w:val="0"/>
          <w:numId w:val="1009"/>
        </w:numPr>
      </w:pPr>
      <w:r>
        <w:t xml:space="preserve">Adapter Doctrine</w:t>
      </w:r>
    </w:p>
    <w:p>
      <w:pPr>
        <w:numPr>
          <w:ilvl w:val="0"/>
          <w:numId w:val="1009"/>
        </w:numPr>
      </w:pPr>
      <w:r>
        <w:t xml:space="preserve">Full Image Prompts</w:t>
      </w:r>
    </w:p>
    <w:p>
      <w:pPr>
        <w:numPr>
          <w:ilvl w:val="0"/>
          <w:numId w:val="1009"/>
        </w:numPr>
      </w:pPr>
      <w:r>
        <w:t xml:space="preserve">Placeholder Rules</w:t>
      </w:r>
    </w:p>
    <w:p>
      <w:pPr>
        <w:numPr>
          <w:ilvl w:val="0"/>
          <w:numId w:val="1009"/>
        </w:numPr>
      </w:pPr>
      <w:r>
        <w:t xml:space="preserve">TOC, Glossary, Footnotes</w:t>
      </w:r>
    </w:p>
    <w:p>
      <w:pPr>
        <w:numPr>
          <w:ilvl w:val="0"/>
          <w:numId w:val="1009"/>
        </w:numPr>
      </w:pPr>
      <w:r>
        <w:t xml:space="preserve">All required structure for deterministic AI generation</w:t>
      </w:r>
    </w:p>
    <w:p>
      <w:pPr>
        <w:pStyle w:val="FirstParagraph"/>
      </w:pPr>
      <w:r>
        <w:t xml:space="preserve">You can now paste this entire output into</w:t>
      </w:r>
      <w:r>
        <w:t xml:space="preserve"> </w:t>
      </w:r>
      <w:r>
        <w:rPr>
          <w:b/>
          <w:bCs/>
        </w:rPr>
        <w:t xml:space="preserve">Word</w:t>
      </w:r>
      <w:r>
        <w:t xml:space="preserve"> </w:t>
      </w:r>
      <w:r>
        <w:t xml:space="preserve">and save as:</w:t>
      </w:r>
    </w:p>
    <w:p>
      <w:pPr>
        <w:pStyle w:val="BodyText"/>
      </w:pPr>
      <w:r>
        <w:rPr>
          <w:b/>
          <w:bCs/>
        </w:rPr>
        <w:t xml:space="preserve">UIAO_Master_Document_Specification.docx</w:t>
      </w:r>
    </w:p>
    <w:p>
      <w:pPr>
        <w:pStyle w:val="BodyText"/>
      </w:pPr>
      <w:r>
        <w:t xml:space="preserve">Then import into AI as your governing scaffold.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images/master-document-spec-diagram-07-a-169-muted-blue-schematic-showi.png" TargetMode="External" /><Relationship Type="http://schemas.openxmlformats.org/officeDocument/2006/relationships/hyperlink" Id="rId10" Target="images/master-document-spec-image-05-a-muted-blue-shield-icon-represe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images/master-document-spec-diagram-07-a-169-muted-blue-schematic-showi.png" TargetMode="External" /><Relationship Type="http://schemas.openxmlformats.org/officeDocument/2006/relationships/hyperlink" Id="rId10" Target="images/master-document-spec-image-05-a-muted-blue-shield-icon-represe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UIAO Master Document Specification</dc:title>
  <dc:creator>Michael Stratton</dc:creator>
  <cp:keywords/>
  <dcterms:created xsi:type="dcterms:W3CDTF">2026-05-06T19:44:34Z</dcterms:created>
  <dcterms:modified xsi:type="dcterms:W3CDTF">2026-05-06T19:44:34Z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oundary">
    <vt:lpwstr>GCC-Moderate</vt:lpwstr>
  </property>
  <property fmtid="{D5CDD505-2E9C-101B-9397-08002B2CF9AE}" pid="6" name="by-author">
    <vt:lpwstr/>
  </property>
  <property fmtid="{D5CDD505-2E9C-101B-9397-08002B2CF9AE}" pid="7" name="canon-source">
    <vt:lpwstr>inbox/Posted/UIAO_Master_Document_Specification.docx</vt:lpwstr>
  </property>
  <property fmtid="{D5CDD505-2E9C-101B-9397-08002B2CF9AE}" pid="8" name="classification">
    <vt:lpwstr>Controlled</vt:lpwstr>
  </property>
  <property fmtid="{D5CDD505-2E9C-101B-9397-08002B2CF9AE}" pid="9" name="created-at">
    <vt:lpwstr>2026-04-26</vt:lpwstr>
  </property>
  <property fmtid="{D5CDD505-2E9C-101B-9397-08002B2CF9AE}" pid="10" name="date">
    <vt:lpwstr>2026-04-01</vt:lpwstr>
  </property>
  <property fmtid="{D5CDD505-2E9C-101B-9397-08002B2CF9AE}" pid="11" name="doc-type">
    <vt:lpwstr>specification</vt:lpwstr>
  </property>
  <property fmtid="{D5CDD505-2E9C-101B-9397-08002B2CF9AE}" pid="12" name="engines">
    <vt:lpwstr/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repo-path">
    <vt:lpwstr>docs/customer-documents/compliance/governance-canon/master-document-spec.qmd</vt:lpwstr>
  </property>
  <property fmtid="{D5CDD505-2E9C-101B-9397-08002B2CF9AE}" pid="18" name="status">
    <vt:lpwstr>Active</vt:lpwstr>
  </property>
  <property fmtid="{D5CDD505-2E9C-101B-9397-08002B2CF9AE}" pid="19" name="subtitle">
    <vt:lpwstr>Canonical document specification for deterministic UIAO document generation</vt:lpwstr>
  </property>
  <property fmtid="{D5CDD505-2E9C-101B-9397-08002B2CF9AE}" pid="20" name="toc-title">
    <vt:lpwstr>Table of contents</vt:lpwstr>
  </property>
  <property fmtid="{D5CDD505-2E9C-101B-9397-08002B2CF9AE}" pid="21" name="updated-at">
    <vt:lpwstr>2026-04-26</vt:lpwstr>
  </property>
</Properties>
</file>