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Compliance</w:t>
      </w:r>
    </w:p>
    <w:p>
      <w:pPr>
        <w:pStyle w:val="Subtitle"/>
      </w:pPr>
      <w:r>
        <w:t xml:space="preserve">How the transformation is governed, enforced, and proved — federal mandates through validation suites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compliance"/>
    <w:p>
      <w:pPr>
        <w:pStyle w:val="Heading1"/>
      </w:pPr>
      <w:r>
        <w:t xml:space="preserve">Compliance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how the transformation is governed and proved.</w:t>
      </w:r>
      <w:r>
        <w:t xml:space="preserve"> </w:t>
      </w:r>
      <w:r>
        <w:t xml:space="preserve">Federal mandates</w:t>
      </w:r>
      <w:r>
        <w:t xml:space="preserve"> </w:t>
      </w:r>
      <w:r>
        <w:t xml:space="preserve">drive the scope (FedRAMP, CISA SCuBA, Executive Orders, NIST 800-53).</w:t>
      </w:r>
      <w:r>
        <w:t xml:space="preserve"> </w:t>
      </w:r>
      <w:r>
        <w:t xml:space="preserve">Policy libraries encode the controls. Validation suites prove they hold.</w:t>
      </w:r>
      <w:r>
        <w:t xml:space="preserve"> </w:t>
      </w:r>
      <w:r>
        <w:t xml:space="preserve">Drift detection catches divergence. Incident playbooks restore when they</w:t>
      </w:r>
      <w:r>
        <w:t xml:space="preserve"> </w:t>
      </w:r>
      <w:r>
        <w:t xml:space="preserve">don’t.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Two-way governance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UIAO’s governance posture is</w:t>
            </w:r>
            <w:r>
              <w:t xml:space="preserve"> </w:t>
            </w:r>
            <w:r>
              <w:t xml:space="preserve">“SCuBA assesses · ScubaConnect automates ·</w:t>
            </w:r>
            <w:r>
              <w:t xml:space="preserve"> </w:t>
            </w:r>
            <w:r>
              <w:t xml:space="preserve">UIAO governs.”</w:t>
            </w:r>
            <w:r>
              <w:t xml:space="preserve"> </w:t>
            </w:r>
            <w:r>
              <w:t xml:space="preserve">Compliance in UIAO is not an auditor’s after-the-fact</w:t>
            </w:r>
            <w:r>
              <w:t xml:space="preserve"> </w:t>
            </w:r>
            <w:r>
              <w:t xml:space="preserve">report; it is a continuous evidentiary pipeline feeding the same drift</w:t>
            </w:r>
            <w:r>
              <w:t xml:space="preserve"> </w:t>
            </w:r>
            <w:r>
              <w:t xml:space="preserve">engine that governs modernization.</w:t>
            </w:r>
          </w:p>
          <w:p/>
        </w:tc>
      </w:tr>
    </w:tbl>
    <w:bookmarkStart w:id="19" w:name="sub-categories"/>
    <w:p>
      <w:pPr>
        <w:pStyle w:val="Heading2"/>
      </w:pPr>
      <w:r>
        <w:t xml:space="preserve">Sub-categories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Leaf count</w:t>
            </w:r>
          </w:p>
        </w:tc>
      </w:tr>
      <w:tr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A. Federal Mandates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FedRAMP Mod/High, SCuBA, EO 14028 + 14110, NIST 800-53, 800-171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</w:rPr>
                <w:t xml:space="preserve">B. Boundary + Authorization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GCC-Moderate boundary model, data classification, ATO / OSCAL, 3PAO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</w:rPr>
                <w:t xml:space="preserve">C. Evidence + Telemetry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Telemetry model (MOD_X), KSI, ScubaGear, drift engine (MOD_M), state machine (MOD_S), signed commits, SIEM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hyperlink r:id="rId15">
              <w:r>
                <w:rPr>
                  <w:rStyle w:val="Hyperlink"/>
                </w:rPr>
                <w:t xml:space="preserve">D. Policy Libraries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Conditional Access, Intune, Azure Arc, STIG, SCuBA baseline, Defender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</w:rPr>
                <w:t xml:space="preserve">E. Controls + Testing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Validation suites, MOD_J test suite, MOD_K decision trees, MOD_O mock tenant, continuous monitoring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hyperlink r:id="rId17">
              <w:r>
                <w:rPr>
                  <w:rStyle w:val="Hyperlink"/>
                </w:rPr>
                <w:t xml:space="preserve">F. Incident + Response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DR playbook (IR-8), MOD_Q SLA escalation, runbooks, break-glass, active-passive replication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</w:rPr>
                <w:t xml:space="preserve">G. Governance Canon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Master Document Spec v1.3, metadata + validation blocks, canon change protocol, ADRs, error taxonomy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</w:tbl>
    <w:bookmarkEnd w:id="19"/>
    <w:bookmarkStart w:id="20" w:name="canonical-invariants"/>
    <w:p>
      <w:pPr>
        <w:pStyle w:val="Heading2"/>
      </w:pPr>
      <w:r>
        <w:t xml:space="preserve">Canonical invariants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Boundary:</w:t>
      </w:r>
      <w:r>
        <w:t xml:space="preserve"> </w:t>
      </w:r>
      <w:r>
        <w:t xml:space="preserve">GCC-Moderate SaaS. The only Commercial-Cloud exception is</w:t>
      </w:r>
      <w:r>
        <w:t xml:space="preserve"> </w:t>
      </w:r>
      <w:r>
        <w:t xml:space="preserve">Amazon Connect Contact Center.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Evidence:</w:t>
      </w:r>
      <w:r>
        <w:t xml:space="preserve"> </w:t>
      </w:r>
      <w:r>
        <w:t xml:space="preserve">every control assertion has a signed, provenanced artifact</w:t>
      </w:r>
      <w:r>
        <w:t xml:space="preserve"> </w:t>
      </w:r>
      <w:r>
        <w:t xml:space="preserve">behind it. No verbal assurances.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Classification:</w:t>
      </w:r>
      <w:r>
        <w:t xml:space="preserve"> </w:t>
      </w:r>
      <w:r>
        <w:t xml:space="preserve">Controlled · CUI · (future) Secret.</w:t>
      </w:r>
      <w:r>
        <w:t xml:space="preserve"> </w:t>
      </w:r>
      <w:r>
        <w:t xml:space="preserve">“UNCLASSIFIED”</w:t>
      </w:r>
      <w:r>
        <w:t xml:space="preserve"> </w:t>
      </w:r>
      <w:r>
        <w:t xml:space="preserve">is non-canonical and treated as drift.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Boundary enforcement:</w:t>
      </w:r>
      <w:r>
        <w:t xml:space="preserve"> </w:t>
      </w:r>
      <w:r>
        <w:t xml:space="preserve">out-of-scope references are rejected at canon</w:t>
      </w:r>
      <w:r>
        <w:t xml:space="preserve"> </w:t>
      </w:r>
      <w:r>
        <w:t xml:space="preserve">validation, not at assessment time.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3" Target="boundary-authorization/index.html" TargetMode="External" /><Relationship Type="http://schemas.openxmlformats.org/officeDocument/2006/relationships/hyperlink" Id="rId16" Target="controls-testing/index.html" TargetMode="External" /><Relationship Type="http://schemas.openxmlformats.org/officeDocument/2006/relationships/hyperlink" Id="rId14" Target="evidence-telemetry/index.html" TargetMode="External" /><Relationship Type="http://schemas.openxmlformats.org/officeDocument/2006/relationships/hyperlink" Id="rId12" Target="federal-mandates/index.html" TargetMode="External" /><Relationship Type="http://schemas.openxmlformats.org/officeDocument/2006/relationships/hyperlink" Id="rId18" Target="governance-canon/index.html" TargetMode="External" /><Relationship Type="http://schemas.openxmlformats.org/officeDocument/2006/relationships/hyperlink" Id="rId17" Target="incident-response/index.html" TargetMode="External" /><Relationship Type="http://schemas.openxmlformats.org/officeDocument/2006/relationships/hyperlink" Id="rId15" Target="policy-libraries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boundary-authorization/index.html" TargetMode="External" /><Relationship Type="http://schemas.openxmlformats.org/officeDocument/2006/relationships/hyperlink" Id="rId16" Target="controls-testing/index.html" TargetMode="External" /><Relationship Type="http://schemas.openxmlformats.org/officeDocument/2006/relationships/hyperlink" Id="rId14" Target="evidence-telemetry/index.html" TargetMode="External" /><Relationship Type="http://schemas.openxmlformats.org/officeDocument/2006/relationships/hyperlink" Id="rId12" Target="federal-mandates/index.html" TargetMode="External" /><Relationship Type="http://schemas.openxmlformats.org/officeDocument/2006/relationships/hyperlink" Id="rId18" Target="governance-canon/index.html" TargetMode="External" /><Relationship Type="http://schemas.openxmlformats.org/officeDocument/2006/relationships/hyperlink" Id="rId17" Target="incident-response/index.html" TargetMode="External" /><Relationship Type="http://schemas.openxmlformats.org/officeDocument/2006/relationships/hyperlink" Id="rId15" Target="policy-libraries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</dc:title>
  <dc:creator/>
  <cp:keywords/>
  <dcterms:created xsi:type="dcterms:W3CDTF">2026-05-06T19:27:27Z</dcterms:created>
  <dcterms:modified xsi:type="dcterms:W3CDTF">2026-05-06T19:27:27Z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CISOs · compliance officers · authorizing officials · 3PAO assessors</vt:lpwstr>
  </property>
  <property fmtid="{D5CDD505-2E9C-101B-9397-08002B2CF9AE}" pid="4" name="biblio-config">
    <vt:lpwstr>True</vt:lpwstr>
  </property>
  <property fmtid="{D5CDD505-2E9C-101B-9397-08002B2CF9AE}" pid="5" name="canon-source">
    <vt:lpwstr>docs/planning/customer-documents-taxonomy.md §2.2</vt:lpwstr>
  </property>
  <property fmtid="{D5CDD505-2E9C-101B-9397-08002B2CF9AE}" pid="6" name="date">
    <vt:lpwstr>2026-04-24</vt:lpwstr>
  </property>
  <property fmtid="{D5CDD505-2E9C-101B-9397-08002B2CF9AE}" pid="7" name="doc-type">
    <vt:lpwstr>pillar-landing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pillar">
    <vt:lpwstr>compliance</vt:lpwstr>
  </property>
  <property fmtid="{D5CDD505-2E9C-101B-9397-08002B2CF9AE}" pid="14" name="subtitle">
    <vt:lpwstr>How the transformation is governed, enforced, and proved — federal mandates through validation suites</vt:lpwstr>
  </property>
  <property fmtid="{D5CDD505-2E9C-101B-9397-08002B2CF9AE}" pid="15" name="toc-title">
    <vt:lpwstr>Table of contents</vt:lpwstr>
  </property>
</Properties>
</file>