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Drift Engine Overview — Executive Brief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4" w:name="drift-engine-overview-executive-brief"/>
    <w:p>
      <w:pPr>
        <w:pStyle w:val="Heading1"/>
      </w:pPr>
      <w:r>
        <w:t xml:space="preserve">Drift Engine Overview — Executive Brief</w:t>
      </w:r>
    </w:p>
    <w:p>
      <w:pPr>
        <w:pStyle w:val="FirstParagraph"/>
      </w:pPr>
      <w:r>
        <w:t xml:space="preserve">For federal CIO/CISO leadership, UIAO’s drift engine is the control that continuously answers:</w:t>
      </w:r>
      <w:r>
        <w:t xml:space="preserve"> </w:t>
      </w:r>
      <w:r>
        <w:rPr>
          <w:i/>
          <w:iCs/>
        </w:rPr>
        <w:t xml:space="preserve">“Are we still operating exactly as canonized policy, identity, and evidence rules require?”</w:t>
      </w:r>
      <w:r>
        <w:t xml:space="preserve"> </w:t>
      </w:r>
      <w:r>
        <w:t xml:space="preserve">It classifies drift using one taxonomy, assigns operational urgency, and drives a bounded remediation path.</w:t>
      </w:r>
    </w:p>
    <w:bookmarkStart w:id="9" w:name="canonical-drift-classes"/>
    <w:p>
      <w:pPr>
        <w:pStyle w:val="Heading2"/>
      </w:pPr>
      <w:r>
        <w:t xml:space="preserve">Canonical drift classes</w:t>
      </w:r>
    </w:p>
    <w:p>
      <w:pPr>
        <w:pStyle w:val="FirstParagraph"/>
      </w:pPr>
      <w:r>
        <w:t xml:space="preserve">UIAO uses five classes (verbatim from the Drift Detection Standard):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DRIFT-SCHEMA</w:t>
      </w:r>
      <w:r>
        <w:t xml:space="preserve"> </w:t>
      </w:r>
      <w:r>
        <w:t xml:space="preserve">— structure no longer matches canonical schema.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DRIFT-SEMANTIC</w:t>
      </w:r>
      <w:r>
        <w:t xml:space="preserve"> </w:t>
      </w:r>
      <w:r>
        <w:t xml:space="preserve">— structure is valid, but meaning is stale or inconsistent.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DRIFT-PROVENANCE</w:t>
      </w:r>
      <w:r>
        <w:t xml:space="preserve"> </w:t>
      </w:r>
      <w:r>
        <w:t xml:space="preserve">— evidence chain is incomplete, invalid, or broken.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DRIFT-AUTHZ</w:t>
      </w:r>
      <w:r>
        <w:t xml:space="preserve"> </w:t>
      </w:r>
      <w:r>
        <w:t xml:space="preserve">— data moved outside its authorized consent envelope.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DRIFT-IDENTITY</w:t>
      </w:r>
      <w:r>
        <w:t xml:space="preserve"> </w:t>
      </w:r>
      <w:r>
        <w:t xml:space="preserve">— issuer cannot be resolved to a verified identity object.</w:t>
      </w:r>
    </w:p>
    <w:bookmarkEnd w:id="9"/>
    <w:bookmarkStart w:id="10" w:name="X259ebd7de29d516477a53278930fff8bb8214ac"/>
    <w:p>
      <w:pPr>
        <w:pStyle w:val="Heading2"/>
      </w:pPr>
      <w:r>
        <w:t xml:space="preserve">Severity model and operational obligation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  <w:tc>
          <w:tcPr/>
          <w:p>
            <w:pPr>
              <w:pStyle w:val="Compact"/>
            </w:pPr>
            <w:r>
              <w:t xml:space="preserve">Operational obligation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P1</w:t>
            </w:r>
          </w:p>
        </w:tc>
        <w:tc>
          <w:tcPr/>
          <w:p>
            <w:pPr>
              <w:pStyle w:val="Compact"/>
            </w:pPr>
            <w:r>
              <w:t xml:space="preserve">Active-use claim with provenance/identity risk</w:t>
            </w:r>
          </w:p>
        </w:tc>
        <w:tc>
          <w:tcPr/>
          <w:p>
            <w:pPr>
              <w:pStyle w:val="Compact"/>
            </w:pPr>
            <w:r>
              <w:t xml:space="preserve">Halt affected flow, alert immediately, escalate to governance leadership (Canon Steward / Architecture Lead / CISO path)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P2</w:t>
            </w:r>
          </w:p>
        </w:tc>
        <w:tc>
          <w:tcPr/>
          <w:p>
            <w:pPr>
              <w:pStyle w:val="Compact"/>
            </w:pPr>
            <w:r>
              <w:t xml:space="preserve">Live schema/semantic drift</w:t>
            </w:r>
          </w:p>
        </w:tc>
        <w:tc>
          <w:tcPr/>
          <w:p>
            <w:pPr>
              <w:pStyle w:val="Compact"/>
            </w:pPr>
            <w:r>
              <w:t xml:space="preserve">Auto-remediate when deterministic; otherwise escalate within 1 hour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P3</w:t>
            </w:r>
          </w:p>
        </w:tc>
        <w:tc>
          <w:tcPr/>
          <w:p>
            <w:pPr>
              <w:pStyle w:val="Compact"/>
            </w:pPr>
            <w:r>
              <w:t xml:space="preserve">Dormant/historical drift</w:t>
            </w:r>
          </w:p>
        </w:tc>
        <w:tc>
          <w:tcPr/>
          <w:p>
            <w:pPr>
              <w:pStyle w:val="Compact"/>
            </w:pPr>
            <w:r>
              <w:t xml:space="preserve">Queue remediation and close within 24 hours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P4</w:t>
            </w:r>
          </w:p>
        </w:tc>
        <w:tc>
          <w:tcPr/>
          <w:p>
            <w:pPr>
              <w:pStyle w:val="Compact"/>
            </w:pPr>
            <w:r>
              <w:t xml:space="preserve">Style/metadata drift with no semantic impact</w:t>
            </w:r>
          </w:p>
        </w:tc>
        <w:tc>
          <w:tcPr/>
          <w:p>
            <w:pPr>
              <w:pStyle w:val="Compact"/>
            </w:pPr>
            <w:r>
              <w:t xml:space="preserve">Log and auto-remediate within 72 hours</w:t>
            </w:r>
          </w:p>
        </w:tc>
      </w:tr>
    </w:tbl>
    <w:bookmarkEnd w:id="10"/>
    <w:bookmarkStart w:id="11" w:name="where-drift-is-detected"/>
    <w:p>
      <w:pPr>
        <w:pStyle w:val="Heading2"/>
      </w:pPr>
      <w:r>
        <w:t xml:space="preserve">Where drift is detected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CI substrate walker</w:t>
      </w:r>
      <w:r>
        <w:t xml:space="preserve"> </w:t>
      </w:r>
      <w:r>
        <w:t xml:space="preserve">(</w:t>
      </w:r>
      <w:r>
        <w:rPr>
          <w:rStyle w:val="VerbatimChar"/>
        </w:rPr>
        <w:t xml:space="preserve">uiao substrate walk</w:t>
      </w:r>
      <w:r>
        <w:t xml:space="preserve">,</w:t>
      </w:r>
      <w:r>
        <w:t xml:space="preserve"> </w:t>
      </w:r>
      <w:r>
        <w:rPr>
          <w:rStyle w:val="VerbatimChar"/>
        </w:rPr>
        <w:t xml:space="preserve">substrate-drift.yml</w:t>
      </w:r>
      <w:r>
        <w:t xml:space="preserve">) detects shipped classes now:</w:t>
      </w:r>
      <w:r>
        <w:t xml:space="preserve"> </w:t>
      </w:r>
      <w:r>
        <w:rPr>
          <w:rStyle w:val="VerbatimChar"/>
        </w:rPr>
        <w:t xml:space="preserve">DRIFT-SCHEMA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DRIFT-PROVENANCE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Runtime conformance runner</w:t>
      </w:r>
      <w:r>
        <w:t xml:space="preserve"> </w:t>
      </w:r>
      <w:r>
        <w:t xml:space="preserve">detects runtime drift during adapter execution and emits remediation-contract records (</w:t>
      </w:r>
      <w:r>
        <w:rPr>
          <w:rStyle w:val="VerbatimChar"/>
        </w:rPr>
        <w:t xml:space="preserve">drift_class</w:t>
      </w:r>
      <w:r>
        <w:t xml:space="preserve">,</w:t>
      </w:r>
      <w:r>
        <w:t xml:space="preserve"> </w:t>
      </w:r>
      <w:r>
        <w:rPr>
          <w:rStyle w:val="VerbatimChar"/>
        </w:rPr>
        <w:t xml:space="preserve">severity</w:t>
      </w:r>
      <w:r>
        <w:t xml:space="preserve">, timestamps, remediation action, evidence, escalation path).</w:t>
      </w:r>
    </w:p>
    <w:bookmarkEnd w:id="11"/>
    <w:bookmarkStart w:id="12" w:name="how-leaders-should-consume-drift-output"/>
    <w:p>
      <w:pPr>
        <w:pStyle w:val="Heading2"/>
      </w:pPr>
      <w:r>
        <w:t xml:space="preserve">How leaders should consume drift output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Governance tickets:</w:t>
      </w:r>
      <w:r>
        <w:t xml:space="preserve"> </w:t>
      </w:r>
      <w:r>
        <w:t xml:space="preserve">every material event becomes a tracked governance action with explicit owner and SLA.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OSCAL evidence regeneration:</w:t>
      </w:r>
      <w:r>
        <w:t xml:space="preserve"> </w:t>
      </w:r>
      <w:r>
        <w:t xml:space="preserve">drift outcomes trigger regeneration of affected evidence artifacts so SSP/POA&amp;M narratives stay canon-accurate.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Enforcement adapter feedback:</w:t>
      </w:r>
      <w:r>
        <w:t xml:space="preserve"> </w:t>
      </w:r>
      <w:r>
        <w:t xml:space="preserve">remediation outcomes (</w:t>
      </w:r>
      <w:r>
        <w:rPr>
          <w:rStyle w:val="VerbatimChar"/>
        </w:rPr>
        <w:t xml:space="preserve">halt | fix | flag | log</w:t>
      </w:r>
      <w:r>
        <w:t xml:space="preserve">) feed enforcement behavior to reduce repeat drift.</w:t>
      </w:r>
    </w:p>
    <w:bookmarkEnd w:id="12"/>
    <w:bookmarkStart w:id="13" w:name="maturity-snapshot-current"/>
    <w:p>
      <w:pPr>
        <w:pStyle w:val="Heading2"/>
      </w:pPr>
      <w:r>
        <w:t xml:space="preserve">Maturity snapshot (current)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Drift class</w:t>
            </w:r>
          </w:p>
        </w:tc>
        <w:tc>
          <w:tcPr/>
          <w:p>
            <w:pPr>
              <w:pStyle w:val="Compact"/>
            </w:pPr>
            <w:r>
              <w:t xml:space="preserve">Maturity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DRIFT-SCHEMA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SHIPPED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DRIFT-PROVENANCE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SHIPPED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DRIFT-SEMANTIC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TARGET</w:t>
            </w:r>
            <w:r>
              <w:t xml:space="preserve"> </w:t>
            </w:r>
            <w:r>
              <w:t xml:space="preserve">(partial runtime design)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DRIFT-AUTHZ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DESIGN-ONLY</w:t>
            </w:r>
            <w:r>
              <w:t xml:space="preserve"> </w:t>
            </w:r>
            <w:r>
              <w:t xml:space="preserve">(pending runtime implementation)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DRIFT-IDENTITY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DESIGN-ONLY</w:t>
            </w:r>
            <w:r>
              <w:t xml:space="preserve"> </w:t>
            </w:r>
            <w:r>
              <w:t xml:space="preserve">(pending runtime implementation)</w:t>
            </w:r>
          </w:p>
        </w:tc>
      </w:tr>
    </w:tbl>
    <w:p>
      <w:pPr>
        <w:pStyle w:val="BodyText"/>
      </w:pPr>
      <w:r>
        <w:rPr>
          <w:b/>
          <w:bCs/>
        </w:rPr>
        <w:t xml:space="preserve">Leadership takeaway:</w:t>
      </w:r>
      <w:r>
        <w:t xml:space="preserve"> </w:t>
      </w:r>
      <w:r>
        <w:t xml:space="preserve">UIAO already ships structural/provenance drift enforcement in CI, with the same taxonomy and severity contract extending to runtime semantic, authorization, and identity drift as those controls are completed.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 Engine Overview — Executive Brief</dc:title>
  <dc:creator/>
  <cp:keywords/>
  <dcterms:created xsi:type="dcterms:W3CDTF">2026-05-06T22:34:43Z</dcterms:created>
  <dcterms:modified xsi:type="dcterms:W3CDTF">2026-05-06T22:34:43Z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anon-source">
    <vt:lpwstr>docs/docs/16_DriftDetectionStandard.qmd</vt:lpwstr>
  </property>
  <property fmtid="{D5CDD505-2E9C-101B-9397-08002B2CF9AE}" pid="4" name="derived-from">
    <vt:lpwstr>uiao canon</vt:lpwstr>
  </property>
  <property fmtid="{D5CDD505-2E9C-101B-9397-08002B2CF9AE}" pid="5" name="doc-type">
    <vt:lpwstr>executive-brief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