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Evidence Fabric Overview — Executive Brief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8" w:name="evidence-fabric-overview"/>
    <w:p>
      <w:pPr>
        <w:pStyle w:val="Heading1"/>
      </w:pPr>
      <w:r>
        <w:t xml:space="preserve">Evidence Fabric Overview</w:t>
      </w:r>
    </w:p>
    <w:p>
      <w:pPr>
        <w:pStyle w:val="FirstParagraph"/>
      </w:pPr>
      <w:r>
        <w:t xml:space="preserve">UIAO’s Evidence Fabric is designed to turn runtime telemetry into assessor-ready</w:t>
      </w:r>
      <w:r>
        <w:t xml:space="preserve"> </w:t>
      </w:r>
      <w:r>
        <w:t xml:space="preserve">compliance artifacts with traceable provenance at every step. Instead of a</w:t>
      </w:r>
      <w:r>
        <w:t xml:space="preserve"> </w:t>
      </w:r>
      <w:r>
        <w:t xml:space="preserve">single point-in-time screenshot, it produces a deterministic evidence bundle</w:t>
      </w:r>
      <w:r>
        <w:t xml:space="preserve"> </w:t>
      </w:r>
      <w:r>
        <w:t xml:space="preserve">that can be re-run and independently verified.</w:t>
      </w:r>
    </w:p>
    <w:bookmarkStart w:id="10" w:name="X58089353ece44fe59acaa0a666178021bf5ea9e"/>
    <w:p>
      <w:pPr>
        <w:pStyle w:val="Heading2"/>
      </w:pPr>
      <w:r>
        <w:t xml:space="preserve">Provenance chain (event → claim → OSCAL artifact)</w:t>
      </w:r>
    </w:p>
    <w:p>
      <w:pPr>
        <w:pStyle w:val="FirstParagraph"/>
      </w:pPr>
      <w:r>
        <w:t xml:space="preserve">The intended chain is: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Telemetry event capture</w:t>
      </w:r>
      <w:r>
        <w:t xml:space="preserve"> </w:t>
      </w:r>
      <w:r>
        <w:t xml:space="preserve">from adapters and governance controls.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Canonical claim normalization</w:t>
      </w:r>
      <w:r>
        <w:t xml:space="preserve"> </w:t>
      </w:r>
      <w:r>
        <w:t xml:space="preserve">under the provenance envelope defined in</w:t>
      </w:r>
      <w:r>
        <w:t xml:space="preserve"> </w:t>
      </w:r>
      <w:hyperlink r:id="rId9">
        <w:r>
          <w:rPr>
            <w:rStyle w:val="Hyperlink"/>
          </w:rPr>
          <w:t xml:space="preserve">15_ProvenanceProfile.qmd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Evidence bundling and mapping</w:t>
      </w:r>
      <w:r>
        <w:t xml:space="preserve"> </w:t>
      </w:r>
      <w:r>
        <w:t xml:space="preserve">into OSCAL-native outputs for assessors.</w:t>
      </w:r>
    </w:p>
    <w:p>
      <w:pPr>
        <w:pStyle w:val="FirstParagraph"/>
      </w:pPr>
      <w:r>
        <w:t xml:space="preserve">This creates a lineage from source signal to compliance statement, so a 3PAO</w:t>
      </w:r>
      <w:r>
        <w:t xml:space="preserve"> </w:t>
      </w:r>
      <w:r>
        <w:t xml:space="preserve">can trace any finding back to a concrete, hashed source record.</w:t>
      </w:r>
    </w:p>
    <w:bookmarkEnd w:id="10"/>
    <w:bookmarkStart w:id="12" w:name="determinism-and-reproducibility"/>
    <w:p>
      <w:pPr>
        <w:pStyle w:val="Heading2"/>
      </w:pPr>
      <w:r>
        <w:t xml:space="preserve">Determinism and reproducibility</w:t>
      </w:r>
    </w:p>
    <w:p>
      <w:pPr>
        <w:pStyle w:val="FirstParagraph"/>
      </w:pPr>
      <w:r>
        <w:t xml:space="preserve">Per</w:t>
      </w:r>
      <w:r>
        <w:t xml:space="preserve"> </w:t>
      </w:r>
      <w:hyperlink r:id="rId11">
        <w:r>
          <w:rPr>
            <w:rStyle w:val="Hyperlink"/>
          </w:rPr>
          <w:t xml:space="preserve">ADR-006</w:t>
        </w:r>
      </w:hyperlink>
      <w:r>
        <w:t xml:space="preserve">,</w:t>
      </w:r>
      <w:r>
        <w:t xml:space="preserve"> </w:t>
      </w:r>
      <w:r>
        <w:t xml:space="preserve">the fabric is designed for deterministic behavior: no silent drops, append-only</w:t>
      </w:r>
      <w:r>
        <w:t xml:space="preserve"> </w:t>
      </w:r>
      <w:r>
        <w:t xml:space="preserve">writes, ordered records, integrity hashing, and idempotent ingestion. In</w:t>
      </w:r>
      <w:r>
        <w:t xml:space="preserve"> </w:t>
      </w:r>
      <w:r>
        <w:t xml:space="preserve">practice this means</w:t>
      </w:r>
      <w:r>
        <w:t xml:space="preserve"> </w:t>
      </w:r>
      <w:r>
        <w:rPr>
          <w:b/>
          <w:bCs/>
        </w:rPr>
        <w:t xml:space="preserve">same inputs produce the same evidence bundle</w:t>
      </w:r>
      <w:r>
        <w:t xml:space="preserve">, enabling</w:t>
      </w:r>
      <w:r>
        <w:t xml:space="preserve"> </w:t>
      </w:r>
      <w:r>
        <w:t xml:space="preserve">byte-reproducible regeneration for reassessment, forensics, and dispute</w:t>
      </w:r>
      <w:r>
        <w:t xml:space="preserve"> </w:t>
      </w:r>
      <w:r>
        <w:t xml:space="preserve">resolution.</w:t>
      </w:r>
    </w:p>
    <w:bookmarkEnd w:id="12"/>
    <w:bookmarkStart w:id="14" w:name="X718c4e6e5789e0b73beb6bb345d82080898d8ad"/>
    <w:p>
      <w:pPr>
        <w:pStyle w:val="Heading2"/>
      </w:pPr>
      <w:r>
        <w:t xml:space="preserve">Cryptographic anchoring and signing posture</w:t>
      </w:r>
    </w:p>
    <w:p>
      <w:pPr>
        <w:pStyle w:val="FirstParagraph"/>
      </w:pPr>
      <w:r>
        <w:t xml:space="preserve">Evidence integrity is anchored with cryptographic hashes in the provenance</w:t>
      </w:r>
      <w:r>
        <w:t xml:space="preserve"> </w:t>
      </w:r>
      <w:r>
        <w:t xml:space="preserve">envelope and bundle-level provenance fields defined by</w:t>
      </w:r>
      <w:r>
        <w:t xml:space="preserve"> </w:t>
      </w:r>
      <w:hyperlink r:id="rId13">
        <w:r>
          <w:rPr>
            <w:rStyle w:val="VerbatimChar"/>
          </w:rPr>
          <w:t xml:space="preserve">evidence-bundle.schema.json</w:t>
        </w:r>
      </w:hyperlink>
      <w:r>
        <w:t xml:space="preserve">.</w:t>
      </w:r>
      <w:r>
        <w:t xml:space="preserve"> </w:t>
      </w:r>
      <w:r>
        <w:t xml:space="preserve">The schema enforces hash-bearing provenance structures at item and bundle scope,</w:t>
      </w:r>
      <w:r>
        <w:t xml:space="preserve"> </w:t>
      </w:r>
      <w:r>
        <w:t xml:space="preserve">providing the verification substrate for signed, tamper-evident evidence</w:t>
      </w:r>
      <w:r>
        <w:t xml:space="preserve"> </w:t>
      </w:r>
      <w:r>
        <w:t xml:space="preserve">packages.</w:t>
      </w:r>
    </w:p>
    <w:bookmarkEnd w:id="14"/>
    <w:bookmarkStart w:id="16" w:name="evidence-outputs-available-today"/>
    <w:p>
      <w:pPr>
        <w:pStyle w:val="Heading2"/>
      </w:pPr>
      <w:r>
        <w:t xml:space="preserve">Evidence outputs available today</w:t>
      </w:r>
    </w:p>
    <w:p>
      <w:pPr>
        <w:pStyle w:val="FirstParagraph"/>
      </w:pPr>
      <w:r>
        <w:t xml:space="preserve">UIAO currently emits or assembles the following evidence surfaces: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System Security Plan (SSP)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POA&amp;M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KSI dashboard artifacts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Component Definitions</w:t>
      </w:r>
    </w:p>
    <w:p>
      <w:pPr>
        <w:pStyle w:val="FirstParagraph"/>
      </w:pPr>
      <w:r>
        <w:t xml:space="preserve">Bundle lifecycle controls (assemble → seal → submit → close) are defined in</w:t>
      </w:r>
      <w:r>
        <w:t xml:space="preserve"> </w:t>
      </w:r>
      <w:hyperlink r:id="rId15">
        <w:r>
          <w:rPr>
            <w:rStyle w:val="Hyperlink"/>
          </w:rPr>
          <w:t xml:space="preserve">ADR-016</w:t>
        </w:r>
      </w:hyperlink>
      <w:r>
        <w:t xml:space="preserve"> </w:t>
      </w:r>
      <w:r>
        <w:t xml:space="preserve">to support governed handoff to federal assessors.</w:t>
      </w:r>
    </w:p>
    <w:bookmarkEnd w:id="16"/>
    <w:bookmarkStart w:id="17" w:name="maturity-and-current-state-honesty"/>
    <w:p>
      <w:pPr>
        <w:pStyle w:val="Heading2"/>
      </w:pPr>
      <w:r>
        <w:t xml:space="preserve">Maturity and current-state honesty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event-time capture chain is design-defined but not fully wired in current</w:t>
      </w:r>
      <w:r>
        <w:rPr>
          <w:b/>
          <w:bCs/>
        </w:rPr>
        <w:t xml:space="preserve"> </w:t>
      </w:r>
      <w:r>
        <w:rPr>
          <w:b/>
          <w:bCs/>
        </w:rPr>
        <w:t xml:space="preserve">production flow</w:t>
      </w:r>
      <w:r>
        <w:t xml:space="preserve">. UIAO already defines deterministic structure, provenance</w:t>
      </w:r>
      <w:r>
        <w:t xml:space="preserve"> </w:t>
      </w:r>
      <w:r>
        <w:t xml:space="preserve">fields, and bundle lifecycle controls; end-to-end continuous event-time capture</w:t>
      </w:r>
      <w:r>
        <w:t xml:space="preserve"> </w:t>
      </w:r>
      <w:r>
        <w:t xml:space="preserve">remains a target-state capability and is represented here as aspirational.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../../../../src/uiao/canon/adr/adr-006-evidence-determinism.md" TargetMode="External" /><Relationship Type="http://schemas.openxmlformats.org/officeDocument/2006/relationships/hyperlink" Id="rId15" Target="../../../../src/uiao/canon/adr/adr-016-evidence-bundle-lifecycle.md" TargetMode="External" /><Relationship Type="http://schemas.openxmlformats.org/officeDocument/2006/relationships/hyperlink" Id="rId13" Target="../../../../src/uiao/schemas/ksi/evidence-bundle.schema.json" TargetMode="External" /><Relationship Type="http://schemas.openxmlformats.org/officeDocument/2006/relationships/hyperlink" Id="rId9" Target="../../15_ProvenanceProfil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../../../../src/uiao/canon/adr/adr-006-evidence-determinism.md" TargetMode="External" /><Relationship Type="http://schemas.openxmlformats.org/officeDocument/2006/relationships/hyperlink" Id="rId15" Target="../../../../src/uiao/canon/adr/adr-016-evidence-bundle-lifecycle.md" TargetMode="External" /><Relationship Type="http://schemas.openxmlformats.org/officeDocument/2006/relationships/hyperlink" Id="rId13" Target="../../../../src/uiao/schemas/ksi/evidence-bundle.schema.json" TargetMode="External" /><Relationship Type="http://schemas.openxmlformats.org/officeDocument/2006/relationships/hyperlink" Id="rId9" Target="../../15_ProvenanceProfil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Fabric Overview — Executive Brief</dc:title>
  <dc:creator/>
  <cp:keywords/>
  <dcterms:created xsi:type="dcterms:W3CDTF">2026-05-06T22:34:43Z</dcterms:created>
  <dcterms:modified xsi:type="dcterms:W3CDTF">2026-05-06T22:34:43Z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non-source">
    <vt:lpwstr>docs/docs/15_ProvenanceProfile.qmd</vt:lpwstr>
  </property>
  <property fmtid="{D5CDD505-2E9C-101B-9397-08002B2CF9AE}" pid="4" name="derived-from">
    <vt:lpwstr>uiao/canon</vt:lpwstr>
  </property>
  <property fmtid="{D5CDD505-2E9C-101B-9397-08002B2CF9AE}" pid="5" name="doc-type">
    <vt:lpwstr>executive-brief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