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Governance OS Overview — Executive Brief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0" w:name="governance-os-overview-executive-brief"/>
    <w:p>
      <w:pPr>
        <w:pStyle w:val="Heading1"/>
      </w:pPr>
      <w:r>
        <w:t xml:space="preserve">Governance OS Overview — Executive Brief</w:t>
      </w:r>
    </w:p>
    <w:p>
      <w:pPr>
        <w:pStyle w:val="FirstParagraph"/>
      </w:pPr>
      <w:r>
        <w:t xml:space="preserve">UIAO is a</w:t>
      </w:r>
      <w:r>
        <w:t xml:space="preserve"> </w:t>
      </w:r>
      <w:r>
        <w:rPr>
          <w:b/>
          <w:bCs/>
        </w:rPr>
        <w:t xml:space="preserve">canon-anchored governance substrate</w:t>
      </w:r>
      <w:r>
        <w:t xml:space="preserve"> </w:t>
      </w:r>
      <w:r>
        <w:t xml:space="preserve">(not a standalone product) that keeps identity, policy, and compliance operations tied to a single source of truth and continuously drift-detected against that canon.</w:t>
      </w:r>
    </w:p>
    <w:p>
      <w:pPr>
        <w:pStyle w:val="BodyText"/>
      </w:pPr>
      <w:r>
        <w:t xml:space="preserve">Federal modernization programs repeatedly hit the same failure mode: ICAM, security telemetry, and compliance reporting run as separate tracks. Identity context is fragmented across services, telemetry cannot be correlated into one control narrative, and evidence is assembled as point-in-time reporting rather than continuous, provenance-linked assurance.</w:t>
      </w:r>
    </w:p>
    <w:p>
      <w:pPr>
        <w:pStyle w:val="BodyText"/>
      </w:pPr>
      <w:r>
        <w:t xml:space="preserve">UIAO addresses this by operating as a governance substrate underneath implementation tooling: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Single Source of Truth (SSOT):</w:t>
      </w:r>
      <w:r>
        <w:t xml:space="preserve"> </w:t>
      </w:r>
      <w:r>
        <w:t xml:space="preserve">canonical governance artifacts define structure, policy intent, and registry authority once, then downstream systems consume those artifacts instead of duplicating policy logic.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Canon-anchored evidence:</w:t>
      </w:r>
      <w:r>
        <w:t xml:space="preserve"> </w:t>
      </w:r>
      <w:r>
        <w:t xml:space="preserve">generated artifacts and compliance outputs trace back to explicit canon sources so reviewers can verify lineage from requirement to evidence.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Drift is explicit:</w:t>
      </w:r>
      <w:r>
        <w:t xml:space="preserve"> </w:t>
      </w:r>
      <w:r>
        <w:t xml:space="preserve">structural and provenance drift are surfaced as first-class findings, so mismatch between declared governance and runtime reality is visible and actionable.</w:t>
      </w:r>
    </w:p>
    <w:p>
      <w:pPr>
        <w:pStyle w:val="FirstParagraph"/>
      </w:pPr>
      <w:r>
        <w:t xml:space="preserve">For federal CIO/CISO decision-making, UIAO delivers a disciplined governance operating model now: schema-enforced canon artifacts, substrate-walk drift detection for implemented classes, a defined adapter taxonomy, and CI gates that enforce provenance and structural consistency. The same substrate also defines target-state capabilities (for example, additional drift classes and broader runtime enforcement) but those should be treated as roadmap intent until promoted from TARGET/DESIGN-ONLY to shipped status.</w:t>
      </w:r>
    </w:p>
    <w:p>
      <w:pPr>
        <w:pStyle w:val="BodyText"/>
      </w:pPr>
      <w:r>
        <w:t xml:space="preserve">Maturity note: for current shipped vs. target posture, use the</w:t>
      </w:r>
      <w:r>
        <w:t xml:space="preserve"> </w:t>
      </w:r>
      <w:hyperlink r:id="rId9">
        <w:r>
          <w:rPr>
            <w:rStyle w:val="Hyperlink"/>
          </w:rPr>
          <w:t xml:space="preserve">UIAO Substrate Status</w:t>
        </w:r>
      </w:hyperlink>
      <w:r>
        <w:t xml:space="preserve"> </w:t>
      </w:r>
      <w:r>
        <w:t xml:space="preserve">page as the authoritative narrative snapshot. In that view, core substrate governance mechanics are live today, while a substantial portion of higher-order runtime capabilities remains aspirational.</w:t>
      </w:r>
    </w:p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../../substrate-status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../../substrate-status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Governance OS Overview — Executive Brief</dc:title>
  <dc:creator/>
  <cp:keywords/>
  <dcterms:created xsi:type="dcterms:W3CDTF">2026-05-06T22:34:43Z</dcterms:created>
  <dcterms:modified xsi:type="dcterms:W3CDTF">2026-05-06T22:34:43Z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canon-source">
    <vt:lpwstr>src/uiao/canon/substrate-manifest.yaml</vt:lpwstr>
  </property>
  <property fmtid="{D5CDD505-2E9C-101B-9397-08002B2CF9AE}" pid="4" name="derived-from">
    <vt:lpwstr>uiao/canon (sync_canon.py)</vt:lpwstr>
  </property>
  <property fmtid="{D5CDD505-2E9C-101B-9397-08002B2CF9AE}" pid="5" name="doc-type">
    <vt:lpwstr>ats</vt:lpwstr>
  </property>
  <property fmtid="{D5CDD505-2E9C-101B-9397-08002B2CF9AE}" pid="6" name="engines">
    <vt:lpwstr/>
  </property>
  <property fmtid="{D5CDD505-2E9C-101B-9397-08002B2CF9AE}" pid="7" name="generated">
    <vt:lpwstr>2026-04-22</vt:lpwstr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