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Override PartName="/word/media/rId12.png" ContentType="image/png"/>
  <Override PartName="/word/media/rId16.png" ContentType="image/png"/>
  <Override PartName="/word/media/rId20.png" ContentType="image/png"/>
  <Override PartName="/word/media/rId24.png" ContentType="image/png"/>
  <Override PartName="/word/media/rId27.png" ContentType="image/png"/>
  <Override PartName="/word/media/rId31.png" ContentType="image/png"/>
  <Override PartName="/word/media/rId35.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UIAO Executive Brief</w:t>
      </w:r>
    </w:p>
    <w:p>
      <w:pPr>
        <w:pStyle w:val="Subtitle"/>
      </w:pPr>
      <w:r>
        <w:t xml:space="preserve">What if your agency never had to manually prove compliance again?</w:t>
      </w:r>
    </w:p>
    <w:p>
      <w:pPr>
        <w:pStyle w:val="Author"/>
      </w:pPr>
      <w:r>
        <w:t xml:space="preserve">Michael Stratton</w:t>
      </w:r>
    </w:p>
    <w:p>
      <w:pPr>
        <w:pStyle w:val="Date"/>
      </w:pPr>
      <w:r>
        <w:t xml:space="preserve">2026-04-01</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rPr>
          <w:b/>
          <w:bCs/>
        </w:rPr>
        <w:t xml:space="preserve">UIAO</w:t>
      </w:r>
    </w:p>
    <w:p>
      <w:pPr>
        <w:pStyle w:val="CaptionedFigure"/>
      </w:pPr>
      <w:r>
        <w:drawing>
          <wp:inline>
            <wp:extent cx="3810000" cy="2540000"/>
            <wp:effectExtent b="0" l="0" r="0" t="0"/>
            <wp:docPr descr="UIAO Governance OS" title="" id="10" name="Picture"/>
            <a:graphic>
              <a:graphicData uri="http://schemas.openxmlformats.org/drawingml/2006/picture">
                <pic:pic>
                  <pic:nvPicPr>
                    <pic:cNvPr descr="../../images/canonical/UIAO-FIG-001-governance-os-overview.png" id="11" name="Picture"/>
                    <pic:cNvPicPr>
                      <a:picLocks noChangeArrowheads="1" noChangeAspect="1"/>
                    </pic:cNvPicPr>
                  </pic:nvPicPr>
                  <pic:blipFill>
                    <a:blip r:embed="rId9"/>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UIAO Governance OS</w:t>
      </w:r>
    </w:p>
    <w:p>
      <w:pPr>
        <w:pStyle w:val="BodyText"/>
      </w:pPr>
      <w:r>
        <w:t xml:space="preserve">Unified Identity-Addressing-Overlay</w:t>
      </w:r>
    </w:p>
    <w:p>
      <w:pPr>
        <w:pStyle w:val="BodyText"/>
      </w:pPr>
      <w:r>
        <w:rPr>
          <w:i/>
          <w:iCs/>
        </w:rPr>
        <w:t xml:space="preserve">What if your agency never had to manually prove compliance again?</w:t>
      </w:r>
    </w:p>
    <w:p>
      <w:pPr>
        <w:pStyle w:val="BodyText"/>
      </w:pPr>
      <w:r>
        <w:t xml:space="preserve">Executive Brief • April 2026</w:t>
      </w:r>
    </w:p>
    <w:bookmarkStart w:id="15" w:name="the-problem"/>
    <w:p>
      <w:pPr>
        <w:pStyle w:val="Heading1"/>
      </w:pPr>
      <w:r>
        <w:t xml:space="preserve">The Problem</w:t>
      </w:r>
    </w:p>
    <w:p>
      <w:pPr>
        <w:pStyle w:val="FirstParagraph"/>
      </w:pPr>
      <w:r>
        <w:t xml:space="preserve">Every federal agency running Microsoft 365 in GCC-Moderate faces the same grind. A new CISA directive lands. A FedRAMP control needs evidence. An auditor asks for proof that a policy is actually enforced—not just documented. And what happens? Someone opens a spreadsheet. Someone else writes a memo. A third person screenshots a config panel and pastes it into a Word doc. Weeks later, an artifact package gets stapled together and sent up the chain.</w:t>
      </w:r>
    </w:p>
    <w:p>
      <w:pPr>
        <w:pStyle w:val="CaptionedFigure"/>
      </w:pPr>
      <w:r>
        <w:drawing>
          <wp:inline>
            <wp:extent cx="3810000" cy="2540000"/>
            <wp:effectExtent b="0" l="0" r="0" t="0"/>
            <wp:docPr descr="The manual compliance grind" title="" id="13" name="Picture"/>
            <a:graphic>
              <a:graphicData uri="http://schemas.openxmlformats.org/drawingml/2006/picture">
                <pic:pic>
                  <pic:nvPicPr>
                    <pic:cNvPr descr="../../images/canonical/UIAO-FIG-002-manual-compliance-grind.png" id="14" name="Picture"/>
                    <pic:cNvPicPr>
                      <a:picLocks noChangeArrowheads="1" noChangeAspect="1"/>
                    </pic:cNvPicPr>
                  </pic:nvPicPr>
                  <pic:blipFill>
                    <a:blip r:embed="rId12"/>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The manual compliance grind</w:t>
      </w:r>
    </w:p>
    <w:p>
      <w:pPr>
        <w:pStyle w:val="BodyText"/>
      </w:pPr>
      <w:r>
        <w:t xml:space="preserve">Meanwhile, the environment has already drifted. The policy that was compliant last Tuesday got changed on Thursday. Nobody noticed until the next quarterly review—if they noticed at all.</w:t>
      </w:r>
    </w:p>
    <w:p>
      <w:pPr>
        <w:pStyle w:val="BodyText"/>
      </w:pPr>
      <w:r>
        <w:t xml:space="preserve">This is not a technology problem. Agencies have the tools. The problem is that compliance is treated as a paperwork exercise instead of an engineering discipline. The result: months of labor, millions of dollars, and a compliance posture that is stale before the ink dries.</w:t>
      </w:r>
    </w:p>
    <w:p>
      <w:pPr>
        <w:pStyle w:val="BlockText"/>
      </w:pPr>
      <w:r>
        <w:rPr>
          <w:i/>
          <w:iCs/>
        </w:rPr>
        <w:t xml:space="preserve">The average federal agency spends 12–18 months producing a FedRAMP authorization package. Most of that time is not spent securing systems. It is spent proving they are secure.</w:t>
      </w:r>
    </w:p>
    <w:bookmarkEnd w:id="15"/>
    <w:bookmarkStart w:id="19" w:name="what-uiao-does-about-it"/>
    <w:p>
      <w:pPr>
        <w:pStyle w:val="Heading1"/>
      </w:pPr>
      <w:r>
        <w:t xml:space="preserve">What UIAO Does About It</w:t>
      </w:r>
    </w:p>
    <w:p>
      <w:pPr>
        <w:pStyle w:val="FirstParagraph"/>
      </w:pPr>
      <w:r>
        <w:t xml:space="preserve">UIAO is a software platform—not a document, not a consulting engagement, not a dashboard that shows you what went wrong last quarter. It is an engine designed to continuously monitor your Microsoft 365 environment, evaluate every configuration against the controls that actually apply to you, and produce machine-readable compliance evidence in real time.</w:t>
      </w:r>
    </w:p>
    <w:p>
      <w:pPr>
        <w:pStyle w:val="BodyText"/>
      </w:pPr>
      <w:r>
        <w:t xml:space="preserve">In plain terms: UIAO is designed to watch your environment continuously, check it against 323 FedRAMP Moderate Rev 5 controls, and when something drifts out of compliance, detect it within minutes—not weeks, not next quarter.</w:t>
      </w:r>
    </w:p>
    <w:p>
      <w:pPr>
        <w:pStyle w:val="CaptionedFigure"/>
      </w:pPr>
      <w:r>
        <w:drawing>
          <wp:inline>
            <wp:extent cx="3810000" cy="2540000"/>
            <wp:effectExtent b="0" l="0" r="0" t="0"/>
            <wp:docPr descr="Continuous monitoring pipeline" title="" id="17" name="Picture"/>
            <a:graphic>
              <a:graphicData uri="http://schemas.openxmlformats.org/drawingml/2006/picture">
                <pic:pic>
                  <pic:nvPicPr>
                    <pic:cNvPr descr="../../images/canonical/UIAO-FIG-003-continuous-monitoring-pipeline.png" id="18" name="Picture"/>
                    <pic:cNvPicPr>
                      <a:picLocks noChangeArrowheads="1" noChangeAspect="1"/>
                    </pic:cNvPicPr>
                  </pic:nvPicPr>
                  <pic:blipFill>
                    <a:blip r:embed="rId16"/>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Continuous monitoring pipeline</w:t>
      </w:r>
    </w:p>
    <w:p>
      <w:pPr>
        <w:pStyle w:val="BodyText"/>
      </w:pPr>
      <w:r>
        <w:t xml:space="preserve">It does not stop at detection. UIAO generates the actual artifacts auditors need—System Security Plans, Plans of Action &amp; Milestones, OSCAL profiles, CycloneDX software bills of materials—all produced automatically from the live state of your environment, signed with cryptographic evidence that proves they have not been tampered with.</w:t>
      </w:r>
    </w:p>
    <w:p>
      <w:pPr>
        <w:pStyle w:val="BlockText"/>
      </w:pPr>
      <w:r>
        <w:rPr>
          <w:i/>
          <w:iCs/>
        </w:rPr>
        <w:t xml:space="preserve">Think of it this way: UIAO replaces the binder with a living system. Your compliance posture is not a document you update once a year. It is a measurement you can read at any moment.</w:t>
      </w:r>
    </w:p>
    <w:bookmarkEnd w:id="19"/>
    <w:bookmarkStart w:id="23" w:name="the-effort-time-and-money-conversation"/>
    <w:p>
      <w:pPr>
        <w:pStyle w:val="Heading1"/>
      </w:pPr>
      <w:r>
        <w:t xml:space="preserve">The Effort, Time, and Money Conversation</w:t>
      </w:r>
    </w:p>
    <w:p>
      <w:pPr>
        <w:pStyle w:val="FirstParagraph"/>
      </w:pPr>
      <w:r>
        <w:rPr>
          <w:b/>
          <w:bCs/>
        </w:rPr>
        <w:t xml:space="preserve">Here is what agencies spend today, and what changes with UIAO:</w:t>
      </w:r>
    </w:p>
    <w:tbl>
      <w:tblPr>
        <w:tblStyle w:val="Table"/>
        <w:tblW w:type="pct" w:w="4922"/>
        <w:tblLayout w:type="fixed"/>
        <w:tblLook w:firstRow="1" w:lastRow="0" w:firstColumn="0" w:lastColumn="0" w:noHBand="0" w:noVBand="0" w:val="0020"/>
      </w:tblPr>
      <w:tblGrid>
        <w:gridCol w:w="1918"/>
        <w:gridCol w:w="2227"/>
        <w:gridCol w:w="3650"/>
      </w:tblGrid>
      <w:tr>
        <w:trPr>
          <w:tblHeader w:val="on"/>
        </w:trPr>
        <w:tc>
          <w:tcPr/>
          <w:p>
            <w:pPr>
              <w:pStyle w:val="Compact"/>
            </w:pPr>
          </w:p>
        </w:tc>
        <w:tc>
          <w:tcPr/>
          <w:p>
            <w:pPr>
              <w:pStyle w:val="Compact"/>
              <w:jc w:val="left"/>
            </w:pPr>
            <w:r>
              <w:rPr>
                <w:b/>
                <w:bCs/>
              </w:rPr>
              <w:t xml:space="preserve">Without UIAO</w:t>
            </w:r>
          </w:p>
        </w:tc>
        <w:tc>
          <w:tcPr/>
          <w:p>
            <w:pPr>
              <w:pStyle w:val="Compact"/>
              <w:jc w:val="left"/>
            </w:pPr>
            <w:r>
              <w:rPr>
                <w:b/>
                <w:bCs/>
              </w:rPr>
              <w:t xml:space="preserve">With UIAO</w:t>
            </w:r>
          </w:p>
        </w:tc>
      </w:tr>
      <w:tr>
        <w:tc>
          <w:tcPr/>
          <w:p>
            <w:pPr>
              <w:pStyle w:val="Compact"/>
            </w:pPr>
            <w:r>
              <w:rPr>
                <w:b/>
                <w:bCs/>
              </w:rPr>
              <w:t xml:space="preserve">FedRAMP package timeline</w:t>
            </w:r>
          </w:p>
        </w:tc>
        <w:tc>
          <w:tcPr/>
          <w:p>
            <w:pPr>
              <w:pStyle w:val="Compact"/>
              <w:jc w:val="left"/>
            </w:pPr>
            <w:r>
              <w:t xml:space="preserve">12–18 months</w:t>
            </w:r>
          </w:p>
        </w:tc>
        <w:tc>
          <w:tcPr/>
          <w:p>
            <w:pPr>
              <w:pStyle w:val="Compact"/>
              <w:jc w:val="left"/>
            </w:pPr>
            <w:r>
              <w:t xml:space="preserve">Continuous (near-real-time updates)</w:t>
            </w:r>
          </w:p>
        </w:tc>
      </w:tr>
      <w:tr>
        <w:tc>
          <w:tcPr/>
          <w:p>
            <w:pPr>
              <w:pStyle w:val="Compact"/>
            </w:pPr>
            <w:r>
              <w:rPr>
                <w:b/>
                <w:bCs/>
              </w:rPr>
              <w:t xml:space="preserve">Drift detection</w:t>
            </w:r>
          </w:p>
        </w:tc>
        <w:tc>
          <w:tcPr/>
          <w:p>
            <w:pPr>
              <w:pStyle w:val="Compact"/>
              <w:jc w:val="left"/>
            </w:pPr>
            <w:r>
              <w:t xml:space="preserve">Quarterly review (if lucky)</w:t>
            </w:r>
          </w:p>
        </w:tc>
        <w:tc>
          <w:tcPr/>
          <w:p>
            <w:pPr>
              <w:pStyle w:val="Compact"/>
              <w:jc w:val="left"/>
            </w:pPr>
            <w:r>
              <w:t xml:space="preserve">&lt; 120 seconds</w:t>
            </w:r>
          </w:p>
        </w:tc>
      </w:tr>
      <w:tr>
        <w:tc>
          <w:tcPr/>
          <w:p>
            <w:pPr>
              <w:pStyle w:val="Compact"/>
            </w:pPr>
            <w:r>
              <w:rPr>
                <w:b/>
                <w:bCs/>
              </w:rPr>
              <w:t xml:space="preserve">Evidence collection</w:t>
            </w:r>
          </w:p>
        </w:tc>
        <w:tc>
          <w:tcPr/>
          <w:p>
            <w:pPr>
              <w:pStyle w:val="Compact"/>
              <w:jc w:val="left"/>
            </w:pPr>
            <w:r>
              <w:t xml:space="preserve">Manual screenshots &amp; spreadsheets</w:t>
            </w:r>
          </w:p>
        </w:tc>
        <w:tc>
          <w:tcPr/>
          <w:p>
            <w:pPr>
              <w:pStyle w:val="Compact"/>
              <w:jc w:val="left"/>
            </w:pPr>
            <w:r>
              <w:t xml:space="preserve">Automated, cryptographically signed</w:t>
            </w:r>
          </w:p>
        </w:tc>
      </w:tr>
      <w:tr>
        <w:tc>
          <w:tcPr/>
          <w:p>
            <w:pPr>
              <w:pStyle w:val="Compact"/>
            </w:pPr>
            <w:r>
              <w:rPr>
                <w:b/>
                <w:bCs/>
              </w:rPr>
              <w:t xml:space="preserve">Audit prep labor</w:t>
            </w:r>
          </w:p>
        </w:tc>
        <w:tc>
          <w:tcPr/>
          <w:p>
            <w:pPr>
              <w:pStyle w:val="Compact"/>
              <w:jc w:val="left"/>
            </w:pPr>
            <w:r>
              <w:t xml:space="preserve">Hundreds of staff-hours per cycle</w:t>
            </w:r>
          </w:p>
        </w:tc>
        <w:tc>
          <w:tcPr/>
          <w:p>
            <w:pPr>
              <w:pStyle w:val="Compact"/>
              <w:jc w:val="left"/>
            </w:pPr>
            <w:r>
              <w:t xml:space="preserve">Significantly reduced: artifacts generated automatically</w:t>
            </w:r>
          </w:p>
        </w:tc>
      </w:tr>
      <w:tr>
        <w:tc>
          <w:tcPr/>
          <w:p>
            <w:pPr>
              <w:pStyle w:val="Compact"/>
            </w:pPr>
            <w:r>
              <w:rPr>
                <w:b/>
                <w:bCs/>
              </w:rPr>
              <w:t xml:space="preserve">Cost of a missed finding</w:t>
            </w:r>
          </w:p>
        </w:tc>
        <w:tc>
          <w:tcPr/>
          <w:p>
            <w:pPr>
              <w:pStyle w:val="Compact"/>
              <w:jc w:val="left"/>
            </w:pPr>
            <w:r>
              <w:t xml:space="preserve">Remediation + re-audit + delay</w:t>
            </w:r>
          </w:p>
        </w:tc>
        <w:tc>
          <w:tcPr/>
          <w:p>
            <w:pPr>
              <w:pStyle w:val="Compact"/>
              <w:jc w:val="left"/>
            </w:pPr>
            <w:r>
              <w:t xml:space="preserve">Caught and flagged in real time</w:t>
            </w:r>
          </w:p>
        </w:tc>
      </w:tr>
    </w:tbl>
    <w:p>
      <w:pPr>
        <w:pStyle w:val="CaptionedFigure"/>
      </w:pPr>
      <w:r>
        <w:drawing>
          <wp:inline>
            <wp:extent cx="3810000" cy="2540000"/>
            <wp:effectExtent b="0" l="0" r="0" t="0"/>
            <wp:docPr descr="Before and after UIAO" title="" id="21" name="Picture"/>
            <a:graphic>
              <a:graphicData uri="http://schemas.openxmlformats.org/drawingml/2006/picture">
                <pic:pic>
                  <pic:nvPicPr>
                    <pic:cNvPr descr="../../images/canonical/UIAO-FIG-004-before-after-uiao.png" id="22" name="Picture"/>
                    <pic:cNvPicPr>
                      <a:picLocks noChangeArrowheads="1" noChangeAspect="1"/>
                    </pic:cNvPicPr>
                  </pic:nvPicPr>
                  <pic:blipFill>
                    <a:blip r:embed="rId20"/>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Before and after UIAO</w:t>
      </w:r>
    </w:p>
    <w:p>
      <w:pPr>
        <w:pStyle w:val="BodyText"/>
      </w:pPr>
      <w:r>
        <w:t xml:space="preserve">The single largest cost in federal compliance is not technology—it is labor. Staff spend months collecting evidence, cross-referencing controls, writing narratives, and assembling packages that are outdated before they are submitted. UIAO is designed to dramatically reduce that category of work. Evidence is collected automatically. Artifacts are generated from live environment state. The auditor can look at the system and see current data, not a summary someone wrote three months ago.</w:t>
      </w:r>
    </w:p>
    <w:bookmarkEnd w:id="23"/>
    <w:bookmarkStart w:id="30" w:name="how-it-works-without-the-jargon"/>
    <w:p>
      <w:pPr>
        <w:pStyle w:val="Heading1"/>
      </w:pPr>
      <w:r>
        <w:t xml:space="preserve">How It Works (Without the Jargon)</w:t>
      </w:r>
    </w:p>
    <w:p>
      <w:pPr>
        <w:pStyle w:val="FirstParagraph"/>
      </w:pPr>
      <w:r>
        <w:t xml:space="preserve">UIAO connects to your Microsoft 365 GCC-Moderate tenant and reads the configuration state of your environment—Exchange Online, SharePoint, Teams, Entra ID, Defender, Intune, and the rest of the M365 suite. It does this continuously, not on a schedule.</w:t>
      </w:r>
    </w:p>
    <w:p>
      <w:pPr>
        <w:pStyle w:val="BodyText"/>
      </w:pPr>
      <w:r>
        <w:t xml:space="preserve">It then evaluates what it sees against three layers of rules:</w:t>
      </w:r>
    </w:p>
    <w:p>
      <w:pPr>
        <w:pStyle w:val="BodyText"/>
      </w:pPr>
      <w:r>
        <w:t xml:space="preserve">First, the FedRAMP Moderate Rev 5 baseline—all 323 controls. Second, the CISA SCuBA benchmarks and BOD 25-01 directives that apply to your tenant. Third, your own organizational policies—the things that are specific to your agency and your mission.</w:t>
      </w:r>
    </w:p>
    <w:p>
      <w:pPr>
        <w:pStyle w:val="CaptionedFigure"/>
      </w:pPr>
      <w:r>
        <w:drawing>
          <wp:inline>
            <wp:extent cx="3810000" cy="2540000"/>
            <wp:effectExtent b="0" l="0" r="0" t="0"/>
            <wp:docPr descr="Three compliance layers" title="" id="25" name="Picture"/>
            <a:graphic>
              <a:graphicData uri="http://schemas.openxmlformats.org/drawingml/2006/picture">
                <pic:pic>
                  <pic:nvPicPr>
                    <pic:cNvPr descr="../../images/canonical/UIAO-FIG-005-three-compliance-layers.png" id="26" name="Picture"/>
                    <pic:cNvPicPr>
                      <a:picLocks noChangeArrowheads="1" noChangeAspect="1"/>
                    </pic:cNvPicPr>
                  </pic:nvPicPr>
                  <pic:blipFill>
                    <a:blip r:embed="rId24"/>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Three compliance layers</w:t>
      </w:r>
    </w:p>
    <w:p>
      <w:pPr>
        <w:pStyle w:val="BodyText"/>
      </w:pPr>
      <w:r>
        <w:t xml:space="preserve">When a configuration matches what it should be, UIAO records that as evidence and moves on. When something does not match, UIAO flags it, categorizes the severity, identifies which controls are affected, and makes that information available immediately—to your security team, to your compliance officers, and to your leadership dashboard.</w:t>
      </w:r>
    </w:p>
    <w:p>
      <w:pPr>
        <w:pStyle w:val="BodyText"/>
      </w:pPr>
      <w:r>
        <w:t xml:space="preserve">All of this evidence—every check, every result, every timestamp—is stored in an immutable chain with cryptographic signatures. It cannot be altered after the fact. When an auditor asks "how do you know this was true on March 15th?"—you hand them a signed record, not a screenshot.</w:t>
      </w:r>
    </w:p>
    <w:p>
      <w:pPr>
        <w:pStyle w:val="CaptionedFigure"/>
      </w:pPr>
      <w:r>
        <w:drawing>
          <wp:inline>
            <wp:extent cx="3810000" cy="2540000"/>
            <wp:effectExtent b="0" l="0" r="0" t="0"/>
            <wp:docPr descr="Immutable provenance chain" title="" id="28" name="Picture"/>
            <a:graphic>
              <a:graphicData uri="http://schemas.openxmlformats.org/drawingml/2006/picture">
                <pic:pic>
                  <pic:nvPicPr>
                    <pic:cNvPr descr="../../images/canonical/UIAO-FIG-006-immutable-provenance-chain.png" id="29" name="Picture"/>
                    <pic:cNvPicPr>
                      <a:picLocks noChangeArrowheads="1" noChangeAspect="1"/>
                    </pic:cNvPicPr>
                  </pic:nvPicPr>
                  <pic:blipFill>
                    <a:blip r:embed="rId27"/>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Immutable provenance chain</w:t>
      </w:r>
    </w:p>
    <w:bookmarkEnd w:id="30"/>
    <w:bookmarkStart w:id="34" w:name="what-makes-this-different"/>
    <w:p>
      <w:pPr>
        <w:pStyle w:val="Heading1"/>
      </w:pPr>
      <w:r>
        <w:t xml:space="preserve">What Makes This Different</w:t>
      </w:r>
    </w:p>
    <w:p>
      <w:pPr>
        <w:pStyle w:val="FirstParagraph"/>
      </w:pPr>
      <w:r>
        <w:rPr>
          <w:b/>
          <w:bCs/>
        </w:rPr>
        <w:t xml:space="preserve">There are plenty of compliance dashboards on the market. Most of them show you the current state of something and call it a day. UIAO is different in three specific ways:</w:t>
      </w:r>
    </w:p>
    <w:p>
      <w:pPr>
        <w:pStyle w:val="CaptionedFigure"/>
      </w:pPr>
      <w:r>
        <w:drawing>
          <wp:inline>
            <wp:extent cx="3810000" cy="2540000"/>
            <wp:effectExtent b="0" l="0" r="0" t="0"/>
            <wp:docPr descr="UIAO differentiators" title="" id="32" name="Picture"/>
            <a:graphic>
              <a:graphicData uri="http://schemas.openxmlformats.org/drawingml/2006/picture">
                <pic:pic>
                  <pic:nvPicPr>
                    <pic:cNvPr descr="../../images/canonical/UIAO-FIG-007-uiao-differentiators.png" id="33" name="Picture"/>
                    <pic:cNvPicPr>
                      <a:picLocks noChangeArrowheads="1" noChangeAspect="1"/>
                    </pic:cNvPicPr>
                  </pic:nvPicPr>
                  <pic:blipFill>
                    <a:blip r:embed="rId31"/>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UIAO differentiators</w:t>
      </w:r>
    </w:p>
    <w:p>
      <w:pPr>
        <w:pStyle w:val="BodyText"/>
      </w:pPr>
      <w:r>
        <w:t xml:space="preserve">It is deterministic. UIAO does not use sampling, estimation, or spot checks. Every control is evaluated against the actual environment state. The answer is always "compliant" or "not compliant"—never "probably" or "as of last quarter."</w:t>
      </w:r>
    </w:p>
    <w:p>
      <w:pPr>
        <w:pStyle w:val="BodyText"/>
      </w:pPr>
      <w:r>
        <w:t xml:space="preserve">It produces the actual deliverables. UIAO does not just tell you what is wrong and leave you to write the report. It generates OSCAL-native System Security Plans, Plans of Action and Milestones, and component inventories in the formats that FedRAMP and CISA actually accept. The goal is to reduce artifact generation from months of manual effort to an automated, repeatable process.</w:t>
      </w:r>
    </w:p>
    <w:p>
      <w:pPr>
        <w:pStyle w:val="BodyText"/>
      </w:pPr>
      <w:r>
        <w:t xml:space="preserve">It is built for federal M365 specifically. This is not a general-purpose cloud security scanner that has been bolted onto GCC-Moderate. The entire adapter layer, the control mappings, the evidence chain—all of it was designed from the ground up for the federal M365 ecosystem and its unique constraints.</w:t>
      </w:r>
    </w:p>
    <w:bookmarkEnd w:id="34"/>
    <w:bookmarkStart w:id="38" w:name="what-we-need-from-leadership"/>
    <w:p>
      <w:pPr>
        <w:pStyle w:val="Heading1"/>
      </w:pPr>
      <w:r>
        <w:t xml:space="preserve">What We Need From Leadership</w:t>
      </w:r>
    </w:p>
    <w:p>
      <w:pPr>
        <w:pStyle w:val="FirstParagraph"/>
      </w:pPr>
      <w:r>
        <w:t xml:space="preserve">UIAO is not a proposal on a whiteboard. The core platform has been built and tested: adapters for Exchange, SharePoint, Teams, Entra ID, Defender, and Intune are implemented and under active validation. The KSI evaluation engine, SCuBA importer, and evidence fabric are operational. Some components—including the incident response layer, enforcement gate, and remediation planner—are newer and continuing to mature. What is needed now is real-world validation in a production GCC-Moderate tenant.</w:t>
      </w:r>
    </w:p>
    <w:p>
      <w:pPr>
        <w:pStyle w:val="BlockText"/>
      </w:pPr>
      <w:r>
        <w:rPr>
          <w:i/>
          <w:iCs/>
        </w:rPr>
        <w:t xml:space="preserve">Specifically, we are asking for three things:</w:t>
      </w:r>
      <w:r>
        <w:br/>
      </w:r>
      <w:r>
        <w:br/>
      </w:r>
      <w:r>
        <w:rPr>
          <w:i/>
          <w:iCs/>
        </w:rPr>
        <w:t xml:space="preserve">1. Authorization to connect UIAO to a GCC-Moderate tenant for a 90-day pilot.</w:t>
      </w:r>
      <w:r>
        <w:br/>
      </w:r>
      <w:r>
        <w:br/>
      </w:r>
      <w:r>
        <w:rPr>
          <w:i/>
          <w:iCs/>
        </w:rPr>
        <w:t xml:space="preserve">2. A designated compliance team to validate UIAO outputs against their existing manual process, side by side.</w:t>
      </w:r>
      <w:r>
        <w:br/>
      </w:r>
      <w:r>
        <w:br/>
      </w:r>
      <w:r>
        <w:rPr>
          <w:i/>
          <w:iCs/>
        </w:rPr>
        <w:t xml:space="preserve">3. An executive sponsor to champion the results through the authorization chain.</w:t>
      </w:r>
    </w:p>
    <w:p>
      <w:pPr>
        <w:pStyle w:val="CaptionedFigure"/>
      </w:pPr>
      <w:r>
        <w:drawing>
          <wp:inline>
            <wp:extent cx="3810000" cy="2540000"/>
            <wp:effectExtent b="0" l="0" r="0" t="0"/>
            <wp:docPr descr="Getting started with UIAO" title="" id="36" name="Picture"/>
            <a:graphic>
              <a:graphicData uri="http://schemas.openxmlformats.org/drawingml/2006/picture">
                <pic:pic>
                  <pic:nvPicPr>
                    <pic:cNvPr descr="../../images/canonical/UIAO-FIG-008-getting-started.png" id="37" name="Picture"/>
                    <pic:cNvPicPr>
                      <a:picLocks noChangeArrowheads="1" noChangeAspect="1"/>
                    </pic:cNvPicPr>
                  </pic:nvPicPr>
                  <pic:blipFill>
                    <a:blip r:embed="rId35"/>
                    <a:stretch>
                      <a:fillRect/>
                    </a:stretch>
                  </pic:blipFill>
                  <pic:spPr bwMode="auto">
                    <a:xfrm>
                      <a:off x="0" y="0"/>
                      <a:ext cx="3810000" cy="2540000"/>
                    </a:xfrm>
                    <a:prstGeom prst="rect">
                      <a:avLst/>
                    </a:prstGeom>
                    <a:noFill/>
                    <a:ln w="9525">
                      <a:noFill/>
                      <a:headEnd/>
                      <a:tailEnd/>
                    </a:ln>
                  </pic:spPr>
                </pic:pic>
              </a:graphicData>
            </a:graphic>
          </wp:inline>
        </w:drawing>
      </w:r>
    </w:p>
    <w:p>
      <w:pPr>
        <w:pStyle w:val="ImageCaption"/>
      </w:pPr>
      <w:r>
        <w:t xml:space="preserve">Getting started with UIAO</w:t>
      </w:r>
    </w:p>
    <w:p>
      <w:pPr>
        <w:pStyle w:val="BodyText"/>
      </w:pPr>
      <w:r>
        <w:t xml:space="preserve">The pilot costs nothing in licensing—UIAO is open source. The investment is staff time to connect a tenant, validate outputs against your existing manual process, and evaluate the results. We anticipate this will require involvement from your security, compliance, and identity teams over the 90-day window. If the platform delivers what we have built it to deliver, your team will have the data to make that case. If it falls short, the pilot ends with no contractual obligation.</w:t>
      </w:r>
    </w:p>
    <w:p>
      <w:pPr>
        <w:pStyle w:val="BodyText"/>
      </w:pPr>
      <w:r>
        <w:t xml:space="preserve">UIAO Modernization Program</w:t>
      </w:r>
    </w:p>
    <w:p>
      <w:pPr>
        <w:pStyle w:val="BodyText"/>
      </w:pPr>
      <w:r>
        <w:t xml:space="preserve">Generated: 2026-04-12 • Source: UIAO Modernization Program • Version 1.1</w:t>
      </w:r>
    </w:p>
    <w:bookmarkEnd w:id="3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image" Id="rId12" Target="media/rId12.png" /><Relationship Type="http://schemas.openxmlformats.org/officeDocument/2006/relationships/image" Id="rId16" Target="media/rId16.png" /><Relationship Type="http://schemas.openxmlformats.org/officeDocument/2006/relationships/image" Id="rId20" Target="media/rId20.png" /><Relationship Type="http://schemas.openxmlformats.org/officeDocument/2006/relationships/image" Id="rId24" Target="media/rId24.png" /><Relationship Type="http://schemas.openxmlformats.org/officeDocument/2006/relationships/image" Id="rId27" Target="media/rId27.png" /><Relationship Type="http://schemas.openxmlformats.org/officeDocument/2006/relationships/image" Id="rId31" Target="media/rId31.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UIAO Executive Brief</dc:title>
  <dc:creator>Michael Stratton</dc:creator>
  <cp:keywords/>
  <dcterms:created xsi:type="dcterms:W3CDTF">2026-05-06T19:27:30Z</dcterms:created>
  <dcterms:modified xsi:type="dcterms:W3CDTF">2026-05-06T19:27:30Z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dience">
    <vt:lpwstr/>
  </property>
  <property fmtid="{D5CDD505-2E9C-101B-9397-08002B2CF9AE}" pid="3" name="authors">
    <vt:lpwstr/>
  </property>
  <property fmtid="{D5CDD505-2E9C-101B-9397-08002B2CF9AE}" pid="4" name="biblio-config">
    <vt:lpwstr>True</vt:lpwstr>
  </property>
  <property fmtid="{D5CDD505-2E9C-101B-9397-08002B2CF9AE}" pid="5" name="boundary">
    <vt:lpwstr>GCC-Moderate</vt:lpwstr>
  </property>
  <property fmtid="{D5CDD505-2E9C-101B-9397-08002B2CF9AE}" pid="6" name="by-author">
    <vt:lpwstr/>
  </property>
  <property fmtid="{D5CDD505-2E9C-101B-9397-08002B2CF9AE}" pid="7" name="canon-source">
    <vt:lpwstr>.claude/worktrees/relaxed-leakey-71169b/docs/publications/01-executive-brief/UIAO-Executive-Brief-SOURCE.docx</vt:lpwstr>
  </property>
  <property fmtid="{D5CDD505-2E9C-101B-9397-08002B2CF9AE}" pid="8" name="classification">
    <vt:lpwstr>Controlled</vt:lpwstr>
  </property>
  <property fmtid="{D5CDD505-2E9C-101B-9397-08002B2CF9AE}" pid="9" name="created-at">
    <vt:lpwstr>2026-04-26</vt:lpwstr>
  </property>
  <property fmtid="{D5CDD505-2E9C-101B-9397-08002B2CF9AE}" pid="10" name="date">
    <vt:lpwstr>2026-04-01</vt:lpwstr>
  </property>
  <property fmtid="{D5CDD505-2E9C-101B-9397-08002B2CF9AE}" pid="11" name="doc-type">
    <vt:lpwstr>executive-brief</vt:lpwstr>
  </property>
  <property fmtid="{D5CDD505-2E9C-101B-9397-08002B2CF9AE}" pid="12" name="engines">
    <vt:lpwstr/>
  </property>
  <property fmtid="{D5CDD505-2E9C-101B-9397-08002B2CF9AE}" pid="13" name="header-includes">
    <vt:lpwstr/>
  </property>
  <property fmtid="{D5CDD505-2E9C-101B-9397-08002B2CF9AE}" pid="14" name="include-after">
    <vt:lpwstr/>
  </property>
  <property fmtid="{D5CDD505-2E9C-101B-9397-08002B2CF9AE}" pid="15" name="include-before">
    <vt:lpwstr/>
  </property>
  <property fmtid="{D5CDD505-2E9C-101B-9397-08002B2CF9AE}" pid="16" name="labels">
    <vt:lpwstr/>
  </property>
  <property fmtid="{D5CDD505-2E9C-101B-9397-08002B2CF9AE}" pid="17" name="repo-path">
    <vt:lpwstr>docs/customer-documents/executive-briefs/uiao-executive-brief.qmd</vt:lpwstr>
  </property>
  <property fmtid="{D5CDD505-2E9C-101B-9397-08002B2CF9AE}" pid="18" name="status">
    <vt:lpwstr>Active</vt:lpwstr>
  </property>
  <property fmtid="{D5CDD505-2E9C-101B-9397-08002B2CF9AE}" pid="19" name="subtitle">
    <vt:lpwstr>What if your agency never had to manually prove compliance again?</vt:lpwstr>
  </property>
  <property fmtid="{D5CDD505-2E9C-101B-9397-08002B2CF9AE}" pid="20" name="toc-title">
    <vt:lpwstr>Table of contents</vt:lpwstr>
  </property>
  <property fmtid="{D5CDD505-2E9C-101B-9397-08002B2CF9AE}" pid="21" name="updated-at">
    <vt:lpwstr>2026-04-26</vt:lpwstr>
  </property>
</Properties>
</file>