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00 — The Problem Nobody Talks About</w:t>
      </w:r>
    </w:p>
    <w:p>
      <w:pPr>
        <w:pStyle w:val="Subtitle"/>
      </w:pPr>
      <w:r>
        <w:t xml:space="preserve">Active Directory was never just an identity store. It was the implicit governance model.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4" w:name="Xb1e81e52db9fc928fa336774d041128749e7e03"/>
    <w:p>
      <w:pPr>
        <w:pStyle w:val="Heading1"/>
      </w:pPr>
      <w:r>
        <w:t xml:space="preserve">Chapter 00 — The Problem Nobody Talks About</w:t>
      </w:r>
    </w:p>
    <w:p>
      <w:pPr>
        <w:pStyle w:val="FirstParagraph"/>
      </w:pPr>
      <w:r>
        <w:rPr>
          <w:i/>
          <w:iCs/>
        </w:rPr>
        <w:t xml:space="preserve">AD’s Hidden Governance Surface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Figure 0.1 — Active Directory as the implicit governance substrate for eleven categories of infrastructure object</w:t>
            </w:r>
          </w:p>
        </w:tc>
      </w:tr>
    </w:tbl>
    <w:p>
      <w:pPr>
        <w:pStyle w:val="ImageCaption"/>
      </w:pPr>
      <w:r>
        <w:t xml:space="preserve">Figure 0.1 — Active Directory as the implicit governance substrate for eleven categories of infrastructure object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thesis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Active Directory was never just an identity store. It was the</w:t>
            </w:r>
            <w:r>
              <w:t xml:space="preserve"> </w:t>
            </w:r>
            <w:r>
              <w:rPr>
                <w:b/>
                <w:bCs/>
              </w:rPr>
              <w:t xml:space="preserve">implicit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governance model</w:t>
            </w:r>
            <w:r>
              <w:t xml:space="preserve"> </w:t>
            </w:r>
            <w:r>
              <w:t xml:space="preserve">for every network service a federal agency ran. When</w:t>
            </w:r>
            <w:r>
              <w:t xml:space="preserve"> </w:t>
            </w:r>
            <w:r>
              <w:t xml:space="preserve">agencies migrate</w:t>
            </w:r>
            <w:r>
              <w:t xml:space="preserve"> </w:t>
            </w:r>
            <w:r>
              <w:t xml:space="preserve">“AD to Entra ID”</w:t>
            </w:r>
            <w:r>
              <w:t xml:space="preserve"> </w:t>
            </w:r>
            <w:r>
              <w:t xml:space="preserve">and think the project is about users and</w:t>
            </w:r>
            <w:r>
              <w:t xml:space="preserve"> </w:t>
            </w:r>
            <w:r>
              <w:t xml:space="preserve">groups, they retire the directory and silently break the governance. Most</w:t>
            </w:r>
            <w:r>
              <w:t xml:space="preserve"> </w:t>
            </w:r>
            <w:r>
              <w:t xml:space="preserve">of the failures don’t show up for months.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This series is about not doing that.</w:t>
            </w:r>
          </w:p>
          <w:p/>
        </w:tc>
      </w:tr>
    </w:tbl>
    <w:bookmarkStart w:id="12" w:name="what-microsoft-sold-you-in-1999"/>
    <w:p>
      <w:pPr>
        <w:pStyle w:val="Heading2"/>
      </w:pPr>
      <w:r>
        <w:t xml:space="preserve">What Microsoft sold you in 1999</w:t>
      </w:r>
    </w:p>
    <w:p>
      <w:pPr>
        <w:pStyle w:val="FirstParagraph"/>
      </w:pPr>
      <w:r>
        <w:t xml:space="preserve">When Microsoft shipped Active Directory with Windows 2000, they sold it as</w:t>
      </w:r>
      <w:r>
        <w:t xml:space="preserve"> </w:t>
      </w:r>
      <w:r>
        <w:t xml:space="preserve">an identity directory — a modern, replicated, Kerberos-anchored</w:t>
      </w:r>
      <w:r>
        <w:t xml:space="preserve"> </w:t>
      </w:r>
      <w:r>
        <w:t xml:space="preserve">replacement for NT domains. That framing was true but incomplete.</w:t>
      </w:r>
    </w:p>
    <w:p>
      <w:pPr>
        <w:pStyle w:val="BodyText"/>
      </w:pPr>
      <w:r>
        <w:t xml:space="preserve">Over the next twenty-five years, every Windows-era infrastructure service</w:t>
      </w:r>
      <w:r>
        <w:t xml:space="preserve"> </w:t>
      </w:r>
      <w:r>
        <w:t xml:space="preserve">quietly wired itself into AD. Not because Microsoft planned it that way in</w:t>
      </w:r>
      <w:r>
        <w:t xml:space="preserve"> </w:t>
      </w:r>
      <w:r>
        <w:t xml:space="preserve">one grand design, but because AD was</w:t>
      </w:r>
      <w:r>
        <w:t xml:space="preserve"> </w:t>
      </w:r>
      <w:r>
        <w:rPr>
          <w:i/>
          <w:iCs/>
        </w:rPr>
        <w:t xml:space="preserve">the only enterprise-wide,</w:t>
      </w:r>
      <w:r>
        <w:rPr>
          <w:i/>
          <w:iCs/>
        </w:rPr>
        <w:t xml:space="preserve"> </w:t>
      </w:r>
      <w:r>
        <w:rPr>
          <w:i/>
          <w:iCs/>
        </w:rPr>
        <w:t xml:space="preserve">governed, authenticated, replicated namespace</w:t>
      </w:r>
      <w:r>
        <w:t xml:space="preserve"> </w:t>
      </w:r>
      <w:r>
        <w:t xml:space="preserve">that the Windows ecosystem</w:t>
      </w:r>
      <w:r>
        <w:t xml:space="preserve"> </w:t>
      </w:r>
      <w:r>
        <w:t xml:space="preserve">had. If you needed to know what a server was called, where it lived in</w:t>
      </w:r>
      <w:r>
        <w:t xml:space="preserve"> </w:t>
      </w:r>
      <w:r>
        <w:t xml:space="preserve">the org, who was allowed to manage it, which certificates it should trust,</w:t>
      </w:r>
      <w:r>
        <w:t xml:space="preserve"> </w:t>
      </w:r>
      <w:r>
        <w:t xml:space="preserve">which DHCP scope applied to it, which GPOs configured it, and which</w:t>
      </w:r>
      <w:r>
        <w:t xml:space="preserve"> </w:t>
      </w:r>
      <w:r>
        <w:t xml:space="preserve">accounts had which service principal names bound to it — AD held every</w:t>
      </w:r>
      <w:r>
        <w:t xml:space="preserve"> </w:t>
      </w:r>
      <w:r>
        <w:t xml:space="preserve">one of those answers.</w:t>
      </w:r>
    </w:p>
    <w:p>
      <w:pPr>
        <w:pStyle w:val="BodyText"/>
      </w:pPr>
      <w:r>
        <w:t xml:space="preserve">By the time an agency’s AD forest was ten years old, it had become the</w:t>
      </w:r>
      <w:r>
        <w:t xml:space="preserve"> </w:t>
      </w:r>
      <w:r>
        <w:t xml:space="preserve">single most load-bearing piece of governance infrastructure the agency</w:t>
      </w:r>
      <w:r>
        <w:t xml:space="preserve"> </w:t>
      </w:r>
      <w:r>
        <w:t xml:space="preserve">owned. It was just never written down anywhere as</w:t>
      </w:r>
      <w:r>
        <w:t xml:space="preserve"> </w:t>
      </w:r>
      <w:r>
        <w:t xml:space="preserve">“our governance model.”</w:t>
      </w:r>
    </w:p>
    <w:bookmarkEnd w:id="12"/>
    <w:bookmarkStart w:id="16" w:name="what-breaks-when-ad-goes-away"/>
    <w:p>
      <w:pPr>
        <w:pStyle w:val="Heading2"/>
      </w:pPr>
      <w:r>
        <w:t xml:space="preserve">What breaks when AD goes away</w:t>
      </w:r>
    </w:p>
    <w:p>
      <w:pPr>
        <w:pStyle w:val="FirstParagraph"/>
      </w:pPr>
      <w:r>
        <w:t xml:space="preserve">Microsoft is now deprecating the entire Client/Server stack. Entra ID</w:t>
      </w:r>
      <w:r>
        <w:t xml:space="preserve"> </w:t>
      </w:r>
      <w:r>
        <w:t xml:space="preserve">replaces AD DS. Intune replaces Group Policy. Conditional Access replaces</w:t>
      </w:r>
      <w:r>
        <w:t xml:space="preserve"> </w:t>
      </w:r>
      <w:r>
        <w:t xml:space="preserve">the network perimeter. Azure Arc extends cloud management to on-premises</w:t>
      </w:r>
      <w:r>
        <w:t xml:space="preserve"> </w:t>
      </w:r>
      <w:r>
        <w:t xml:space="preserve">hosts. Entra Certificate-Based Authentication replaces ADCS-anchored</w:t>
      </w:r>
      <w:r>
        <w:t xml:space="preserve"> </w:t>
      </w:r>
      <w:r>
        <w:t xml:space="preserve">smart-card logon. Azure Private Resolver + Private DNS replace</w:t>
      </w:r>
      <w:r>
        <w:t xml:space="preserve"> </w:t>
      </w:r>
      <w:r>
        <w:t xml:space="preserve">AD-integrated DNS zones.</w:t>
      </w:r>
    </w:p>
    <w:p>
      <w:pPr>
        <w:pStyle w:val="BodyText"/>
      </w:pPr>
      <w:r>
        <w:t xml:space="preserve">Every one of those substitutions is a valid target. But Microsoft handed</w:t>
      </w:r>
      <w:r>
        <w:t xml:space="preserve"> </w:t>
      </w:r>
      <w:r>
        <w:t xml:space="preserve">agencies the</w:t>
      </w:r>
      <w:r>
        <w:t xml:space="preserve"> </w:t>
      </w:r>
      <w:r>
        <w:rPr>
          <w:i/>
          <w:iCs/>
        </w:rPr>
        <w:t xml:space="preserve">tools</w:t>
      </w:r>
      <w:r>
        <w:t xml:space="preserve"> </w:t>
      </w:r>
      <w:r>
        <w:t xml:space="preserve">without the</w:t>
      </w:r>
      <w:r>
        <w:t xml:space="preserve"> </w:t>
      </w:r>
      <w:r>
        <w:rPr>
          <w:i/>
          <w:iCs/>
        </w:rPr>
        <w:t xml:space="preserve">framework</w:t>
      </w:r>
      <w:r>
        <w:t xml:space="preserve">. The result is that when</w:t>
      </w:r>
      <w:r>
        <w:t xml:space="preserve"> </w:t>
      </w:r>
      <w:r>
        <w:t xml:space="preserve">agencies migrate user objects into Entra ID’s flat directory and declare</w:t>
      </w:r>
      <w:r>
        <w:t xml:space="preserve"> </w:t>
      </w:r>
      <w:r>
        <w:t xml:space="preserve">victory, they leave behind eleven categories of infrastructure object</w:t>
      </w:r>
      <w:r>
        <w:t xml:space="preserve"> </w:t>
      </w:r>
      <w:r>
        <w:t xml:space="preserve">that AD was silently governing: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5"/>
        <w:gridCol w:w="1462"/>
        <w:gridCol w:w="2315"/>
        <w:gridCol w:w="377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Object Type</w:t>
            </w:r>
          </w:p>
        </w:tc>
        <w:tc>
          <w:tcPr/>
          <w:p>
            <w:pPr>
              <w:pStyle w:val="Compact"/>
            </w:pPr>
            <w:r>
              <w:t xml:space="preserve">What AD Was Doing</w:t>
            </w:r>
          </w:p>
        </w:tc>
        <w:tc>
          <w:tcPr/>
          <w:p>
            <w:pPr>
              <w:pStyle w:val="Compact"/>
            </w:pPr>
            <w:r>
              <w:t xml:space="preserve">What Breaks Without Governance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Users</w:t>
            </w:r>
          </w:p>
        </w:tc>
        <w:tc>
          <w:tcPr/>
          <w:p>
            <w:pPr>
              <w:pStyle w:val="Compact"/>
            </w:pPr>
            <w:r>
              <w:t xml:space="preserve">Identity lifecycle, OU placement, attribute authority</w:t>
            </w:r>
          </w:p>
        </w:tc>
        <w:tc>
          <w:tcPr/>
          <w:p>
            <w:pPr>
              <w:pStyle w:val="Compact"/>
            </w:pPr>
            <w:r>
              <w:t xml:space="preserve">Orphaned accounts, privilege drift, compliance gaps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Computers</w:t>
            </w:r>
          </w:p>
        </w:tc>
        <w:tc>
          <w:tcPr/>
          <w:p>
            <w:pPr>
              <w:pStyle w:val="Compact"/>
            </w:pPr>
            <w:r>
              <w:t xml:space="preserve">Domain join, GPO targeting, machine certificates</w:t>
            </w:r>
          </w:p>
        </w:tc>
        <w:tc>
          <w:tcPr/>
          <w:p>
            <w:pPr>
              <w:pStyle w:val="Compact"/>
            </w:pPr>
            <w:r>
              <w:t xml:space="preserve">Unmanaged endpoints, missing patches, security exposure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Service Accounts</w:t>
            </w:r>
          </w:p>
        </w:tc>
        <w:tc>
          <w:tcPr/>
          <w:p>
            <w:pPr>
              <w:pStyle w:val="Compact"/>
            </w:pPr>
            <w:r>
              <w:t xml:space="preserve">SPNs, Kerberos delegation, password management</w:t>
            </w:r>
          </w:p>
        </w:tc>
        <w:tc>
          <w:tcPr/>
          <w:p>
            <w:pPr>
              <w:pStyle w:val="Compact"/>
            </w:pPr>
            <w:r>
              <w:t xml:space="preserve">Application authentication failures, silent service outages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Security Groups</w:t>
            </w:r>
          </w:p>
        </w:tc>
        <w:tc>
          <w:tcPr/>
          <w:p>
            <w:pPr>
              <w:pStyle w:val="Compact"/>
            </w:pPr>
            <w:r>
              <w:t xml:space="preserve">Access control, policy scoping, resource permissions</w:t>
            </w:r>
          </w:p>
        </w:tc>
        <w:tc>
          <w:tcPr/>
          <w:p>
            <w:pPr>
              <w:pStyle w:val="Compact"/>
            </w:pPr>
            <w:r>
              <w:t xml:space="preserve">Permission sprawl, ungoverned access, audit failures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Group Policy Objects</w:t>
            </w:r>
          </w:p>
        </w:tc>
        <w:tc>
          <w:tcPr/>
          <w:p>
            <w:pPr>
              <w:pStyle w:val="Compact"/>
            </w:pPr>
            <w:r>
              <w:t xml:space="preserve">Device configuration, security baselines, software deployment</w:t>
            </w:r>
          </w:p>
        </w:tc>
        <w:tc>
          <w:tcPr/>
          <w:p>
            <w:pPr>
              <w:pStyle w:val="Compact"/>
            </w:pPr>
            <w:r>
              <w:t xml:space="preserve">Configuration drift, inconsistent baselines, compliance gaps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DNS / DHCP</w:t>
            </w:r>
          </w:p>
        </w:tc>
        <w:tc>
          <w:tcPr/>
          <w:p>
            <w:pPr>
              <w:pStyle w:val="Compact"/>
            </w:pPr>
            <w:r>
              <w:t xml:space="preserve">Name resolution, IP allocation, AD-integrated zones</w:t>
            </w:r>
          </w:p>
        </w:tc>
        <w:tc>
          <w:tcPr/>
          <w:p>
            <w:pPr>
              <w:pStyle w:val="Compact"/>
            </w:pPr>
            <w:r>
              <w:t xml:space="preserve">Name resolution failures, IP conflicts, split-brain DNS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PKI / Certificate Services</w:t>
            </w:r>
          </w:p>
        </w:tc>
        <w:tc>
          <w:tcPr/>
          <w:p>
            <w:pPr>
              <w:pStyle w:val="Compact"/>
            </w:pPr>
            <w:r>
              <w:t xml:space="preserve">Certificate issuance, auto-enrollment, CRL distribution</w:t>
            </w:r>
          </w:p>
        </w:tc>
        <w:tc>
          <w:tcPr/>
          <w:p>
            <w:pPr>
              <w:pStyle w:val="Compact"/>
            </w:pPr>
            <w:r>
              <w:t xml:space="preserve">Silent certificate expiration, authentication failures, mTLS breaks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RADIUS / NPS</w:t>
            </w:r>
          </w:p>
        </w:tc>
        <w:tc>
          <w:tcPr/>
          <w:p>
            <w:pPr>
              <w:pStyle w:val="Compact"/>
            </w:pPr>
            <w:r>
              <w:t xml:space="preserve">802.1X network access, VPN authentication, Wi-Fi auth</w:t>
            </w:r>
          </w:p>
        </w:tc>
        <w:tc>
          <w:tcPr/>
          <w:p>
            <w:pPr>
              <w:pStyle w:val="Compact"/>
            </w:pPr>
            <w:r>
              <w:t xml:space="preserve">Network access failures, VPN outages, unauthorized access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LDAP</w:t>
            </w:r>
          </w:p>
        </w:tc>
        <w:tc>
          <w:tcPr/>
          <w:p>
            <w:pPr>
              <w:pStyle w:val="Compact"/>
            </w:pPr>
            <w:r>
              <w:t xml:space="preserve">Application authentication, directory queries, legacy integrations</w:t>
            </w:r>
          </w:p>
        </w:tc>
        <w:tc>
          <w:tcPr/>
          <w:p>
            <w:pPr>
              <w:pStyle w:val="Compact"/>
            </w:pPr>
            <w:r>
              <w:t xml:space="preserve">Application login failures, directory query errors, broken integrations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SPNs / App Registrations</w:t>
            </w:r>
          </w:p>
        </w:tc>
        <w:tc>
          <w:tcPr/>
          <w:p>
            <w:pPr>
              <w:pStyle w:val="Compact"/>
            </w:pPr>
            <w:r>
              <w:t xml:space="preserve">Kerberos service principal names, application identity</w:t>
            </w:r>
          </w:p>
        </w:tc>
        <w:tc>
          <w:tcPr/>
          <w:p>
            <w:pPr>
              <w:pStyle w:val="Compact"/>
            </w:pPr>
            <w:r>
              <w:t xml:space="preserve">Application SSO breaks, delegation failures, service identity loss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Trust Relationships</w:t>
            </w:r>
          </w:p>
        </w:tc>
        <w:tc>
          <w:tcPr/>
          <w:p>
            <w:pPr>
              <w:pStyle w:val="Compact"/>
            </w:pPr>
            <w:r>
              <w:t xml:space="preserve">Cross-domain authentication, forest trusts, selective authentication</w:t>
            </w:r>
          </w:p>
        </w:tc>
        <w:tc>
          <w:tcPr/>
          <w:p>
            <w:pPr>
              <w:pStyle w:val="Compact"/>
            </w:pPr>
            <w:r>
              <w:t xml:space="preserve">Cross-domain access failures, authentication breaks between orgs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Silent failure is the real enemy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Look at the</w:t>
            </w:r>
            <w:r>
              <w:t xml:space="preserve"> </w:t>
            </w:r>
            <w:r>
              <w:t xml:space="preserve">“What Breaks”</w:t>
            </w:r>
            <w:r>
              <w:t xml:space="preserve"> </w:t>
            </w:r>
            <w:r>
              <w:t xml:space="preserve">column. Most of these failures don’t throw</w:t>
            </w:r>
            <w:r>
              <w:t xml:space="preserve"> </w:t>
            </w:r>
            <w:r>
              <w:t xml:space="preserve">errors. A certificate doesn’t renew because the AD enrollment policy was</w:t>
            </w:r>
            <w:r>
              <w:t xml:space="preserve"> </w:t>
            </w:r>
            <w:r>
              <w:t xml:space="preserve">never re-pointed. A RADIUS policy doesn’t authorize a new device because</w:t>
            </w:r>
            <w:r>
              <w:t xml:space="preserve"> </w:t>
            </w:r>
            <w:r>
              <w:t xml:space="preserve">the AD-group lookup returns empty. An LDAP-bound application silently</w:t>
            </w:r>
            <w:r>
              <w:t xml:space="preserve"> </w:t>
            </w:r>
            <w:r>
              <w:t xml:space="preserve">stops querying because the bind account was decommissioned with AD DS.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There is no log line that says</w:t>
            </w:r>
            <w:r>
              <w:t xml:space="preserve"> </w:t>
            </w:r>
            <w:r>
              <w:t xml:space="preserve">“governance has failed.”</w:t>
            </w:r>
            <w:r>
              <w:t xml:space="preserve"> </w:t>
            </w:r>
            <w:r>
              <w:t xml:space="preserve">There is only</w:t>
            </w:r>
            <w:r>
              <w:t xml:space="preserve"> </w:t>
            </w:r>
            <w:r>
              <w:t xml:space="preserve">a six-month tail of weird, untraceable outages and a compliance audit</w:t>
            </w:r>
            <w:r>
              <w:t xml:space="preserve"> </w:t>
            </w:r>
            <w:r>
              <w:t xml:space="preserve">that finds the agency can’t prove what it should have been doing.</w:t>
            </w:r>
          </w:p>
          <w:p/>
        </w:tc>
      </w:tr>
    </w:tbl>
    <w:bookmarkEnd w:id="16"/>
    <w:bookmarkStart w:id="18" w:name="the-ou-tree-was-the-governance-tree"/>
    <w:p>
      <w:pPr>
        <w:pStyle w:val="Heading2"/>
      </w:pPr>
      <w:r>
        <w:t xml:space="preserve">The OU tree was the governance tree</w:t>
      </w:r>
    </w:p>
    <w:p>
      <w:pPr>
        <w:pStyle w:val="FirstParagraph"/>
      </w:pPr>
      <w:r>
        <w:t xml:space="preserve">The other thing agencies underestimate is that AD’s Organizational Unit</w:t>
      </w:r>
      <w:r>
        <w:t xml:space="preserve"> </w:t>
      </w:r>
      <w:r>
        <w:t xml:space="preserve">tree was not a folder system. It was a</w:t>
      </w:r>
      <w:r>
        <w:t xml:space="preserve"> </w:t>
      </w:r>
      <w:r>
        <w:rPr>
          <w:b/>
          <w:bCs/>
        </w:rPr>
        <w:t xml:space="preserve">delegation graph, a policy</w:t>
      </w:r>
      <w:r>
        <w:rPr>
          <w:b/>
          <w:bCs/>
        </w:rPr>
        <w:t xml:space="preserve"> </w:t>
      </w:r>
      <w:r>
        <w:rPr>
          <w:b/>
          <w:bCs/>
        </w:rPr>
        <w:t xml:space="preserve">inheritance engine, an operational boundary, and a security scope — all</w:t>
      </w:r>
      <w:r>
        <w:rPr>
          <w:b/>
          <w:bCs/>
        </w:rPr>
        <w:t xml:space="preserve"> </w:t>
      </w:r>
      <w:r>
        <w:rPr>
          <w:b/>
          <w:bCs/>
        </w:rPr>
        <w:t xml:space="preserve">in one hierarchical structure</w:t>
      </w:r>
      <w:r>
        <w:t xml:space="preserve">.</w:t>
      </w:r>
    </w:p>
    <w:p>
      <w:pPr>
        <w:pStyle w:val="BodyText"/>
      </w:pPr>
      <w:r>
        <w:t xml:space="preserve">When an administrator placed a user in</w:t>
      </w:r>
      <w:r>
        <w:t xml:space="preserve"> </w:t>
      </w:r>
      <w:r>
        <w:rPr>
          <w:rStyle w:val="VerbatimChar"/>
        </w:rPr>
        <w:t xml:space="preserve">OU=IT,OU=Baltimore,OU=East,DC=contoso</w:t>
      </w:r>
      <w:r>
        <w:t xml:space="preserve">,</w:t>
      </w:r>
      <w:r>
        <w:t xml:space="preserve"> </w:t>
      </w:r>
      <w:r>
        <w:t xml:space="preserve">they were simultaneously:</w:t>
      </w:r>
    </w:p>
    <w:p>
      <w:pPr>
        <w:pStyle w:val="Compact"/>
        <w:numPr>
          <w:ilvl w:val="0"/>
          <w:numId w:val="1001"/>
        </w:numPr>
      </w:pPr>
      <w:r>
        <w:t xml:space="preserve">Saying</w:t>
      </w:r>
      <w:r>
        <w:t xml:space="preserve"> </w:t>
      </w:r>
      <w:r>
        <w:t xml:space="preserve">“this user is managed by the Baltimore IT delegated admins.”</w:t>
      </w:r>
    </w:p>
    <w:p>
      <w:pPr>
        <w:pStyle w:val="Compact"/>
        <w:numPr>
          <w:ilvl w:val="0"/>
          <w:numId w:val="1001"/>
        </w:numPr>
      </w:pPr>
      <w:r>
        <w:t xml:space="preserve">Inheriting every GPO that applied at East → Baltimore → IT.</w:t>
      </w:r>
    </w:p>
    <w:p>
      <w:pPr>
        <w:pStyle w:val="Compact"/>
        <w:numPr>
          <w:ilvl w:val="0"/>
          <w:numId w:val="1001"/>
        </w:numPr>
      </w:pPr>
      <w:r>
        <w:t xml:space="preserve">Scoping the user to security groups that used OU-based rules.</w:t>
      </w:r>
    </w:p>
    <w:p>
      <w:pPr>
        <w:pStyle w:val="Compact"/>
        <w:numPr>
          <w:ilvl w:val="0"/>
          <w:numId w:val="1001"/>
        </w:numPr>
      </w:pPr>
      <w:r>
        <w:t xml:space="preserve">Binding the user’s identity to the delegation authority of that branch.</w:t>
      </w:r>
    </w:p>
    <w:p>
      <w:pPr>
        <w:pStyle w:val="Compact"/>
        <w:numPr>
          <w:ilvl w:val="0"/>
          <w:numId w:val="1001"/>
        </w:numPr>
      </w:pPr>
      <w:r>
        <w:t xml:space="preserve">Stating an operational responsibility boundary for audit purposes.</w:t>
      </w:r>
    </w:p>
    <w:p>
      <w:pPr>
        <w:pStyle w:val="FirstParagraph"/>
      </w:pPr>
      <w:r>
        <w:t xml:space="preserve">Entra ID has none of this. It’s a flat directory. Dynamic groups,</w:t>
      </w:r>
      <w:r>
        <w:t xml:space="preserve"> </w:t>
      </w:r>
      <w:r>
        <w:t xml:space="preserve">Administrative Units, and Conditional Access are powerful tools — but</w:t>
      </w:r>
      <w:r>
        <w:t xml:space="preserve"> </w:t>
      </w:r>
      <w:r>
        <w:t xml:space="preserve">Microsoft did not provide a framework for how to use them together to</w:t>
      </w:r>
      <w:r>
        <w:t xml:space="preserve"> </w:t>
      </w:r>
      <w:r>
        <w:t xml:space="preserve">replace what the OU tree was doing.</w:t>
      </w:r>
    </w:p>
    <w:p>
      <w:pPr>
        <w:pStyle w:val="BodyText"/>
      </w:pPr>
      <w:r>
        <w:t xml:space="preserve">That framework is the</w:t>
      </w:r>
      <w:r>
        <w:t xml:space="preserve"> </w:t>
      </w:r>
      <w:r>
        <w:rPr>
          <w:b/>
          <w:bCs/>
        </w:rPr>
        <w:t xml:space="preserve">OrgTree canon</w:t>
      </w:r>
      <w:r>
        <w:t xml:space="preserve"> </w:t>
      </w:r>
      <w:r>
        <w:t xml:space="preserve">(</w:t>
      </w:r>
      <w:hyperlink r:id="rId17">
        <w:r>
          <w:rPr>
            <w:rStyle w:val="Hyperlink"/>
          </w:rPr>
          <w:t xml:space="preserve">Chapter 04</w:t>
        </w:r>
      </w:hyperlink>
      <w:r>
        <w:t xml:space="preserve">).</w:t>
      </w:r>
      <w:r>
        <w:t xml:space="preserve"> </w:t>
      </w:r>
      <w:r>
        <w:t xml:space="preserve">It encodes the OU hierarchy into a single user attribute (</w:t>
      </w:r>
      <w:r>
        <w:rPr>
          <w:rStyle w:val="VerbatimChar"/>
        </w:rPr>
        <w:t xml:space="preserve">OrgPath</w:t>
      </w:r>
      <w:r>
        <w:t xml:space="preserve">), uses</w:t>
      </w:r>
      <w:r>
        <w:t xml:space="preserve"> </w:t>
      </w:r>
      <w:r>
        <w:t xml:space="preserve">dynamic groups to materialise every subtree, uses Administrative Units to</w:t>
      </w:r>
      <w:r>
        <w:t xml:space="preserve"> </w:t>
      </w:r>
      <w:r>
        <w:t xml:space="preserve">scope delegation, and uses Conditional Access to enforce policy. The result</w:t>
      </w:r>
      <w:r>
        <w:t xml:space="preserve"> </w:t>
      </w:r>
      <w:r>
        <w:t xml:space="preserve">is governance that is equivalent to — and in several ways cleaner than —</w:t>
      </w:r>
      <w:r>
        <w:t xml:space="preserve"> </w:t>
      </w:r>
      <w:r>
        <w:t xml:space="preserve">what AD was providing.</w:t>
      </w:r>
    </w:p>
    <w:bookmarkEnd w:id="18"/>
    <w:bookmarkStart w:id="19" w:name="why-naïve-migrations-fail"/>
    <w:p>
      <w:pPr>
        <w:pStyle w:val="Heading2"/>
      </w:pPr>
      <w:r>
        <w:t xml:space="preserve">Why naïve migrations fail</w:t>
      </w:r>
    </w:p>
    <w:p>
      <w:pPr>
        <w:pStyle w:val="FirstParagraph"/>
      </w:pPr>
      <w:r>
        <w:t xml:space="preserve">Almost every</w:t>
      </w:r>
      <w:r>
        <w:t xml:space="preserve"> </w:t>
      </w:r>
      <w:r>
        <w:t xml:space="preserve">“AD to Entra ID”</w:t>
      </w:r>
      <w:r>
        <w:t xml:space="preserve"> </w:t>
      </w:r>
      <w:r>
        <w:t xml:space="preserve">modernization project the industry has run</w:t>
      </w:r>
      <w:r>
        <w:t xml:space="preserve"> </w:t>
      </w:r>
      <w:r>
        <w:t xml:space="preserve">has been scoped around users, groups, and mailboxes. That’s the visible</w:t>
      </w:r>
      <w:r>
        <w:t xml:space="preserve"> </w:t>
      </w:r>
      <w:r>
        <w:t xml:space="preserve">ten percent. The invisible ninety percent is the eleven categories above.</w:t>
      </w:r>
    </w:p>
    <w:p>
      <w:pPr>
        <w:pStyle w:val="BodyText"/>
      </w:pPr>
      <w:r>
        <w:t xml:space="preserve">A successful modernization has to: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Enumerate the hidden dependencies</w:t>
      </w:r>
      <w:r>
        <w:t xml:space="preserve"> </w:t>
      </w:r>
      <w:r>
        <w:t xml:space="preserve">before anything is retired.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Map each dependency to a modern target</w:t>
      </w:r>
      <w:r>
        <w:t xml:space="preserve"> </w:t>
      </w:r>
      <w:r>
        <w:t xml:space="preserve">— not always 1:1.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Preserve governance continuity</w:t>
      </w:r>
      <w:r>
        <w:t xml:space="preserve"> </w:t>
      </w:r>
      <w:r>
        <w:t xml:space="preserve">during the transition (no gaps</w:t>
      </w:r>
      <w:r>
        <w:t xml:space="preserve"> </w:t>
      </w:r>
      <w:r>
        <w:t xml:space="preserve">where nobody owns the delegation).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Deliver the transformed data</w:t>
      </w:r>
      <w:r>
        <w:t xml:space="preserve"> </w:t>
      </w:r>
      <w:r>
        <w:t xml:space="preserve">into the target surface via a</w:t>
      </w:r>
      <w:r>
        <w:t xml:space="preserve"> </w:t>
      </w:r>
      <w:r>
        <w:t xml:space="preserve">deterministic, governed pipeline — not a series of one-off admin</w:t>
      </w:r>
      <w:r>
        <w:t xml:space="preserve"> </w:t>
      </w:r>
      <w:r>
        <w:t xml:space="preserve">actions.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Detect drift</w:t>
      </w:r>
      <w:r>
        <w:t xml:space="preserve"> </w:t>
      </w:r>
      <w:r>
        <w:t xml:space="preserve">between what the plan said should exist and what</w:t>
      </w:r>
      <w:r>
        <w:t xml:space="preserve"> </w:t>
      </w:r>
      <w:r>
        <w:t xml:space="preserve">actually exists, continuously.</w:t>
      </w:r>
    </w:p>
    <w:p>
      <w:pPr>
        <w:pStyle w:val="FirstParagraph"/>
      </w:pPr>
      <w:r>
        <w:t xml:space="preserve">Agencies don’t fail at step 1 because they can’t enumerate. They fail</w:t>
      </w:r>
      <w:r>
        <w:t xml:space="preserve"> </w:t>
      </w:r>
      <w:r>
        <w:t xml:space="preserve">because no one tells them steps 1–5 exist as a discipline. They fail at</w:t>
      </w:r>
      <w:r>
        <w:t xml:space="preserve"> </w:t>
      </w:r>
      <w:r>
        <w:t xml:space="preserve">the conceptual level: the idea that the project is just users and</w:t>
      </w:r>
      <w:r>
        <w:t xml:space="preserve"> </w:t>
      </w:r>
      <w:r>
        <w:t xml:space="preserve">groups.</w:t>
      </w:r>
    </w:p>
    <w:bookmarkEnd w:id="19"/>
    <w:bookmarkStart w:id="21" w:name="what-uiao-is"/>
    <w:p>
      <w:pPr>
        <w:pStyle w:val="Heading2"/>
      </w:pPr>
      <w:r>
        <w:t xml:space="preserve">What UIAO is</w:t>
      </w:r>
    </w:p>
    <w:p>
      <w:pPr>
        <w:pStyle w:val="FirstParagraph"/>
      </w:pPr>
      <w:r>
        <w:t xml:space="preserve">UIAO — the Unified Identity and Access Orchestrator — is the framework</w:t>
      </w:r>
      <w:r>
        <w:t xml:space="preserve"> </w:t>
      </w:r>
      <w:r>
        <w:t xml:space="preserve">that handles all eleven categories as a single governed surface, with</w:t>
      </w:r>
      <w:r>
        <w:t xml:space="preserve"> </w:t>
      </w:r>
      <w:r>
        <w:t xml:space="preserve">one transformation engine, one canon, one evidentiary pipeline, and one</w:t>
      </w:r>
      <w:r>
        <w:t xml:space="preserve"> </w:t>
      </w:r>
      <w:r>
        <w:t xml:space="preserve">drift detector. Nothing in UIAO is a Microsoft tool substitute. Every</w:t>
      </w:r>
      <w:r>
        <w:t xml:space="preserve"> </w:t>
      </w:r>
      <w:r>
        <w:t xml:space="preserve">UIAO component sits</w:t>
      </w:r>
      <w:r>
        <w:t xml:space="preserve"> </w:t>
      </w:r>
      <w:r>
        <w:rPr>
          <w:i/>
          <w:iCs/>
        </w:rPr>
        <w:t xml:space="preserve">above</w:t>
      </w:r>
      <w:r>
        <w:t xml:space="preserve"> </w:t>
      </w:r>
      <w:r>
        <w:t xml:space="preserve">Microsoft’s (and third-party) tools and</w:t>
      </w:r>
      <w:r>
        <w:t xml:space="preserve"> </w:t>
      </w:r>
      <w:r>
        <w:t xml:space="preserve">orchestrates them into a coherent governance model.</w:t>
      </w:r>
    </w:p>
    <w:p>
      <w:pPr>
        <w:pStyle w:val="BodyText"/>
      </w:pPr>
      <w:r>
        <w:t xml:space="preserve">A single Windows Server 2025 host (documented in</w:t>
      </w:r>
      <w:r>
        <w:t xml:space="preserve"> </w:t>
      </w:r>
      <w:hyperlink r:id="rId20">
        <w:r>
          <w:rPr>
            <w:rStyle w:val="Hyperlink"/>
          </w:rPr>
          <w:t xml:space="preserve">Chapter 01</w:t>
        </w:r>
      </w:hyperlink>
      <w:r>
        <w:t xml:space="preserve">) runs: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Gitea</w:t>
      </w:r>
      <w:r>
        <w:t xml:space="preserve"> </w:t>
      </w:r>
      <w:r>
        <w:t xml:space="preserve">as the canonical source of governance truth (every plan, every</w:t>
      </w:r>
      <w:r>
        <w:t xml:space="preserve"> </w:t>
      </w:r>
      <w:r>
        <w:t xml:space="preserve">policy, every codebook entry lives there as a versioned artifact).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IIS</w:t>
      </w:r>
      <w:r>
        <w:t xml:space="preserve"> </w:t>
      </w:r>
      <w:r>
        <w:t xml:space="preserve">as the HTTPS reverse proxy and client-certificate terminator.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Kerberos + enterprise PKI</w:t>
      </w:r>
      <w:r>
        <w:t xml:space="preserve"> </w:t>
      </w:r>
      <w:r>
        <w:t xml:space="preserve">bridges that let the server talk to</w:t>
      </w:r>
      <w:r>
        <w:t xml:space="preserve"> </w:t>
      </w:r>
      <w:r>
        <w:t xml:space="preserve">the legacy AD forest it’s migrating away from.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PowerShell, Python, and API-integrator scripts</w:t>
      </w:r>
      <w:r>
        <w:t xml:space="preserve"> </w:t>
      </w:r>
      <w:r>
        <w:t xml:space="preserve">that read the</w:t>
      </w:r>
      <w:r>
        <w:t xml:space="preserve"> </w:t>
      </w:r>
      <w:r>
        <w:t xml:space="preserve">Client/Server estate, compute transformation plans, validate them</w:t>
      </w:r>
      <w:r>
        <w:t xml:space="preserve"> </w:t>
      </w:r>
      <w:r>
        <w:t xml:space="preserve">against the canon, and deliver them into the Hybrid-Cloud target surface.</w:t>
      </w:r>
    </w:p>
    <w:p>
      <w:pPr>
        <w:pStyle w:val="FirstParagraph"/>
      </w:pPr>
      <w:r>
        <w:t xml:space="preserve">The target surface is everything on the right side of the transformation</w:t>
      </w:r>
      <w:r>
        <w:t xml:space="preserve"> </w:t>
      </w:r>
      <w:r>
        <w:t xml:space="preserve">arc: Entra ID, Administrative Units, Intune, Azure Arc, IPAM, DNS, DHCP,</w:t>
      </w:r>
      <w:r>
        <w:t xml:space="preserve"> </w:t>
      </w:r>
      <w:r>
        <w:t xml:space="preserve">SASE, Zero Trust, MFA, Certificate-Based Authentication, and every</w:t>
      </w:r>
      <w:r>
        <w:t xml:space="preserve"> </w:t>
      </w:r>
      <w:r>
        <w:t xml:space="preserve">governed adapter underneath.</w:t>
      </w:r>
    </w:p>
    <w:bookmarkEnd w:id="21"/>
    <w:bookmarkStart w:id="22" w:name="what-this-series-covers"/>
    <w:p>
      <w:pPr>
        <w:pStyle w:val="Heading2"/>
      </w:pPr>
      <w:r>
        <w:t xml:space="preserve">What this series covers</w:t>
      </w:r>
    </w:p>
    <w:p>
      <w:pPr>
        <w:pStyle w:val="FirstParagraph"/>
      </w:pPr>
      <w:r>
        <w:t xml:space="preserve">The chapters that follow walk the full arc: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Chapter</w:t>
            </w:r>
          </w:p>
        </w:tc>
        <w:tc>
          <w:tcPr/>
          <w:p>
            <w:pPr>
              <w:pStyle w:val="Compact"/>
            </w:pPr>
            <w:r>
              <w:t xml:space="preserve">Covers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 Platform.</w:t>
            </w:r>
            <w:r>
              <w:t xml:space="preserve"> </w:t>
            </w:r>
            <w:r>
              <w:t xml:space="preserve">One WS2025 host. What runs on it and why.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Analyzing the legacy.</w:t>
            </w:r>
            <w:r>
              <w:t xml:space="preserve"> </w:t>
            </w:r>
            <w:r>
              <w:t xml:space="preserve">Forest discovery. GPO inventory. DNS/DHCP scraping. Kerberos SPN audit. ADCS analysis.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03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 engine.</w:t>
            </w:r>
            <w:r>
              <w:t xml:space="preserve"> </w:t>
            </w:r>
            <w:r>
              <w:t xml:space="preserve">How UIAO turns analysis into a plan and a plan into delivered state.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04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Identity.</w:t>
            </w:r>
            <w:r>
              <w:t xml:space="preserve"> </w:t>
            </w:r>
            <w:r>
              <w:t xml:space="preserve">OrgTree, OrgPath, dynamic groups, AUs. The OU-tree replacement.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05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Policy.</w:t>
            </w:r>
            <w:r>
              <w:t xml:space="preserve"> </w:t>
            </w:r>
            <w:r>
              <w:t xml:space="preserve">GPO retirement. Intune compliance. Conditional Access.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06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Services.</w:t>
            </w:r>
            <w:r>
              <w:t xml:space="preserve"> </w:t>
            </w:r>
            <w:r>
              <w:t xml:space="preserve">DNS + DHCP + IPAM in the Hybrid-Cloud model.</w:t>
            </w:r>
          </w:p>
        </w:tc>
      </w:tr>
      <w:tr>
        <w:tc>
          <w:tcPr/>
          <w:p>
            <w:pPr>
              <w:pStyle w:val="Compact"/>
            </w:pPr>
            <w:r>
              <w:t xml:space="preserve">07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Compute.</w:t>
            </w:r>
            <w:r>
              <w:t xml:space="preserve"> </w:t>
            </w:r>
            <w:r>
              <w:t xml:space="preserve">Device transformation. Domain-joined → Entra + Intune + Arc.</w:t>
            </w:r>
          </w:p>
        </w:tc>
      </w:tr>
      <w:tr>
        <w:tc>
          <w:tcPr/>
          <w:p>
            <w:pPr>
              <w:pStyle w:val="Compact"/>
            </w:pPr>
            <w:r>
              <w:t xml:space="preserve">08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Access plane.</w:t>
            </w:r>
            <w:r>
              <w:t xml:space="preserve"> </w:t>
            </w:r>
            <w:r>
              <w:t xml:space="preserve">MFA. Zero Trust. SASE. CBA.</w:t>
            </w:r>
          </w:p>
        </w:tc>
      </w:tr>
      <w:tr>
        <w:tc>
          <w:tcPr/>
          <w:p>
            <w:pPr>
              <w:pStyle w:val="Compact"/>
            </w:pPr>
            <w:r>
              <w:t xml:space="preserve">09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Roadmap.</w:t>
            </w:r>
            <w:r>
              <w:t xml:space="preserve"> </w:t>
            </w:r>
            <w:r>
              <w:t xml:space="preserve">Phased plan. Gates. Rollback. Cutover.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Leadership takeaway.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t xml:space="preserve">“instruments vs. orchestra”</w:t>
            </w:r>
            <w:r>
              <w:t xml:space="preserve"> </w:t>
            </w:r>
            <w:r>
              <w:t xml:space="preserve">framing.</w:t>
            </w:r>
          </w:p>
        </w:tc>
      </w:tr>
    </w:tbl>
    <w:bookmarkEnd w:id="22"/>
    <w:bookmarkStart w:id="23" w:name="the-bottom-line"/>
    <w:p>
      <w:pPr>
        <w:pStyle w:val="Heading2"/>
      </w:pPr>
      <w:r>
        <w:t xml:space="preserve">The bottom line</w:t>
      </w:r>
    </w:p>
    <w:p>
      <w:pPr>
        <w:pStyle w:val="FirstParagraph"/>
      </w:pPr>
      <w:r>
        <w:t xml:space="preserve">AD retirement is not a migration project. It is a</w:t>
      </w:r>
      <w:r>
        <w:t xml:space="preserve"> </w:t>
      </w:r>
      <w:r>
        <w:rPr>
          <w:b/>
          <w:bCs/>
        </w:rPr>
        <w:t xml:space="preserve">governance</w:t>
      </w:r>
      <w:r>
        <w:rPr>
          <w:b/>
          <w:bCs/>
        </w:rPr>
        <w:t xml:space="preserve"> </w:t>
      </w:r>
      <w:r>
        <w:rPr>
          <w:b/>
          <w:bCs/>
        </w:rPr>
        <w:t xml:space="preserve">transformation</w:t>
      </w:r>
      <w:r>
        <w:t xml:space="preserve">. The hard part isn’t the Graph API calls; it’s the</w:t>
      </w:r>
      <w:r>
        <w:t xml:space="preserve"> </w:t>
      </w:r>
      <w:r>
        <w:t xml:space="preserve">framework that decides what the target state looks like, how to prove</w:t>
      </w:r>
      <w:r>
        <w:t xml:space="preserve"> </w:t>
      </w:r>
      <w:r>
        <w:t xml:space="preserve">it’s right, and how to keep it right. UIAO is that framework, and this</w:t>
      </w:r>
      <w:r>
        <w:t xml:space="preserve"> </w:t>
      </w:r>
      <w:r>
        <w:t xml:space="preserve">series is how it works.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20">
        <w:r>
          <w:rPr>
            <w:rStyle w:val="Hyperlink"/>
          </w:rPr>
          <w:t xml:space="preserve">Chapter 01 — The UIAO Platform Server</w:t>
        </w:r>
      </w:hyperlink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20" Target="01-platform-foundation.html" TargetMode="External" /><Relationship Type="http://schemas.openxmlformats.org/officeDocument/2006/relationships/hyperlink" Id="rId17" Target="04-identity-transformation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01-platform-foundation.html" TargetMode="External" /><Relationship Type="http://schemas.openxmlformats.org/officeDocument/2006/relationships/hyperlink" Id="rId17" Target="04-identity-transformatio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00 — The Problem Nobody Talks About</dc:title>
  <dc:creator/>
  <cp:keywords/>
  <dcterms:created xsi:type="dcterms:W3CDTF">2026-05-06T19:27:42Z</dcterms:created>
  <dcterms:modified xsi:type="dcterms:W3CDTF">2026-05-06T19:27:42Z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Federal CIOs · CISOs · modernization program managers</vt:lpwstr>
  </property>
  <property fmtid="{D5CDD505-2E9C-101B-9397-08002B2CF9AE}" pid="4" name="biblio-config">
    <vt:lpwstr>True</vt:lpwstr>
  </property>
  <property fmtid="{D5CDD505-2E9C-101B-9397-08002B2CF9AE}" pid="5" name="canon-source">
    <vt:lpwstr>docs/modernization/directory-migration.qmd + MOD_001 Executive Summary</vt:lpwstr>
  </property>
  <property fmtid="{D5CDD505-2E9C-101B-9397-08002B2CF9AE}" pid="6" name="chapter">
    <vt:lpwstr>0</vt:lpwstr>
  </property>
  <property fmtid="{D5CDD505-2E9C-101B-9397-08002B2CF9AE}" pid="7" name="date">
    <vt:lpwstr>2026-04-24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client-server-to-hybrid-cloud</vt:lpwstr>
  </property>
  <property fmtid="{D5CDD505-2E9C-101B-9397-08002B2CF9AE}" pid="15" name="subtitle">
    <vt:lpwstr>Active Directory was never just an identity store. It was the implicit governance model.</vt:lpwstr>
  </property>
  <property fmtid="{D5CDD505-2E9C-101B-9397-08002B2CF9AE}" pid="16" name="toc-title">
    <vt:lpwstr>Table of contents</vt:lpwstr>
  </property>
</Properties>
</file>