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01 — The UIAO Platform Server</w:t>
      </w:r>
    </w:p>
    <w:p>
      <w:pPr>
        <w:pStyle w:val="Subtitle"/>
      </w:pPr>
      <w:r>
        <w:t xml:space="preserve">Windows Server 2025 + IIS + Gitea + Kerberos + enterprise PKI — the host that runs the transformation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2" w:name="chapter-01-the-uiao-platform-server"/>
    <w:p>
      <w:pPr>
        <w:pStyle w:val="Heading1"/>
      </w:pPr>
      <w:r>
        <w:t xml:space="preserve">Chapter 01 — The UIAO Platform Server</w:t>
      </w:r>
    </w:p>
    <w:p>
      <w:pPr>
        <w:pStyle w:val="FirstParagraph"/>
      </w:pPr>
      <w:r>
        <w:rPr>
          <w:i/>
          <w:iCs/>
        </w:rPr>
        <w:t xml:space="preserve">Windows Server 2025 + IIS + Gitea + Kerberos + enterprise PKI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Figure 1.1 — UIAO Platform Server: five roles on one Windows Server 2025 host</w:t>
            </w:r>
          </w:p>
        </w:tc>
      </w:tr>
    </w:tbl>
    <w:p>
      <w:pPr>
        <w:pStyle w:val="ImageCaption"/>
      </w:pPr>
      <w:r>
        <w:t xml:space="preserve">Figure 1.1 — UIAO Platform Server: five roles on one Windows Server 2025 host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architectural claim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Everything UIAO does — every analysis, every plan, every delivery, every</w:t>
            </w:r>
            <w:r>
              <w:t xml:space="preserve"> </w:t>
            </w:r>
            <w:r>
              <w:t xml:space="preserve">evidence artifact — runs on one Windows Server 2025 host. Not a cluster,</w:t>
            </w:r>
            <w:r>
              <w:t xml:space="preserve"> </w:t>
            </w:r>
            <w:r>
              <w:t xml:space="preserve">not a microservice mesh, not a cloud-native control plane. One host.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This is a deliberate, governed choice, not a simplification. This chapter</w:t>
            </w:r>
            <w:r>
              <w:t xml:space="preserve"> </w:t>
            </w:r>
            <w:r>
              <w:t xml:space="preserve">explains why.</w:t>
            </w:r>
          </w:p>
          <w:p/>
        </w:tc>
      </w:tr>
    </w:tbl>
    <w:bookmarkStart w:id="12" w:name="why-one-host"/>
    <w:p>
      <w:pPr>
        <w:pStyle w:val="Heading2"/>
      </w:pPr>
      <w:r>
        <w:t xml:space="preserve">Why one host</w:t>
      </w:r>
    </w:p>
    <w:p>
      <w:pPr>
        <w:pStyle w:val="FirstParagraph"/>
      </w:pPr>
      <w:r>
        <w:t xml:space="preserve">The UIAO platform server is a governance substrate, not an application.</w:t>
      </w:r>
      <w:r>
        <w:t xml:space="preserve"> </w:t>
      </w:r>
      <w:r>
        <w:t xml:space="preserve">Governance substrates have properties that application servers don’t: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Single source of truth.</w:t>
      </w:r>
      <w:r>
        <w:t xml:space="preserve"> </w:t>
      </w:r>
      <w:r>
        <w:t xml:space="preserve">There is exactly one Gitea repo that holds</w:t>
      </w:r>
      <w:r>
        <w:t xml:space="preserve"> </w:t>
      </w:r>
      <w:r>
        <w:t xml:space="preserve">the canon. Two hosts can’t both be authoritative; they’d diverge.</w:t>
      </w:r>
      <w:r>
        <w:t xml:space="preserve"> </w:t>
      </w:r>
      <w:r>
        <w:t xml:space="preserve">Replication is for disaster recovery, not active-active load-sharing.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Deterministic provenance.</w:t>
      </w:r>
      <w:r>
        <w:t xml:space="preserve"> </w:t>
      </w:r>
      <w:r>
        <w:t xml:space="preserve">Every plan, every delivery, every drift</w:t>
      </w:r>
      <w:r>
        <w:t xml:space="preserve"> </w:t>
      </w:r>
      <w:r>
        <w:t xml:space="preserve">report must be traceable to a commit on the canonical repo. A</w:t>
      </w:r>
      <w:r>
        <w:t xml:space="preserve"> </w:t>
      </w:r>
      <w:r>
        <w:t xml:space="preserve">distributed-by-default architecture dilutes provenance; a single-host</w:t>
      </w:r>
      <w:r>
        <w:t xml:space="preserve"> </w:t>
      </w:r>
      <w:r>
        <w:t xml:space="preserve">architecture concentrates it.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Bounded attack surface.</w:t>
      </w:r>
      <w:r>
        <w:t xml:space="preserve"> </w:t>
      </w:r>
      <w:r>
        <w:t xml:space="preserve">Zero-trust federal environments score a</w:t>
      </w:r>
      <w:r>
        <w:t xml:space="preserve"> </w:t>
      </w:r>
      <w:r>
        <w:t xml:space="preserve">single hardened Tier-0 host lower-risk than a fleet of loosely-coupled</w:t>
      </w:r>
      <w:r>
        <w:t xml:space="preserve"> </w:t>
      </w:r>
      <w:r>
        <w:t xml:space="preserve">services. The CIS baseline + AppLocker + WDAC story is cleaner on one</w:t>
      </w:r>
      <w:r>
        <w:t xml:space="preserve"> </w:t>
      </w:r>
      <w:r>
        <w:t xml:space="preserve">host.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Operational simplicity.</w:t>
      </w:r>
      <w:r>
        <w:t xml:space="preserve"> </w:t>
      </w:r>
      <w:r>
        <w:t xml:space="preserve">One host means one patch cadence, one</w:t>
      </w:r>
      <w:r>
        <w:t xml:space="preserve"> </w:t>
      </w:r>
      <w:r>
        <w:t xml:space="preserve">backup policy, one DR playbook, one set of Intune compliance rules,</w:t>
      </w:r>
      <w:r>
        <w:t xml:space="preserve"> </w:t>
      </w:r>
      <w:r>
        <w:t xml:space="preserve">one Arc enrollment, one OrgPath tag. Complexity scales badly in</w:t>
      </w:r>
      <w:r>
        <w:t xml:space="preserve"> </w:t>
      </w:r>
      <w:r>
        <w:t xml:space="preserve">governance systems because every extra moving part is an extra source</w:t>
      </w:r>
      <w:r>
        <w:t xml:space="preserve"> </w:t>
      </w:r>
      <w:r>
        <w:t xml:space="preserve">of drift.</w:t>
      </w:r>
    </w:p>
    <w:p>
      <w:pPr>
        <w:pStyle w:val="FirstParagraph"/>
      </w:pPr>
      <w:r>
        <w:t xml:space="preserve">Horizontal scale, when it becomes necessary, is handled at the target</w:t>
      </w:r>
      <w:r>
        <w:t xml:space="preserve"> </w:t>
      </w:r>
      <w:r>
        <w:t xml:space="preserve">surface layer — Entra, Intune, Arc, and vendor APIs scale natively — not</w:t>
      </w:r>
      <w:r>
        <w:t xml:space="preserve"> </w:t>
      </w:r>
      <w:r>
        <w:t xml:space="preserve">by fanning out the governance substrate.</w:t>
      </w:r>
    </w:p>
    <w:bookmarkEnd w:id="12"/>
    <w:bookmarkStart w:id="22" w:name="the-five-roles"/>
    <w:p>
      <w:pPr>
        <w:pStyle w:val="Heading2"/>
      </w:pPr>
      <w:r>
        <w:t xml:space="preserve">The five roles</w:t>
      </w:r>
    </w:p>
    <w:p>
      <w:pPr>
        <w:pStyle w:val="CaptionedFigure"/>
      </w:pPr>
      <w:r>
        <w:drawing>
          <wp:inline>
            <wp:extent cx="3810000" cy="2540000"/>
            <wp:effectExtent b="0" l="0" r="0" t="0"/>
            <wp:docPr descr="Layered platform architecture diagram showing the UIAO substrate stack from…" title="" id="14" name="Picture"/>
            <a:graphic>
              <a:graphicData uri="http://schemas.openxmlformats.org/drawingml/2006/picture">
                <pic:pic>
                  <pic:nvPicPr>
                    <pic:cNvPr descr="images/01-platform-foundation-image-01-layered-platform-architecture-di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Layered platform architecture diagram showing the UIAO substrate stack from…</w:t>
      </w:r>
    </w:p>
    <w:p>
      <w:pPr>
        <w:pStyle w:val="BodyText"/>
      </w:pPr>
      <w:r>
        <w:t xml:space="preserve">A single host plays five distinct roles. Each maps to a specific</w:t>
      </w:r>
      <w:r>
        <w:t xml:space="preserve"> </w:t>
      </w:r>
      <w:r>
        <w:t xml:space="preserve">capability the transformation engine needs.</w:t>
      </w:r>
    </w:p>
    <w:bookmarkStart w:id="16" w:name="canonical-source-of-truth"/>
    <w:p>
      <w:pPr>
        <w:pStyle w:val="Heading3"/>
      </w:pPr>
      <w:r>
        <w:t xml:space="preserve">1. Canonical source of truth</w:t>
      </w:r>
    </w:p>
    <w:p>
      <w:pPr>
        <w:pStyle w:val="FirstParagraph"/>
      </w:pPr>
      <w:r>
        <w:rPr>
          <w:b/>
          <w:bCs/>
        </w:rPr>
        <w:t xml:space="preserve">Gitea.</w:t>
      </w:r>
      <w:r>
        <w:t xml:space="preserve"> </w:t>
      </w:r>
      <w:r>
        <w:t xml:space="preserve">Every governance artifact — OrgPath codebook entries, dynamic</w:t>
      </w:r>
      <w:r>
        <w:t xml:space="preserve"> </w:t>
      </w:r>
      <w:r>
        <w:t xml:space="preserve">group rules, delegation matrices, transformation plans, policy</w:t>
      </w:r>
      <w:r>
        <w:t xml:space="preserve"> </w:t>
      </w:r>
      <w:r>
        <w:t xml:space="preserve">libraries, adapter manifests, drift reports — lives as a versioned file</w:t>
      </w:r>
      <w:r>
        <w:t xml:space="preserve"> </w:t>
      </w:r>
      <w:r>
        <w:t xml:space="preserve">in the Gitea repo. Nothing is an admin-portal click. Nothing is a</w:t>
      </w:r>
      <w:r>
        <w:t xml:space="preserve"> </w:t>
      </w:r>
      <w:r>
        <w:t xml:space="preserve">verbal assurance. Every change is a commit; every commit is signed;</w:t>
      </w:r>
      <w:r>
        <w:t xml:space="preserve"> </w:t>
      </w:r>
      <w:r>
        <w:t xml:space="preserve">every commit is attributable.</w:t>
      </w:r>
    </w:p>
    <w:p>
      <w:pPr>
        <w:pStyle w:val="BodyText"/>
      </w:pPr>
      <w:r>
        <w:t xml:space="preserve">Gitea is behind IIS (never exposed directly), anchored to enterprise</w:t>
      </w:r>
      <w:r>
        <w:t xml:space="preserve"> </w:t>
      </w:r>
      <w:r>
        <w:t xml:space="preserve">PKI for client-cert + HTTPS, and replicated via nightly backup to</w:t>
      </w:r>
      <w:r>
        <w:t xml:space="preserve"> </w:t>
      </w:r>
      <w:r>
        <w:t xml:space="preserve">Azure Blob. Active-passive replica failover is manual-triggered with an</w:t>
      </w:r>
      <w:r>
        <w:t xml:space="preserve"> </w:t>
      </w:r>
      <w:r>
        <w:t xml:space="preserve">explicit RPO/RTO target.</w:t>
      </w:r>
    </w:p>
    <w:bookmarkEnd w:id="16"/>
    <w:bookmarkStart w:id="18" w:name="X9d071b32efad26ac5896c1669d3bed628df40f5"/>
    <w:p>
      <w:pPr>
        <w:pStyle w:val="Heading3"/>
      </w:pPr>
      <w:r>
        <w:t xml:space="preserve">2. HTTPS reverse proxy and client-cert terminator</w:t>
      </w:r>
    </w:p>
    <w:p>
      <w:pPr>
        <w:pStyle w:val="FirstParagraph"/>
      </w:pPr>
      <w:r>
        <w:rPr>
          <w:b/>
          <w:bCs/>
        </w:rPr>
        <w:t xml:space="preserve">IIS + URL Rewrite + ARR.</w:t>
      </w:r>
      <w:r>
        <w:t xml:space="preserve"> </w:t>
      </w:r>
      <w:r>
        <w:t xml:space="preserve">Every inbound request lands at IIS. IIS</w:t>
      </w:r>
      <w:r>
        <w:t xml:space="preserve"> </w:t>
      </w:r>
      <w:r>
        <w:t xml:space="preserve">does TLS termination, client-certificate mTLS (for admin access),</w:t>
      </w:r>
      <w:r>
        <w:t xml:space="preserve"> </w:t>
      </w:r>
      <w:r>
        <w:t xml:space="preserve">HSTS, HTTP/2, and forwards to Gitea on loopback port 3000. IIS is</w:t>
      </w:r>
      <w:r>
        <w:t xml:space="preserve"> </w:t>
      </w:r>
      <w:r>
        <w:t xml:space="preserve">also the AD LDAPS-aware auth landing point for Gitea’s</w:t>
      </w:r>
      <w:r>
        <w:t xml:space="preserve"> </w:t>
      </w:r>
      <w:r>
        <w:rPr>
          <w:rStyle w:val="VerbatimChar"/>
        </w:rPr>
        <w:t xml:space="preserve">source-config</w:t>
      </w:r>
      <w:r>
        <w:t xml:space="preserve"> </w:t>
      </w:r>
      <w:r>
        <w:t xml:space="preserve">lookups.</w:t>
      </w:r>
    </w:p>
    <w:p>
      <w:pPr>
        <w:pStyle w:val="BodyText"/>
      </w:pPr>
      <w:r>
        <w:t xml:space="preserve">This is the architecture endorsed by</w:t>
      </w:r>
      <w:r>
        <w:t xml:space="preserve"> </w:t>
      </w:r>
      <w:hyperlink r:id="rId17">
        <w:r>
          <w:rPr>
            <w:rStyle w:val="Hyperlink"/>
          </w:rPr>
          <w:t xml:space="preserve">ADR-001</w:t>
        </w:r>
      </w:hyperlink>
      <w:r>
        <w:t xml:space="preserve"> </w:t>
      </w:r>
      <w:r>
        <w:t xml:space="preserve">—</w:t>
      </w:r>
      <w:r>
        <w:t xml:space="preserve"> </w:t>
      </w:r>
      <w:r>
        <w:t xml:space="preserve">Gitea behind IIS reverse proxy. Option A (IIS +</w:t>
      </w:r>
      <w:r>
        <w:t xml:space="preserve"> </w:t>
      </w:r>
      <w:r>
        <w:rPr>
          <w:rStyle w:val="VerbatimChar"/>
        </w:rPr>
        <w:t xml:space="preserve">git-http-backend</w:t>
      </w:r>
      <w:r>
        <w:t xml:space="preserve"> </w:t>
      </w:r>
      <w:r>
        <w:t xml:space="preserve">alone) was evaluated and rejected on auth integration + operational</w:t>
      </w:r>
      <w:r>
        <w:t xml:space="preserve"> </w:t>
      </w:r>
      <w:r>
        <w:t xml:space="preserve">complexity grounds.</w:t>
      </w:r>
    </w:p>
    <w:bookmarkEnd w:id="18"/>
    <w:bookmarkStart w:id="19" w:name="legacy-to-modern-auth-bridge"/>
    <w:p>
      <w:pPr>
        <w:pStyle w:val="Heading3"/>
      </w:pPr>
      <w:r>
        <w:t xml:space="preserve">3. Legacy-to-modern auth bridge</w:t>
      </w:r>
    </w:p>
    <w:p>
      <w:pPr>
        <w:pStyle w:val="FirstParagraph"/>
      </w:pPr>
      <w:r>
        <w:rPr>
          <w:b/>
          <w:bCs/>
        </w:rPr>
        <w:t xml:space="preserve">Kerberos + enterprise PKI.</w:t>
      </w:r>
      <w:r>
        <w:t xml:space="preserve"> </w:t>
      </w:r>
      <w:r>
        <w:t xml:space="preserve">The platform server holds simultaneous</w:t>
      </w:r>
      <w:r>
        <w:t xml:space="preserve"> </w:t>
      </w:r>
      <w:r>
        <w:t xml:space="preserve">memberships:</w:t>
      </w:r>
    </w:p>
    <w:p>
      <w:pPr>
        <w:pStyle w:val="Compact"/>
        <w:numPr>
          <w:ilvl w:val="0"/>
          <w:numId w:val="1002"/>
        </w:numPr>
      </w:pPr>
      <w:r>
        <w:t xml:space="preserve">It’s</w:t>
      </w:r>
      <w:r>
        <w:t xml:space="preserve"> </w:t>
      </w:r>
      <w:r>
        <w:rPr>
          <w:b/>
          <w:bCs/>
        </w:rPr>
        <w:t xml:space="preserve">domain-joined</w:t>
      </w:r>
      <w:r>
        <w:t xml:space="preserve"> </w:t>
      </w:r>
      <w:r>
        <w:t xml:space="preserve">to the legacy AD forest (for Kerberos-anchored</w:t>
      </w:r>
      <w:r>
        <w:t xml:space="preserve"> </w:t>
      </w:r>
      <w:r>
        <w:t xml:space="preserve">reads of the forest, GPOs, DNS zones, and ADCS).</w:t>
      </w:r>
    </w:p>
    <w:p>
      <w:pPr>
        <w:pStyle w:val="Compact"/>
        <w:numPr>
          <w:ilvl w:val="0"/>
          <w:numId w:val="1002"/>
        </w:numPr>
      </w:pPr>
      <w:r>
        <w:t xml:space="preserve">It’s</w:t>
      </w:r>
      <w:r>
        <w:t xml:space="preserve"> </w:t>
      </w:r>
      <w:r>
        <w:rPr>
          <w:b/>
          <w:bCs/>
        </w:rPr>
        <w:t xml:space="preserve">Entra-registered</w:t>
      </w:r>
      <w:r>
        <w:t xml:space="preserve"> </w:t>
      </w:r>
      <w:r>
        <w:t xml:space="preserve">(for OAuth2/OIDC inbound auth and Graph</w:t>
      </w:r>
      <w:r>
        <w:t xml:space="preserve"> </w:t>
      </w:r>
      <w:r>
        <w:t xml:space="preserve">API outbound calls).</w:t>
      </w:r>
    </w:p>
    <w:p>
      <w:pPr>
        <w:pStyle w:val="Compact"/>
        <w:numPr>
          <w:ilvl w:val="0"/>
          <w:numId w:val="1002"/>
        </w:numPr>
      </w:pPr>
      <w:r>
        <w:t xml:space="preserve">It holds an</w:t>
      </w:r>
      <w:r>
        <w:t xml:space="preserve"> </w:t>
      </w:r>
      <w:r>
        <w:rPr>
          <w:b/>
          <w:bCs/>
        </w:rPr>
        <w:t xml:space="preserve">enterprise-CA-issued server certificate</w:t>
      </w:r>
      <w:r>
        <w:t xml:space="preserve"> </w:t>
      </w:r>
      <w:r>
        <w:t xml:space="preserve">for IIS TLS</w:t>
      </w:r>
      <w:r>
        <w:t xml:space="preserve"> </w:t>
      </w:r>
      <w:r>
        <w:t xml:space="preserve">and a</w:t>
      </w:r>
      <w:r>
        <w:t xml:space="preserve"> </w:t>
      </w:r>
      <w:r>
        <w:rPr>
          <w:b/>
          <w:bCs/>
        </w:rPr>
        <w:t xml:space="preserve">client certificate</w:t>
      </w:r>
      <w:r>
        <w:t xml:space="preserve"> </w:t>
      </w:r>
      <w:r>
        <w:t xml:space="preserve">for Arc + Intune enrollment.</w:t>
      </w:r>
    </w:p>
    <w:p>
      <w:pPr>
        <w:pStyle w:val="FirstParagraph"/>
      </w:pPr>
      <w:r>
        <w:t xml:space="preserve">The bridges are not redundant. The AD side is read-only by policy (the</w:t>
      </w:r>
      <w:r>
        <w:t xml:space="preserve"> </w:t>
      </w:r>
      <w:r>
        <w:rPr>
          <w:rStyle w:val="VerbatimChar"/>
        </w:rPr>
        <w:t xml:space="preserve">UIAOADAssessment</w:t>
      </w:r>
      <w:r>
        <w:t xml:space="preserve"> </w:t>
      </w:r>
      <w:r>
        <w:t xml:space="preserve">PowerShell module runs with a least-privilege</w:t>
      </w:r>
      <w:r>
        <w:t xml:space="preserve"> </w:t>
      </w:r>
      <w:r>
        <w:t xml:space="preserve">account that has only the forest-reader rights it needs). The Entra</w:t>
      </w:r>
      <w:r>
        <w:t xml:space="preserve"> </w:t>
      </w:r>
      <w:r>
        <w:t xml:space="preserve">side is read-write (the transformation engine’s plans land there).</w:t>
      </w:r>
    </w:p>
    <w:bookmarkEnd w:id="19"/>
    <w:bookmarkStart w:id="20" w:name="transformation-engine-host"/>
    <w:p>
      <w:pPr>
        <w:pStyle w:val="Heading3"/>
      </w:pPr>
      <w:r>
        <w:t xml:space="preserve">4. Transformation engine host</w:t>
      </w:r>
    </w:p>
    <w:p>
      <w:pPr>
        <w:pStyle w:val="FirstParagraph"/>
      </w:pPr>
      <w:r>
        <w:rPr>
          <w:b/>
          <w:bCs/>
        </w:rPr>
        <w:t xml:space="preserve">PowerShell + Python + API integrator layer.</w:t>
      </w:r>
      <w:r>
        <w:t xml:space="preserve"> </w:t>
      </w:r>
      <w:r>
        <w:t xml:space="preserve">This is where</w:t>
      </w:r>
      <w:r>
        <w:t xml:space="preserve"> </w:t>
      </w:r>
      <w:r>
        <w:t xml:space="preserve">assessment, planning, and delivery actually happen.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PowerShell</w:t>
      </w:r>
      <w:r>
        <w:t xml:space="preserve"> </w:t>
      </w:r>
      <w:r>
        <w:t xml:space="preserve">(7.4+) handles AD-side reads (ActiveDirectory,</w:t>
      </w:r>
      <w:r>
        <w:t xml:space="preserve"> </w:t>
      </w:r>
      <w:r>
        <w:t xml:space="preserve">GroupPolicy, DnsServer, DhcpServer modules), Gitea API calls,</w:t>
      </w:r>
      <w:r>
        <w:t xml:space="preserve"> </w:t>
      </w:r>
      <w:r>
        <w:t xml:space="preserve">local-file provenance writes, and the Pester test harness.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Python</w:t>
      </w:r>
      <w:r>
        <w:t xml:space="preserve"> </w:t>
      </w:r>
      <w:r>
        <w:t xml:space="preserve">(3.12+) handles graph analysis (networkx for OU trees,</w:t>
      </w:r>
      <w:r>
        <w:t xml:space="preserve"> </w:t>
      </w:r>
      <w:r>
        <w:t xml:space="preserve">dependency graphs), OSCAL authoring, schema validation (MOD_H</w:t>
      </w:r>
      <w:r>
        <w:t xml:space="preserve"> </w:t>
      </w:r>
      <w:r>
        <w:t xml:space="preserve">JSON schema), and anything that benefits from a richer type</w:t>
      </w:r>
      <w:r>
        <w:t xml:space="preserve"> </w:t>
      </w:r>
      <w:r>
        <w:t xml:space="preserve">system or library ecosystem than PowerShell provides.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API integrators</w:t>
      </w:r>
      <w:r>
        <w:t xml:space="preserve"> </w:t>
      </w:r>
      <w:r>
        <w:t xml:space="preserve">wrap vendor APIs — Graph, ARM, Intune</w:t>
      </w:r>
      <w:r>
        <w:t xml:space="preserve"> </w:t>
      </w:r>
      <w:r>
        <w:t xml:space="preserve">management APIs, Infoblox WAPI, ServiceNow REST, CyberArk REST,</w:t>
      </w:r>
      <w:r>
        <w:t xml:space="preserve"> </w:t>
      </w:r>
      <w:r>
        <w:t xml:space="preserve">SCuBA/ScubaGear output ingestion — behind uniform contracts</w:t>
      </w:r>
      <w:r>
        <w:t xml:space="preserve"> </w:t>
      </w:r>
      <w:r>
        <w:t xml:space="preserve">defined in the DM_* adapter specs.</w:t>
      </w:r>
    </w:p>
    <w:p>
      <w:pPr>
        <w:pStyle w:val="FirstParagraph"/>
      </w:pPr>
      <w:r>
        <w:t xml:space="preserve">Both engines are governed: every script is in Gitea; every run</w:t>
      </w:r>
      <w:r>
        <w:t xml:space="preserve"> </w:t>
      </w:r>
      <w:r>
        <w:t xml:space="preserve">produces a signed, provenanced log entry; every API call is logged</w:t>
      </w:r>
      <w:r>
        <w:t xml:space="preserve"> </w:t>
      </w:r>
      <w:r>
        <w:t xml:space="preserve">with correlation IDs that tie back to a plan + commit.</w:t>
      </w:r>
    </w:p>
    <w:bookmarkEnd w:id="20"/>
    <w:bookmarkStart w:id="21" w:name="adapter-dispatcher"/>
    <w:p>
      <w:pPr>
        <w:pStyle w:val="Heading3"/>
      </w:pPr>
      <w:r>
        <w:t xml:space="preserve">5. Adapter dispatcher</w:t>
      </w:r>
    </w:p>
    <w:p>
      <w:pPr>
        <w:pStyle w:val="FirstParagraph"/>
      </w:pPr>
      <w:r>
        <w:rPr>
          <w:b/>
          <w:bCs/>
        </w:rPr>
        <w:t xml:space="preserve">DM_* and MOD_I glue.</w:t>
      </w:r>
      <w:r>
        <w:t xml:space="preserve"> </w:t>
      </w:r>
      <w:r>
        <w:t xml:space="preserve">When the transformation engine needs to touch</w:t>
      </w:r>
      <w:r>
        <w:t xml:space="preserve"> </w:t>
      </w:r>
      <w:r>
        <w:t xml:space="preserve">a specific AD-dependency category (PKI, RADIUS, LDAP, DHCP, etc.), it</w:t>
      </w:r>
      <w:r>
        <w:t xml:space="preserve"> </w:t>
      </w:r>
      <w:r>
        <w:t xml:space="preserve">dispatches through the DM_* adapter interface. Each adapter</w:t>
      </w:r>
      <w:r>
        <w:t xml:space="preserve"> </w:t>
      </w:r>
      <w:r>
        <w:t xml:space="preserve">implementation (Infoblox, ADCS, Entrust, Cisco ISE, etc.) plugs in</w:t>
      </w:r>
      <w:r>
        <w:t xml:space="preserve"> </w:t>
      </w:r>
      <w:r>
        <w:t xml:space="preserve">behind the adapter interface; the engine never hard-codes vendor</w:t>
      </w:r>
      <w:r>
        <w:t xml:space="preserve"> </w:t>
      </w:r>
      <w:r>
        <w:t xml:space="preserve">specifics.</w:t>
      </w:r>
    </w:p>
    <w:p>
      <w:pPr>
        <w:pStyle w:val="BodyText"/>
      </w:pPr>
      <w:r>
        <w:t xml:space="preserve">The adapter dispatcher is also how UIAO stays vendor-pluggable. A new</w:t>
      </w:r>
      <w:r>
        <w:t xml:space="preserve"> </w:t>
      </w:r>
      <w:r>
        <w:t xml:space="preserve">IPAM vendor slots into DM_010 by implementing the adapter contract —</w:t>
      </w:r>
      <w:r>
        <w:t xml:space="preserve"> </w:t>
      </w:r>
      <w:r>
        <w:t xml:space="preserve">no transformation-engine changes required.</w:t>
      </w:r>
    </w:p>
    <w:bookmarkEnd w:id="21"/>
    <w:bookmarkEnd w:id="22"/>
    <w:bookmarkStart w:id="23" w:name="the-two-brain-split"/>
    <w:p>
      <w:pPr>
        <w:pStyle w:val="Heading2"/>
      </w:pPr>
      <w:r>
        <w:t xml:space="preserve">The Two-Brain split</w:t>
      </w:r>
    </w:p>
    <w:p>
      <w:pPr>
        <w:pStyle w:val="FirstParagraph"/>
      </w:pPr>
      <w:r>
        <w:t xml:space="preserve">A critical architectural principle:</w:t>
      </w:r>
      <w:r>
        <w:t xml:space="preserve"> </w:t>
      </w:r>
      <w:r>
        <w:rPr>
          <w:b/>
          <w:bCs/>
        </w:rPr>
        <w:t xml:space="preserve">governance and execution never</w:t>
      </w:r>
      <w:r>
        <w:rPr>
          <w:b/>
          <w:bCs/>
        </w:rPr>
        <w:t xml:space="preserve"> </w:t>
      </w:r>
      <w:r>
        <w:rPr>
          <w:b/>
          <w:bCs/>
        </w:rPr>
        <w:t xml:space="preserve">co-mingle on the platform server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Copilot (governance brain)</w:t>
      </w:r>
      <w:r>
        <w:t xml:space="preserve"> </w:t>
      </w:r>
      <w:r>
        <w:t xml:space="preserve">— the review + authorization layer.</w:t>
      </w:r>
      <w:r>
        <w:t xml:space="preserve"> </w:t>
      </w:r>
      <w:r>
        <w:t xml:space="preserve">Canon validates plans, signs commits, enforces boundary rules,</w:t>
      </w:r>
      <w:r>
        <w:t xml:space="preserve"> </w:t>
      </w:r>
      <w:r>
        <w:t xml:space="preserve">writes audit entries. It 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touch the target surface</w:t>
      </w:r>
      <w:r>
        <w:t xml:space="preserve"> </w:t>
      </w:r>
      <w:r>
        <w:t xml:space="preserve">directly.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Execution Substrate (execution brain)</w:t>
      </w:r>
      <w:r>
        <w:t xml:space="preserve"> </w:t>
      </w:r>
      <w:r>
        <w:t xml:space="preserve">— the delivery layer. It</w:t>
      </w:r>
      <w:r>
        <w:t xml:space="preserve"> </w:t>
      </w:r>
      <w:r>
        <w:t xml:space="preserve">takes an authorized plan, calls the adapter APIs, and writes back a</w:t>
      </w:r>
      <w:r>
        <w:t xml:space="preserve"> </w:t>
      </w:r>
      <w:r>
        <w:t xml:space="preserve">structured result. It 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decide what to do; it executes</w:t>
      </w:r>
      <w:r>
        <w:t xml:space="preserve"> </w:t>
      </w:r>
      <w:r>
        <w:t xml:space="preserve">what the governance brain has already decided.</w:t>
      </w:r>
    </w:p>
    <w:p>
      <w:pPr>
        <w:pStyle w:val="FirstParagraph"/>
      </w:pPr>
      <w:r>
        <w:t xml:space="preserve">This split is documented canonically as</w:t>
      </w:r>
      <w:r>
        <w:t xml:space="preserve"> </w:t>
      </w:r>
      <w:r>
        <w:rPr>
          <w:b/>
          <w:bCs/>
        </w:rPr>
        <w:t xml:space="preserve">ADR-002 — Two-Brain</w:t>
      </w:r>
      <w:r>
        <w:rPr>
          <w:b/>
          <w:bCs/>
        </w:rPr>
        <w:t xml:space="preserve"> </w:t>
      </w:r>
      <w:r>
        <w:rPr>
          <w:b/>
          <w:bCs/>
        </w:rPr>
        <w:t xml:space="preserve">Execution</w:t>
      </w:r>
      <w:r>
        <w:t xml:space="preserve"> </w:t>
      </w:r>
      <w:r>
        <w:t xml:space="preserve">(to be authored). On the platform server, it manifests as</w:t>
      </w:r>
      <w:r>
        <w:t xml:space="preserve"> </w:t>
      </w:r>
      <w:r>
        <w:t xml:space="preserve">two separate service accounts, two separate credential stores, two</w:t>
      </w:r>
      <w:r>
        <w:t xml:space="preserve"> </w:t>
      </w:r>
      <w:r>
        <w:t xml:space="preserve">separate log streams. Deleting either brain’s access stops the system</w:t>
      </w:r>
      <w:r>
        <w:t xml:space="preserve"> </w:t>
      </w:r>
      <w:r>
        <w:t xml:space="preserve">in a safe state; it doesn’t leave the other brain able to make</w:t>
      </w:r>
      <w:r>
        <w:t xml:space="preserve"> </w:t>
      </w:r>
      <w:r>
        <w:t xml:space="preserve">decisions it shouldn’t.</w:t>
      </w:r>
    </w:p>
    <w:p>
      <w:pPr>
        <w:pStyle w:val="BodyText"/>
      </w:pPr>
      <w:r>
        <w:t xml:space="preserve">The reason: a brain that both decides and acts is a brain that can</w:t>
      </w:r>
      <w:r>
        <w:t xml:space="preserve"> </w:t>
      </w:r>
      <w:r>
        <w:t xml:space="preserve">cover its tracks. Separating them is how we make every change</w:t>
      </w:r>
      <w:r>
        <w:t xml:space="preserve"> </w:t>
      </w:r>
      <w:r>
        <w:t xml:space="preserve">auditable, reversible, and governed.</w:t>
      </w:r>
    </w:p>
    <w:bookmarkEnd w:id="23"/>
    <w:bookmarkStart w:id="24" w:name="integration-surface-map"/>
    <w:p>
      <w:pPr>
        <w:pStyle w:val="Heading2"/>
      </w:pPr>
      <w:r>
        <w:t xml:space="preserve">Integration surface map</w:t>
      </w:r>
    </w:p>
    <w:p>
      <w:pPr>
        <w:pStyle w:val="FirstParagraph"/>
      </w:pPr>
      <w:r>
        <w:t xml:space="preserve">The platform server has clearly-bounded integration points. Each is</w:t>
      </w:r>
      <w:r>
        <w:t xml:space="preserve"> </w:t>
      </w:r>
      <w:r>
        <w:t xml:space="preserve">governed by an adapter spec and a validation suite.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Integration</w:t>
            </w:r>
          </w:p>
        </w:tc>
        <w:tc>
          <w:tcPr/>
          <w:p>
            <w:pPr>
              <w:pStyle w:val="Compact"/>
            </w:pPr>
            <w:r>
              <w:t xml:space="preserve">Direction</w:t>
            </w:r>
          </w:p>
        </w:tc>
        <w:tc>
          <w:tcPr/>
          <w:p>
            <w:pPr>
              <w:pStyle w:val="Compact"/>
            </w:pPr>
            <w:r>
              <w:t xml:space="preserve">Adapter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 Forest (legacy)</w:t>
            </w:r>
          </w:p>
        </w:tc>
        <w:tc>
          <w:tcPr/>
          <w:p>
            <w:pPr>
              <w:pStyle w:val="Compact"/>
            </w:pPr>
            <w:r>
              <w:t xml:space="preserve">Read-only</w:t>
            </w:r>
          </w:p>
        </w:tc>
        <w:tc>
          <w:tcPr/>
          <w:p>
            <w:pPr>
              <w:pStyle w:val="Compact"/>
            </w:pPr>
            <w:r>
              <w:t xml:space="preserve">MOD_I + UIAOADAssessment</w:t>
            </w:r>
          </w:p>
        </w:tc>
        <w:tc>
          <w:tcPr/>
          <w:p>
            <w:pPr>
              <w:pStyle w:val="Compact"/>
            </w:pPr>
            <w:r>
              <w:t xml:space="preserve">Forest/domain/OU discovery, GPO inventory, DNS/DHCP read, Kerberos SPN audit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ADCS (legacy PKI)</w:t>
            </w:r>
          </w:p>
        </w:tc>
        <w:tc>
          <w:tcPr/>
          <w:p>
            <w:pPr>
              <w:pStyle w:val="Compact"/>
            </w:pPr>
            <w:r>
              <w:t xml:space="preserve">Read-only</w:t>
            </w:r>
          </w:p>
        </w:tc>
        <w:tc>
          <w:tcPr/>
          <w:p>
            <w:pPr>
              <w:pStyle w:val="Compact"/>
            </w:pPr>
            <w:r>
              <w:t xml:space="preserve">DM_020</w:t>
            </w:r>
          </w:p>
        </w:tc>
        <w:tc>
          <w:tcPr/>
          <w:p>
            <w:pPr>
              <w:pStyle w:val="Compact"/>
            </w:pPr>
            <w:r>
              <w:t xml:space="preserve">Template analysis, ESC1-8 vulnerability check, certificate inventory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Entra ID</w:t>
            </w:r>
          </w:p>
        </w:tc>
        <w:tc>
          <w:tcPr/>
          <w:p>
            <w:pPr>
              <w:pStyle w:val="Compact"/>
            </w:pPr>
            <w:r>
              <w:t xml:space="preserve">Read-write</w:t>
            </w:r>
          </w:p>
        </w:tc>
        <w:tc>
          <w:tcPr/>
          <w:p>
            <w:pPr>
              <w:pStyle w:val="Compact"/>
            </w:pPr>
            <w:r>
              <w:t xml:space="preserve">adapter-specs/entra-id</w:t>
            </w:r>
          </w:p>
        </w:tc>
        <w:tc>
          <w:tcPr/>
          <w:p>
            <w:pPr>
              <w:pStyle w:val="Compact"/>
            </w:pPr>
            <w:r>
              <w:t xml:space="preserve">User/group/device/AU/policy provisioning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Intune</w:t>
            </w:r>
          </w:p>
        </w:tc>
        <w:tc>
          <w:tcPr/>
          <w:p>
            <w:pPr>
              <w:pStyle w:val="Compact"/>
            </w:pPr>
            <w:r>
              <w:t xml:space="preserve">Read-write</w:t>
            </w:r>
          </w:p>
        </w:tc>
        <w:tc>
          <w:tcPr/>
          <w:p>
            <w:pPr>
              <w:pStyle w:val="Compact"/>
            </w:pPr>
            <w:r>
              <w:t xml:space="preserve">adapter-specs/intune</w:t>
            </w:r>
          </w:p>
        </w:tc>
        <w:tc>
          <w:tcPr/>
          <w:p>
            <w:pPr>
              <w:pStyle w:val="Compact"/>
            </w:pPr>
            <w:r>
              <w:t xml:space="preserve">Compliance policies, configuration profiles, Autopilot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Azure Arc</w:t>
            </w:r>
          </w:p>
        </w:tc>
        <w:tc>
          <w:tcPr/>
          <w:p>
            <w:pPr>
              <w:pStyle w:val="Compact"/>
            </w:pPr>
            <w:r>
              <w:t xml:space="preserve">Read-write</w:t>
            </w:r>
          </w:p>
        </w:tc>
        <w:tc>
          <w:tcPr/>
          <w:p>
            <w:pPr>
              <w:pStyle w:val="Compact"/>
            </w:pPr>
            <w:r>
              <w:t xml:space="preserve">(DM_060 scope)</w:t>
            </w:r>
          </w:p>
        </w:tc>
        <w:tc>
          <w:tcPr/>
          <w:p>
            <w:pPr>
              <w:pStyle w:val="Compact"/>
            </w:pPr>
            <w:r>
              <w:t xml:space="preserve">Hybrid server enrollment, tag management, policy assignment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Infoblox / BlueCat</w:t>
            </w:r>
          </w:p>
        </w:tc>
        <w:tc>
          <w:tcPr/>
          <w:p>
            <w:pPr>
              <w:pStyle w:val="Compact"/>
            </w:pPr>
            <w:r>
              <w:t xml:space="preserve">Read-write</w:t>
            </w:r>
          </w:p>
        </w:tc>
        <w:tc>
          <w:tcPr/>
          <w:p>
            <w:pPr>
              <w:pStyle w:val="Compact"/>
            </w:pPr>
            <w:r>
              <w:t xml:space="preserve">DM_010</w:t>
            </w:r>
          </w:p>
        </w:tc>
        <w:tc>
          <w:tcPr/>
          <w:p>
            <w:pPr>
              <w:pStyle w:val="Compact"/>
            </w:pPr>
            <w:r>
              <w:t xml:space="preserve">IPAM records, DHCP scope governance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Cisco ISE / NPS</w:t>
            </w:r>
          </w:p>
        </w:tc>
        <w:tc>
          <w:tcPr/>
          <w:p>
            <w:pPr>
              <w:pStyle w:val="Compact"/>
            </w:pPr>
            <w:r>
              <w:t xml:space="preserve">Read-write</w:t>
            </w:r>
          </w:p>
        </w:tc>
        <w:tc>
          <w:tcPr/>
          <w:p>
            <w:pPr>
              <w:pStyle w:val="Compact"/>
            </w:pPr>
            <w:r>
              <w:t xml:space="preserve">DM_030</w:t>
            </w:r>
          </w:p>
        </w:tc>
        <w:tc>
          <w:tcPr/>
          <w:p>
            <w:pPr>
              <w:pStyle w:val="Compact"/>
            </w:pPr>
            <w:r>
              <w:t xml:space="preserve">RADIUS policy, 802.1X, device-posture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ServiceNow</w:t>
            </w:r>
          </w:p>
        </w:tc>
        <w:tc>
          <w:tcPr/>
          <w:p>
            <w:pPr>
              <w:pStyle w:val="Compact"/>
            </w:pPr>
            <w:r>
              <w:t xml:space="preserve">Read-write</w:t>
            </w:r>
          </w:p>
        </w:tc>
        <w:tc>
          <w:tcPr/>
          <w:p>
            <w:pPr>
              <w:pStyle w:val="Compact"/>
            </w:pPr>
            <w:r>
              <w:t xml:space="preserve">adapter-specs/service-now</w:t>
            </w:r>
          </w:p>
        </w:tc>
        <w:tc>
          <w:tcPr/>
          <w:p>
            <w:pPr>
              <w:pStyle w:val="Compact"/>
            </w:pPr>
            <w:r>
              <w:t xml:space="preserve">Change/incident integration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CyberArk</w:t>
            </w:r>
          </w:p>
        </w:tc>
        <w:tc>
          <w:tcPr/>
          <w:p>
            <w:pPr>
              <w:pStyle w:val="Compact"/>
            </w:pPr>
            <w:r>
              <w:t xml:space="preserve">Read-write</w:t>
            </w:r>
          </w:p>
        </w:tc>
        <w:tc>
          <w:tcPr/>
          <w:p>
            <w:pPr>
              <w:pStyle w:val="Compact"/>
            </w:pPr>
            <w:r>
              <w:t xml:space="preserve">adapter-specs/cyberark</w:t>
            </w:r>
          </w:p>
        </w:tc>
        <w:tc>
          <w:tcPr/>
          <w:p>
            <w:pPr>
              <w:pStyle w:val="Compact"/>
            </w:pPr>
            <w:r>
              <w:t xml:space="preserve">PAM vault / safe integration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GitHub</w:t>
            </w:r>
          </w:p>
        </w:tc>
        <w:tc>
          <w:tcPr/>
          <w:p>
            <w:pPr>
              <w:pStyle w:val="Compact"/>
            </w:pPr>
            <w:r>
              <w:t xml:space="preserve">Read-write</w:t>
            </w:r>
          </w:p>
        </w:tc>
        <w:tc>
          <w:tcPr/>
          <w:p>
            <w:pPr>
              <w:pStyle w:val="Compact"/>
            </w:pPr>
            <w:r>
              <w:t xml:space="preserve">(upstream canon)</w:t>
            </w:r>
          </w:p>
        </w:tc>
        <w:tc>
          <w:tcPr/>
          <w:p>
            <w:pPr>
              <w:pStyle w:val="Compact"/>
            </w:pPr>
            <w:r>
              <w:t xml:space="preserve">Canon merge source (GitHub → Gitea mirror)</w:t>
            </w:r>
          </w:p>
        </w:tc>
      </w:tr>
    </w:tbl>
    <w:p>
      <w:pPr>
        <w:pStyle w:val="BodyText"/>
      </w:pPr>
      <w:r>
        <w:t xml:space="preserve">Every integration is bidirectional-or-less; nothing is</w:t>
      </w:r>
      <w:r>
        <w:t xml:space="preserve"> </w:t>
      </w:r>
      <w:r>
        <w:t xml:space="preserve">“trust me.”</w:t>
      </w:r>
      <w:r>
        <w:t xml:space="preserve"> </w:t>
      </w:r>
      <w:r>
        <w:t xml:space="preserve">The</w:t>
      </w:r>
      <w:r>
        <w:t xml:space="preserve"> </w:t>
      </w:r>
      <w:r>
        <w:t xml:space="preserve">drift engine re-validates every integration on a schedule.</w:t>
      </w:r>
    </w:p>
    <w:bookmarkEnd w:id="24"/>
    <w:bookmarkStart w:id="25" w:name="operational-properties"/>
    <w:p>
      <w:pPr>
        <w:pStyle w:val="Heading2"/>
      </w:pPr>
      <w:r>
        <w:t xml:space="preserve">Operational properties</w:t>
      </w:r>
    </w:p>
    <w:p>
      <w:pPr>
        <w:pStyle w:val="FirstParagraph"/>
      </w:pPr>
      <w:r>
        <w:t xml:space="preserve">By the end of Chapter 06 (the Platform Server Build Guide), the host</w:t>
      </w:r>
      <w:r>
        <w:t xml:space="preserve"> </w:t>
      </w:r>
      <w:r>
        <w:t xml:space="preserve">has the following operational properties: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Tier-0 classification</w:t>
      </w:r>
      <w:r>
        <w:t xml:space="preserve"> </w:t>
      </w:r>
      <w:r>
        <w:t xml:space="preserve">— CIS Level 2 baseline, AppLocker</w:t>
      </w:r>
      <w:r>
        <w:t xml:space="preserve"> </w:t>
      </w:r>
      <w:r>
        <w:t xml:space="preserve">whitelisting, WDAC code integrity, Defender for Servers Plan 2,</w:t>
      </w:r>
      <w:r>
        <w:t xml:space="preserve"> </w:t>
      </w:r>
      <w:r>
        <w:t xml:space="preserve">SIEM forwarding.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Provenance-bound</w:t>
      </w:r>
      <w:r>
        <w:t xml:space="preserve"> </w:t>
      </w:r>
      <w:r>
        <w:t xml:space="preserve">— every config file change is a Git commit; no</w:t>
      </w:r>
      <w:r>
        <w:t xml:space="preserve"> </w:t>
      </w:r>
      <w:r>
        <w:t xml:space="preserve">admin-portal clicks permitted; Intune baseline policy enforces this.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OrgTree-governed</w:t>
      </w:r>
      <w:r>
        <w:t xml:space="preserve"> </w:t>
      </w:r>
      <w:r>
        <w:t xml:space="preserve">— server carries its own OrgPath</w:t>
      </w:r>
      <w:r>
        <w:t xml:space="preserve"> </w:t>
      </w:r>
      <w:r>
        <w:t xml:space="preserve">(</w:t>
      </w:r>
      <w:r>
        <w:rPr>
          <w:rStyle w:val="VerbatimChar"/>
        </w:rPr>
        <w:t xml:space="preserve">ORG-IT-INF-PLATFORM</w:t>
      </w:r>
      <w:r>
        <w:t xml:space="preserve">), lives in an Administrative Unit</w:t>
      </w:r>
      <w:r>
        <w:t xml:space="preserve"> </w:t>
      </w:r>
      <w:r>
        <w:t xml:space="preserve">(</w:t>
      </w:r>
      <w:r>
        <w:rPr>
          <w:rStyle w:val="VerbatimChar"/>
        </w:rPr>
        <w:t xml:space="preserve">AU-ORG-IT-INF-PLATFORM</w:t>
      </w:r>
      <w:r>
        <w:t xml:space="preserve">), and is targeted by an OrgPath-scoped</w:t>
      </w:r>
      <w:r>
        <w:t xml:space="preserve"> </w:t>
      </w:r>
      <w:r>
        <w:t xml:space="preserve">Intune compliance policy.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Drift-monitored</w:t>
      </w:r>
      <w:r>
        <w:t xml:space="preserve"> </w:t>
      </w:r>
      <w:r>
        <w:t xml:space="preserve">— MOD_M reports the server’s state on a schedule</w:t>
      </w:r>
      <w:r>
        <w:t xml:space="preserve"> </w:t>
      </w:r>
      <w:r>
        <w:t xml:space="preserve">(OrgPath, AU membership, Gitea team mapping, Arc heartbeat). Any</w:t>
      </w:r>
      <w:r>
        <w:t xml:space="preserve"> </w:t>
      </w:r>
      <w:r>
        <w:t xml:space="preserve">drift opens an SLA ticket per MOD_Q.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DR-ready</w:t>
      </w:r>
      <w:r>
        <w:t xml:space="preserve"> </w:t>
      </w:r>
      <w:r>
        <w:t xml:space="preserve">— nightly backup to Azure Blob, manual failover to a</w:t>
      </w:r>
      <w:r>
        <w:t xml:space="preserve"> </w:t>
      </w:r>
      <w:r>
        <w:t xml:space="preserve">passive replica with documented RPO/RTO targets.</w:t>
      </w:r>
    </w:p>
    <w:bookmarkEnd w:id="25"/>
    <w:bookmarkStart w:id="26" w:name="what-the-platform-server-is-not"/>
    <w:p>
      <w:pPr>
        <w:pStyle w:val="Heading2"/>
      </w:pPr>
      <w:r>
        <w:t xml:space="preserve">What the platform server is not</w:t>
      </w:r>
    </w:p>
    <w:p>
      <w:pPr>
        <w:pStyle w:val="FirstParagraph"/>
      </w:pPr>
      <w:r>
        <w:t xml:space="preserve">Boundaries matter as much as capabilities: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Not a domain controller.</w:t>
      </w:r>
      <w:r>
        <w:t xml:space="preserve"> </w:t>
      </w:r>
      <w:r>
        <w:t xml:space="preserve">The platform server is domain-</w:t>
      </w:r>
      <w:r>
        <w:rPr>
          <w:i/>
          <w:iCs/>
        </w:rPr>
        <w:t xml:space="preserve">joined</w:t>
      </w:r>
      <w:r>
        <w:t xml:space="preserve">,</w:t>
      </w:r>
      <w:r>
        <w:t xml:space="preserve"> </w:t>
      </w:r>
      <w:r>
        <w:t xml:space="preserve">not domain-hosting. When the legacy AD forest is eventually retired,</w:t>
      </w:r>
      <w:r>
        <w:t xml:space="preserve"> </w:t>
      </w:r>
      <w:r>
        <w:t xml:space="preserve">the platform server stays; the DCs go away.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Not a target-surface component.</w:t>
      </w:r>
      <w:r>
        <w:t xml:space="preserve"> </w:t>
      </w:r>
      <w:r>
        <w:t xml:space="preserve">The platform server governs Entra,</w:t>
      </w:r>
      <w:r>
        <w:t xml:space="preserve"> </w:t>
      </w:r>
      <w:r>
        <w:t xml:space="preserve">Intune, Arc — it does not live inside them. It is deliberately on-prem</w:t>
      </w:r>
      <w:r>
        <w:t xml:space="preserve"> </w:t>
      </w:r>
      <w:r>
        <w:t xml:space="preserve">(or Arc-projected IaaS) so it survives tenant-level events.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Not a product</w:t>
      </w:r>
      <w:r>
        <w:t xml:space="preserve">. The platform server is a governed deployment of</w:t>
      </w:r>
      <w:r>
        <w:t xml:space="preserve"> </w:t>
      </w:r>
      <w:r>
        <w:t xml:space="preserve">well-known components (WS2025, IIS, Gitea) configured together in a</w:t>
      </w:r>
      <w:r>
        <w:t xml:space="preserve"> </w:t>
      </w:r>
      <w:r>
        <w:t xml:space="preserve">specific, canonical way. There’s no proprietary UIAO binary to ship.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Not a Copilot replacement.</w:t>
      </w:r>
      <w:r>
        <w:t xml:space="preserve"> </w:t>
      </w:r>
      <w:r>
        <w:t xml:space="preserve">Copilot is the governance brain. The</w:t>
      </w:r>
      <w:r>
        <w:t xml:space="preserve"> </w:t>
      </w:r>
      <w:r>
        <w:t xml:space="preserve">platform server hosts the execution substrate + canon. Copilot still</w:t>
      </w:r>
      <w:r>
        <w:t xml:space="preserve"> </w:t>
      </w:r>
      <w:r>
        <w:t xml:space="preserve">reviews and authorizes.</w:t>
      </w:r>
    </w:p>
    <w:bookmarkEnd w:id="26"/>
    <w:bookmarkStart w:id="31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Full build runbook:</w:t>
      </w:r>
      <w:r>
        <w:t xml:space="preserve"> </w:t>
      </w:r>
      <w:hyperlink r:id="rId27">
        <w:r>
          <w:rPr>
            <w:rStyle w:val="Hyperlink"/>
          </w:rPr>
          <w:t xml:space="preserve">Platform Server Build Guide</w:t>
        </w:r>
      </w:hyperlink>
      <w:r>
        <w:t xml:space="preserve"> </w:t>
      </w:r>
      <w:r>
        <w:t xml:space="preserve">—</w:t>
      </w:r>
      <w:r>
        <w:t xml:space="preserve"> </w:t>
      </w:r>
      <w:r>
        <w:t xml:space="preserve">14 phases, 1,864 lines of PowerShell-first procedure.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ADR-001 Git Infrastructure</w:t>
      </w:r>
      <w:r>
        <w:t xml:space="preserve"> </w:t>
      </w:r>
      <w:r>
        <w:t xml:space="preserve">— documents the Gitea-behind-IIS</w:t>
      </w:r>
      <w:r>
        <w:t xml:space="preserve"> </w:t>
      </w:r>
      <w:r>
        <w:t xml:space="preserve">decision and why Option A was rejected.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Modernization canon</w:t>
      </w:r>
      <w:r>
        <w:t xml:space="preserve"> </w:t>
      </w:r>
      <w:r>
        <w:t xml:space="preserve">—</w:t>
      </w:r>
      <w:r>
        <w:t xml:space="preserve"> </w:t>
      </w:r>
      <w:hyperlink r:id="rId28">
        <w:r>
          <w:rPr>
            <w:rStyle w:val="Hyperlink"/>
          </w:rPr>
          <w:t xml:space="preserve">MOD_A..Z</w:t>
        </w:r>
      </w:hyperlink>
      <w:r>
        <w:t xml:space="preserve"> </w:t>
      </w:r>
      <w:r>
        <w:t xml:space="preserve">for governance,</w:t>
      </w:r>
      <w:r>
        <w:t xml:space="preserve"> </w:t>
      </w:r>
      <w:hyperlink r:id="rId29">
        <w:r>
          <w:rPr>
            <w:rStyle w:val="Hyperlink"/>
          </w:rPr>
          <w:t xml:space="preserve">DM_010..080</w:t>
        </w:r>
      </w:hyperlink>
      <w:r>
        <w:t xml:space="preserve"> </w:t>
      </w:r>
      <w:r>
        <w:t xml:space="preserve">for adapters.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30">
        <w:r>
          <w:rPr>
            <w:rStyle w:val="Hyperlink"/>
          </w:rPr>
          <w:t xml:space="preserve">Chapter 02 — Analyzing the Client/Server Estate</w:t>
        </w:r>
      </w:hyperlink>
    </w:p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7" Target="../../../../modernization/orgtree.html" TargetMode="External" /><Relationship Type="http://schemas.openxmlformats.org/officeDocument/2006/relationships/hyperlink" Id="rId29" Target="../../../modernization/directory-migration.html" TargetMode="External" /><Relationship Type="http://schemas.openxmlformats.org/officeDocument/2006/relationships/hyperlink" Id="rId28" Target="../../../modernization/orgtree.html" TargetMode="External" /><Relationship Type="http://schemas.openxmlformats.org/officeDocument/2006/relationships/hyperlink" Id="rId27" Target="../../platform/platform-server-build.html" TargetMode="External" /><Relationship Type="http://schemas.openxmlformats.org/officeDocument/2006/relationships/hyperlink" Id="rId30" Target="02-legacy-ingestion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7" Target="../../../../modernization/orgtree.html" TargetMode="External" /><Relationship Type="http://schemas.openxmlformats.org/officeDocument/2006/relationships/hyperlink" Id="rId29" Target="../../../modernization/directory-migration.html" TargetMode="External" /><Relationship Type="http://schemas.openxmlformats.org/officeDocument/2006/relationships/hyperlink" Id="rId28" Target="../../../modernization/orgtree.html" TargetMode="External" /><Relationship Type="http://schemas.openxmlformats.org/officeDocument/2006/relationships/hyperlink" Id="rId27" Target="../../platform/platform-server-build.html" TargetMode="External" /><Relationship Type="http://schemas.openxmlformats.org/officeDocument/2006/relationships/hyperlink" Id="rId30" Target="02-legacy-ingestion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 — The UIAO Platform Server</dc:title>
  <dc:creator/>
  <cp:keywords/>
  <dcterms:created xsi:type="dcterms:W3CDTF">2026-05-06T19:44:51Z</dcterms:created>
  <dcterms:modified xsi:type="dcterms:W3CDTF">2026-05-06T19:44:51Z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Platform engineers · infrastructure architects · federal CIOs</vt:lpwstr>
  </property>
  <property fmtid="{D5CDD505-2E9C-101B-9397-08002B2CF9AE}" pid="4" name="biblio-config">
    <vt:lpwstr>True</vt:lpwstr>
  </property>
  <property fmtid="{D5CDD505-2E9C-101B-9397-08002B2CF9AE}" pid="5" name="canon-source">
    <vt:lpwstr>docs/customer-documents/platform/platform-server-build.qmd + ADR-001</vt:lpwstr>
  </property>
  <property fmtid="{D5CDD505-2E9C-101B-9397-08002B2CF9AE}" pid="6" name="chapter">
    <vt:lpwstr>1</vt:lpwstr>
  </property>
  <property fmtid="{D5CDD505-2E9C-101B-9397-08002B2CF9AE}" pid="7" name="date">
    <vt:lpwstr>2026-04-24</vt:lpwstr>
  </property>
  <property fmtid="{D5CDD505-2E9C-101B-9397-08002B2CF9AE}" pid="8" name="doc-type">
    <vt:lpwstr>series-chapter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eries-id">
    <vt:lpwstr>client-server-to-hybrid-cloud</vt:lpwstr>
  </property>
  <property fmtid="{D5CDD505-2E9C-101B-9397-08002B2CF9AE}" pid="15" name="subtitle">
    <vt:lpwstr>Windows Server 2025 + IIS + Gitea + Kerberos + enterprise PKI — the host that runs the transformation</vt:lpwstr>
  </property>
  <property fmtid="{D5CDD505-2E9C-101B-9397-08002B2CF9AE}" pid="16" name="toc-title">
    <vt:lpwstr>Table of contents</vt:lpwstr>
  </property>
</Properties>
</file>